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4020" w:right="2300" w:hanging="4012"/>
        <w:spacing w:after="0" w:line="259" w:lineRule="auto"/>
        <w:tabs>
          <w:tab w:leader="none" w:pos="33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1-14569</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PLAINS ALL AMERICAN PIPELINE, L.P.</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47"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4880" w:type="dxa"/>
            <w:vAlign w:val="bottom"/>
          </w:tcPr>
          <w:p>
            <w:pPr>
              <w:jc w:val="center"/>
              <w:ind w:right="1348"/>
              <w:spacing w:after="0"/>
              <w:rPr>
                <w:sz w:val="20"/>
                <w:szCs w:val="20"/>
                <w:color w:val="auto"/>
              </w:rPr>
            </w:pPr>
            <w:r>
              <w:rPr>
                <w:rFonts w:ascii="Arial" w:cs="Arial" w:eastAsia="Arial" w:hAnsi="Arial"/>
                <w:sz w:val="14"/>
                <w:szCs w:val="14"/>
                <w:b w:val="1"/>
                <w:bCs w:val="1"/>
                <w:color w:val="auto"/>
                <w:w w:val="94"/>
              </w:rPr>
              <w:t>Delaware</w:t>
            </w:r>
          </w:p>
        </w:tc>
        <w:tc>
          <w:tcPr>
            <w:tcW w:w="3520" w:type="dxa"/>
            <w:vAlign w:val="bottom"/>
          </w:tcPr>
          <w:p>
            <w:pPr>
              <w:jc w:val="right"/>
              <w:ind w:right="628"/>
              <w:spacing w:after="0"/>
              <w:rPr>
                <w:sz w:val="20"/>
                <w:szCs w:val="20"/>
                <w:color w:val="auto"/>
              </w:rPr>
            </w:pPr>
            <w:r>
              <w:rPr>
                <w:rFonts w:ascii="Arial" w:cs="Arial" w:eastAsia="Arial" w:hAnsi="Arial"/>
                <w:sz w:val="14"/>
                <w:szCs w:val="14"/>
                <w:b w:val="1"/>
                <w:bCs w:val="1"/>
                <w:color w:val="auto"/>
              </w:rPr>
              <w:t>76-0582150</w:t>
            </w:r>
          </w:p>
        </w:tc>
      </w:tr>
      <w:tr>
        <w:trPr>
          <w:trHeight w:val="270"/>
        </w:trPr>
        <w:tc>
          <w:tcPr>
            <w:tcW w:w="4880" w:type="dxa"/>
            <w:vAlign w:val="bottom"/>
          </w:tcPr>
          <w:p>
            <w:pPr>
              <w:jc w:val="center"/>
              <w:ind w:right="13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520" w:type="dxa"/>
            <w:vAlign w:val="bottom"/>
          </w:tcPr>
          <w:p>
            <w:pPr>
              <w:jc w:val="center"/>
              <w:ind w:left="1348"/>
              <w:spacing w:after="0"/>
              <w:rPr>
                <w:sz w:val="20"/>
                <w:szCs w:val="20"/>
                <w:color w:val="auto"/>
              </w:rPr>
            </w:pPr>
            <w:r>
              <w:rPr>
                <w:rFonts w:ascii="Arial" w:cs="Arial" w:eastAsia="Arial" w:hAnsi="Arial"/>
                <w:sz w:val="14"/>
                <w:szCs w:val="14"/>
                <w:color w:val="auto"/>
                <w:w w:val="97"/>
              </w:rPr>
              <w:t>(I.R.S. Employer Identification No.)</w:t>
            </w:r>
          </w:p>
        </w:tc>
      </w:tr>
      <w:tr>
        <w:trPr>
          <w:trHeight w:val="405"/>
        </w:trPr>
        <w:tc>
          <w:tcPr>
            <w:tcW w:w="4880" w:type="dxa"/>
            <w:vAlign w:val="bottom"/>
          </w:tcPr>
          <w:p>
            <w:pPr>
              <w:jc w:val="center"/>
              <w:ind w:right="1348"/>
              <w:spacing w:after="0"/>
              <w:rPr>
                <w:sz w:val="20"/>
                <w:szCs w:val="20"/>
                <w:color w:val="auto"/>
              </w:rPr>
            </w:pPr>
            <w:r>
              <w:rPr>
                <w:rFonts w:ascii="Arial" w:cs="Arial" w:eastAsia="Arial" w:hAnsi="Arial"/>
                <w:sz w:val="14"/>
                <w:szCs w:val="14"/>
                <w:b w:val="1"/>
                <w:bCs w:val="1"/>
                <w:color w:val="auto"/>
                <w:w w:val="91"/>
              </w:rPr>
              <w:t>333 Clay Street, Suite 1600, Houston, Texas</w:t>
            </w:r>
          </w:p>
        </w:tc>
        <w:tc>
          <w:tcPr>
            <w:tcW w:w="3520" w:type="dxa"/>
            <w:vAlign w:val="bottom"/>
          </w:tcPr>
          <w:p>
            <w:pPr>
              <w:jc w:val="right"/>
              <w:ind w:right="808"/>
              <w:spacing w:after="0"/>
              <w:rPr>
                <w:sz w:val="20"/>
                <w:szCs w:val="20"/>
                <w:color w:val="auto"/>
              </w:rPr>
            </w:pPr>
            <w:r>
              <w:rPr>
                <w:rFonts w:ascii="Arial" w:cs="Arial" w:eastAsia="Arial" w:hAnsi="Arial"/>
                <w:sz w:val="14"/>
                <w:szCs w:val="14"/>
                <w:b w:val="1"/>
                <w:bCs w:val="1"/>
                <w:color w:val="auto"/>
              </w:rPr>
              <w:t>77002</w:t>
            </w:r>
          </w:p>
        </w:tc>
      </w:tr>
      <w:tr>
        <w:trPr>
          <w:trHeight w:val="270"/>
        </w:trPr>
        <w:tc>
          <w:tcPr>
            <w:tcW w:w="4880" w:type="dxa"/>
            <w:vAlign w:val="bottom"/>
          </w:tcPr>
          <w:p>
            <w:pPr>
              <w:jc w:val="center"/>
              <w:ind w:right="1368"/>
              <w:spacing w:after="0"/>
              <w:rPr>
                <w:sz w:val="20"/>
                <w:szCs w:val="20"/>
                <w:color w:val="auto"/>
              </w:rPr>
            </w:pPr>
            <w:r>
              <w:rPr>
                <w:rFonts w:ascii="Arial" w:cs="Arial" w:eastAsia="Arial" w:hAnsi="Arial"/>
                <w:sz w:val="14"/>
                <w:szCs w:val="14"/>
                <w:color w:val="auto"/>
                <w:w w:val="95"/>
              </w:rPr>
              <w:t>(Address of principal executive offices)</w:t>
            </w:r>
          </w:p>
        </w:tc>
        <w:tc>
          <w:tcPr>
            <w:tcW w:w="3520" w:type="dxa"/>
            <w:vAlign w:val="bottom"/>
          </w:tcPr>
          <w:p>
            <w:pPr>
              <w:jc w:val="center"/>
              <w:ind w:left="1348"/>
              <w:spacing w:after="0"/>
              <w:rPr>
                <w:sz w:val="20"/>
                <w:szCs w:val="20"/>
                <w:color w:val="auto"/>
              </w:rPr>
            </w:pPr>
            <w:r>
              <w:rPr>
                <w:rFonts w:ascii="Arial" w:cs="Arial" w:eastAsia="Arial" w:hAnsi="Arial"/>
                <w:sz w:val="14"/>
                <w:szCs w:val="14"/>
                <w:color w:val="auto"/>
                <w:w w:val="93"/>
              </w:rPr>
              <w:t>(Zip Code)</w:t>
            </w:r>
          </w:p>
        </w:tc>
      </w:tr>
    </w:tbl>
    <w:p>
      <w:pPr>
        <w:spacing w:after="0" w:line="178" w:lineRule="exact"/>
        <w:rPr>
          <w:sz w:val="24"/>
          <w:szCs w:val="24"/>
          <w:color w:val="auto"/>
        </w:rPr>
      </w:pPr>
    </w:p>
    <w:tbl>
      <w:tblPr>
        <w:tblLayout w:type="fixed"/>
        <w:tblInd w:w="30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7540" w:type="dxa"/>
            <w:vAlign w:val="bottom"/>
            <w:gridSpan w:val="3"/>
          </w:tcPr>
          <w:p>
            <w:pPr>
              <w:ind w:left="18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(713) 646-4100</w:t>
            </w:r>
          </w:p>
        </w:tc>
      </w:tr>
      <w:tr>
        <w:trPr>
          <w:trHeight w:val="270"/>
        </w:trPr>
        <w:tc>
          <w:tcPr>
            <w:tcW w:w="3280" w:type="dxa"/>
            <w:vAlign w:val="bottom"/>
          </w:tcPr>
          <w:p>
            <w:pPr>
              <w:spacing w:after="0"/>
              <w:rPr>
                <w:sz w:val="23"/>
                <w:szCs w:val="23"/>
                <w:color w:val="auto"/>
              </w:rPr>
            </w:pPr>
          </w:p>
        </w:tc>
        <w:tc>
          <w:tcPr>
            <w:tcW w:w="7540" w:type="dxa"/>
            <w:vAlign w:val="bottom"/>
            <w:gridSpan w:val="3"/>
          </w:tcPr>
          <w:p>
            <w:pPr>
              <w:jc w:val="center"/>
              <w:ind w:right="2873"/>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424"/>
        </w:trPr>
        <w:tc>
          <w:tcPr>
            <w:tcW w:w="3280" w:type="dxa"/>
            <w:vAlign w:val="bottom"/>
            <w:tcBorders>
              <w:bottom w:val="single" w:sz="8" w:color="auto"/>
            </w:tcBorders>
          </w:tcPr>
          <w:p>
            <w:pPr>
              <w:jc w:val="center"/>
              <w:ind w:left="1853"/>
              <w:spacing w:after="0"/>
              <w:rPr>
                <w:sz w:val="20"/>
                <w:szCs w:val="20"/>
                <w:color w:val="auto"/>
              </w:rPr>
            </w:pPr>
            <w:r>
              <w:rPr>
                <w:rFonts w:ascii="Arial" w:cs="Arial" w:eastAsia="Arial" w:hAnsi="Arial"/>
                <w:sz w:val="13"/>
                <w:szCs w:val="13"/>
                <w:b w:val="1"/>
                <w:bCs w:val="1"/>
                <w:color w:val="auto"/>
                <w:w w:val="86"/>
              </w:rPr>
              <w:t>Title of Each Class</w:t>
            </w:r>
          </w:p>
        </w:tc>
        <w:tc>
          <w:tcPr>
            <w:tcW w:w="19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91"/>
        </w:trPr>
        <w:tc>
          <w:tcPr>
            <w:tcW w:w="3280" w:type="dxa"/>
            <w:vAlign w:val="bottom"/>
          </w:tcPr>
          <w:p>
            <w:pPr>
              <w:jc w:val="center"/>
              <w:ind w:left="1853"/>
              <w:spacing w:after="0"/>
              <w:rPr>
                <w:sz w:val="20"/>
                <w:szCs w:val="20"/>
                <w:color w:val="auto"/>
              </w:rPr>
            </w:pPr>
            <w:r>
              <w:rPr>
                <w:rFonts w:ascii="Arial" w:cs="Arial" w:eastAsia="Arial" w:hAnsi="Arial"/>
                <w:sz w:val="14"/>
                <w:szCs w:val="14"/>
                <w:color w:val="auto"/>
                <w:w w:val="95"/>
              </w:rPr>
              <w:t>Common Units</w:t>
            </w:r>
          </w:p>
        </w:tc>
        <w:tc>
          <w:tcPr>
            <w:tcW w:w="1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8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311"/>
        </w:trPr>
        <w:tc>
          <w:tcPr>
            <w:tcW w:w="3280" w:type="dxa"/>
            <w:vAlign w:val="bottom"/>
          </w:tcPr>
          <w:p>
            <w:pPr>
              <w:spacing w:after="0"/>
              <w:rPr>
                <w:sz w:val="24"/>
                <w:szCs w:val="24"/>
                <w:color w:val="auto"/>
              </w:rPr>
            </w:pPr>
          </w:p>
        </w:tc>
        <w:tc>
          <w:tcPr>
            <w:tcW w:w="7540" w:type="dxa"/>
            <w:vAlign w:val="bottom"/>
            <w:gridSpan w:val="3"/>
          </w:tcPr>
          <w:p>
            <w:pPr>
              <w:jc w:val="center"/>
              <w:ind w:right="2873"/>
              <w:spacing w:after="0"/>
              <w:rPr>
                <w:sz w:val="20"/>
                <w:szCs w:val="20"/>
                <w:color w:val="auto"/>
              </w:rPr>
            </w:pPr>
            <w:r>
              <w:rPr>
                <w:rFonts w:ascii="Arial" w:cs="Arial" w:eastAsia="Arial" w:hAnsi="Arial"/>
                <w:sz w:val="14"/>
                <w:szCs w:val="14"/>
                <w:color w:val="auto"/>
                <w:w w:val="93"/>
              </w:rPr>
              <w:t xml:space="preserve">Securities registered pursuant to Section 12(g) of the Act: </w:t>
            </w:r>
            <w:r>
              <w:rPr>
                <w:rFonts w:ascii="Arial" w:cs="Arial" w:eastAsia="Arial" w:hAnsi="Arial"/>
                <w:sz w:val="14"/>
                <w:szCs w:val="14"/>
                <w:b w:val="1"/>
                <w:bCs w:val="1"/>
                <w:color w:val="auto"/>
                <w:w w:val="93"/>
              </w:rPr>
              <w:t>None</w:t>
            </w:r>
          </w:p>
        </w:tc>
      </w:tr>
    </w:tbl>
    <w:p>
      <w:pPr>
        <w:spacing w:after="0" w:line="112" w:lineRule="exact"/>
        <w:rPr>
          <w:sz w:val="24"/>
          <w:szCs w:val="24"/>
          <w:color w:val="auto"/>
        </w:rPr>
      </w:pPr>
    </w:p>
    <w:p>
      <w:pPr>
        <w:ind w:left="340" w:right="3300"/>
        <w:spacing w:after="0" w:line="368"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ind w:firstLine="324"/>
        <w:spacing w:after="0" w:line="30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ind w:right="600" w:firstLine="324"/>
        <w:spacing w:after="0" w:line="265"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24" w:lineRule="exact"/>
        <w:rPr>
          <w:sz w:val="24"/>
          <w:szCs w:val="24"/>
          <w:color w:val="auto"/>
        </w:rPr>
      </w:pPr>
    </w:p>
    <w:p>
      <w:pPr>
        <w:ind w:right="60" w:firstLine="324"/>
        <w:spacing w:after="0" w:line="265"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4" w:lineRule="exact"/>
        <w:rPr>
          <w:sz w:val="24"/>
          <w:szCs w:val="24"/>
          <w:color w:val="auto"/>
        </w:rPr>
      </w:pPr>
    </w:p>
    <w:p>
      <w:pPr>
        <w:ind w:right="20" w:firstLine="324"/>
        <w:spacing w:after="0" w:line="3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sectPr>
      </w:pPr>
    </w:p>
    <w:p>
      <w:pPr>
        <w:spacing w:after="0" w:line="77" w:lineRule="exact"/>
        <w:rPr>
          <w:sz w:val="24"/>
          <w:szCs w:val="24"/>
          <w:color w:val="auto"/>
        </w:rPr>
      </w:pPr>
    </w:p>
    <w:p>
      <w:pPr>
        <w:ind w:left="2200"/>
        <w:spacing w:after="0"/>
        <w:rPr>
          <w:sz w:val="20"/>
          <w:szCs w:val="20"/>
          <w:color w:val="auto"/>
        </w:rPr>
      </w:pPr>
      <w:r>
        <w:rPr>
          <w:rFonts w:ascii="Arial" w:cs="Arial" w:eastAsia="Arial" w:hAnsi="Arial"/>
          <w:sz w:val="13"/>
          <w:szCs w:val="13"/>
          <w:color w:val="auto"/>
        </w:rPr>
        <w:t>Large accelerated filer x</w:t>
      </w:r>
    </w:p>
    <w:p>
      <w:pPr>
        <w:spacing w:after="0" w:line="175" w:lineRule="exact"/>
        <w:rPr>
          <w:sz w:val="24"/>
          <w:szCs w:val="24"/>
          <w:color w:val="auto"/>
        </w:rPr>
      </w:pPr>
    </w:p>
    <w:p>
      <w:pPr>
        <w:ind w:left="2240"/>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2040"/>
        <w:spacing w:after="0"/>
        <w:rPr>
          <w:sz w:val="20"/>
          <w:szCs w:val="20"/>
          <w:color w:val="auto"/>
        </w:rPr>
      </w:pPr>
      <w:r>
        <w:rPr>
          <w:rFonts w:ascii="Arial" w:cs="Arial" w:eastAsia="Arial" w:hAnsi="Arial"/>
          <w:sz w:val="14"/>
          <w:szCs w:val="14"/>
          <w:color w:val="auto"/>
        </w:rPr>
        <w:t>Accelerated filer o</w:t>
      </w:r>
    </w:p>
    <w:p>
      <w:pPr>
        <w:spacing w:after="0" w:line="163" w:lineRule="exact"/>
        <w:rPr>
          <w:sz w:val="24"/>
          <w:szCs w:val="24"/>
          <w:color w:val="auto"/>
        </w:rPr>
      </w:pPr>
    </w:p>
    <w:p>
      <w:pPr>
        <w:jc w:val="center"/>
        <w:ind w:right="2040"/>
        <w:spacing w:after="0"/>
        <w:rPr>
          <w:sz w:val="20"/>
          <w:szCs w:val="20"/>
          <w:color w:val="auto"/>
        </w:rPr>
      </w:pPr>
      <w:r>
        <w:rPr>
          <w:rFonts w:ascii="Arial" w:cs="Arial" w:eastAsia="Arial" w:hAnsi="Arial"/>
          <w:sz w:val="13"/>
          <w:szCs w:val="13"/>
          <w:color w:val="auto"/>
        </w:rPr>
        <w:t>Smaller reporting company o</w:t>
      </w:r>
    </w:p>
    <w:p>
      <w:pPr>
        <w:spacing w:after="0" w:line="200" w:lineRule="exact"/>
        <w:rPr>
          <w:sz w:val="24"/>
          <w:szCs w:val="24"/>
          <w:color w:val="auto"/>
        </w:rPr>
      </w:pPr>
    </w:p>
    <w:p>
      <w:pPr>
        <w:sectPr>
          <w:pgSz w:w="11900" w:h="16838" w:orient="portrait"/>
          <w:cols w:equalWidth="0" w:num="2">
            <w:col w:w="6960" w:space="720"/>
            <w:col w:w="3740"/>
          </w:cols>
          <w:pgMar w:left="240" w:top="233" w:right="239" w:bottom="1440" w:gutter="0" w:footer="0" w:header="0"/>
          <w:type w:val="continuous"/>
        </w:sectPr>
      </w:pPr>
    </w:p>
    <w:p>
      <w:pPr>
        <w:spacing w:after="0" w:line="42" w:lineRule="exact"/>
        <w:rPr>
          <w:sz w:val="24"/>
          <w:szCs w:val="24"/>
          <w:color w:val="auto"/>
        </w:rPr>
      </w:pPr>
    </w:p>
    <w:p>
      <w:pPr>
        <w:ind w:left="7680"/>
        <w:spacing w:after="0"/>
        <w:rPr>
          <w:sz w:val="20"/>
          <w:szCs w:val="20"/>
          <w:color w:val="auto"/>
        </w:rPr>
      </w:pPr>
      <w:r>
        <w:rPr>
          <w:rFonts w:ascii="Arial" w:cs="Arial" w:eastAsia="Arial" w:hAnsi="Arial"/>
          <w:sz w:val="13"/>
          <w:szCs w:val="13"/>
          <w:color w:val="auto"/>
        </w:rPr>
        <w:t>Emerging growth company o</w:t>
      </w:r>
    </w:p>
    <w:p>
      <w:pPr>
        <w:sectPr>
          <w:pgSz w:w="11900" w:h="16838" w:orient="portrait"/>
          <w:cols w:equalWidth="0" w:num="1">
            <w:col w:w="11420"/>
          </w:cols>
          <w:pgMar w:left="240" w:top="233" w:right="239" w:bottom="1440" w:gutter="0" w:footer="0" w:header="0"/>
          <w:type w:val="continuous"/>
        </w:sectPr>
      </w:pPr>
    </w:p>
    <w:p>
      <w:pPr>
        <w:spacing w:after="0" w:line="158" w:lineRule="exact"/>
        <w:rPr>
          <w:sz w:val="24"/>
          <w:szCs w:val="24"/>
          <w:color w:val="auto"/>
        </w:rPr>
      </w:pPr>
    </w:p>
    <w:p>
      <w:pPr>
        <w:ind w:right="160" w:firstLine="324"/>
        <w:spacing w:after="0" w:line="265"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4" w:lineRule="exact"/>
        <w:rPr>
          <w:sz w:val="24"/>
          <w:szCs w:val="24"/>
          <w:color w:val="auto"/>
        </w:rPr>
      </w:pPr>
    </w:p>
    <w:p>
      <w:pPr>
        <w:ind w:left="34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 No x</w:t>
      </w:r>
    </w:p>
    <w:p>
      <w:pPr>
        <w:spacing w:after="0" w:line="57" w:lineRule="exact"/>
        <w:rPr>
          <w:sz w:val="24"/>
          <w:szCs w:val="24"/>
          <w:color w:val="auto"/>
        </w:rPr>
      </w:pPr>
    </w:p>
    <w:p>
      <w:pPr>
        <w:jc w:val="both"/>
        <w:ind w:right="220" w:firstLine="324"/>
        <w:spacing w:after="0" w:line="281" w:lineRule="auto"/>
        <w:rPr>
          <w:sz w:val="20"/>
          <w:szCs w:val="20"/>
          <w:color w:val="auto"/>
        </w:rPr>
      </w:pPr>
      <w:r>
        <w:rPr>
          <w:rFonts w:ascii="Arial" w:cs="Arial" w:eastAsia="Arial" w:hAnsi="Arial"/>
          <w:sz w:val="14"/>
          <w:szCs w:val="14"/>
          <w:color w:val="auto"/>
        </w:rPr>
        <w:t>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$10.4 billion on June 29, 2018, based on a closing price of $23.64 per Common Unit as reported on the New York Stock Exchange on such date. As of February 12, 2019, there were 726,579,550 Common Units outstanding</w:t>
      </w:r>
      <w:r>
        <w:rPr>
          <w:rFonts w:ascii="Arial" w:cs="Arial" w:eastAsia="Arial" w:hAnsi="Arial"/>
          <w:sz w:val="13"/>
          <w:szCs w:val="13"/>
          <w:color w:val="auto"/>
        </w:rPr>
        <w:t>.</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47" w:lineRule="exact"/>
        <w:rPr>
          <w:sz w:val="24"/>
          <w:szCs w:val="24"/>
          <w:color w:val="auto"/>
        </w:rPr>
      </w:pPr>
    </w:p>
    <w:p>
      <w:pPr>
        <w:jc w:val="center"/>
        <w:ind w:left="420"/>
        <w:spacing w:after="0" w:line="319" w:lineRule="auto"/>
        <w:rPr>
          <w:sz w:val="20"/>
          <w:szCs w:val="20"/>
          <w:color w:val="auto"/>
        </w:rPr>
      </w:pPr>
      <w:r>
        <w:rPr>
          <w:rFonts w:ascii="Arial" w:cs="Arial" w:eastAsia="Arial" w:hAnsi="Arial"/>
          <w:sz w:val="15"/>
          <w:szCs w:val="15"/>
          <w:color w:val="auto"/>
        </w:rPr>
        <w:t>Portions of the registrant’s definitive Proxy Statement to be filed pursuant to Regulation 14A pertaining to the 2019 Annual Meeting of Unitholders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10-K—2018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0000EE"/>
            </w:tcBorders>
            <w:gridSpan w:val="2"/>
          </w:tcPr>
          <w:p>
            <w:pPr>
              <w:jc w:val="center"/>
              <w:spacing w:after="0" w:line="170"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3920" w:type="dxa"/>
            <w:vAlign w:val="bottom"/>
            <w:gridSpan w:val="10"/>
          </w:tcPr>
          <w:p>
            <w:pPr>
              <w:spacing w:after="0"/>
              <w:rPr>
                <w:sz w:val="16"/>
                <w:szCs w:val="16"/>
                <w:color w:val="auto"/>
              </w:rPr>
            </w:pPr>
          </w:p>
        </w:tc>
        <w:tc>
          <w:tcPr>
            <w:tcW w:w="1480" w:type="dxa"/>
            <w:vAlign w:val="bottom"/>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588"/>
        </w:trPr>
        <w:tc>
          <w:tcPr>
            <w:tcW w:w="1020" w:type="dxa"/>
            <w:vAlign w:val="bottom"/>
            <w:gridSpan w:val="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Items 1 and 2.</w:t>
              </w:r>
            </w:hyperlink>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2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 and Properties</w:t>
              </w:r>
            </w:hyperlink>
          </w:p>
        </w:tc>
        <w:tc>
          <w:tcPr>
            <w:tcW w:w="148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1A.</w:t>
              </w:r>
            </w:hyperlink>
          </w:p>
        </w:tc>
        <w:tc>
          <w:tcPr>
            <w:tcW w:w="38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Borders>
              <w:top w:val="single" w:sz="8" w:color="0000EE"/>
            </w:tcBorders>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6700" w:type="dxa"/>
            <w:vAlign w:val="bottom"/>
            <w:gridSpan w:val="22"/>
          </w:tcPr>
          <w:p>
            <w:pPr>
              <w:spacing w:after="0"/>
              <w:rPr>
                <w:sz w:val="21"/>
                <w:szCs w:val="21"/>
                <w:color w:val="auto"/>
              </w:rPr>
            </w:pPr>
          </w:p>
        </w:tc>
        <w:tc>
          <w:tcPr>
            <w:tcW w:w="148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Item 1B.</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8420" w:type="dxa"/>
            <w:vAlign w:val="bottom"/>
            <w:gridSpan w:val="2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Unresolved Staff Comments</w:t>
              </w:r>
            </w:hyperlink>
          </w:p>
        </w:tc>
        <w:tc>
          <w:tcPr>
            <w:tcW w:w="1480" w:type="dxa"/>
            <w:vAlign w:val="bottom"/>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3.</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Legal Proceedings</w:t>
              </w:r>
            </w:hyperlink>
          </w:p>
        </w:tc>
        <w:tc>
          <w:tcPr>
            <w:tcW w:w="6380" w:type="dxa"/>
            <w:vAlign w:val="bottom"/>
            <w:gridSpan w:val="19"/>
          </w:tcPr>
          <w:p>
            <w:pPr>
              <w:spacing w:after="0"/>
              <w:rPr>
                <w:sz w:val="21"/>
                <w:szCs w:val="21"/>
                <w:color w:val="auto"/>
              </w:rPr>
            </w:pPr>
          </w:p>
        </w:tc>
        <w:tc>
          <w:tcPr>
            <w:tcW w:w="1480" w:type="dxa"/>
            <w:vAlign w:val="bottom"/>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4.</w:t>
              </w:r>
            </w:hyperlink>
          </w:p>
        </w:tc>
        <w:tc>
          <w:tcPr>
            <w:tcW w:w="8660" w:type="dxa"/>
            <w:vAlign w:val="bottom"/>
            <w:gridSpan w:val="28"/>
          </w:tcPr>
          <w:p>
            <w:pPr>
              <w:ind w:left="240"/>
              <w:spacing w:after="0"/>
              <w:rPr>
                <w:rFonts w:ascii="Arial" w:cs="Arial" w:eastAsia="Arial" w:hAnsi="Arial"/>
                <w:sz w:val="18"/>
                <w:szCs w:val="18"/>
                <w:color w:val="0000EE"/>
              </w:rPr>
            </w:pPr>
            <w:hyperlink w:anchor="page71">
              <w:r>
                <w:rPr>
                  <w:rFonts w:ascii="Arial" w:cs="Arial" w:eastAsia="Arial" w:hAnsi="Arial"/>
                  <w:sz w:val="18"/>
                  <w:szCs w:val="18"/>
                  <w:color w:val="0000EE"/>
                </w:rPr>
                <w:t>Mine Safety Disclosures</w:t>
              </w:r>
            </w:hyperlink>
          </w:p>
        </w:tc>
        <w:tc>
          <w:tcPr>
            <w:tcW w:w="1480" w:type="dxa"/>
            <w:vAlign w:val="bottom"/>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3900"/>
              <w:spacing w:after="0"/>
              <w:rPr>
                <w:rFonts w:ascii="Arial" w:cs="Arial" w:eastAsia="Arial" w:hAnsi="Arial"/>
                <w:sz w:val="18"/>
                <w:szCs w:val="18"/>
                <w:b w:val="1"/>
                <w:bCs w:val="1"/>
                <w:color w:val="0000EE"/>
                <w:w w:val="99"/>
              </w:rPr>
            </w:pPr>
            <w:hyperlink w:anchor="page72">
              <w:r>
                <w:rPr>
                  <w:rFonts w:ascii="Arial" w:cs="Arial" w:eastAsia="Arial" w:hAnsi="Arial"/>
                  <w:sz w:val="18"/>
                  <w:szCs w:val="18"/>
                  <w:b w:val="1"/>
                  <w:bCs w:val="1"/>
                  <w:color w:val="0000EE"/>
                  <w:w w:val="99"/>
                </w:rPr>
                <w:t>PART II</w:t>
              </w:r>
            </w:hyperlink>
          </w:p>
        </w:tc>
        <w:tc>
          <w:tcPr>
            <w:tcW w:w="1480" w:type="dxa"/>
            <w:vAlign w:val="bottom"/>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74"/>
        </w:trPr>
        <w:tc>
          <w:tcPr>
            <w:tcW w:w="1240" w:type="dxa"/>
            <w:vAlign w:val="bottom"/>
            <w:gridSpan w:val="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5.</w:t>
              </w:r>
            </w:hyperlink>
          </w:p>
        </w:tc>
        <w:tc>
          <w:tcPr>
            <w:tcW w:w="8660" w:type="dxa"/>
            <w:vAlign w:val="bottom"/>
            <w:gridSpan w:val="28"/>
          </w:tcPr>
          <w:p>
            <w:pPr>
              <w:ind w:left="240"/>
              <w:spacing w:after="0"/>
              <w:rPr>
                <w:rFonts w:ascii="Arial" w:cs="Arial" w:eastAsia="Arial" w:hAnsi="Arial"/>
                <w:sz w:val="18"/>
                <w:szCs w:val="18"/>
                <w:color w:val="0000EE"/>
                <w:w w:val="96"/>
              </w:rPr>
            </w:pPr>
            <w:hyperlink w:anchor="page72">
              <w:r>
                <w:rPr>
                  <w:rFonts w:ascii="Arial" w:cs="Arial" w:eastAsia="Arial" w:hAnsi="Arial"/>
                  <w:sz w:val="18"/>
                  <w:szCs w:val="18"/>
                  <w:color w:val="0000EE"/>
                  <w:w w:val="96"/>
                </w:rPr>
                <w:t>Market for Registrant’s Common Units, Related Unitholder Matters and Issuer Purchases of Equity Securities</w:t>
              </w:r>
            </w:hyperlink>
          </w:p>
        </w:tc>
        <w:tc>
          <w:tcPr>
            <w:tcW w:w="1480" w:type="dxa"/>
            <w:vAlign w:val="bottom"/>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6.</w:t>
              </w:r>
            </w:hyperlink>
          </w:p>
        </w:tc>
        <w:tc>
          <w:tcPr>
            <w:tcW w:w="8660" w:type="dxa"/>
            <w:vAlign w:val="bottom"/>
            <w:gridSpan w:val="28"/>
          </w:tcPr>
          <w:p>
            <w:pPr>
              <w:ind w:left="240"/>
              <w:spacing w:after="0"/>
              <w:rPr>
                <w:rFonts w:ascii="Arial" w:cs="Arial" w:eastAsia="Arial" w:hAnsi="Arial"/>
                <w:sz w:val="18"/>
                <w:szCs w:val="18"/>
                <w:color w:val="0000EE"/>
              </w:rPr>
            </w:pPr>
            <w:hyperlink w:anchor="page74">
              <w:r>
                <w:rPr>
                  <w:rFonts w:ascii="Arial" w:cs="Arial" w:eastAsia="Arial" w:hAnsi="Arial"/>
                  <w:sz w:val="18"/>
                  <w:szCs w:val="18"/>
                  <w:color w:val="0000EE"/>
                </w:rPr>
                <w:t>Selected Financial Data</w:t>
              </w:r>
            </w:hyperlink>
          </w:p>
        </w:tc>
        <w:tc>
          <w:tcPr>
            <w:tcW w:w="148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7.</w:t>
              </w:r>
            </w:hyperlink>
          </w:p>
        </w:tc>
        <w:tc>
          <w:tcPr>
            <w:tcW w:w="8660" w:type="dxa"/>
            <w:vAlign w:val="bottom"/>
            <w:gridSpan w:val="28"/>
          </w:tcPr>
          <w:p>
            <w:pPr>
              <w:ind w:left="240"/>
              <w:spacing w:after="0"/>
              <w:rPr>
                <w:rFonts w:ascii="Arial" w:cs="Arial" w:eastAsia="Arial" w:hAnsi="Arial"/>
                <w:sz w:val="18"/>
                <w:szCs w:val="18"/>
                <w:color w:val="0000EE"/>
              </w:rPr>
            </w:pPr>
            <w:hyperlink w:anchor="page76">
              <w:r>
                <w:rPr>
                  <w:rFonts w:ascii="Arial" w:cs="Arial" w:eastAsia="Arial" w:hAnsi="Arial"/>
                  <w:sz w:val="18"/>
                  <w:szCs w:val="18"/>
                  <w:color w:val="0000EE"/>
                </w:rPr>
                <w:t>Management’s Discussion and Analysis of Financial Condition and Results of Operations</w:t>
              </w:r>
            </w:hyperlink>
          </w:p>
        </w:tc>
        <w:tc>
          <w:tcPr>
            <w:tcW w:w="148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Item 7A.</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07">
              <w:r>
                <w:rPr>
                  <w:rFonts w:ascii="Arial" w:cs="Arial" w:eastAsia="Arial" w:hAnsi="Arial"/>
                  <w:sz w:val="18"/>
                  <w:szCs w:val="18"/>
                  <w:color w:val="0000EE"/>
                  <w:w w:val="92"/>
                </w:rPr>
                <w:t>Quantitative and Qualitative Disclosures About Market Risk</w:t>
              </w:r>
            </w:hyperlink>
          </w:p>
        </w:tc>
        <w:tc>
          <w:tcPr>
            <w:tcW w:w="4060" w:type="dxa"/>
            <w:vAlign w:val="bottom"/>
            <w:gridSpan w:val="11"/>
          </w:tcPr>
          <w:p>
            <w:pPr>
              <w:spacing w:after="0"/>
              <w:rPr>
                <w:sz w:val="21"/>
                <w:szCs w:val="21"/>
                <w:color w:val="auto"/>
              </w:rPr>
            </w:pPr>
          </w:p>
        </w:tc>
        <w:tc>
          <w:tcPr>
            <w:tcW w:w="1480" w:type="dxa"/>
            <w:vAlign w:val="bottom"/>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107</w:t>
              </w:r>
            </w:hyperlink>
          </w:p>
        </w:tc>
      </w:tr>
      <w:tr>
        <w:trPr>
          <w:trHeight w:val="250"/>
        </w:trPr>
        <w:tc>
          <w:tcPr>
            <w:tcW w:w="1240" w:type="dxa"/>
            <w:vAlign w:val="bottom"/>
            <w:gridSpan w:val="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8.</w:t>
              </w:r>
            </w:hyperlink>
          </w:p>
        </w:tc>
        <w:tc>
          <w:tcPr>
            <w:tcW w:w="8660" w:type="dxa"/>
            <w:vAlign w:val="bottom"/>
            <w:gridSpan w:val="28"/>
          </w:tcPr>
          <w:p>
            <w:pPr>
              <w:ind w:left="240"/>
              <w:spacing w:after="0"/>
              <w:rPr>
                <w:rFonts w:ascii="Arial" w:cs="Arial" w:eastAsia="Arial" w:hAnsi="Arial"/>
                <w:sz w:val="18"/>
                <w:szCs w:val="18"/>
                <w:color w:val="0000EE"/>
              </w:rPr>
            </w:pPr>
            <w:hyperlink w:anchor="page108">
              <w:r>
                <w:rPr>
                  <w:rFonts w:ascii="Arial" w:cs="Arial" w:eastAsia="Arial" w:hAnsi="Arial"/>
                  <w:sz w:val="18"/>
                  <w:szCs w:val="18"/>
                  <w:color w:val="0000EE"/>
                </w:rPr>
                <w:t>Financial Statements and Supplementary Data</w:t>
              </w:r>
            </w:hyperlink>
          </w:p>
        </w:tc>
        <w:tc>
          <w:tcPr>
            <w:tcW w:w="148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9.</w:t>
              </w:r>
            </w:hyperlink>
          </w:p>
        </w:tc>
        <w:tc>
          <w:tcPr>
            <w:tcW w:w="8660" w:type="dxa"/>
            <w:vAlign w:val="bottom"/>
            <w:gridSpan w:val="28"/>
          </w:tcPr>
          <w:p>
            <w:pPr>
              <w:ind w:left="240"/>
              <w:spacing w:after="0"/>
              <w:rPr>
                <w:rFonts w:ascii="Arial" w:cs="Arial" w:eastAsia="Arial" w:hAnsi="Arial"/>
                <w:sz w:val="18"/>
                <w:szCs w:val="18"/>
                <w:color w:val="0000EE"/>
              </w:rPr>
            </w:pPr>
            <w:hyperlink w:anchor="page108">
              <w:r>
                <w:rPr>
                  <w:rFonts w:ascii="Arial" w:cs="Arial" w:eastAsia="Arial" w:hAnsi="Arial"/>
                  <w:sz w:val="18"/>
                  <w:szCs w:val="18"/>
                  <w:color w:val="0000EE"/>
                </w:rPr>
                <w:t>Changes in and Disagreements With Accountants on Accounting and Financial Disclosure</w:t>
              </w:r>
            </w:hyperlink>
          </w:p>
        </w:tc>
        <w:tc>
          <w:tcPr>
            <w:tcW w:w="148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9A.</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08">
              <w:r>
                <w:rPr>
                  <w:rFonts w:ascii="Arial" w:cs="Arial" w:eastAsia="Arial" w:hAnsi="Arial"/>
                  <w:sz w:val="18"/>
                  <w:szCs w:val="18"/>
                  <w:color w:val="0000EE"/>
                  <w:w w:val="88"/>
                </w:rPr>
                <w:t>Controls and Procedures</w:t>
              </w:r>
            </w:hyperlink>
          </w:p>
        </w:tc>
        <w:tc>
          <w:tcPr>
            <w:tcW w:w="6640" w:type="dxa"/>
            <w:vAlign w:val="bottom"/>
            <w:gridSpan w:val="21"/>
          </w:tcPr>
          <w:p>
            <w:pPr>
              <w:spacing w:after="0"/>
              <w:rPr>
                <w:sz w:val="21"/>
                <w:szCs w:val="21"/>
                <w:color w:val="auto"/>
              </w:rPr>
            </w:pPr>
          </w:p>
        </w:tc>
        <w:tc>
          <w:tcPr>
            <w:tcW w:w="148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250"/>
        </w:trPr>
        <w:tc>
          <w:tcPr>
            <w:tcW w:w="1240" w:type="dxa"/>
            <w:vAlign w:val="bottom"/>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9B.</w:t>
              </w:r>
            </w:hyperlink>
          </w:p>
        </w:tc>
        <w:tc>
          <w:tcPr>
            <w:tcW w:w="8660" w:type="dxa"/>
            <w:vAlign w:val="bottom"/>
            <w:gridSpan w:val="28"/>
          </w:tcPr>
          <w:p>
            <w:pPr>
              <w:ind w:left="240"/>
              <w:spacing w:after="0"/>
              <w:rPr>
                <w:rFonts w:ascii="Arial" w:cs="Arial" w:eastAsia="Arial" w:hAnsi="Arial"/>
                <w:sz w:val="18"/>
                <w:szCs w:val="18"/>
                <w:color w:val="0000EE"/>
              </w:rPr>
            </w:pPr>
            <w:hyperlink w:anchor="page109">
              <w:r>
                <w:rPr>
                  <w:rFonts w:ascii="Arial" w:cs="Arial" w:eastAsia="Arial" w:hAnsi="Arial"/>
                  <w:sz w:val="18"/>
                  <w:szCs w:val="18"/>
                  <w:color w:val="0000EE"/>
                </w:rPr>
                <w:t>Other Information</w:t>
              </w:r>
            </w:hyperlink>
          </w:p>
        </w:tc>
        <w:tc>
          <w:tcPr>
            <w:tcW w:w="1480" w:type="dxa"/>
            <w:vAlign w:val="bottom"/>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109</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PART III</w:t>
              </w:r>
            </w:hyperlink>
          </w:p>
        </w:tc>
        <w:tc>
          <w:tcPr>
            <w:tcW w:w="3840" w:type="dxa"/>
            <w:vAlign w:val="bottom"/>
            <w:gridSpan w:val="7"/>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r>
      <w:tr>
        <w:trPr>
          <w:trHeight w:val="574"/>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Item 10.</w:t>
              </w:r>
            </w:hyperlink>
          </w:p>
        </w:tc>
        <w:tc>
          <w:tcPr>
            <w:tcW w:w="6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60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Directors and Executive Officers of Our General Partner and Corporate Governance</w:t>
              </w:r>
            </w:hyperlink>
          </w:p>
        </w:tc>
        <w:tc>
          <w:tcPr>
            <w:tcW w:w="2360" w:type="dxa"/>
            <w:vAlign w:val="bottom"/>
            <w:gridSpan w:val="5"/>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r>
      <w:tr>
        <w:trPr>
          <w:trHeight w:val="250"/>
        </w:trPr>
        <w:tc>
          <w:tcPr>
            <w:tcW w:w="124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11.</w:t>
              </w:r>
            </w:hyperlink>
          </w:p>
        </w:tc>
        <w:tc>
          <w:tcPr>
            <w:tcW w:w="8660" w:type="dxa"/>
            <w:vAlign w:val="bottom"/>
            <w:gridSpan w:val="28"/>
          </w:tcPr>
          <w:p>
            <w:pPr>
              <w:ind w:left="240"/>
              <w:spacing w:after="0"/>
              <w:rPr>
                <w:rFonts w:ascii="Arial" w:cs="Arial" w:eastAsia="Arial" w:hAnsi="Arial"/>
                <w:sz w:val="18"/>
                <w:szCs w:val="18"/>
                <w:color w:val="0000EE"/>
              </w:rPr>
            </w:pPr>
            <w:hyperlink w:anchor="page110">
              <w:r>
                <w:rPr>
                  <w:rFonts w:ascii="Arial" w:cs="Arial" w:eastAsia="Arial" w:hAnsi="Arial"/>
                  <w:sz w:val="18"/>
                  <w:szCs w:val="18"/>
                  <w:color w:val="0000EE"/>
                </w:rPr>
                <w:t>Executive Compensation</w:t>
              </w:r>
            </w:hyperlink>
          </w:p>
        </w:tc>
        <w:tc>
          <w:tcPr>
            <w:tcW w:w="148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Item 12.</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420" w:type="dxa"/>
            <w:vAlign w:val="bottom"/>
            <w:gridSpan w:val="27"/>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Security Ownership of Certain Beneficial Owners and Management and Related Unitholder Matters</w:t>
              </w:r>
            </w:hyperlink>
          </w:p>
        </w:tc>
        <w:tc>
          <w:tcPr>
            <w:tcW w:w="148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r>
      <w:tr>
        <w:trPr>
          <w:trHeight w:val="250"/>
        </w:trPr>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Item 13.</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Certain Relationships and Related Transactions, and Director Independence</w:t>
              </w:r>
            </w:hyperlink>
          </w:p>
        </w:tc>
        <w:tc>
          <w:tcPr>
            <w:tcW w:w="1740" w:type="dxa"/>
            <w:vAlign w:val="bottom"/>
            <w:tcBorders>
              <w:top w:val="single" w:sz="8" w:color="0000EE"/>
            </w:tcBorders>
            <w:gridSpan w:val="4"/>
          </w:tcPr>
          <w:p>
            <w:pPr>
              <w:spacing w:after="0"/>
              <w:rPr>
                <w:sz w:val="21"/>
                <w:szCs w:val="21"/>
                <w:color w:val="auto"/>
              </w:rPr>
            </w:pPr>
          </w:p>
        </w:tc>
        <w:tc>
          <w:tcPr>
            <w:tcW w:w="1220" w:type="dxa"/>
            <w:vAlign w:val="bottom"/>
            <w:gridSpan w:val="2"/>
          </w:tcPr>
          <w:p>
            <w:pPr>
              <w:spacing w:after="0"/>
              <w:rPr>
                <w:sz w:val="21"/>
                <w:szCs w:val="21"/>
                <w:color w:val="auto"/>
              </w:rPr>
            </w:pPr>
          </w:p>
        </w:tc>
        <w:tc>
          <w:tcPr>
            <w:tcW w:w="1480" w:type="dxa"/>
            <w:vAlign w:val="bottom"/>
          </w:tcPr>
          <w:p>
            <w:pPr>
              <w:jc w:val="right"/>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r>
      <w:tr>
        <w:trPr>
          <w:trHeight w:val="250"/>
        </w:trPr>
        <w:tc>
          <w:tcPr>
            <w:tcW w:w="1240" w:type="dxa"/>
            <w:vAlign w:val="bottom"/>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14.</w:t>
              </w:r>
            </w:hyperlink>
          </w:p>
        </w:tc>
        <w:tc>
          <w:tcPr>
            <w:tcW w:w="8660" w:type="dxa"/>
            <w:vAlign w:val="bottom"/>
            <w:gridSpan w:val="28"/>
          </w:tcPr>
          <w:p>
            <w:pPr>
              <w:ind w:left="240"/>
              <w:spacing w:after="0"/>
              <w:rPr>
                <w:rFonts w:ascii="Arial" w:cs="Arial" w:eastAsia="Arial" w:hAnsi="Arial"/>
                <w:sz w:val="18"/>
                <w:szCs w:val="18"/>
                <w:color w:val="0000EE"/>
              </w:rPr>
            </w:pPr>
            <w:hyperlink w:anchor="page111">
              <w:r>
                <w:rPr>
                  <w:rFonts w:ascii="Arial" w:cs="Arial" w:eastAsia="Arial" w:hAnsi="Arial"/>
                  <w:sz w:val="18"/>
                  <w:szCs w:val="18"/>
                  <w:color w:val="0000EE"/>
                </w:rPr>
                <w:t>Principal Accountant Fees and Services</w:t>
              </w:r>
            </w:hyperlink>
          </w:p>
        </w:tc>
        <w:tc>
          <w:tcPr>
            <w:tcW w:w="1480" w:type="dxa"/>
            <w:vAlign w:val="bottom"/>
          </w:tcPr>
          <w:p>
            <w:pPr>
              <w:jc w:val="right"/>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112">
              <w:r>
                <w:rPr>
                  <w:rFonts w:ascii="Arial" w:cs="Arial" w:eastAsia="Arial" w:hAnsi="Arial"/>
                  <w:sz w:val="18"/>
                  <w:szCs w:val="18"/>
                  <w:b w:val="1"/>
                  <w:bCs w:val="1"/>
                  <w:color w:val="0000EE"/>
                  <w:w w:val="98"/>
                </w:rPr>
                <w:t>PART IV</w:t>
              </w:r>
            </w:hyperlink>
          </w:p>
        </w:tc>
        <w:tc>
          <w:tcPr>
            <w:tcW w:w="3860" w:type="dxa"/>
            <w:vAlign w:val="bottom"/>
            <w:gridSpan w:val="8"/>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r>
      <w:tr>
        <w:trPr>
          <w:trHeight w:val="574"/>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Item 15.</w:t>
              </w:r>
            </w:hyperlink>
          </w:p>
        </w:tc>
        <w:tc>
          <w:tcPr>
            <w:tcW w:w="6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Exhibits and Financial Statement Schedules</w:t>
              </w:r>
            </w:hyperlink>
          </w:p>
        </w:tc>
        <w:tc>
          <w:tcPr>
            <w:tcW w:w="5260" w:type="dxa"/>
            <w:vAlign w:val="bottom"/>
            <w:gridSpan w:val="17"/>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9">
              <w:r>
                <w:rPr>
                  <w:rFonts w:ascii="Arial" w:cs="Arial" w:eastAsia="Arial" w:hAnsi="Arial"/>
                  <w:sz w:val="18"/>
                  <w:szCs w:val="18"/>
                  <w:color w:val="0000EE"/>
                  <w:w w:val="89"/>
                </w:rPr>
                <w:t>Item 16.</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19">
              <w:r>
                <w:rPr>
                  <w:rFonts w:ascii="Arial" w:cs="Arial" w:eastAsia="Arial" w:hAnsi="Arial"/>
                  <w:sz w:val="18"/>
                  <w:szCs w:val="18"/>
                  <w:color w:val="0000EE"/>
                  <w:w w:val="92"/>
                </w:rPr>
                <w:t>Form 10-K Summary</w:t>
              </w:r>
            </w:hyperlink>
          </w:p>
        </w:tc>
        <w:tc>
          <w:tcPr>
            <w:tcW w:w="6860" w:type="dxa"/>
            <w:vAlign w:val="bottom"/>
            <w:gridSpan w:val="24"/>
          </w:tcPr>
          <w:p>
            <w:pPr>
              <w:spacing w:after="0"/>
              <w:rPr>
                <w:sz w:val="21"/>
                <w:szCs w:val="21"/>
                <w:color w:val="auto"/>
              </w:rPr>
            </w:pPr>
          </w:p>
        </w:tc>
        <w:tc>
          <w:tcPr>
            <w:tcW w:w="1480" w:type="dxa"/>
            <w:vAlign w:val="bottom"/>
          </w:tcPr>
          <w:p>
            <w:pPr>
              <w:jc w:val="right"/>
              <w:spacing w:after="0"/>
              <w:rPr>
                <w:rFonts w:ascii="Arial" w:cs="Arial" w:eastAsia="Arial" w:hAnsi="Arial"/>
                <w:sz w:val="18"/>
                <w:szCs w:val="18"/>
                <w:color w:val="0000EE"/>
              </w:rPr>
            </w:pPr>
            <w:hyperlink w:anchor="page119">
              <w:r>
                <w:rPr>
                  <w:rFonts w:ascii="Arial" w:cs="Arial" w:eastAsia="Arial" w:hAnsi="Arial"/>
                  <w:sz w:val="18"/>
                  <w:szCs w:val="18"/>
                  <w:color w:val="0000EE"/>
                </w:rPr>
                <w:t>119</w:t>
              </w:r>
            </w:hyperlink>
          </w:p>
        </w:tc>
      </w:tr>
      <w:tr>
        <w:trPr>
          <w:trHeight w:val="72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17"/>
          </w:tcPr>
          <w:p>
            <w:pPr>
              <w:jc w:val="center"/>
              <w:ind w:left="417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3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24" w:lineRule="exact"/>
        <w:rPr>
          <w:sz w:val="20"/>
          <w:szCs w:val="20"/>
          <w:color w:val="auto"/>
        </w:rPr>
      </w:pPr>
    </w:p>
    <w:p>
      <w:pPr>
        <w:ind w:left="9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128" w:lineRule="exact"/>
        <w:rPr>
          <w:rFonts w:ascii="Arial" w:cs="Arial" w:eastAsia="Arial" w:hAnsi="Arial"/>
          <w:sz w:val="17"/>
          <w:szCs w:val="17"/>
          <w:color w:val="auto"/>
        </w:rPr>
      </w:pPr>
    </w:p>
    <w:p>
      <w:pPr>
        <w:ind w:left="980" w:right="26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12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6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62"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were formed as a master limited partnership to acquire and operate the midstream crude oil businesses and assets of a predecessor entity and completed our initial public offering in 1998. From an economic perspective, we are owned 100% by our limited partners, which include common unitholders and Series A and Series B preferred unitholders. Our common units are publicly traded on the New York Stock Exchange under the ticker symbol “PAA.” Our Series A preferred units are convertible into common units on a one-for-one basis by the holders of such units or by us in certain circumstances. Our common units and Series A preferred units are collectively referred to as “Common Unit Equivalents.” Our Series B preferred units are not convertible into common units and are not included in Common Unit Equivalents.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December 31, 2018, AAP also owned a limited partner interest in us through its ownership of approximately 280.5 million of our common units (approximately 35% of our total outstanding Common Unit Equivalents).</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Plains All American GP LLC (“GP LLC”), a Delaware limited liability company, is AAP’s general partner. Plains GP Holdings, L.P. (“PAGP”), a Delaware limited partnership that completed its initial public offering in October 2013, is the sole and managing member of GP LLC, and, at December 31, 2018, owned, directly and indirectly, an approximate 57% limited partner interest in AAP. Both PAGP and GP LLC have elected to be treated as corporations for United States federal income tax purposes. PAA GP Holdings LLC (“PAGP GP”), a Delaware limited liability company, is the general partner of PAGP.</w:t>
      </w:r>
    </w:p>
    <w:p>
      <w:pPr>
        <w:spacing w:after="0" w:line="154"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operations are conducted directly and indirectly through, and our operating assets are owned by, our subsidiaries. As the sole member of GP LLC, PAGP has responsibility for conducting our business and managing our operations; however, the board of directors of PAGP GP (the “PAGP GP Board”) has ultimate responsibility for managing the business and affairs of PAGP, AAP and us. Our general partner does not receive a management fee or other compensation in connection with its management of our business, but it is reimbursed for substantially all direct and indirect expenses incurred on our behalf.</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two diagrams below show our organizational structure and ownership as of December 31, 2018 in both a summarized and more detailed format. The first diagram depicts our legal structure in summary format, while the second diagram depicts a more comprehensive view of such structure, including ownership and economic interests and shares and units outstanding:</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Summarized Partnership Structure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551930" cy="4442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1930" cy="444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right="180" w:hanging="652"/>
        <w:spacing w:after="0" w:line="227"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Through a “pass-through” voting right as a result of our ownership of Class C shares of PAGP, our common unitholders have the effective right to vote, pro rata with the holders of Class A and Class B shares of PAGP, for the election of eligible PAGP GP directors.</w:t>
      </w:r>
    </w:p>
    <w:p>
      <w:pPr>
        <w:spacing w:after="0" w:line="37"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Represents percentage ownership of Common Unit Equivalents.</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5"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Detailed Partnership Structure</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7040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125"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332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left="660" w:right="420" w:hanging="652"/>
        <w:spacing w:after="0" w:line="22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Represents the number of Class A units of AAP (“AAP units”) for which the outstanding Class B units of AAP (referred to herein as the “AAP Management Units”) will be exchangeable, assuming the conversion of all such units at a rate of approximately 0.941 AAP units for each AAP Management Unit.</w:t>
      </w:r>
    </w:p>
    <w:p>
      <w:pPr>
        <w:spacing w:after="0" w:line="9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Assumes conversion of all outstanding AAP Management Units into AAP units.</w:t>
      </w:r>
    </w:p>
    <w:p>
      <w:pPr>
        <w:spacing w:after="0" w:line="98" w:lineRule="exact"/>
        <w:rPr>
          <w:rFonts w:ascii="Arial" w:cs="Arial" w:eastAsia="Arial" w:hAnsi="Arial"/>
          <w:sz w:val="25"/>
          <w:szCs w:val="25"/>
          <w:color w:val="auto"/>
          <w:vertAlign w:val="superscript"/>
        </w:rPr>
      </w:pPr>
    </w:p>
    <w:p>
      <w:pPr>
        <w:ind w:left="660" w:right="140" w:hanging="652"/>
        <w:spacing w:after="0" w:line="225"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Each Class C share represents a non-economic limited partner interest in PAGP. Through a “pass-through” voting right as a result of our ownership of Class C shares of PAGP, our common unitholders have the effective right to vote, pro rata with the holders of Class A and Class B shares of PAGP, for the election of eligible PAGP GP directors.</w:t>
      </w:r>
    </w:p>
    <w:p>
      <w:pPr>
        <w:spacing w:after="0" w:line="94" w:lineRule="exact"/>
        <w:rPr>
          <w:rFonts w:ascii="Arial" w:cs="Arial" w:eastAsia="Arial" w:hAnsi="Arial"/>
          <w:sz w:val="25"/>
          <w:szCs w:val="25"/>
          <w:color w:val="auto"/>
          <w:vertAlign w:val="superscript"/>
        </w:rPr>
      </w:pPr>
    </w:p>
    <w:p>
      <w:pPr>
        <w:ind w:left="660" w:hanging="652"/>
        <w:spacing w:after="0" w:line="22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Amount does not include (i) 48,606 common units that will become issuable to AAP that relate to AAP Management Units that were outstanding but not earned as of December 31, 2018 and (ii) 183,819 common units that were issued to AAP in January 2019 in respect of AAP Management units that became earned effective December 31, 2018.</w:t>
      </w:r>
    </w:p>
    <w:p>
      <w:pPr>
        <w:spacing w:after="0" w:line="95" w:lineRule="exact"/>
        <w:rPr>
          <w:rFonts w:ascii="Arial" w:cs="Arial" w:eastAsia="Arial" w:hAnsi="Arial"/>
          <w:sz w:val="25"/>
          <w:szCs w:val="25"/>
          <w:color w:val="auto"/>
          <w:vertAlign w:val="superscript"/>
        </w:rPr>
      </w:pPr>
    </w:p>
    <w:p>
      <w:pPr>
        <w:ind w:left="660" w:right="8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Represents percentage ownership of Common Unit Equivalents. Series B preferred units are not convertible into common units and are not included in Common Unit Equivalents.</w:t>
      </w:r>
    </w:p>
    <w:p>
      <w:pPr>
        <w:spacing w:after="0" w:line="95" w:lineRule="exact"/>
        <w:rPr>
          <w:rFonts w:ascii="Arial" w:cs="Arial" w:eastAsia="Arial" w:hAnsi="Arial"/>
          <w:sz w:val="25"/>
          <w:szCs w:val="25"/>
          <w:color w:val="auto"/>
          <w:vertAlign w:val="superscript"/>
        </w:rPr>
      </w:pPr>
    </w:p>
    <w:p>
      <w:pPr>
        <w:ind w:left="660" w:right="102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Partnership holds direct and indirect ownership interests in consolidated operating subsidiaries including, but not limited to, Plains Marketing, L.P., Plains Pipeline, L.P. and Plains Midstream Canada ULC (“PMC”).</w:t>
      </w:r>
    </w:p>
    <w:p>
      <w:pPr>
        <w:spacing w:after="0" w:line="95" w:lineRule="exact"/>
        <w:rPr>
          <w:rFonts w:ascii="Arial" w:cs="Arial" w:eastAsia="Arial" w:hAnsi="Arial"/>
          <w:sz w:val="25"/>
          <w:szCs w:val="25"/>
          <w:color w:val="auto"/>
          <w:vertAlign w:val="superscript"/>
        </w:rPr>
      </w:pPr>
    </w:p>
    <w:p>
      <w:pPr>
        <w:ind w:left="660" w:right="200" w:hanging="652"/>
        <w:spacing w:after="0" w:line="250"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The Partnership holds indirect equity interests in unconsolidated entities including Advantage Pipeline, L.L.C. (“Advantage”), BridgeTex Pipeline Company, LLC (“BridgeTex”), Cactus II Pipeline LLC (“Cactus II”), Caddo Pipeline LLC (“Caddo”), Cheyenne Pipeline LLC (“Cheyenne”), Diamond Pipeline LLC (“Diamond”), Eagle Ford Pipeline LLC (“Eagle Ford Pipeline”), Eagle Ford Terminals Corpus Christi LLC (“Eagle Ford Terminals”), Midway Pipeline LLC (“Midway Pipeline”), Saddlehorn Pipeline Company, LLC (“Saddlehorn”), Settoon Towing, LLC (“Settoon Towing”), STACK Pipeline LLC (“STACK”) and White Cliffs Pipeline, L.L.C. (“White Cliffs”).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principal business strategy is to provide competitive and efficient midstream transportation, terminalling, storage, processing, fractionation and supply and logistics services to producers, refiners and other customers. Toward this end, we endeavor to address regional supply and demand imbalances for crude oil and NGL in the United States and Canada by combining the strategic location and capabilities of our transportation, terminalling, storage, processing and fractionation assets with our supply, logistics and distribution expertise. We believe successful execution of this strategy will enable us to generate sustainable earnings and cash flow. We intend to manage and grow our business by:</w:t>
      </w:r>
    </w:p>
    <w:p>
      <w:pPr>
        <w:spacing w:after="0" w:line="91" w:lineRule="exact"/>
        <w:rPr>
          <w:sz w:val="20"/>
          <w:szCs w:val="20"/>
          <w:color w:val="auto"/>
        </w:rPr>
      </w:pPr>
    </w:p>
    <w:p>
      <w:pPr>
        <w:ind w:left="1060" w:right="120" w:hanging="40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running a safe, reliable, environmentally and socially responsible operation, which includes driving operational excellence, cost savings, asset optimization and improved efficiencies throughout the organization;</w:t>
      </w:r>
    </w:p>
    <w:p>
      <w:pPr>
        <w:spacing w:after="0" w:line="62" w:lineRule="exact"/>
        <w:rPr>
          <w:rFonts w:ascii="Arial" w:cs="Arial" w:eastAsia="Arial" w:hAnsi="Arial"/>
          <w:sz w:val="18"/>
          <w:szCs w:val="18"/>
          <w:color w:val="auto"/>
        </w:rPr>
      </w:pPr>
    </w:p>
    <w:p>
      <w:pPr>
        <w:ind w:left="1060" w:right="780" w:hanging="404"/>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developing and implementing growth projects that (i) address evolving crude oil and NGL needs in the midstream transportation and infrastructure sector and (ii) are well positioned to benefit from long-term industry trends and opportunities;</w:t>
      </w:r>
    </w:p>
    <w:p>
      <w:pPr>
        <w:spacing w:after="0" w:line="38" w:lineRule="exact"/>
        <w:rPr>
          <w:rFonts w:ascii="Arial" w:cs="Arial" w:eastAsia="Arial" w:hAnsi="Arial"/>
          <w:sz w:val="17"/>
          <w:szCs w:val="17"/>
          <w:color w:val="auto"/>
        </w:rPr>
      </w:pPr>
    </w:p>
    <w:p>
      <w:pPr>
        <w:ind w:left="1060" w:right="240" w:hanging="404"/>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our transportation, terminalling, storage, processing and fractionation assets in conjunction with our supply and logistics activities to provide flexibility for our customers, capture market opportunities, address physical market imbalances, mitigate inherent risks and increase margin; and</w:t>
      </w:r>
    </w:p>
    <w:p>
      <w:pPr>
        <w:spacing w:after="0" w:line="73" w:lineRule="exact"/>
        <w:rPr>
          <w:rFonts w:ascii="Arial" w:cs="Arial" w:eastAsia="Arial" w:hAnsi="Arial"/>
          <w:sz w:val="18"/>
          <w:szCs w:val="18"/>
          <w:color w:val="auto"/>
        </w:rPr>
      </w:pPr>
    </w:p>
    <w:p>
      <w:pPr>
        <w:ind w:left="1060" w:hanging="40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our existing asset base and distribution capabilities.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us to successfully execute our principal business strategy:</w:t>
      </w:r>
    </w:p>
    <w:p>
      <w:pPr>
        <w:spacing w:after="0" w:line="144" w:lineRule="exact"/>
        <w:rPr>
          <w:sz w:val="20"/>
          <w:szCs w:val="20"/>
          <w:color w:val="auto"/>
        </w:rPr>
      </w:pPr>
    </w:p>
    <w:p>
      <w:pPr>
        <w:ind w:left="980" w:hanging="324"/>
        <w:spacing w:after="0" w:line="272"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Many of our assets are strategically located and operationally flexible. </w:t>
      </w:r>
      <w:r>
        <w:rPr>
          <w:rFonts w:ascii="Arial" w:cs="Arial" w:eastAsia="Arial" w:hAnsi="Arial"/>
          <w:sz w:val="17"/>
          <w:szCs w:val="17"/>
          <w:color w:val="auto"/>
        </w:rPr>
        <w:t>The majority of our primary Transportation segment assets are in crude</w:t>
      </w:r>
      <w:r>
        <w:rPr>
          <w:rFonts w:ascii="Arial" w:cs="Arial" w:eastAsia="Arial" w:hAnsi="Arial"/>
          <w:sz w:val="17"/>
          <w:szCs w:val="17"/>
          <w:i w:val="1"/>
          <w:iCs w:val="1"/>
          <w:color w:val="auto"/>
        </w:rPr>
        <w:t xml:space="preserve"> </w:t>
      </w:r>
      <w:r>
        <w:rPr>
          <w:rFonts w:ascii="Arial" w:cs="Arial" w:eastAsia="Arial" w:hAnsi="Arial"/>
          <w:sz w:val="17"/>
          <w:szCs w:val="17"/>
          <w:color w:val="auto"/>
        </w:rPr>
        <w:t>oil service, are located in well-established crude oil producing regions (with our largest asset presence in the Permian Basin) and other transportation corridors and are connected, directly or indirectly, with our Facilities segment assets. The majority of our Facilities segment assets are located at major trading locations and premium markets that serve as gateways to major North American refinery and distribution markets where we have strong business relationships. In addition, our assets include pipeline, rail, barge, truck and storage assets, which provide our customers and us with significant flexibility and optionality to satisfy demand and balance markets, particularly during a dynamic period of changing product flows and recent developments with respect to rising crude oil exports.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80" w:hanging="324"/>
        <w:spacing w:after="0" w:line="31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We possess specialized crude oil and NGL market knowledge. </w:t>
      </w:r>
      <w:r>
        <w:rPr>
          <w:rFonts w:ascii="Arial" w:cs="Arial" w:eastAsia="Arial" w:hAnsi="Arial"/>
          <w:sz w:val="16"/>
          <w:szCs w:val="16"/>
          <w:color w:val="auto"/>
        </w:rPr>
        <w:t>We believe our business relationships with participants in various phases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and NGL distribution chain, from producers to refiners, as well as our own industry expertise (including our knowledge of North American crude oil and NGL flows), provide us with an extensive understanding of the North American physical crude oil and NGL markets.</w:t>
      </w:r>
    </w:p>
    <w:p>
      <w:pPr>
        <w:spacing w:after="0" w:line="38" w:lineRule="exact"/>
        <w:rPr>
          <w:rFonts w:ascii="Arial" w:cs="Arial" w:eastAsia="Arial" w:hAnsi="Arial"/>
          <w:sz w:val="16"/>
          <w:szCs w:val="16"/>
          <w:color w:val="auto"/>
        </w:rPr>
      </w:pPr>
    </w:p>
    <w:p>
      <w:pPr>
        <w:ind w:left="980" w:right="14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Our supply and logistics activities typically generate a positive margin with the opportunity to realize incremental margins. </w:t>
      </w:r>
      <w:r>
        <w:rPr>
          <w:rFonts w:ascii="Arial" w:cs="Arial" w:eastAsia="Arial" w:hAnsi="Arial"/>
          <w:sz w:val="18"/>
          <w:szCs w:val="18"/>
          <w:color w:val="auto"/>
        </w:rPr>
        <w:t>We believe the</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activities executed within our Supply and Logistics segment in combination with our risk management strategies provides us with a low-risk opportunity to generate incremental margin, the amount of which may vary depending on market conditions (such as differentials and certain competitive factors).</w:t>
      </w:r>
    </w:p>
    <w:p>
      <w:pPr>
        <w:spacing w:after="0" w:line="78" w:lineRule="exact"/>
        <w:rPr>
          <w:rFonts w:ascii="Arial" w:cs="Arial" w:eastAsia="Arial" w:hAnsi="Arial"/>
          <w:sz w:val="18"/>
          <w:szCs w:val="18"/>
          <w:color w:val="auto"/>
        </w:rPr>
      </w:pPr>
    </w:p>
    <w:p>
      <w:pPr>
        <w:ind w:left="980" w:right="20" w:hanging="324"/>
        <w:spacing w:after="0" w:line="25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We have the strategic and technical skills and the financial flexibility to continue to pursue acquisition and expansion opportunities, whether on our own or through joint ventures. </w:t>
      </w:r>
      <w:r>
        <w:rPr>
          <w:rFonts w:ascii="Arial" w:cs="Arial" w:eastAsia="Arial" w:hAnsi="Arial"/>
          <w:sz w:val="18"/>
          <w:szCs w:val="18"/>
          <w:color w:val="auto"/>
        </w:rPr>
        <w:t>Since 1998, we have completed and integrated over 90 acquisitions with an aggregate purchase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$13.2 billion. Since 1998, we have also implemented expansion capital projects totaling over $14.4 billion. In addition, considering our investment grade credit ratings at two of three agencies, liquidity and capital structure, we believe we have the financial resources and strength necessary to finance future strategic expansion, joint venture and acquisition opportunities. As of December 31, 2018, we had approximately $2.9 billion of liquidity available, including cash and cash equivalents and availability under our committed credit facilities, subject to continued covenant compliance.</w:t>
      </w:r>
    </w:p>
    <w:p>
      <w:pPr>
        <w:spacing w:after="0" w:line="81" w:lineRule="exact"/>
        <w:rPr>
          <w:rFonts w:ascii="Arial" w:cs="Arial" w:eastAsia="Arial" w:hAnsi="Arial"/>
          <w:sz w:val="18"/>
          <w:szCs w:val="18"/>
          <w:color w:val="auto"/>
        </w:rPr>
      </w:pPr>
    </w:p>
    <w:p>
      <w:pPr>
        <w:ind w:left="980" w:right="16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We have an experienced management team whose interests are aligned with those of our unitholders. </w:t>
      </w:r>
      <w:r>
        <w:rPr>
          <w:rFonts w:ascii="Arial" w:cs="Arial" w:eastAsia="Arial" w:hAnsi="Arial"/>
          <w:sz w:val="18"/>
          <w:szCs w:val="18"/>
          <w:color w:val="auto"/>
        </w:rPr>
        <w:t>Our executive management team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of 30+ years of industry experience, and an average of 16 years with us or our predecessors and affiliates. In addition, through their ownership of common units and grants of phantom units and interests in our general partner, our management team has a vested interest in our continued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believe that a major factor in our continued success is our ability to maintain significant financial flexibility, a competitive cost of capital and access to the capital markets. In that regard, we intend to maintain a credit profile that we believe is consistent with investment grade credit ratings. We target a credit profile with the following attributes:</w:t>
      </w:r>
    </w:p>
    <w:p>
      <w:pPr>
        <w:spacing w:after="0" w:line="18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 or less;</w:t>
      </w:r>
    </w:p>
    <w:p>
      <w:pPr>
        <w:spacing w:after="0" w:line="117" w:lineRule="exact"/>
        <w:rPr>
          <w:rFonts w:ascii="Arial" w:cs="Arial" w:eastAsia="Arial" w:hAnsi="Arial"/>
          <w:sz w:val="18"/>
          <w:szCs w:val="18"/>
          <w:color w:val="auto"/>
        </w:rPr>
      </w:pPr>
    </w:p>
    <w:p>
      <w:pPr>
        <w:ind w:left="980" w:right="80" w:hanging="324"/>
        <w:spacing w:after="0" w:line="293"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long-term debt-to-Adjusted EBITDA multiple averaging between 3.5x and 4.0x, which has been our historical target range and is currently under internal review (“Adjusted EBITDA” is earnings before interest, taxes, depreciation and amortization (including our proportionate share of depreciation and amortization and gains and losses on significant asset sales by unconsolidated entities), gains and losses on asset sales and asset impairments, and gains on sales of investments in unconsolidated entities, adjusted for selected items that impact comparability. See Item 7. “Management’s Discussion and Analysis of Financial Condition and Results of Operations—Results of Operations—Non-GAAP Financial Measures” for a discussion of our selected items that impact comparability and our non-GAAP measures.);</w:t>
      </w:r>
    </w:p>
    <w:p>
      <w:pPr>
        <w:spacing w:after="0" w:line="56"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or 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first two of these four metrics include long-term debt as a critical measure, but do not include certain components of our capital structure such as short-term debt, preferred units and operating leases that may be considered by rating agencies in assigning their ratings. At December 31, 2018, our publicly-traded senior notes comprised approximately 98% of our reported long-term debt. Additionally, we also routinely incur short-term debt primarily in connection with our supply and logistics activities that involve the simultaneous purchase and forward sale of crude oil and NGL. The crude oil and NGL purchased in these transactions are hedged.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above certain baseline levels. Similar to our working capital borrowings, these borrowings are self-liquidating. We do not consider the working capital borrowings or margin requirements associated with these activities to be part of our long-term capital structure.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To maintain our targeted credit profile and achieve growth through acquisitions and expansion capital, we have historically targeted to fund approximately 55% of the capital requirements associated with these activities with equity, cash flow in excess of distributions or proceeds from asset sales. However, in connection with our leverage reduction plan, as discussed below, and in recognition of challenging financial markets, we have retained a larger amount of cash flow in excess of distributions, sold a meaningful amount of assets and refrained from accessing the equity capital markets. Additionally, from time to time, we may be outside the parameters of our targeted credit profile as, in certain cases, capital expenditures and acquisitions may be financed initially using debt or there may be delays in realizing anticipated synergies from acquisitions or contributions from expansion capital projects to Adjusted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Reduction Plan</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August 2017, we announced that we were implementing an action plan to strengthen our balance sheet, reduce leverage, enhance our distribution coverage, minimize new issuances of common equity and position the Partnership for future distribution growth. See Item 7. “Management’s Discussion and Analysis of Financial Condition and Results of Operations—Executive Summary” for a summary of this action plan and the status of our efforts to implement such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acquisition of midstream assets and businesses that are strategic and complementary to our existing operations constitutes an important component of our business strategy and growth objectives. Such assets and businesses include crude oil and NGL logistics assets as well as other energy assets that have characteristics and provide opportunities similar to our existing business lines and enable us to leverage our assets, knowledge and skill sets.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acquisitions greater than $200 million that we have completed over the past five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Acquisition</w:t>
            </w:r>
          </w:p>
        </w:tc>
        <w:tc>
          <w:tcPr>
            <w:tcW w:w="120" w:type="dxa"/>
            <w:vAlign w:val="bottom"/>
            <w:vMerge w:val="restart"/>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vMerge w:val="restart"/>
          </w:tcPr>
          <w:p>
            <w:pPr>
              <w:spacing w:after="0"/>
              <w:rPr>
                <w:sz w:val="12"/>
                <w:szCs w:val="12"/>
                <w:color w:val="auto"/>
              </w:rPr>
            </w:pPr>
          </w:p>
        </w:tc>
        <w:tc>
          <w:tcPr>
            <w:tcW w:w="456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14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 xml:space="preserve">Purchase Price </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8"/>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Alpha Crude Connector Gathering System</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Feb-2017</w:t>
            </w:r>
          </w:p>
        </w:tc>
        <w:tc>
          <w:tcPr>
            <w:tcW w:w="4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3"/>
              </w:rPr>
              <w:t>Recently constructed gathering system located in the Northern  $</w:t>
            </w:r>
          </w:p>
        </w:tc>
        <w:tc>
          <w:tcPr>
            <w:tcW w:w="1400" w:type="dxa"/>
            <w:vAlign w:val="bottom"/>
            <w:shd w:val="clear" w:color="auto" w:fill="CCEEFF"/>
          </w:tcPr>
          <w:p>
            <w:pPr>
              <w:jc w:val="right"/>
              <w:ind w:right="364"/>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Delaware Basin</w:t>
            </w: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125" w:right="239" w:bottom="1440" w:gutter="0" w:footer="0" w:header="0"/>
        </w:sectPr>
      </w:pPr>
    </w:p>
    <w:tbl>
      <w:tblPr>
        <w:tblLayout w:type="fixed"/>
        <w:tblInd w:w="4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Spectra Energy Partners Western Canada NGL</w:t>
            </w:r>
          </w:p>
        </w:tc>
        <w:tc>
          <w:tcPr>
            <w:tcW w:w="1080" w:type="dxa"/>
            <w:vAlign w:val="bottom"/>
          </w:tcPr>
          <w:p>
            <w:pPr>
              <w:ind w:left="200"/>
              <w:spacing w:after="0"/>
              <w:rPr>
                <w:sz w:val="20"/>
                <w:szCs w:val="20"/>
                <w:color w:val="auto"/>
              </w:rPr>
            </w:pPr>
            <w:r>
              <w:rPr>
                <w:rFonts w:ascii="Arial" w:cs="Arial" w:eastAsia="Arial" w:hAnsi="Arial"/>
                <w:sz w:val="18"/>
                <w:szCs w:val="18"/>
                <w:color w:val="auto"/>
              </w:rPr>
              <w:t>Aug-2016</w:t>
            </w:r>
          </w:p>
        </w:tc>
        <w:tc>
          <w:tcPr>
            <w:tcW w:w="4640" w:type="dxa"/>
            <w:vAlign w:val="bottom"/>
          </w:tcPr>
          <w:p>
            <w:pPr>
              <w:ind w:left="140"/>
              <w:spacing w:after="0"/>
              <w:rPr>
                <w:sz w:val="20"/>
                <w:szCs w:val="20"/>
                <w:color w:val="auto"/>
              </w:rPr>
            </w:pPr>
            <w:r>
              <w:rPr>
                <w:rFonts w:ascii="Arial" w:cs="Arial" w:eastAsia="Arial" w:hAnsi="Arial"/>
                <w:sz w:val="18"/>
                <w:szCs w:val="18"/>
                <w:color w:val="auto"/>
                <w:w w:val="92"/>
              </w:rPr>
              <w:t>Integrated system of NGL assets located in Western Canada</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3920" w:type="dxa"/>
            <w:vAlign w:val="bottom"/>
          </w:tcPr>
          <w:p>
            <w:pPr>
              <w:ind w:left="160"/>
              <w:spacing w:after="0"/>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3920" w:type="dxa"/>
            <w:vAlign w:val="bottom"/>
          </w:tcPr>
          <w:p>
            <w:pPr>
              <w:spacing w:after="0"/>
              <w:rPr>
                <w:sz w:val="20"/>
                <w:szCs w:val="20"/>
                <w:color w:val="auto"/>
              </w:rPr>
            </w:pPr>
            <w:r>
              <w:rPr>
                <w:rFonts w:ascii="Arial" w:cs="Arial" w:eastAsia="Arial" w:hAnsi="Arial"/>
                <w:sz w:val="18"/>
                <w:szCs w:val="18"/>
                <w:color w:val="auto"/>
                <w:w w:val="97"/>
              </w:rPr>
              <w:t>50% Interest in BridgeTex Pipeline Company, LLC</w:t>
            </w:r>
          </w:p>
        </w:tc>
        <w:tc>
          <w:tcPr>
            <w:tcW w:w="1080" w:type="dxa"/>
            <w:vAlign w:val="bottom"/>
          </w:tcPr>
          <w:p>
            <w:pPr>
              <w:ind w:left="200"/>
              <w:spacing w:after="0"/>
              <w:rPr>
                <w:sz w:val="20"/>
                <w:szCs w:val="20"/>
                <w:color w:val="auto"/>
              </w:rPr>
            </w:pPr>
            <w:r>
              <w:rPr>
                <w:rFonts w:ascii="Arial" w:cs="Arial" w:eastAsia="Arial" w:hAnsi="Arial"/>
                <w:sz w:val="18"/>
                <w:szCs w:val="18"/>
                <w:color w:val="auto"/>
              </w:rPr>
              <w:t>Nov-2014</w:t>
            </w:r>
          </w:p>
        </w:tc>
        <w:tc>
          <w:tcPr>
            <w:tcW w:w="4640" w:type="dxa"/>
            <w:vAlign w:val="bottom"/>
          </w:tcPr>
          <w:p>
            <w:pPr>
              <w:ind w:left="140"/>
              <w:spacing w:after="0"/>
              <w:rPr>
                <w:sz w:val="20"/>
                <w:szCs w:val="20"/>
                <w:color w:val="auto"/>
              </w:rPr>
            </w:pPr>
            <w:r>
              <w:rPr>
                <w:rFonts w:ascii="Arial" w:cs="Arial" w:eastAsia="Arial" w:hAnsi="Arial"/>
                <w:sz w:val="18"/>
                <w:szCs w:val="18"/>
                <w:color w:val="auto"/>
              </w:rPr>
              <w:t>BridgeTex owns a crude oil pipeline that extends from</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30"/>
        </w:trPr>
        <w:tc>
          <w:tcPr>
            <w:tcW w:w="3920" w:type="dxa"/>
            <w:vAlign w:val="bottom"/>
          </w:tcPr>
          <w:p>
            <w:pPr>
              <w:ind w:left="160"/>
              <w:spacing w:after="0"/>
              <w:rPr>
                <w:sz w:val="20"/>
                <w:szCs w:val="20"/>
                <w:color w:val="auto"/>
              </w:rPr>
            </w:pPr>
            <w:r>
              <w:rPr>
                <w:rFonts w:ascii="Arial" w:cs="Arial" w:eastAsia="Arial" w:hAnsi="Arial"/>
                <w:sz w:val="18"/>
                <w:szCs w:val="18"/>
                <w:color w:val="auto"/>
              </w:rPr>
              <w:t>(“BridgeTex”)</w:t>
            </w:r>
          </w:p>
        </w:tc>
        <w:tc>
          <w:tcPr>
            <w:tcW w:w="108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Colorado City, Texas to East Houston</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2332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(2)</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511" w:lineRule="exact"/>
        <w:rPr>
          <w:sz w:val="20"/>
          <w:szCs w:val="20"/>
          <w:color w:val="auto"/>
        </w:rPr>
      </w:pPr>
    </w:p>
    <w:p>
      <w:pPr>
        <w:sectPr>
          <w:pgSz w:w="11900" w:h="16838" w:orient="portrait"/>
          <w:cols w:equalWidth="0" w:num="2">
            <w:col w:w="10980" w:space="120"/>
            <w:col w:w="320"/>
          </w:cols>
          <w:pgMar w:left="240" w:top="125" w:right="239" w:bottom="1440" w:gutter="0" w:footer="0" w:header="0"/>
          <w:type w:val="continuous"/>
        </w:sectPr>
      </w:pPr>
    </w:p>
    <w:p>
      <w:pPr>
        <w:spacing w:after="0" w:line="16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As applicable, the approximate purchase price includes total cash paid and debt assumed, including amounts for working capital and inventory.</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Approximate purchase price of $180 million, net of cash, inventory and other working capital acquired.</w:t>
      </w:r>
    </w:p>
    <w:p>
      <w:pPr>
        <w:spacing w:after="0" w:line="98" w:lineRule="exact"/>
        <w:rPr>
          <w:rFonts w:ascii="Arial" w:cs="Arial" w:eastAsia="Arial" w:hAnsi="Arial"/>
          <w:sz w:val="25"/>
          <w:szCs w:val="25"/>
          <w:color w:val="auto"/>
          <w:vertAlign w:val="superscript"/>
        </w:rPr>
      </w:pPr>
    </w:p>
    <w:p>
      <w:pPr>
        <w:jc w:val="both"/>
        <w:ind w:left="660" w:right="420" w:hanging="652"/>
        <w:spacing w:after="0" w:line="246"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Approximate purchase price of $1.075 billion, net of working capital acquired. In 2018, we sold a 30% interest in BridgeTex. See Note 9 to our Consolidated Financial Statements for more information. We account for our 20% interest in BridgeTex under the equity method of accounting.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2016, we initiated a program to evaluate potential sales of non-core assets and/or sales of partial interests in assets to strategic joint venture partners to optimize our asset portfolio and strengthen our balance sheet and leverage metrics. Through December 31, 2018, we have completed asset sales totaling approximately $3.0 billion, of which approximately $0.6 billion closed in 2016 (net of amounts paid for the remaining interest in a pipeline that was subsequently sold), approximately $1.1 billion closed in 2017 and approximately $1.3 billion closed in 2018. See Note 7 to our Consolidated Financial Statements for additional discussion of our dispositions and divestitures.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Acquisition, Divestiture and Investment Activities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response to changing U.S. production profiles and increased competition for new build assets, over the last several years, we have increased our joint venture related activities in an effort to fully meet the current and future needs of our customers while also rationalizing assets and enhancing our investment returns. The vast majority of our joint ventures are accounted for as investments in unconsolidated subsidiaries.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See Item 1A. “Risk Factors—Risks Related to Our Business—If we make acquisitions that fail to perform as anticipated, our future growth may be limited” and “—Acquisitions and joint ventures involve risks that may adversely affect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Capital Projects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extensive asset base and our relationships with customers provide us with opportunities for organic growth through the construction of additional assets that are complementary to, and expand or extend, our existing asset base. The following expansion capital projects are included in our 2019 capital plan as of February 2019:</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3"/>
              </w:rPr>
              <w:t>Projected</w:t>
            </w:r>
          </w:p>
        </w:tc>
        <w:tc>
          <w:tcPr>
            <w:tcW w:w="22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2019 Plan</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Project</w:t>
            </w:r>
          </w:p>
        </w:tc>
        <w:tc>
          <w:tcPr>
            <w:tcW w:w="1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468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6"/>
              </w:rPr>
              <w:t xml:space="preserve">Amount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In-Service Date</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22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w:t>
            </w:r>
          </w:p>
        </w:tc>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Primarily includes contributions for our (i) 65% interest in the Cactus II</w:t>
            </w:r>
          </w:p>
        </w:tc>
        <w:tc>
          <w:tcPr>
            <w:tcW w:w="1460" w:type="dxa"/>
            <w:vAlign w:val="bottom"/>
            <w:shd w:val="clear" w:color="auto" w:fill="CCEEFF"/>
          </w:tcPr>
          <w:p>
            <w:pPr>
              <w:jc w:val="center"/>
              <w:ind w:right="17"/>
              <w:spacing w:after="0"/>
              <w:rPr>
                <w:sz w:val="20"/>
                <w:szCs w:val="20"/>
                <w:color w:val="auto"/>
              </w:rPr>
            </w:pPr>
            <w:r>
              <w:rPr>
                <w:rFonts w:ascii="Arial" w:cs="Arial" w:eastAsia="Arial" w:hAnsi="Arial"/>
                <w:sz w:val="18"/>
                <w:szCs w:val="18"/>
                <w:color w:val="auto"/>
                <w:w w:val="90"/>
              </w:rPr>
              <w:t>2H 2019 - 2021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Projects</w:t>
            </w:r>
          </w:p>
        </w:tc>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joint venture pipeline and (ii) 20% interest in the Wink to Webster joint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venture pipeline</w:t>
            </w: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w:t>
            </w:r>
          </w:p>
        </w:tc>
        <w:tc>
          <w:tcPr>
            <w:tcW w:w="5480" w:type="dxa"/>
            <w:vAlign w:val="bottom"/>
            <w:gridSpan w:val="3"/>
          </w:tcPr>
          <w:p>
            <w:pPr>
              <w:ind w:left="20"/>
              <w:spacing w:after="0"/>
              <w:rPr>
                <w:sz w:val="20"/>
                <w:szCs w:val="20"/>
                <w:color w:val="auto"/>
              </w:rPr>
            </w:pPr>
            <w:r>
              <w:rPr>
                <w:rFonts w:ascii="Arial" w:cs="Arial" w:eastAsia="Arial" w:hAnsi="Arial"/>
                <w:sz w:val="18"/>
                <w:szCs w:val="18"/>
                <w:color w:val="auto"/>
              </w:rPr>
              <w:t>Multiple projects to support the Permian Basin takeaway pipeline</w:t>
            </w:r>
          </w:p>
        </w:tc>
        <w:tc>
          <w:tcPr>
            <w:tcW w:w="1460" w:type="dxa"/>
            <w:vAlign w:val="bottom"/>
          </w:tcPr>
          <w:p>
            <w:pPr>
              <w:jc w:val="center"/>
              <w:ind w:right="17"/>
              <w:spacing w:after="0"/>
              <w:rPr>
                <w:sz w:val="20"/>
                <w:szCs w:val="20"/>
                <w:color w:val="auto"/>
              </w:rPr>
            </w:pPr>
            <w:r>
              <w:rPr>
                <w:rFonts w:ascii="Arial" w:cs="Arial" w:eastAsia="Arial" w:hAnsi="Arial"/>
                <w:sz w:val="18"/>
                <w:szCs w:val="18"/>
                <w:color w:val="auto"/>
                <w:w w:val="92"/>
              </w:rPr>
              <w:t>1H 2019 - 2020+</w:t>
            </w:r>
          </w:p>
        </w:tc>
        <w:tc>
          <w:tcPr>
            <w:tcW w:w="22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Projects</w:t>
            </w:r>
          </w:p>
        </w:tc>
        <w:tc>
          <w:tcPr>
            <w:tcW w:w="5480" w:type="dxa"/>
            <w:vAlign w:val="bottom"/>
            <w:gridSpan w:val="3"/>
          </w:tcPr>
          <w:p>
            <w:pPr>
              <w:ind w:left="20"/>
              <w:spacing w:after="0"/>
              <w:rPr>
                <w:sz w:val="20"/>
                <w:szCs w:val="20"/>
                <w:color w:val="auto"/>
              </w:rPr>
            </w:pPr>
            <w:r>
              <w:rPr>
                <w:rFonts w:ascii="Arial" w:cs="Arial" w:eastAsia="Arial" w:hAnsi="Arial"/>
                <w:sz w:val="18"/>
                <w:szCs w:val="18"/>
                <w:color w:val="auto"/>
                <w:w w:val="93"/>
              </w:rPr>
              <w:t>projects, and to expand/extend our gathering and intra-basin pipelines as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gridSpan w:val="3"/>
          </w:tcPr>
          <w:p>
            <w:pPr>
              <w:ind w:left="20"/>
              <w:spacing w:after="0"/>
              <w:rPr>
                <w:sz w:val="20"/>
                <w:szCs w:val="20"/>
                <w:color w:val="auto"/>
              </w:rPr>
            </w:pPr>
            <w:r>
              <w:rPr>
                <w:rFonts w:ascii="Arial" w:cs="Arial" w:eastAsia="Arial" w:hAnsi="Arial"/>
                <w:sz w:val="18"/>
                <w:szCs w:val="18"/>
                <w:color w:val="auto"/>
              </w:rPr>
              <w:t>well as terminalling and storage facilities at market hub locations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680" w:type="dxa"/>
            <w:vAlign w:val="bottom"/>
            <w:tcBorders>
              <w:bottom w:val="single" w:sz="8" w:color="CCEEFF"/>
            </w:tcBorders>
            <w:shd w:val="clear" w:color="auto" w:fill="CCEEFF"/>
          </w:tcPr>
          <w:p>
            <w:pPr>
              <w:spacing w:after="0"/>
              <w:rPr>
                <w:sz w:val="23"/>
                <w:szCs w:val="23"/>
                <w:color w:val="auto"/>
              </w:rPr>
            </w:pPr>
          </w:p>
        </w:tc>
        <w:tc>
          <w:tcPr>
            <w:tcW w:w="4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center"/>
              <w:ind w:right="17"/>
              <w:spacing w:after="0"/>
              <w:rPr>
                <w:sz w:val="20"/>
                <w:szCs w:val="20"/>
                <w:color w:val="auto"/>
              </w:rPr>
            </w:pPr>
            <w:r>
              <w:rPr>
                <w:rFonts w:ascii="Arial" w:cs="Arial" w:eastAsia="Arial" w:hAnsi="Arial"/>
                <w:sz w:val="18"/>
                <w:szCs w:val="18"/>
                <w:color w:val="auto"/>
                <w:w w:val="92"/>
              </w:rPr>
              <w:t>1H 2019 - 2020+</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Total Projected Expansion Capital</w:t>
            </w:r>
          </w:p>
        </w:tc>
        <w:tc>
          <w:tcPr>
            <w:tcW w:w="6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Expenditures</w:t>
            </w:r>
          </w:p>
        </w:tc>
        <w:tc>
          <w:tcPr>
            <w:tcW w:w="6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gridSpan w:val="2"/>
          </w:tcPr>
          <w:p>
            <w:pPr>
              <w:ind w:left="26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652"/>
        <w:spacing w:after="0" w:line="232"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receipt of permits or regulatory approvals and weather. Amounts reflect our expectation that certain projects will be owned in a joint venture structure with a proportionate share of the project cost dispersed among the partners.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The health of the global petroleum market is dependent on the relative supply and demand of hydrocarbons, including crude oil and NGLs. These supply and demand economics are greatly influenced by the broader global economic climate, exposing the petroleum market to the challenges and volatility associated with global economic development. The table below depicts historical global liquids production and consumption and is derived from the U.S. Energy Information Administration (“EIA”) Short-Term Energy Outlook, February 2019 (see EIA website at </w:t>
      </w:r>
      <w:r>
        <w:rPr>
          <w:rFonts w:ascii="Arial" w:cs="Arial" w:eastAsia="Arial" w:hAnsi="Arial"/>
          <w:sz w:val="17"/>
          <w:szCs w:val="17"/>
          <w:i w:val="1"/>
          <w:iCs w:val="1"/>
          <w:color w:val="auto"/>
        </w:rPr>
        <w:t>www.eia.doe.gov</w:t>
      </w:r>
      <w:r>
        <w:rPr>
          <w:rFonts w:ascii="Arial" w:cs="Arial" w:eastAsia="Arial" w:hAnsi="Arial"/>
          <w:sz w:val="17"/>
          <w:szCs w:val="17"/>
          <w:color w:val="auto"/>
        </w:rPr>
        <w: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 from</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 from</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 from</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 from</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 from</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7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2013 -</w:t>
            </w: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2014 -</w:t>
            </w: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ind w:right="108"/>
              <w:spacing w:after="0" w:line="153" w:lineRule="exact"/>
              <w:rPr>
                <w:sz w:val="20"/>
                <w:szCs w:val="20"/>
                <w:color w:val="auto"/>
              </w:rPr>
            </w:pPr>
            <w:r>
              <w:rPr>
                <w:rFonts w:ascii="Arial" w:cs="Arial" w:eastAsia="Arial" w:hAnsi="Arial"/>
                <w:sz w:val="14"/>
                <w:szCs w:val="14"/>
                <w:b w:val="1"/>
                <w:bCs w:val="1"/>
                <w:color w:val="auto"/>
              </w:rPr>
              <w:t>2015 -</w:t>
            </w: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ind w:right="108"/>
              <w:spacing w:after="0" w:line="153" w:lineRule="exact"/>
              <w:rPr>
                <w:sz w:val="20"/>
                <w:szCs w:val="20"/>
                <w:color w:val="auto"/>
              </w:rPr>
            </w:pPr>
            <w:r>
              <w:rPr>
                <w:rFonts w:ascii="Arial" w:cs="Arial" w:eastAsia="Arial" w:hAnsi="Arial"/>
                <w:sz w:val="14"/>
                <w:szCs w:val="14"/>
                <w:b w:val="1"/>
                <w:bCs w:val="1"/>
                <w:color w:val="auto"/>
              </w:rPr>
              <w:t>2016 -</w:t>
            </w: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ind w:right="108"/>
              <w:spacing w:after="0" w:line="153" w:lineRule="exact"/>
              <w:rPr>
                <w:sz w:val="20"/>
                <w:szCs w:val="20"/>
                <w:color w:val="auto"/>
              </w:rPr>
            </w:pPr>
            <w:r>
              <w:rPr>
                <w:rFonts w:ascii="Arial" w:cs="Arial" w:eastAsia="Arial" w:hAnsi="Arial"/>
                <w:sz w:val="14"/>
                <w:szCs w:val="14"/>
                <w:b w:val="1"/>
                <w:bCs w:val="1"/>
                <w:color w:val="auto"/>
              </w:rPr>
              <w:t>2017 -</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6"/>
          </w:tcPr>
          <w:p>
            <w:pPr>
              <w:ind w:left="360"/>
              <w:spacing w:after="0"/>
              <w:rPr>
                <w:sz w:val="20"/>
                <w:szCs w:val="20"/>
                <w:color w:val="auto"/>
              </w:rPr>
            </w:pPr>
            <w:r>
              <w:rPr>
                <w:rFonts w:ascii="Arial" w:cs="Arial" w:eastAsia="Arial" w:hAnsi="Arial"/>
                <w:sz w:val="14"/>
                <w:szCs w:val="14"/>
                <w:b w:val="1"/>
                <w:bCs w:val="1"/>
                <w:color w:val="auto"/>
              </w:rPr>
              <w:t xml:space="preserve">million barrels per day </w:t>
            </w:r>
            <w:r>
              <w:rPr>
                <w:rFonts w:ascii="Arial" w:cs="Arial" w:eastAsia="Arial" w:hAnsi="Arial"/>
                <w:sz w:val="8"/>
                <w:szCs w:val="8"/>
                <w:b w:val="1"/>
                <w:bCs w:val="1"/>
                <w:color w:val="auto"/>
              </w:rPr>
              <w:t>(2)</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Production (Supply)</w:t>
            </w:r>
          </w:p>
        </w:tc>
        <w:tc>
          <w:tcPr>
            <w:tcW w:w="7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right w:val="single" w:sz="8" w:color="auto"/>
            </w:tcBorders>
            <w:shd w:val="clear" w:color="auto" w:fill="CCEEFF"/>
          </w:tcPr>
          <w:p>
            <w:pPr>
              <w:spacing w:after="0"/>
              <w:rPr>
                <w:sz w:val="23"/>
                <w:szCs w:val="23"/>
                <w:color w:val="auto"/>
              </w:rPr>
            </w:pPr>
          </w:p>
        </w:tc>
        <w:tc>
          <w:tcPr>
            <w:tcW w:w="660" w:type="dxa"/>
            <w:vAlign w:val="bottom"/>
            <w:tcBorders>
              <w:top w:val="single" w:sz="8" w:color="auto"/>
              <w:right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680" w:type="dxa"/>
            <w:vAlign w:val="bottom"/>
            <w:tcBorders>
              <w:top w:val="single" w:sz="8" w:color="auto"/>
              <w:right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680" w:type="dxa"/>
            <w:vAlign w:val="bottom"/>
            <w:tcBorders>
              <w:top w:val="single" w:sz="8" w:color="auto"/>
              <w:right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680" w:type="dxa"/>
            <w:vAlign w:val="bottom"/>
            <w:tcBorders>
              <w:top w:val="single" w:sz="8" w:color="auto"/>
              <w:right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680" w:type="dxa"/>
            <w:vAlign w:val="bottom"/>
            <w:tcBorders>
              <w:top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U.S.</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14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0.8</w:t>
            </w:r>
          </w:p>
        </w:tc>
        <w:tc>
          <w:tcPr>
            <w:tcW w:w="1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OPEC</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w:t>
            </w:r>
          </w:p>
        </w:tc>
        <w:tc>
          <w:tcPr>
            <w:tcW w:w="140" w:type="dxa"/>
            <w:vAlign w:val="bottom"/>
            <w:tcBorders>
              <w:right w:val="single" w:sz="8" w:color="auto"/>
            </w:tcBorders>
            <w:shd w:val="clear" w:color="auto" w:fill="CCEEFF"/>
          </w:tcPr>
          <w:p>
            <w:pPr>
              <w:spacing w:after="0"/>
              <w:rPr>
                <w:sz w:val="24"/>
                <w:szCs w:val="24"/>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24"/>
                <w:szCs w:val="24"/>
                <w:color w:val="auto"/>
              </w:rPr>
            </w:pPr>
          </w:p>
        </w:tc>
        <w:tc>
          <w:tcPr>
            <w:tcW w:w="6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shd w:val="clear" w:color="auto" w:fill="CCEEFF"/>
          </w:tcPr>
          <w:p>
            <w:pPr>
              <w:spacing w:after="0"/>
              <w:rPr>
                <w:sz w:val="24"/>
                <w:szCs w:val="24"/>
                <w:color w:val="auto"/>
              </w:rPr>
            </w:pPr>
          </w:p>
        </w:tc>
        <w:tc>
          <w:tcPr>
            <w:tcW w:w="6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shd w:val="clear" w:color="auto" w:fill="CCEEFF"/>
          </w:tcPr>
          <w:p>
            <w:pPr>
              <w:spacing w:after="0"/>
              <w:rPr>
                <w:sz w:val="24"/>
                <w:szCs w:val="24"/>
                <w:color w:val="auto"/>
              </w:rPr>
            </w:pPr>
          </w:p>
        </w:tc>
        <w:tc>
          <w:tcPr>
            <w:tcW w:w="6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Borders>
              <w:right w:val="single" w:sz="8" w:color="auto"/>
            </w:tcBorders>
            <w:shd w:val="clear" w:color="auto" w:fill="CCEEFF"/>
          </w:tcPr>
          <w:p>
            <w:pPr>
              <w:spacing w:after="0"/>
              <w:rPr>
                <w:sz w:val="24"/>
                <w:szCs w:val="24"/>
                <w:color w:val="auto"/>
              </w:rPr>
            </w:pPr>
          </w:p>
        </w:tc>
        <w:tc>
          <w:tcPr>
            <w:tcW w:w="68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World</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44.1</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44.9</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w:t>
            </w:r>
          </w:p>
        </w:tc>
        <w:tc>
          <w:tcPr>
            <w:tcW w:w="140" w:type="dxa"/>
            <w:vAlign w:val="bottom"/>
            <w:tcBorders>
              <w:bottom w:val="single" w:sz="8" w:color="CCEEFF"/>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91.6</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94.2</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100.5</w:t>
            </w:r>
          </w:p>
        </w:tc>
        <w:tc>
          <w:tcPr>
            <w:tcW w:w="140" w:type="dxa"/>
            <w:vAlign w:val="bottom"/>
            <w:tcBorders>
              <w:right w:val="single" w:sz="8" w:color="auto"/>
            </w:tcBorders>
            <w:shd w:val="clear" w:color="auto" w:fill="CCEEFF"/>
          </w:tcPr>
          <w:p>
            <w:pPr>
              <w:spacing w:after="0"/>
              <w:rPr>
                <w:sz w:val="22"/>
                <w:szCs w:val="22"/>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w:t>
            </w:r>
          </w:p>
        </w:tc>
        <w:tc>
          <w:tcPr>
            <w:tcW w:w="120" w:type="dxa"/>
            <w:vAlign w:val="bottom"/>
            <w:tcBorders>
              <w:right w:val="single" w:sz="8" w:color="auto"/>
            </w:tcBorders>
            <w:shd w:val="clear" w:color="auto" w:fill="CCEEFF"/>
          </w:tcPr>
          <w:p>
            <w:pPr>
              <w:spacing w:after="0"/>
              <w:rPr>
                <w:sz w:val="22"/>
                <w:szCs w:val="22"/>
                <w:color w:val="auto"/>
              </w:rPr>
            </w:pPr>
          </w:p>
        </w:tc>
        <w:tc>
          <w:tcPr>
            <w:tcW w:w="6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w:t>
            </w:r>
          </w:p>
        </w:tc>
        <w:tc>
          <w:tcPr>
            <w:tcW w:w="120" w:type="dxa"/>
            <w:vAlign w:val="bottom"/>
            <w:tcBorders>
              <w:right w:val="single" w:sz="8" w:color="auto"/>
            </w:tcBorders>
            <w:shd w:val="clear" w:color="auto" w:fill="CCEEFF"/>
          </w:tcPr>
          <w:p>
            <w:pPr>
              <w:spacing w:after="0"/>
              <w:rPr>
                <w:sz w:val="22"/>
                <w:szCs w:val="22"/>
                <w:color w:val="auto"/>
              </w:rPr>
            </w:pPr>
          </w:p>
        </w:tc>
        <w:tc>
          <w:tcPr>
            <w:tcW w:w="6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0.4</w:t>
            </w:r>
          </w:p>
        </w:tc>
        <w:tc>
          <w:tcPr>
            <w:tcW w:w="120" w:type="dxa"/>
            <w:vAlign w:val="bottom"/>
            <w:tcBorders>
              <w:right w:val="single" w:sz="8" w:color="auto"/>
            </w:tcBorders>
            <w:shd w:val="clear" w:color="auto" w:fill="CCEEFF"/>
          </w:tcPr>
          <w:p>
            <w:pPr>
              <w:spacing w:after="0"/>
              <w:rPr>
                <w:sz w:val="22"/>
                <w:szCs w:val="22"/>
                <w:color w:val="auto"/>
              </w:rPr>
            </w:pPr>
          </w:p>
        </w:tc>
        <w:tc>
          <w:tcPr>
            <w:tcW w:w="68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0.6</w:t>
            </w:r>
          </w:p>
        </w:tc>
        <w:tc>
          <w:tcPr>
            <w:tcW w:w="120" w:type="dxa"/>
            <w:vAlign w:val="bottom"/>
            <w:tcBorders>
              <w:right w:val="single" w:sz="8" w:color="auto"/>
            </w:tcBorders>
            <w:shd w:val="clear" w:color="auto" w:fill="CCEEFF"/>
          </w:tcPr>
          <w:p>
            <w:pPr>
              <w:spacing w:after="0"/>
              <w:rPr>
                <w:sz w:val="22"/>
                <w:szCs w:val="22"/>
                <w:color w:val="auto"/>
              </w:rPr>
            </w:pPr>
          </w:p>
        </w:tc>
        <w:tc>
          <w:tcPr>
            <w:tcW w:w="68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Consumption (Demand)</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92.3</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93.9</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100.0</w:t>
            </w:r>
          </w:p>
        </w:tc>
        <w:tc>
          <w:tcPr>
            <w:tcW w:w="140" w:type="dxa"/>
            <w:vAlign w:val="bottom"/>
            <w:tcBorders>
              <w:right w:val="single" w:sz="8" w:color="auto"/>
            </w:tcBorders>
            <w:shd w:val="clear" w:color="auto" w:fill="CCEEFF"/>
          </w:tcPr>
          <w:p>
            <w:pPr>
              <w:spacing w:after="0"/>
              <w:rPr>
                <w:sz w:val="23"/>
                <w:szCs w:val="23"/>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right w:val="single" w:sz="8" w:color="auto"/>
            </w:tcBorders>
            <w:shd w:val="clear" w:color="auto" w:fill="CCEEFF"/>
          </w:tcPr>
          <w:p>
            <w:pPr>
              <w:spacing w:after="0"/>
              <w:rPr>
                <w:sz w:val="23"/>
                <w:szCs w:val="23"/>
                <w:color w:val="auto"/>
              </w:rPr>
            </w:pPr>
          </w:p>
        </w:tc>
        <w:tc>
          <w:tcPr>
            <w:tcW w:w="6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w:t>
            </w:r>
          </w:p>
        </w:tc>
        <w:tc>
          <w:tcPr>
            <w:tcW w:w="120" w:type="dxa"/>
            <w:vAlign w:val="bottom"/>
            <w:tcBorders>
              <w:right w:val="single" w:sz="8" w:color="auto"/>
            </w:tcBorders>
            <w:shd w:val="clear" w:color="auto" w:fill="CCEEFF"/>
          </w:tcPr>
          <w:p>
            <w:pPr>
              <w:spacing w:after="0"/>
              <w:rPr>
                <w:sz w:val="23"/>
                <w:szCs w:val="23"/>
                <w:color w:val="auto"/>
              </w:rPr>
            </w:pPr>
          </w:p>
        </w:tc>
        <w:tc>
          <w:tcPr>
            <w:tcW w:w="6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right w:val="single" w:sz="8" w:color="auto"/>
            </w:tcBorders>
            <w:shd w:val="clear" w:color="auto" w:fill="CCEEFF"/>
          </w:tcPr>
          <w:p>
            <w:pPr>
              <w:spacing w:after="0"/>
              <w:rPr>
                <w:sz w:val="23"/>
                <w:szCs w:val="23"/>
                <w:color w:val="auto"/>
              </w:rPr>
            </w:pPr>
          </w:p>
        </w:tc>
        <w:tc>
          <w:tcPr>
            <w:tcW w:w="68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w:t>
            </w:r>
          </w:p>
        </w:tc>
        <w:tc>
          <w:tcPr>
            <w:tcW w:w="120" w:type="dxa"/>
            <w:vAlign w:val="bottom"/>
            <w:tcBorders>
              <w:right w:val="single" w:sz="8" w:color="auto"/>
            </w:tcBorders>
            <w:shd w:val="clear" w:color="auto" w:fill="CCEEFF"/>
          </w:tcPr>
          <w:p>
            <w:pPr>
              <w:spacing w:after="0"/>
              <w:rPr>
                <w:sz w:val="23"/>
                <w:szCs w:val="23"/>
                <w:color w:val="auto"/>
              </w:rPr>
            </w:pPr>
          </w:p>
        </w:tc>
        <w:tc>
          <w:tcPr>
            <w:tcW w:w="68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0" w:type="dxa"/>
            <w:vAlign w:val="bottom"/>
            <w:tcBorders>
              <w:bottom w:val="single" w:sz="8" w:color="CCEEFF"/>
              <w:right w:val="single" w:sz="8" w:color="auto"/>
            </w:tcBorders>
          </w:tcPr>
          <w:p>
            <w:pPr>
              <w:spacing w:after="0"/>
              <w:rPr>
                <w:sz w:val="23"/>
                <w:szCs w:val="23"/>
                <w:color w:val="auto"/>
              </w:rPr>
            </w:pPr>
          </w:p>
        </w:tc>
        <w:tc>
          <w:tcPr>
            <w:tcW w:w="66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CCEEFF"/>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CCEEFF"/>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CCEEFF"/>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CCEEFF"/>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Global Supply / Demand Balance</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(0.6)</w:t>
            </w:r>
          </w:p>
        </w:tc>
        <w:tc>
          <w:tcPr>
            <w:tcW w:w="1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0.3</w:t>
            </w:r>
          </w:p>
        </w:tc>
        <w:tc>
          <w:tcPr>
            <w:tcW w:w="12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0.5</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(0.5)</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0.5</w:t>
            </w:r>
          </w:p>
        </w:tc>
        <w:tc>
          <w:tcPr>
            <w:tcW w:w="140" w:type="dxa"/>
            <w:vAlign w:val="bottom"/>
            <w:tcBorders>
              <w:right w:val="single" w:sz="8" w:color="auto"/>
            </w:tcBorders>
            <w:shd w:val="clear" w:color="auto" w:fill="CCEEFF"/>
          </w:tcPr>
          <w:p>
            <w:pPr>
              <w:spacing w:after="0"/>
              <w:rPr>
                <w:sz w:val="21"/>
                <w:szCs w:val="21"/>
                <w:color w:val="auto"/>
              </w:rPr>
            </w:pPr>
          </w:p>
        </w:tc>
        <w:tc>
          <w:tcPr>
            <w:tcW w:w="6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0.9</w:t>
            </w:r>
          </w:p>
        </w:tc>
        <w:tc>
          <w:tcPr>
            <w:tcW w:w="120" w:type="dxa"/>
            <w:vAlign w:val="bottom"/>
            <w:tcBorders>
              <w:right w:val="single" w:sz="8" w:color="auto"/>
            </w:tcBorders>
            <w:shd w:val="clear" w:color="auto" w:fill="CCEEFF"/>
          </w:tcPr>
          <w:p>
            <w:pPr>
              <w:spacing w:after="0"/>
              <w:rPr>
                <w:sz w:val="21"/>
                <w:szCs w:val="21"/>
                <w:color w:val="auto"/>
              </w:rPr>
            </w:pPr>
          </w:p>
        </w:tc>
        <w:tc>
          <w:tcPr>
            <w:tcW w:w="6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0.8</w:t>
            </w:r>
          </w:p>
        </w:tc>
        <w:tc>
          <w:tcPr>
            <w:tcW w:w="120" w:type="dxa"/>
            <w:vAlign w:val="bottom"/>
            <w:tcBorders>
              <w:right w:val="single" w:sz="8" w:color="auto"/>
            </w:tcBorders>
            <w:shd w:val="clear" w:color="auto" w:fill="CCEEFF"/>
          </w:tcPr>
          <w:p>
            <w:pPr>
              <w:spacing w:after="0"/>
              <w:rPr>
                <w:sz w:val="21"/>
                <w:szCs w:val="21"/>
                <w:color w:val="auto"/>
              </w:rPr>
            </w:pPr>
          </w:p>
        </w:tc>
        <w:tc>
          <w:tcPr>
            <w:tcW w:w="6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(0.6)</w:t>
            </w:r>
          </w:p>
        </w:tc>
        <w:tc>
          <w:tcPr>
            <w:tcW w:w="120" w:type="dxa"/>
            <w:vAlign w:val="bottom"/>
            <w:tcBorders>
              <w:right w:val="single" w:sz="8" w:color="auto"/>
            </w:tcBorders>
            <w:shd w:val="clear" w:color="auto" w:fill="CCEEFF"/>
          </w:tcPr>
          <w:p>
            <w:pPr>
              <w:spacing w:after="0"/>
              <w:rPr>
                <w:sz w:val="21"/>
                <w:szCs w:val="21"/>
                <w:color w:val="auto"/>
              </w:rPr>
            </w:pPr>
          </w:p>
        </w:tc>
        <w:tc>
          <w:tcPr>
            <w:tcW w:w="6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right w:val="single" w:sz="8" w:color="auto"/>
            </w:tcBorders>
            <w:shd w:val="clear" w:color="auto" w:fill="CCEEFF"/>
          </w:tcPr>
          <w:p>
            <w:pPr>
              <w:spacing w:after="0"/>
              <w:rPr>
                <w:sz w:val="21"/>
                <w:szCs w:val="21"/>
                <w:color w:val="auto"/>
              </w:rPr>
            </w:pPr>
          </w:p>
        </w:tc>
        <w:tc>
          <w:tcPr>
            <w:tcW w:w="68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Data reflects actuals through October 2018.</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2018, OPEC continued to manage crude oil production levels. Joined by certain non-OPEC countries such as Russia, OPEC and non-OPEC producers agreed to cut production by 1.2 million barrels per day from October 2018 levels, beginning January 2019. In addition, in December of 2018, the province of Alberta mandated crude oil production cuts by imposing production limits designed to remove approximately 325,000 barrels per day from the market; such production limits were relaxed in February 2019 to allow an additional 75,000 barrels per day of production.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9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 the refinery’s choice of feedstock. In addition, from time to time, natural disasters and geopolitical factors such as hurricanes, earthquakes, tsunamis, inclement weather, labor strikes, refinery disruptions, embargoes and armed conflicts may impact supply, demand, transportation and storage logistics.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From 2011 through 2015, the combination of (i) a significant increase in North American production volumes, (ii) a change in crude oil qualities and related differentials and (iii) high utilization of existing pipeline and terminal infrastructure stimulated multiple industry initiatives to build new pipeline and terminal infrastructure, convert certain pipeline assets to alternative service or reverse flows and expand the use of trucks, rail and barges for the movement of crude oil and condensate. Increased production from U.S. oil-producing areas such as the Rockies, the Permian Basin in West Texas, the Mid-Continent region, the Eagle Ford Shale in South Texas, and the Williston Basin in North Dakota caused U.S. lower 48 onshore crude oil production to increase by 3.7 million barrels per day, or 99%, between 2011 and 2015. In 2015, U.S. Lower 48 onshore crude oil production peaked at 7.6 million barrels per day in March. By that point crude oil prices had begun to decline, causing many North American operators to significantly scale back their capital programs, resulting in production declines. By February 2016 West Texas Intermediate crude averaged $30.32 per barrel, down from averaging over $100 per barrel in July 2014.</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By mid-2016 crude oil prices began to rise and, subsequently, U.S. onshore rig count increased, reaching 1,054 by December 2018, and U.S. lower 48 onshore production reached a high of 9.5 million barrels per day in November 2018. As the rate of production grew throughout 2018, utilization on existing infrastructure began to increase in areas like the Permian Basin in West Texas, causing differentials between crude oil in West Texas and Cushing, Oklahoma (the U.S. pricing benchmark) to widen to nearly $18 per barrel in August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-8890</wp:posOffset>
            </wp:positionV>
            <wp:extent cx="5848985" cy="2470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Source: EIA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332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848985" cy="2538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Source: EIA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332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Crude Oil Exports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The number of countries receiving exported U.S. crude oil has continued to rise since the removal of restrictions on exporting U.S. crude oil in December 2015. U.S. crude oil exports averaged 1.93 million barrels per day in the first eleven months of 2018, 0.77 (67%) million barrels per day more than the full-year 2017 and 1.34 (227%) million barrels per day more than full year 2016. During the week of November 30, 2018, the U.S. was a net exporter of crude oil and petroleum products for the first time in weekly data going back to 1991. Continued increases in U.S. crude oil exports will likely depend on increases in U.S. crude oil production and wider price differences between domestic and international crude oil. The table below depicts historical U.S. crude oil exports as reported by the EIA (see EIA website at </w:t>
      </w:r>
      <w:r>
        <w:rPr>
          <w:rFonts w:ascii="Arial" w:cs="Arial" w:eastAsia="Arial" w:hAnsi="Arial"/>
          <w:sz w:val="17"/>
          <w:szCs w:val="17"/>
          <w:i w:val="1"/>
          <w:iCs w:val="1"/>
          <w:color w:val="auto"/>
        </w:rPr>
        <w:t>www.eia.doe.gov</w:t>
      </w:r>
      <w:r>
        <w:rPr>
          <w:rFonts w:ascii="Arial" w:cs="Arial" w:eastAsia="Arial" w:hAnsi="Arial"/>
          <w:sz w:val="17"/>
          <w:szCs w:val="17"/>
          <w:color w:val="auto"/>
        </w:rPr>
        <w: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Annual U.S. Exports of Crude Oil</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 from</w:t>
            </w:r>
          </w:p>
        </w:tc>
        <w:tc>
          <w:tcPr>
            <w:tcW w:w="1260" w:type="dxa"/>
            <w:vAlign w:val="bottom"/>
            <w:gridSpan w:val="2"/>
          </w:tcPr>
          <w:p>
            <w:pPr>
              <w:ind w:left="320"/>
              <w:spacing w:after="0"/>
              <w:rPr>
                <w:sz w:val="20"/>
                <w:szCs w:val="20"/>
                <w:color w:val="auto"/>
              </w:rPr>
            </w:pPr>
            <w:r>
              <w:rPr>
                <w:rFonts w:ascii="Arial" w:cs="Arial" w:eastAsia="Arial" w:hAnsi="Arial"/>
                <w:sz w:val="14"/>
                <w:szCs w:val="14"/>
                <w:b w:val="1"/>
                <w:bCs w:val="1"/>
                <w:color w:val="auto"/>
              </w:rPr>
              <w:t>∆ from</w:t>
            </w:r>
          </w:p>
        </w:tc>
        <w:tc>
          <w:tcPr>
            <w:tcW w:w="1140" w:type="dxa"/>
            <w:vAlign w:val="bottom"/>
          </w:tcPr>
          <w:p>
            <w:pPr>
              <w:jc w:val="right"/>
              <w:ind w:right="314"/>
              <w:spacing w:after="0"/>
              <w:rPr>
                <w:sz w:val="20"/>
                <w:szCs w:val="20"/>
                <w:color w:val="auto"/>
              </w:rPr>
            </w:pPr>
            <w:r>
              <w:rPr>
                <w:rFonts w:ascii="Arial" w:cs="Arial" w:eastAsia="Arial" w:hAnsi="Arial"/>
                <w:sz w:val="14"/>
                <w:szCs w:val="14"/>
                <w:b w:val="1"/>
                <w:bCs w:val="1"/>
                <w:color w:val="auto"/>
              </w:rPr>
              <w:t>∆ from</w:t>
            </w:r>
          </w:p>
        </w:tc>
      </w:tr>
      <w:tr>
        <w:trPr>
          <w:trHeight w:val="264"/>
        </w:trPr>
        <w:tc>
          <w:tcPr>
            <w:tcW w:w="3340" w:type="dxa"/>
            <w:vAlign w:val="bottom"/>
          </w:tcPr>
          <w:p>
            <w:pPr>
              <w:spacing w:after="0"/>
              <w:rPr>
                <w:sz w:val="22"/>
                <w:szCs w:val="22"/>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8"/>
                <w:szCs w:val="8"/>
                <w:b w:val="1"/>
                <w:bCs w:val="1"/>
                <w:color w:val="auto"/>
              </w:rPr>
              <w:t>(1)</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2015-2016</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2016-2017</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xml:space="preserve">2017-2018 </w:t>
            </w:r>
            <w:r>
              <w:rPr>
                <w:rFonts w:ascii="Arial" w:cs="Arial" w:eastAsia="Arial" w:hAnsi="Arial"/>
                <w:sz w:val="8"/>
                <w:szCs w:val="8"/>
                <w:b w:val="1"/>
                <w:bCs w:val="1"/>
                <w:color w:val="auto"/>
              </w:rPr>
              <w:t>(1)</w:t>
            </w:r>
          </w:p>
        </w:tc>
      </w:tr>
      <w:tr>
        <w:trPr>
          <w:trHeight w:val="250"/>
        </w:trPr>
        <w:tc>
          <w:tcPr>
            <w:tcW w:w="3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gridSpan w:val="6"/>
          </w:tcPr>
          <w:p>
            <w:pPr>
              <w:ind w:left="720"/>
              <w:spacing w:after="0"/>
              <w:rPr>
                <w:sz w:val="20"/>
                <w:szCs w:val="20"/>
                <w:color w:val="auto"/>
              </w:rPr>
            </w:pPr>
            <w:r>
              <w:rPr>
                <w:rFonts w:ascii="Arial" w:cs="Arial" w:eastAsia="Arial" w:hAnsi="Arial"/>
                <w:sz w:val="14"/>
                <w:szCs w:val="14"/>
                <w:b w:val="1"/>
                <w:bCs w:val="1"/>
                <w:color w:val="auto"/>
              </w:rPr>
              <w:t xml:space="preserve">(in millions of barrels per day) </w:t>
            </w:r>
            <w:r>
              <w:rPr>
                <w:rFonts w:ascii="Arial" w:cs="Arial" w:eastAsia="Arial" w:hAnsi="Arial"/>
                <w:sz w:val="8"/>
                <w:szCs w:val="8"/>
                <w:b w:val="1"/>
                <w:bCs w:val="1"/>
                <w:color w:val="auto"/>
              </w:rPr>
              <w:t>(2)</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PADD 1</w:t>
            </w:r>
          </w:p>
        </w:tc>
        <w:tc>
          <w:tcPr>
            <w:tcW w:w="1040" w:type="dxa"/>
            <w:vAlign w:val="bottom"/>
            <w:tcBorders>
              <w:top w:val="single" w:sz="8" w:color="CCEEFF"/>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0.03</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0.10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PADD 2</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0.13</w:t>
            </w:r>
          </w:p>
        </w:tc>
        <w:tc>
          <w:tcPr>
            <w:tcW w:w="14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0.02</w:t>
            </w:r>
          </w:p>
        </w:tc>
        <w:tc>
          <w:tcPr>
            <w:tcW w:w="1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0.11</w:t>
            </w:r>
          </w:p>
        </w:tc>
        <w:tc>
          <w:tcPr>
            <w:tcW w:w="1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PADD 3</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0.84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PADD 4</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PADD 5</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9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Total U.S. Crude Oil Exports</w:t>
            </w:r>
          </w:p>
        </w:tc>
        <w:tc>
          <w:tcPr>
            <w:tcW w:w="10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0.47</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0.59</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1.16</w:t>
            </w:r>
          </w:p>
        </w:tc>
        <w:tc>
          <w:tcPr>
            <w:tcW w:w="120" w:type="dxa"/>
            <w:vAlign w:val="bottom"/>
          </w:tcPr>
          <w:p>
            <w:pPr>
              <w:spacing w:after="0"/>
              <w:rPr>
                <w:sz w:val="24"/>
                <w:szCs w:val="24"/>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1.93</w:t>
            </w:r>
          </w:p>
        </w:tc>
        <w:tc>
          <w:tcPr>
            <w:tcW w:w="140" w:type="dxa"/>
            <w:vAlign w:val="bottom"/>
            <w:tcBorders>
              <w:right w:val="single" w:sz="8" w:color="auto"/>
            </w:tcBorders>
          </w:tcPr>
          <w:p>
            <w:pPr>
              <w:spacing w:after="0"/>
              <w:rPr>
                <w:sz w:val="24"/>
                <w:szCs w:val="24"/>
                <w:color w:val="auto"/>
              </w:rPr>
            </w:pPr>
          </w:p>
        </w:tc>
        <w:tc>
          <w:tcPr>
            <w:tcW w:w="1000" w:type="dxa"/>
            <w:vAlign w:val="bottom"/>
            <w:tcBorders>
              <w:top w:val="single" w:sz="8" w:color="auto"/>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0.13</w:t>
            </w:r>
          </w:p>
        </w:tc>
        <w:tc>
          <w:tcPr>
            <w:tcW w:w="120" w:type="dxa"/>
            <w:vAlign w:val="bottom"/>
            <w:tcBorders>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0.57</w:t>
            </w:r>
          </w:p>
        </w:tc>
        <w:tc>
          <w:tcPr>
            <w:tcW w:w="120" w:type="dxa"/>
            <w:vAlign w:val="bottom"/>
            <w:tcBorders>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Data reflects actuals through November 2018.</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Amounts may not recalculate due to rounding.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is derived from natural gas production and processing activities, as well as crude oil refining processes. Liquefied petroleum gas (“LPG”) primarily includes propane and butane, which liquefy at moderate pressures thus making it easier to transport and store such products as compared to ethane. NGL refers to all NGL products including LPG when used in this Form 10-K.</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125" w:right="2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25" w:lineRule="exact"/>
        <w:rPr>
          <w:sz w:val="20"/>
          <w:szCs w:val="20"/>
          <w:color w:val="auto"/>
        </w:rPr>
      </w:pPr>
    </w:p>
    <w:p>
      <w:pPr>
        <w:ind w:left="980" w:right="120" w:hanging="324"/>
        <w:spacing w:after="0" w:line="286" w:lineRule="auto"/>
        <w:tabs>
          <w:tab w:leader="none" w:pos="98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Ethane (C2).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65" w:lineRule="exact"/>
        <w:rPr>
          <w:rFonts w:ascii="Arial" w:cs="Arial" w:eastAsia="Arial" w:hAnsi="Arial"/>
          <w:sz w:val="17"/>
          <w:szCs w:val="17"/>
          <w:i w:val="1"/>
          <w:iCs w:val="1"/>
          <w:color w:val="auto"/>
        </w:rPr>
      </w:pPr>
    </w:p>
    <w:p>
      <w:pPr>
        <w:ind w:left="980" w:right="380" w:hanging="324"/>
        <w:spacing w:after="0" w:line="277" w:lineRule="auto"/>
        <w:tabs>
          <w:tab w:leader="none" w:pos="9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Propane (C3). </w:t>
      </w:r>
      <w:r>
        <w:rPr>
          <w:rFonts w:ascii="Arial" w:cs="Arial" w:eastAsia="Arial" w:hAnsi="Arial"/>
          <w:sz w:val="18"/>
          <w:szCs w:val="18"/>
          <w:color w:val="auto"/>
        </w:rPr>
        <w:t>Propane is used as heating fuel, engine fuel and industrial fuel, for agricultural burning and drying and also as petrochemical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feedstock for the production of ethylene and propylene.</w:t>
      </w:r>
    </w:p>
    <w:p>
      <w:pPr>
        <w:spacing w:after="0" w:line="170" w:lineRule="exact"/>
        <w:rPr>
          <w:rFonts w:ascii="Arial" w:cs="Arial" w:eastAsia="Arial" w:hAnsi="Arial"/>
          <w:sz w:val="18"/>
          <w:szCs w:val="18"/>
          <w:i w:val="1"/>
          <w:iCs w:val="1"/>
          <w:color w:val="auto"/>
        </w:rPr>
      </w:pPr>
    </w:p>
    <w:p>
      <w:pPr>
        <w:ind w:left="980" w:right="80" w:hanging="324"/>
        <w:spacing w:after="0" w:line="286" w:lineRule="auto"/>
        <w:tabs>
          <w:tab w:leader="none" w:pos="98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Normal butane (C4). </w:t>
      </w:r>
      <w:r>
        <w:rPr>
          <w:rFonts w:ascii="Arial" w:cs="Arial" w:eastAsia="Arial" w:hAnsi="Arial"/>
          <w:sz w:val="17"/>
          <w:szCs w:val="17"/>
          <w:color w:val="auto"/>
        </w:rPr>
        <w:t>Normal butane is principally used for motor gasoline blending and as fuel gas, either alone or in a mixture with propane,</w:t>
      </w:r>
      <w:r>
        <w:rPr>
          <w:rFonts w:ascii="Arial" w:cs="Arial" w:eastAsia="Arial" w:hAnsi="Arial"/>
          <w:sz w:val="17"/>
          <w:szCs w:val="17"/>
          <w:i w:val="1"/>
          <w:iCs w:val="1"/>
          <w:color w:val="auto"/>
        </w:rPr>
        <w:t xml:space="preserve"> </w:t>
      </w:r>
      <w:r>
        <w:rPr>
          <w:rFonts w:ascii="Arial" w:cs="Arial" w:eastAsia="Arial" w:hAnsi="Arial"/>
          <w:sz w:val="17"/>
          <w:szCs w:val="17"/>
          <w:color w:val="auto"/>
        </w:rPr>
        <w:t>and 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165" w:lineRule="exact"/>
        <w:rPr>
          <w:rFonts w:ascii="Arial" w:cs="Arial" w:eastAsia="Arial" w:hAnsi="Arial"/>
          <w:sz w:val="17"/>
          <w:szCs w:val="17"/>
          <w:i w:val="1"/>
          <w:iCs w:val="1"/>
          <w:color w:val="auto"/>
        </w:rPr>
      </w:pPr>
    </w:p>
    <w:p>
      <w:pPr>
        <w:ind w:left="980" w:hanging="324"/>
        <w:spacing w:after="0"/>
        <w:tabs>
          <w:tab w:leader="none" w:pos="9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25" w:lineRule="exact"/>
        <w:rPr>
          <w:rFonts w:ascii="Arial" w:cs="Arial" w:eastAsia="Arial" w:hAnsi="Arial"/>
          <w:sz w:val="18"/>
          <w:szCs w:val="18"/>
          <w:i w:val="1"/>
          <w:iCs w:val="1"/>
          <w:color w:val="auto"/>
        </w:rPr>
      </w:pPr>
    </w:p>
    <w:p>
      <w:pPr>
        <w:ind w:left="980" w:right="840" w:hanging="324"/>
        <w:spacing w:after="0" w:line="277" w:lineRule="auto"/>
        <w:tabs>
          <w:tab w:leader="none" w:pos="9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NGL Supply. </w:t>
      </w:r>
      <w:r>
        <w:rPr>
          <w:rFonts w:ascii="Arial" w:cs="Arial" w:eastAsia="Arial" w:hAnsi="Arial"/>
          <w:sz w:val="18"/>
          <w:szCs w:val="18"/>
          <w:color w:val="auto"/>
        </w:rPr>
        <w:t>The bulk of NGL supply (approximately 90% in the United States and 73% in Canada) comes from gas processing plants,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 a mixture of NGL from the dry gas (primarily methane). This NGL mix (also referred to as “Y Grade”) is then either fractionated at the processing site into the five individual NGL components (known as purity products), which may be transported, stored and sold to end use markets, or transported to a regional fractionation facility.</w:t>
      </w:r>
    </w:p>
    <w:p>
      <w:pPr>
        <w:spacing w:after="0" w:line="187"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the Marcellus and Utica region and in the Rockies region. In Canada, the vast majority of the processing capacity is located in Alberta, with a much smaller (but increasing) amount in British Columbia and Saskatchewan.</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NGL products from refineries represent approximately 8% of the United States supply and 4% of Canadian supply and are by-products of the refinery conversion process.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54"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NGL (primarily propane and butane) is also imported into certain regions of the United States from Canada and other parts of the world (approximately 3% of total supply). Propane and butane is also exported from certain regions of the United States.</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production points and delivery points, cost-efficiency and the quantity of product being transported. Pipelines are generally the most cost-efficient mode of transportation when large, consistent volumes of product are to be delivered.</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NGL must be stored under pressure to maintain a liquid state. The lighter the product (e.g., ethane), the greater the pressure that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maintained. Large volumes of NGL are stored in underground caverns constructed in salt or granite; however,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 Storage is especially important for NGL as supply and demand can vary materially on a seasonal basis.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NGL Market Outlook. </w:t>
      </w:r>
      <w:r>
        <w:rPr>
          <w:rFonts w:ascii="Arial" w:cs="Arial" w:eastAsia="Arial" w:hAnsi="Arial"/>
          <w:sz w:val="18"/>
          <w:szCs w:val="18"/>
          <w:color w:val="auto"/>
        </w:rPr>
        <w:t>The growth of shale-based production in both traditional and new producing areas has resulted in a significant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NGL supplies from gas processing plants over the past several years. This has driven extensive expansion and new development of midstream infrastructure in Canada, the Bakken, Marcellus/Utica, and throughout Texas.</w:t>
      </w:r>
    </w:p>
    <w:p>
      <w:pPr>
        <w:spacing w:after="0" w:line="14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growth of production in non-traditional producing regions and the increase in export capacity has shifted regional basis relationships and created new logistics and infrastructure opportunities. Growth of 13% in 2018 for North American NGL production has meant expansion into new markets, through exports or increased petrochemical demand. The continuation of a relatively low ratio of North American gas and NGL prices to world-wide crude oil prices will mean North American NGL can continue to be competitive on a world scale, either as feedstock for North American based manufacturing or export to overseas markets. In addition to substantially increased exports, a portion of the increased supply of NGL will be absorbed by the domestic petrochemical sector as low-cost feed stocks, as the North American petrochemical industry has enjoyed a supply cost advantage on a world scale.</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believe the fundamentals of an accessible resource base and improved midstream infrastructure should mean producers can continue to develop the most economic new supply. The NGL market is, among other things, expected to be driven by:</w:t>
      </w:r>
    </w:p>
    <w:p>
      <w:pPr>
        <w:spacing w:after="0" w:line="13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184"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petro-chemical demand driven by the build-out or new builds of Ethylene Cracker capacity (ethane demand) and Propane Dehydrogenation facilities (propane demand);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export capacity for both ethane and propane;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demand from refiners;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weather-related demand;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18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the “shock absorber” that balances the market, serving as a source of supply to meet the consumption demands in excess of daily production capacity during high-demand periods and a warehouse for gas production in excess of daily demand during low-demand periods.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market conditions for natural gas storage have been challenging during the last several years, driven by a variety of factors, including</w:t>
      </w:r>
    </w:p>
    <w:p>
      <w:pPr>
        <w:spacing w:after="0" w:line="35" w:lineRule="exact"/>
        <w:rPr>
          <w:sz w:val="20"/>
          <w:szCs w:val="20"/>
          <w:color w:val="auto"/>
        </w:rPr>
      </w:pPr>
    </w:p>
    <w:p>
      <w:pPr>
        <w:jc w:val="both"/>
        <w:ind w:right="360" w:firstLine="8"/>
        <w:spacing w:after="0" w:line="255"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natural gas supplies due to production from shale resources, (ii) a shift from Gulf of Mexico production to Northeast production causing less concern over supply disruptions from tropical weather and (iii) lower basis differentials in certain regions due to expansion and improved connectivity of natural gas transportation infrastructure.</w:t>
      </w:r>
    </w:p>
    <w:p>
      <w:pPr>
        <w:spacing w:after="0" w:line="15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Longer term, we believe several factors will contribute to meaningful growth in North American natural gas demand that will bolster the market need for and the commercial value of natural gas storage. These fundamental factors include (i) exports of North American volumes of LNG, (ii) increased exports of natural gas to Mexico, (iii) construction of new gas-fired power plants, (iv) sustained fuel switching from coal to natural gas among existing power plants and (v) growth in base-level industrial demand.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business activities are conducted through three segments—Transportation, Facilities and Supply and Logistics. We have an extensive network of pipeline transportation, terminalling, storage and gathering assets in key crude oil and NGL producing basins and transportation corridors and at major market hubs in the United States and Canada. The map and descriptions below highlight our more significant assets (including certain assets under construction or development) as of December 31, 2018. Unless the context requires otherwise, references herein to our “facilities” includes all of the pipelines, terminals, storage and other assets owned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848985" cy="4742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985" cy="474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three business segments.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We generate revenue through a combination of tariffs, pipeline capacity agreements and other transportation fees. Our Transportation segment also includes equity earnings from our investments (ranging from 20% to 65%) in entities that own transportation assets. We account for these investments under the equity method of accounting. See Note 9 to our Consolidated Financial Statements for additional information regarding these investments.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2018, we employed a variety of owned or, to a much lesser extent, leased long-term physical assets throughout the United States and Canada in this segment, including approximately:</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17,965 miles of active crude oil and NGL pipelines and gathering systems;</w:t>
      </w:r>
    </w:p>
    <w:p>
      <w:pPr>
        <w:spacing w:after="0" w:line="117"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31 million barrels of active, above-ground tank capacity used primarily to facilitate pipeline throughput and help maintain product quality segregation;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830 trailers (primarily in Canada);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 transport and storage barges and 20 transport tugs through our interest in Settoon Towing.</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2018, grouped by geographic location: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Approximate System</w:t>
            </w: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91"/>
              </w:rPr>
              <w:t>2018 Average Net</w:t>
            </w:r>
          </w:p>
        </w:tc>
      </w:tr>
      <w:tr>
        <w:trPr>
          <w:trHeight w:val="209"/>
        </w:trPr>
        <w:tc>
          <w:tcPr>
            <w:tcW w:w="6080" w:type="dxa"/>
            <w:vAlign w:val="bottom"/>
            <w:gridSpan w:val="2"/>
          </w:tcPr>
          <w:p>
            <w:pPr>
              <w:ind w:left="40"/>
              <w:spacing w:after="0"/>
              <w:rPr>
                <w:sz w:val="20"/>
                <w:szCs w:val="20"/>
                <w:color w:val="auto"/>
              </w:rPr>
            </w:pPr>
            <w:r>
              <w:rPr>
                <w:rFonts w:ascii="Arial" w:cs="Arial" w:eastAsia="Arial" w:hAnsi="Arial"/>
                <w:sz w:val="15"/>
                <w:szCs w:val="15"/>
                <w:b w:val="1"/>
                <w:bCs w:val="1"/>
                <w:color w:val="auto"/>
              </w:rPr>
              <w:t>Region</w:t>
            </w:r>
          </w:p>
        </w:tc>
        <w:tc>
          <w:tcPr>
            <w:tcW w:w="1960" w:type="dxa"/>
            <w:vAlign w:val="bottom"/>
            <w:gridSpan w:val="2"/>
          </w:tcPr>
          <w:p>
            <w:pPr>
              <w:ind w:left="180"/>
              <w:spacing w:after="0"/>
              <w:rPr>
                <w:sz w:val="20"/>
                <w:szCs w:val="20"/>
                <w:color w:val="auto"/>
              </w:rPr>
            </w:pPr>
            <w:r>
              <w:rPr>
                <w:rFonts w:ascii="Arial" w:cs="Arial" w:eastAsia="Arial" w:hAnsi="Arial"/>
                <w:sz w:val="15"/>
                <w:szCs w:val="15"/>
                <w:b w:val="1"/>
                <w:bCs w:val="1"/>
                <w:color w:val="auto"/>
              </w:rPr>
              <w:t>Ownership Percentage</w:t>
            </w:r>
          </w:p>
        </w:tc>
        <w:tc>
          <w:tcPr>
            <w:tcW w:w="1680" w:type="dxa"/>
            <w:vAlign w:val="bottom"/>
            <w:gridSpan w:val="2"/>
          </w:tcPr>
          <w:p>
            <w:pPr>
              <w:jc w:val="center"/>
              <w:ind w:right="120"/>
              <w:spacing w:after="0" w:line="209" w:lineRule="exact"/>
              <w:rPr>
                <w:sz w:val="20"/>
                <w:szCs w:val="20"/>
                <w:color w:val="auto"/>
              </w:rPr>
            </w:pPr>
            <w:r>
              <w:rPr>
                <w:rFonts w:ascii="Arial" w:cs="Arial" w:eastAsia="Arial" w:hAnsi="Arial"/>
                <w:sz w:val="15"/>
                <w:szCs w:val="15"/>
                <w:b w:val="1"/>
                <w:bCs w:val="1"/>
                <w:color w:val="auto"/>
                <w:w w:val="91"/>
              </w:rPr>
              <w:t xml:space="preserve">Miles </w:t>
            </w:r>
            <w:r>
              <w:rPr>
                <w:rFonts w:ascii="Arial" w:cs="Arial" w:eastAsia="Arial" w:hAnsi="Arial"/>
                <w:sz w:val="24"/>
                <w:szCs w:val="24"/>
                <w:b w:val="1"/>
                <w:bCs w:val="1"/>
                <w:color w:val="auto"/>
                <w:w w:val="91"/>
                <w:vertAlign w:val="superscript"/>
              </w:rPr>
              <w:t>(1)</w:t>
            </w:r>
          </w:p>
        </w:tc>
        <w:tc>
          <w:tcPr>
            <w:tcW w:w="1700" w:type="dxa"/>
            <w:vAlign w:val="bottom"/>
          </w:tcPr>
          <w:p>
            <w:pPr>
              <w:jc w:val="center"/>
              <w:spacing w:after="0" w:line="209" w:lineRule="exact"/>
              <w:rPr>
                <w:sz w:val="20"/>
                <w:szCs w:val="20"/>
                <w:color w:val="auto"/>
              </w:rPr>
            </w:pPr>
            <w:r>
              <w:rPr>
                <w:rFonts w:ascii="Arial" w:cs="Arial" w:eastAsia="Arial" w:hAnsi="Arial"/>
                <w:sz w:val="15"/>
                <w:szCs w:val="15"/>
                <w:b w:val="1"/>
                <w:bCs w:val="1"/>
                <w:color w:val="auto"/>
                <w:w w:val="90"/>
              </w:rPr>
              <w:t xml:space="preserve">Barrels per Day </w:t>
            </w:r>
            <w:r>
              <w:rPr>
                <w:rFonts w:ascii="Arial" w:cs="Arial" w:eastAsia="Arial" w:hAnsi="Arial"/>
                <w:sz w:val="24"/>
                <w:szCs w:val="24"/>
                <w:b w:val="1"/>
                <w:bCs w:val="1"/>
                <w:color w:val="auto"/>
                <w:w w:val="90"/>
                <w:vertAlign w:val="superscript"/>
              </w:rPr>
              <w:t>(2)</w:t>
            </w:r>
          </w:p>
        </w:tc>
      </w:tr>
      <w:tr>
        <w:trPr>
          <w:trHeight w:val="258"/>
        </w:trPr>
        <w:tc>
          <w:tcPr>
            <w:tcW w:w="5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Crude Oil Pipelines:</w:t>
            </w:r>
          </w:p>
        </w:tc>
        <w:tc>
          <w:tcPr>
            <w:tcW w:w="1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9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Permian Basin:</w:t>
            </w: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Gathering pipelines</w:t>
            </w:r>
          </w:p>
        </w:tc>
        <w:tc>
          <w:tcPr>
            <w:tcW w:w="1820" w:type="dxa"/>
            <w:vAlign w:val="bottom"/>
          </w:tcPr>
          <w:p>
            <w:pPr>
              <w:jc w:val="center"/>
              <w:ind w:left="271"/>
              <w:spacing w:after="0"/>
              <w:rPr>
                <w:sz w:val="20"/>
                <w:szCs w:val="20"/>
                <w:color w:val="auto"/>
              </w:rPr>
            </w:pPr>
            <w:r>
              <w:rPr>
                <w:rFonts w:ascii="Arial" w:cs="Arial" w:eastAsia="Arial" w:hAnsi="Arial"/>
                <w:sz w:val="18"/>
                <w:szCs w:val="18"/>
                <w:color w:val="auto"/>
                <w:w w:val="91"/>
              </w:rPr>
              <w:t>100%</w:t>
            </w:r>
          </w:p>
        </w:tc>
        <w:tc>
          <w:tcPr>
            <w:tcW w:w="14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1,063</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Intra-basin pipelines </w:t>
            </w:r>
            <w:r>
              <w:rPr>
                <w:rFonts w:ascii="Arial" w:cs="Arial" w:eastAsia="Arial" w:hAnsi="Arial"/>
                <w:sz w:val="25"/>
                <w:szCs w:val="25"/>
                <w:color w:val="auto"/>
                <w:vertAlign w:val="superscript"/>
              </w:rPr>
              <w:t>(3)</w:t>
            </w:r>
          </w:p>
        </w:tc>
        <w:tc>
          <w:tcPr>
            <w:tcW w:w="1820" w:type="dxa"/>
            <w:vAlign w:val="bottom"/>
            <w:shd w:val="clear" w:color="auto" w:fill="CCEEFF"/>
          </w:tcPr>
          <w:p>
            <w:pPr>
              <w:jc w:val="center"/>
              <w:ind w:left="271"/>
              <w:spacing w:after="0"/>
              <w:rPr>
                <w:sz w:val="20"/>
                <w:szCs w:val="20"/>
                <w:color w:val="auto"/>
              </w:rPr>
            </w:pPr>
            <w:r>
              <w:rPr>
                <w:rFonts w:ascii="Arial" w:cs="Arial" w:eastAsia="Arial" w:hAnsi="Arial"/>
                <w:sz w:val="18"/>
                <w:szCs w:val="18"/>
                <w:color w:val="auto"/>
                <w:w w:val="91"/>
              </w:rPr>
              <w:t>50% - 100%</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1,650</w:t>
            </w:r>
          </w:p>
        </w:tc>
      </w:tr>
      <w:tr>
        <w:trPr>
          <w:trHeight w:val="270"/>
        </w:trPr>
        <w:tc>
          <w:tcPr>
            <w:tcW w:w="6080" w:type="dxa"/>
            <w:vAlign w:val="bottom"/>
            <w:tcBorders>
              <w:bottom w:val="single" w:sz="8" w:color="CCEEFF"/>
            </w:tcBorders>
            <w:gridSpan w:val="2"/>
          </w:tcPr>
          <w:p>
            <w:pPr>
              <w:ind w:left="380"/>
              <w:spacing w:after="0" w:line="270" w:lineRule="exact"/>
              <w:rPr>
                <w:sz w:val="20"/>
                <w:szCs w:val="20"/>
                <w:color w:val="auto"/>
              </w:rPr>
            </w:pPr>
            <w:r>
              <w:rPr>
                <w:rFonts w:ascii="Arial" w:cs="Arial" w:eastAsia="Arial" w:hAnsi="Arial"/>
                <w:sz w:val="18"/>
                <w:szCs w:val="18"/>
                <w:color w:val="auto"/>
              </w:rPr>
              <w:t xml:space="preserve">Long-haul pipelines </w:t>
            </w:r>
            <w:r>
              <w:rPr>
                <w:rFonts w:ascii="Arial" w:cs="Arial" w:eastAsia="Arial" w:hAnsi="Arial"/>
                <w:sz w:val="25"/>
                <w:szCs w:val="25"/>
                <w:color w:val="auto"/>
                <w:vertAlign w:val="superscript"/>
              </w:rPr>
              <w:t>(3)</w:t>
            </w:r>
          </w:p>
        </w:tc>
        <w:tc>
          <w:tcPr>
            <w:tcW w:w="1820" w:type="dxa"/>
            <w:vAlign w:val="bottom"/>
            <w:tcBorders>
              <w:bottom w:val="single" w:sz="8" w:color="CCEEFF"/>
            </w:tcBorders>
          </w:tcPr>
          <w:p>
            <w:pPr>
              <w:jc w:val="center"/>
              <w:ind w:left="271"/>
              <w:spacing w:after="0"/>
              <w:rPr>
                <w:sz w:val="20"/>
                <w:szCs w:val="20"/>
                <w:color w:val="auto"/>
              </w:rPr>
            </w:pPr>
            <w:r>
              <w:rPr>
                <w:rFonts w:ascii="Arial" w:cs="Arial" w:eastAsia="Arial" w:hAnsi="Arial"/>
                <w:sz w:val="18"/>
                <w:szCs w:val="18"/>
                <w:color w:val="auto"/>
                <w:w w:val="91"/>
              </w:rPr>
              <w:t>20% - 100%</w:t>
            </w:r>
          </w:p>
        </w:tc>
        <w:tc>
          <w:tcPr>
            <w:tcW w:w="14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1,019</w:t>
            </w:r>
          </w:p>
        </w:tc>
      </w:tr>
      <w:tr>
        <w:trPr>
          <w:trHeight w:val="244"/>
        </w:trPr>
        <w:tc>
          <w:tcPr>
            <w:tcW w:w="5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5,035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3,732</w:t>
            </w:r>
          </w:p>
        </w:tc>
      </w:tr>
      <w:tr>
        <w:trPr>
          <w:trHeight w:val="28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South Texas/Eagle Ford</w:t>
            </w:r>
          </w:p>
        </w:tc>
        <w:tc>
          <w:tcPr>
            <w:tcW w:w="1820" w:type="dxa"/>
            <w:vAlign w:val="bottom"/>
            <w:tcBorders>
              <w:bottom w:val="single" w:sz="8" w:color="CCEEFF"/>
            </w:tcBorders>
            <w:shd w:val="clear" w:color="auto" w:fill="CCEEFF"/>
          </w:tcPr>
          <w:p>
            <w:pPr>
              <w:jc w:val="center"/>
              <w:ind w:left="271"/>
              <w:spacing w:after="0"/>
              <w:rPr>
                <w:sz w:val="20"/>
                <w:szCs w:val="20"/>
                <w:color w:val="auto"/>
              </w:rPr>
            </w:pPr>
            <w:r>
              <w:rPr>
                <w:rFonts w:ascii="Arial" w:cs="Arial" w:eastAsia="Arial" w:hAnsi="Arial"/>
                <w:sz w:val="18"/>
                <w:szCs w:val="18"/>
                <w:color w:val="auto"/>
                <w:w w:val="91"/>
              </w:rPr>
              <w:t>50% - 100%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w:t>
            </w:r>
          </w:p>
        </w:tc>
      </w:tr>
      <w:tr>
        <w:trPr>
          <w:trHeight w:val="28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Central</w:t>
            </w:r>
          </w:p>
        </w:tc>
        <w:tc>
          <w:tcPr>
            <w:tcW w:w="1820" w:type="dxa"/>
            <w:vAlign w:val="bottom"/>
            <w:tcBorders>
              <w:bottom w:val="single" w:sz="8" w:color="CCEEFF"/>
            </w:tcBorders>
            <w:shd w:val="clear" w:color="auto" w:fill="CCEEFF"/>
          </w:tcPr>
          <w:p>
            <w:pPr>
              <w:jc w:val="center"/>
              <w:ind w:left="271"/>
              <w:spacing w:after="0"/>
              <w:rPr>
                <w:sz w:val="20"/>
                <w:szCs w:val="20"/>
                <w:color w:val="auto"/>
              </w:rPr>
            </w:pPr>
            <w:r>
              <w:rPr>
                <w:rFonts w:ascii="Arial" w:cs="Arial" w:eastAsia="Arial" w:hAnsi="Arial"/>
                <w:sz w:val="18"/>
                <w:szCs w:val="18"/>
                <w:color w:val="auto"/>
                <w:w w:val="91"/>
              </w:rPr>
              <w:t>50% - 100%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w:t>
            </w:r>
          </w:p>
        </w:tc>
      </w:tr>
      <w:tr>
        <w:trPr>
          <w:trHeight w:val="28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60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Gulf Coast </w:t>
            </w:r>
            <w:r>
              <w:rPr>
                <w:rFonts w:ascii="Arial" w:cs="Arial" w:eastAsia="Arial" w:hAnsi="Arial"/>
                <w:sz w:val="25"/>
                <w:szCs w:val="25"/>
                <w:color w:val="auto"/>
                <w:vertAlign w:val="superscript"/>
              </w:rPr>
              <w:t>(3)</w:t>
            </w:r>
          </w:p>
        </w:tc>
        <w:tc>
          <w:tcPr>
            <w:tcW w:w="1820" w:type="dxa"/>
            <w:vAlign w:val="bottom"/>
            <w:shd w:val="clear" w:color="auto" w:fill="CCEEFF"/>
          </w:tcPr>
          <w:p>
            <w:pPr>
              <w:jc w:val="center"/>
              <w:ind w:left="271"/>
              <w:spacing w:after="0"/>
              <w:rPr>
                <w:sz w:val="20"/>
                <w:szCs w:val="20"/>
                <w:color w:val="auto"/>
              </w:rPr>
            </w:pPr>
            <w:r>
              <w:rPr>
                <w:rFonts w:ascii="Arial" w:cs="Arial" w:eastAsia="Arial" w:hAnsi="Arial"/>
                <w:sz w:val="18"/>
                <w:szCs w:val="18"/>
                <w:color w:val="auto"/>
                <w:w w:val="91"/>
              </w:rPr>
              <w:t>54% - 100%</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r>
      <w:tr>
        <w:trPr>
          <w:trHeight w:val="29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60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(3)</w:t>
            </w:r>
          </w:p>
        </w:tc>
        <w:tc>
          <w:tcPr>
            <w:tcW w:w="1820" w:type="dxa"/>
            <w:vAlign w:val="bottom"/>
            <w:shd w:val="clear" w:color="auto" w:fill="CCEEFF"/>
          </w:tcPr>
          <w:p>
            <w:pPr>
              <w:jc w:val="center"/>
              <w:ind w:left="271"/>
              <w:spacing w:after="0"/>
              <w:rPr>
                <w:sz w:val="20"/>
                <w:szCs w:val="20"/>
                <w:color w:val="auto"/>
              </w:rPr>
            </w:pPr>
            <w:r>
              <w:rPr>
                <w:rFonts w:ascii="Arial" w:cs="Arial" w:eastAsia="Arial" w:hAnsi="Arial"/>
                <w:sz w:val="18"/>
                <w:szCs w:val="18"/>
                <w:color w:val="auto"/>
                <w:w w:val="91"/>
              </w:rPr>
              <w:t>21% - 100%</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r>
      <w:tr>
        <w:trPr>
          <w:trHeight w:val="32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Western</w:t>
            </w:r>
          </w:p>
        </w:tc>
        <w:tc>
          <w:tcPr>
            <w:tcW w:w="1820" w:type="dxa"/>
            <w:vAlign w:val="bottom"/>
            <w:tcBorders>
              <w:bottom w:val="single" w:sz="8" w:color="CCEEFF"/>
            </w:tcBorders>
            <w:shd w:val="clear" w:color="auto" w:fill="CCEEFF"/>
          </w:tcPr>
          <w:p>
            <w:pPr>
              <w:jc w:val="center"/>
              <w:ind w:left="271"/>
              <w:spacing w:after="0"/>
              <w:rPr>
                <w:sz w:val="20"/>
                <w:szCs w:val="20"/>
                <w:color w:val="auto"/>
              </w:rPr>
            </w:pPr>
            <w:r>
              <w:rPr>
                <w:rFonts w:ascii="Arial" w:cs="Arial" w:eastAsia="Arial" w:hAnsi="Arial"/>
                <w:sz w:val="18"/>
                <w:szCs w:val="18"/>
                <w:color w:val="auto"/>
                <w:w w:val="91"/>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r>
      <w:tr>
        <w:trPr>
          <w:trHeight w:val="29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1820" w:type="dxa"/>
            <w:vAlign w:val="bottom"/>
            <w:tcBorders>
              <w:bottom w:val="single" w:sz="8" w:color="CCEEFF"/>
            </w:tcBorders>
            <w:shd w:val="clear" w:color="auto" w:fill="CCEEFF"/>
          </w:tcPr>
          <w:p>
            <w:pPr>
              <w:jc w:val="center"/>
              <w:ind w:left="271"/>
              <w:spacing w:after="0"/>
              <w:rPr>
                <w:sz w:val="20"/>
                <w:szCs w:val="20"/>
                <w:color w:val="auto"/>
              </w:rPr>
            </w:pPr>
            <w:r>
              <w:rPr>
                <w:rFonts w:ascii="Arial" w:cs="Arial" w:eastAsia="Arial" w:hAnsi="Arial"/>
                <w:sz w:val="18"/>
                <w:szCs w:val="18"/>
                <w:color w:val="auto"/>
                <w:w w:val="91"/>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w:t>
            </w:r>
          </w:p>
        </w:tc>
      </w:tr>
      <w:tr>
        <w:trPr>
          <w:trHeight w:val="324"/>
        </w:trPr>
        <w:tc>
          <w:tcPr>
            <w:tcW w:w="5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Crude Oil Pipelines Total</w:t>
            </w:r>
          </w:p>
        </w:tc>
        <w:tc>
          <w:tcPr>
            <w:tcW w:w="1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16,300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5,608</w:t>
            </w:r>
          </w:p>
        </w:tc>
      </w:tr>
      <w:tr>
        <w:trPr>
          <w:trHeight w:val="31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Canadian NGL Pipelines</w:t>
            </w:r>
          </w:p>
        </w:tc>
        <w:tc>
          <w:tcPr>
            <w:tcW w:w="1820" w:type="dxa"/>
            <w:vAlign w:val="bottom"/>
            <w:tcBorders>
              <w:bottom w:val="single" w:sz="8" w:color="CCEEFF"/>
            </w:tcBorders>
            <w:shd w:val="clear" w:color="auto" w:fill="CCEEFF"/>
          </w:tcPr>
          <w:p>
            <w:pPr>
              <w:jc w:val="center"/>
              <w:ind w:left="271"/>
              <w:spacing w:after="0"/>
              <w:rPr>
                <w:sz w:val="20"/>
                <w:szCs w:val="20"/>
                <w:color w:val="auto"/>
              </w:rPr>
            </w:pPr>
            <w:r>
              <w:rPr>
                <w:rFonts w:ascii="Arial" w:cs="Arial" w:eastAsia="Arial" w:hAnsi="Arial"/>
                <w:sz w:val="18"/>
                <w:szCs w:val="18"/>
                <w:color w:val="auto"/>
                <w:w w:val="91"/>
              </w:rPr>
              <w:t>21% - 100%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r>
      <w:tr>
        <w:trPr>
          <w:trHeight w:val="297"/>
        </w:trPr>
        <w:tc>
          <w:tcPr>
            <w:tcW w:w="5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Crude Oil and NGL Pipelines Total</w:t>
            </w:r>
          </w:p>
        </w:tc>
        <w:tc>
          <w:tcPr>
            <w:tcW w:w="1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17,965</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5,791</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32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total mileage from pipelines owned by unconsolidated entities.</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440" w:hanging="652"/>
        <w:spacing w:after="0" w:line="226"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Represents average daily volumes for the entire year attributable to our interest. Average daily volumes are calculated as the total volumes (attributable to our interest) for the year divided by the number of days in the year. Volumes reflect tariff movements and thus may be included multiple times as volumes move through our integrated system.</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pipelines operated by a third party.</w:t>
      </w:r>
    </w:p>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significant portion of our pipeline assets are interconnected and are operated as a contiguous system. The following descriptions are organized by geographic location and represent a selection of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point B to point C would double the pipeline tariff volumes on a particular system versus a point A to point C movement). As a result, at times, our reported tariff barrel movements may exceed our total capacity.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Pipelines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Permian Basin</w:t>
      </w:r>
    </w:p>
    <w:p>
      <w:pPr>
        <w:spacing w:after="0" w:line="18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are among the largest providers of crude oil midstream infrastructure and services in the Permian Basin located in west Texas and southeastern New Mexico. Our Permian Basin asset base represents an interconnected system that aggregates receipts from wellhead gathering lines and bulk truck injection locations into intra-basin trunk lines for transportation and delivery to a combination of owned and third-party mainline takeaway pipelines. Accordingly, our Permian Basin crude oil pipelines fall into one of three categories: Gathering, Intra-basin or Long-haul.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Gathering Pipelines</w:t>
      </w:r>
    </w:p>
    <w:p>
      <w:pPr>
        <w:spacing w:after="0" w:line="18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We own and operate approximately 2,970 miles of gathering pipelines in the Permian Basin. Our gathering systems are in both the Midland Basin and the Delaware Basin and in aggregate represent approximately 2 million barrels per day of pipeline capacity. This gathering capacity includes pipeline capacity that delivers volumes to regional hubs and includes certain large diameter pipeline segments/systems. Approximately 75% of the capacity of our gathering systems is in the Delaware Basin. We currently expect to add approximately 600,000 barrels per day of capacity in 2019.</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Intra-basin Pipelines</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operate an intra-basin Permian Basin pipeline system with a capacity of over 2 million barrels per day that connects gathering and truck injection volumes to our owned and operated as well as third-party mainline pipelines that transport crude oil to major market hubs. This interconnected pipeline system is designed to provide shippers flow assurance, flexibility and access to multiple markets. We added approximately 500,000 barrels per day of incremental capacity in 2018 through the completion of various expansion projects, and we currently expect to add approximately 400,000 barrels per day of capacity in 2019.</w:t>
      </w:r>
    </w:p>
    <w:p>
      <w:pPr>
        <w:spacing w:after="0" w:line="188"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Two of our largest intra-basin pipelines are the Mesa and Sunrise Pipelines. The Mesa and Sunrise Pipelines extend from our Midland, Texas terminal to our Colorado City, Texas terminal where they have access to all of the Permian Basin takeaway pipelines that originate at Colorado City.</w:t>
      </w:r>
    </w:p>
    <w:p>
      <w:pPr>
        <w:spacing w:after="0" w:line="124" w:lineRule="exact"/>
        <w:rPr>
          <w:sz w:val="20"/>
          <w:szCs w:val="20"/>
          <w:color w:val="auto"/>
        </w:rPr>
      </w:pPr>
    </w:p>
    <w:p>
      <w:pPr>
        <w:jc w:val="both"/>
        <w:ind w:left="980" w:right="8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Mesa Pipeline. </w:t>
      </w:r>
      <w:r>
        <w:rPr>
          <w:rFonts w:ascii="Arial" w:cs="Arial" w:eastAsia="Arial" w:hAnsi="Arial"/>
          <w:sz w:val="18"/>
          <w:szCs w:val="18"/>
          <w:color w:val="auto"/>
        </w:rPr>
        <w:t>We own a 63% undivided interest in and are the operator of Mesa Pipeline, which transports crude oil from Midland, Texas to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refinery at Big Spring, Texas, and to connecting carriers at Colorado City, Texas, with capacity of up to 400,000 barrels per day (approximately 252,000 barrels per day attributable to our interest).</w:t>
      </w:r>
    </w:p>
    <w:p>
      <w:pPr>
        <w:spacing w:after="0" w:line="181"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Sunrise Pipeline. </w:t>
      </w:r>
      <w:r>
        <w:rPr>
          <w:rFonts w:ascii="Arial" w:cs="Arial" w:eastAsia="Arial" w:hAnsi="Arial"/>
          <w:sz w:val="18"/>
          <w:szCs w:val="18"/>
          <w:color w:val="auto"/>
        </w:rPr>
        <w:t>Our Sunrise Pipeline, which transports crude oil from Midland, Texas to connecting carriers at Colorado City, Texas, has a</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approximately 350,000 barrels per day.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Long-haul Pipelines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own interests in multiple long-haul Permian Basin pipeline systems that, on a combined basis, represent approximately 1 million barrels per day of currently operational takeaway capacity (net to our ownership interests) out of the Permian Basin.</w:t>
      </w:r>
    </w:p>
    <w:p>
      <w:pPr>
        <w:spacing w:after="0" w:line="170" w:lineRule="exact"/>
        <w:rPr>
          <w:sz w:val="20"/>
          <w:szCs w:val="20"/>
          <w:color w:val="auto"/>
        </w:rPr>
      </w:pPr>
    </w:p>
    <w:p>
      <w:pPr>
        <w:ind w:left="980" w:right="40" w:hanging="324"/>
        <w:spacing w:after="0" w:line="279"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Basin Pipeline (Permian to Cushing). </w:t>
      </w:r>
      <w:r>
        <w:rPr>
          <w:rFonts w:ascii="Arial" w:cs="Arial" w:eastAsia="Arial" w:hAnsi="Arial"/>
          <w:sz w:val="17"/>
          <w:szCs w:val="17"/>
          <w:color w:val="auto"/>
        </w:rPr>
        <w:t>We own an 87% undivided joint interest in and are the operator of Basin Pipeline. Basin Pipeline has</w:t>
      </w:r>
      <w:r>
        <w:rPr>
          <w:rFonts w:ascii="Arial" w:cs="Arial" w:eastAsia="Arial" w:hAnsi="Arial"/>
          <w:sz w:val="17"/>
          <w:szCs w:val="17"/>
          <w:i w:val="1"/>
          <w:iCs w:val="1"/>
          <w:color w:val="auto"/>
        </w:rPr>
        <w:t xml:space="preserve"> </w:t>
      </w:r>
      <w:r>
        <w:rPr>
          <w:rFonts w:ascii="Arial" w:cs="Arial" w:eastAsia="Arial" w:hAnsi="Arial"/>
          <w:sz w:val="17"/>
          <w:szCs w:val="17"/>
          <w:color w:val="auto"/>
        </w:rPr>
        <w:t>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71" w:lineRule="exact"/>
        <w:rPr>
          <w:rFonts w:ascii="Arial" w:cs="Arial" w:eastAsia="Arial" w:hAnsi="Arial"/>
          <w:sz w:val="17"/>
          <w:szCs w:val="17"/>
          <w:color w:val="auto"/>
        </w:rPr>
      </w:pPr>
    </w:p>
    <w:p>
      <w:pPr>
        <w:ind w:left="980" w:right="80" w:hanging="324"/>
        <w:spacing w:after="0" w:line="255"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BridgeTex Pipeline (Permian to Houston). </w:t>
      </w:r>
      <w:r>
        <w:rPr>
          <w:rFonts w:ascii="Arial" w:cs="Arial" w:eastAsia="Arial" w:hAnsi="Arial"/>
          <w:sz w:val="18"/>
          <w:szCs w:val="18"/>
          <w:color w:val="auto"/>
        </w:rPr>
        <w:t>After the sale of a portion of our interest in the third quarter of 2018, we now own a 20%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BridgeTex Pipeline Company, LLC, a joint venture with a subsidiary of Magellan Midstream Partners, L.P. (“Magellan”) and an affiliate of OMERS Infrastructure Management Inc. Such joint venture owns a crude oil pipeline (the “BridgeTex Pipeline”) with a capacity of 440,000 barrels per day that originates at Colorado City, Texas, receiving volumes from our Basin and Sunrise Pipelines, and extends to Houston, Texas. The BridgeTex Pipeline is operated by Magellan. See Note 9 to our Consolidated Financial Statements for additional information regarding the sale of a portion of our interest in BridgeTex Pipeline Company, LLC.</w:t>
      </w:r>
    </w:p>
    <w:p>
      <w:pPr>
        <w:spacing w:after="0" w:line="193" w:lineRule="exact"/>
        <w:rPr>
          <w:rFonts w:ascii="Arial" w:cs="Arial" w:eastAsia="Arial" w:hAnsi="Arial"/>
          <w:sz w:val="18"/>
          <w:szCs w:val="18"/>
          <w:color w:val="auto"/>
        </w:rPr>
      </w:pPr>
    </w:p>
    <w:p>
      <w:pPr>
        <w:ind w:left="980" w:hanging="324"/>
        <w:spacing w:after="0" w:line="297"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Sunrise II Pipeline. </w:t>
      </w:r>
      <w:r>
        <w:rPr>
          <w:rFonts w:ascii="Arial" w:cs="Arial" w:eastAsia="Arial" w:hAnsi="Arial"/>
          <w:sz w:val="16"/>
          <w:szCs w:val="16"/>
          <w:color w:val="auto"/>
        </w:rPr>
        <w:t>In 2018, as part of our Sunrise expansion project, we added 500,000 barrels per day of capacity by looping the line from</w:t>
      </w:r>
      <w:r>
        <w:rPr>
          <w:rFonts w:ascii="Arial" w:cs="Arial" w:eastAsia="Arial" w:hAnsi="Arial"/>
          <w:sz w:val="16"/>
          <w:szCs w:val="16"/>
          <w:i w:val="1"/>
          <w:iCs w:val="1"/>
          <w:color w:val="auto"/>
        </w:rPr>
        <w:t xml:space="preserve"> </w:t>
      </w:r>
      <w:r>
        <w:rPr>
          <w:rFonts w:ascii="Arial" w:cs="Arial" w:eastAsia="Arial" w:hAnsi="Arial"/>
          <w:sz w:val="16"/>
          <w:szCs w:val="16"/>
          <w:color w:val="auto"/>
        </w:rPr>
        <w:t>Midland, Texas to Colorado City, Texas and extended the line from Colorado City, Texas to Wichita Falls, Texas. We sold 100,000 barrels per day of the new capacity from Midland, Texas to Wichita Falls, Texas to a third party. We operate the Sunrise II Pipeline and own 400,000 barrels of the capacity. The Sunrise expansion is underpinned by long-term shipper commitments and was placed into service in November 2018. Our Sunrise II Pipeline transports crude oil from Midland, Texas and Colorado City, Texas to connecting carriers at Wichita Falls, Texas.</w:t>
      </w:r>
    </w:p>
    <w:p>
      <w:pPr>
        <w:spacing w:after="0" w:line="158" w:lineRule="exact"/>
        <w:rPr>
          <w:rFonts w:ascii="Arial" w:cs="Arial" w:eastAsia="Arial" w:hAnsi="Arial"/>
          <w:sz w:val="16"/>
          <w:szCs w:val="16"/>
          <w:color w:val="auto"/>
        </w:rPr>
      </w:pPr>
    </w:p>
    <w:p>
      <w:pPr>
        <w:ind w:left="980" w:right="500" w:hanging="324"/>
        <w:spacing w:after="0" w:line="286"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Cactus Pipeline (Permian to Corpus Christi). </w:t>
      </w:r>
      <w:r>
        <w:rPr>
          <w:rFonts w:ascii="Arial" w:cs="Arial" w:eastAsia="Arial" w:hAnsi="Arial"/>
          <w:sz w:val="17"/>
          <w:szCs w:val="17"/>
          <w:color w:val="auto"/>
        </w:rPr>
        <w:t>We own and operate the Cactus Pipeline, which has a capacity of 390,000 barrels per day,</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originates at McCamey, Texas and extends to Gardendale, Texas. Cactus Pipeline volumes are interconnected to the Corpus Christi, Texas market through a connection at Gardendale, Texas to our Eagle Ford joint venture pipeline system.</w:t>
      </w:r>
    </w:p>
    <w:p>
      <w:pPr>
        <w:spacing w:after="0" w:line="165" w:lineRule="exact"/>
        <w:rPr>
          <w:rFonts w:ascii="Arial" w:cs="Arial" w:eastAsia="Arial" w:hAnsi="Arial"/>
          <w:sz w:val="17"/>
          <w:szCs w:val="17"/>
          <w:color w:val="auto"/>
        </w:rPr>
      </w:pPr>
    </w:p>
    <w:p>
      <w:pPr>
        <w:ind w:left="980" w:right="260" w:hanging="324"/>
        <w:spacing w:after="0" w:line="25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Cactus II Pipeline (Permian to Corpus Christi). </w:t>
      </w:r>
      <w:r>
        <w:rPr>
          <w:rFonts w:ascii="Arial" w:cs="Arial" w:eastAsia="Arial" w:hAnsi="Arial"/>
          <w:sz w:val="18"/>
          <w:szCs w:val="18"/>
          <w:color w:val="auto"/>
        </w:rPr>
        <w:t>Cactus II Pipeline is a joint-venture pipeline, of which we own 65%, that is currently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Cactus II Pipeline will be a new Permian mainline system extending directly to the Corpus Christi, Texas market. In February 2018, we announced that Cactus II Pipeline was fully committed with long-term third-party contracts following the conclusion of a second binding open season. Cactus II Pipeline will have a capacity of 670,000 barrels per day and is expected to be placed into partial service in the second half of 2019.</w:t>
      </w:r>
    </w:p>
    <w:p>
      <w:pPr>
        <w:spacing w:after="0" w:line="188" w:lineRule="exact"/>
        <w:rPr>
          <w:rFonts w:ascii="Arial" w:cs="Arial" w:eastAsia="Arial" w:hAnsi="Arial"/>
          <w:sz w:val="18"/>
          <w:szCs w:val="18"/>
          <w:color w:val="auto"/>
        </w:rPr>
      </w:pPr>
    </w:p>
    <w:p>
      <w:pPr>
        <w:ind w:left="980" w:right="120" w:hanging="324"/>
        <w:spacing w:after="0" w:line="25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Wink to Webster Pipeline. </w:t>
      </w:r>
      <w:r>
        <w:rPr>
          <w:rFonts w:ascii="Arial" w:cs="Arial" w:eastAsia="Arial" w:hAnsi="Arial"/>
          <w:sz w:val="18"/>
          <w:szCs w:val="18"/>
          <w:color w:val="auto"/>
        </w:rPr>
        <w:t>In January 2019, we announced the formation of Wink to Webster Pipeline LLC (“W2W Pipeline”), a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with subsidiaries of ExxonMobil and Lotus Midstream, LLC. We own a 20% interest in W2W Pipeline, which is currently developing a new pipeline system that will originate in the Permian Basin in West Texas and transport crude oil to the Texas Gulf Coast. The pipeline system will provide more than 1 million barrels per day of crude oil and condensate capacity, and the project is targeted to commence operations in the first half of 2021.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South Texas/Eagle Ford Area</w:t>
      </w:r>
    </w:p>
    <w:p>
      <w:pPr>
        <w:spacing w:after="0" w:line="18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own a 100% interest in and are the operator of gathering systems that feed into our Gardendale Station. Additionally, we own a 50% interest in Eagle Ford Pipeline LLC, a joint venture with a subsidiary of Enterprise Products Partners, L.P. (“Enterprise”). This joint venture owns a pipeline system, of which we serve as the operator, that has a total capacity of approximately 660,000 barrels per day and connects Permian and Eagle Ford area production to Corpus Christi, Texas refiners and terminals. Additionally, the joint venture system has connectivity to Houston, Texas via a connection with Enterprise’s pipeline at Lyssy, Texas.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Central</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own and operate gathering and mainline pipelines that source crude oil from Western and Central Oklahoma and Southwest Kansas for transportation and delivery into our terminal facilities at Cushing, Oklahoma. In addition, we own and operate various pipeline systems that extend from our Cushing facility, or from other pipelines connected to our Cushing facility, to various demand locations. Below is a description of some of our most significant pipeline systems in the Central Region:</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Diamond Pipeline (Cushing to Memphis). </w:t>
      </w:r>
      <w:r>
        <w:rPr>
          <w:rFonts w:ascii="Arial" w:cs="Arial" w:eastAsia="Arial" w:hAnsi="Arial"/>
          <w:sz w:val="17"/>
          <w:szCs w:val="17"/>
          <w:color w:val="auto"/>
        </w:rPr>
        <w:t>We own a 50% interest in Diamond Pipeline LLC, a joint venture with Valero Energy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(“Valero”). This joint venture owns, and we operate, the Diamond Pipeline, which extends from our Cushing Terminal to Valero’s refinery in Memphis, Tennessee. The Diamond Pipeline is underpinned by a long-term minimum volume commitment and currently has a total capacity of 200,000 barrels per day, which is expandable by an additional 200,000 barrels per day as conditions warrant. Pending a successful open season on the Capline Pipeline system (“Capline”), the joint venture partners are contemplating an expansion and modest extension of the Diamond Pipeline that would connect to Capline and facilitate the movement of volumes from Cushing, Oklahoma to St. James, Louisiana (see discussion below).</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Red River Pipeline (Cushing to Longview)</w:t>
      </w:r>
      <w:r>
        <w:rPr>
          <w:rFonts w:ascii="Arial" w:cs="Arial" w:eastAsia="Arial" w:hAnsi="Arial"/>
          <w:sz w:val="18"/>
          <w:szCs w:val="18"/>
          <w:color w:val="auto"/>
        </w:rPr>
        <w:t>. The Red River Pipeline is an approximately 150,000 barrel per day capacity pipeline that extends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Cushing Terminal to Longview, Texas, where it connects with various pipelines, including the Caddo Pipeline. We have an undivided 60% interest in the segment of the pipeline extending from Cushing, Oklahoma to Hewitt, Oklahoma near Valero’s refinery in Ardmore, Oklahoma. We have a 100% interest in the remaining portion of the pipeline that extends from Hewitt, Oklahoma to Longview, Texas. The Red River Pipeline is supported by long-term shipper commitments and we serve as operator.</w:t>
      </w:r>
    </w:p>
    <w:p>
      <w:pPr>
        <w:spacing w:after="0" w:line="18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Caddo Pipeline</w:t>
      </w:r>
      <w:r>
        <w:rPr>
          <w:rFonts w:ascii="Arial" w:cs="Arial" w:eastAsia="Arial" w:hAnsi="Arial"/>
          <w:sz w:val="16"/>
          <w:szCs w:val="16"/>
          <w:color w:val="auto"/>
        </w:rPr>
        <w:t>. We own a 50% interest in Caddo Pipeline LLC, a joint venture with Delek Logistics Partners, LP (“Delek”). The joint venture owns,</w:t>
      </w:r>
      <w:r>
        <w:rPr>
          <w:rFonts w:ascii="Arial" w:cs="Arial" w:eastAsia="Arial" w:hAnsi="Arial"/>
          <w:sz w:val="16"/>
          <w:szCs w:val="16"/>
          <w:i w:val="1"/>
          <w:iCs w:val="1"/>
          <w:color w:val="auto"/>
        </w:rPr>
        <w:t xml:space="preserve"> </w:t>
      </w:r>
      <w:r>
        <w:rPr>
          <w:rFonts w:ascii="Arial" w:cs="Arial" w:eastAsia="Arial" w:hAnsi="Arial"/>
          <w:sz w:val="16"/>
          <w:szCs w:val="16"/>
          <w:color w:val="auto"/>
        </w:rPr>
        <w:t>and we operate, the Caddo Pipeline, which is an approximately 80,000 barrel per day capacity pipeline that originates in Longview, Texas at the terminus of the Red River Pipeline and serves refineries in Shreveport, Louisiana and El Dorado, Arkansas. The Caddo Pipeline is underpinned by shipper commitments.</w:t>
      </w:r>
    </w:p>
    <w:p>
      <w:pPr>
        <w:spacing w:after="0" w:line="14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STACK Pipeline</w:t>
      </w:r>
      <w:r>
        <w:rPr>
          <w:rFonts w:ascii="Arial" w:cs="Arial" w:eastAsia="Arial" w:hAnsi="Arial"/>
          <w:sz w:val="16"/>
          <w:szCs w:val="16"/>
          <w:color w:val="auto"/>
        </w:rPr>
        <w:t>. We own a 50% interest in STACK Pipeline LLC, a joint venture with Phillips 66 Partners, L.P. This joint venture owns the STACK</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which serves producers in the STACK (Sooner Trend Anadarko Basin Canadian and Kingfisher Counties) resource play and delivers to Cushing, Oklahoma. We serve as operator of this joint-venture system that has a total capacity of 250,000 barrels per day and is supported by producer commitments.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Gulf Coast</w:t>
      </w:r>
    </w:p>
    <w:p>
      <w:pPr>
        <w:spacing w:after="0" w:line="266" w:lineRule="exact"/>
        <w:rPr>
          <w:sz w:val="20"/>
          <w:szCs w:val="20"/>
          <w:color w:val="auto"/>
        </w:rPr>
      </w:pPr>
    </w:p>
    <w:p>
      <w:pPr>
        <w:ind w:left="40" w:right="40" w:firstLine="648"/>
        <w:spacing w:after="0" w:line="279" w:lineRule="auto"/>
        <w:rPr>
          <w:sz w:val="20"/>
          <w:szCs w:val="20"/>
          <w:color w:val="auto"/>
        </w:rPr>
      </w:pPr>
      <w:r>
        <w:rPr>
          <w:rFonts w:ascii="Arial" w:cs="Arial" w:eastAsia="Arial" w:hAnsi="Arial"/>
          <w:sz w:val="17"/>
          <w:szCs w:val="17"/>
          <w:color w:val="auto"/>
        </w:rPr>
        <w:t>We own and/or operate pipelines in the Gulf Coast area with transportation and delivery into connecting carriers, terminal facilities and refineries. This includes a 54% interest in Capline. In January 2019, the owners of Capline converted their undivided joint interests into a limited liability company and launched a binding open season to solicit shipper interest for a reversal of Capline and the initiation of southbound service on Capline from Patoka, Illinois to St. James, Louisiana and potentially on our Diamond Pipeline and Capline from Cushing, Oklahoma to St. James, Louisiana.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Rocky Mountain</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own and operate pipelines that provide gathering services in the Bakken and the Powder River Basin. We own a pipeline system that can move Bakken crude oil to the Enbridge mainline system at Regina, Saskatchewan. In 2019, the pipeline will be modified to accommodate bidirectional flow, either from the Bakken into the Enbridge mainline system or from the Enbridge mainline system to our terminal in Trenton, North Dakota. We own an undivided joint interest in a pipeline system that extends from the Canadian border to our terminal in Guernsey, Wyoming. This pipeline system receives crude oil from our Rangeland and Milk River Pipelines in Canada. In addition to these assets, our largest Rocky Mountain area systems include the following joint venture pipelines, both of which connect to our terminal in Cushing:</w:t>
      </w:r>
    </w:p>
    <w:p>
      <w:pPr>
        <w:spacing w:after="0" w:line="178"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i w:val="1"/>
          <w:iCs w:val="1"/>
          <w:color w:val="auto"/>
        </w:rPr>
        <w:t>Saddlehorn Pipeline</w:t>
      </w:r>
      <w:r>
        <w:rPr>
          <w:rFonts w:ascii="Arial" w:cs="Arial" w:eastAsia="Arial" w:hAnsi="Arial"/>
          <w:sz w:val="18"/>
          <w:szCs w:val="18"/>
          <w:color w:val="auto"/>
        </w:rPr>
        <w:t>. We own a 40% interest in Saddlehorn Pipeline LLC (“SP LLC”), which owns 190,000 barrels per day of capacity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Saddlehorn Pipeline that extends from the Niobrara and DJ Basin to Cushing. Magellan serves as operator of the Saddlehorn Pipeline. The Saddlehorn Pipeline is supported by minimum volume commitments.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White Cliffs Pipeline. </w:t>
      </w:r>
      <w:r>
        <w:rPr>
          <w:rFonts w:ascii="Arial" w:cs="Arial" w:eastAsia="Arial" w:hAnsi="Arial"/>
          <w:sz w:val="17"/>
          <w:szCs w:val="17"/>
          <w:color w:val="auto"/>
        </w:rPr>
        <w:t>We own an approximate 36% interest in White Cliffs Pipeline LLC, which currently consists of two crude oil pipelines with</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215,000 barrels per day of capacity that extend from the DJ Basin to Cushing, Oklahoma. Rose Rock Midstream, L.P. (“Rose Rock”) serves as the operator of the pipelines. In the second quarter of 2019, the total capacity will be reduced to 110,000 barrels per day as one of the crude oil pipelines will be converted to a NGL pipeline with an initial capacity of 90,000 barrels per day. The NGL pipeline is expected to return to service in late 2019 and will extend form the DJ Basin to a tie-in location with the Southern Hills Pipeline in Oklahoma. The conversion to the NGL pipeline is supported by long-term capacity lease and long-term throughput agreements. Rose Rock will also operate the NGL pipeline.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Western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and operate pipeline systems in our Western region including the following:</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i w:val="1"/>
          <w:iCs w:val="1"/>
          <w:color w:val="auto"/>
        </w:rPr>
        <w:t xml:space="preserve">Gathering. </w:t>
      </w:r>
      <w:r>
        <w:rPr>
          <w:rFonts w:ascii="Arial" w:cs="Arial" w:eastAsia="Arial" w:hAnsi="Arial"/>
          <w:sz w:val="17"/>
          <w:szCs w:val="17"/>
          <w:color w:val="auto"/>
        </w:rPr>
        <w:t>We own and operate gathering pipelines with aggregate capacity of over 150,000 barrels per day that source crude oil from the San</w:t>
      </w:r>
      <w:r>
        <w:rPr>
          <w:rFonts w:ascii="Arial" w:cs="Arial" w:eastAsia="Arial" w:hAnsi="Arial"/>
          <w:sz w:val="17"/>
          <w:szCs w:val="17"/>
          <w:i w:val="1"/>
          <w:iCs w:val="1"/>
          <w:color w:val="auto"/>
        </w:rPr>
        <w:t xml:space="preserve"> </w:t>
      </w:r>
      <w:r>
        <w:rPr>
          <w:rFonts w:ascii="Arial" w:cs="Arial" w:eastAsia="Arial" w:hAnsi="Arial"/>
          <w:sz w:val="17"/>
          <w:szCs w:val="17"/>
          <w:color w:val="auto"/>
        </w:rPr>
        <w:t>Joaquin Valley in California and connect to our Line 63 and Line 2000 pipelines, as well as other third-party pipelines and terminals.</w:t>
      </w:r>
    </w:p>
    <w:p>
      <w:pPr>
        <w:spacing w:after="0" w:line="147"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i w:val="1"/>
          <w:iCs w:val="1"/>
          <w:color w:val="auto"/>
        </w:rPr>
        <w:t xml:space="preserve">Line 63 and Line 2000. </w:t>
      </w:r>
      <w:r>
        <w:rPr>
          <w:rFonts w:ascii="Arial" w:cs="Arial" w:eastAsia="Arial" w:hAnsi="Arial"/>
          <w:sz w:val="18"/>
          <w:szCs w:val="18"/>
          <w:color w:val="auto"/>
        </w:rPr>
        <w:t>We own and operate the Line 63 and Line 2000 pipelines, which have approximately 60,000 barrels per day and 110,000</w:t>
      </w:r>
      <w:r>
        <w:rPr>
          <w:rFonts w:ascii="Arial" w:cs="Arial" w:eastAsia="Arial" w:hAnsi="Arial"/>
          <w:sz w:val="18"/>
          <w:szCs w:val="18"/>
          <w:i w:val="1"/>
          <w:iCs w:val="1"/>
          <w:color w:val="auto"/>
        </w:rPr>
        <w:t xml:space="preserve"> </w:t>
      </w:r>
      <w:r>
        <w:rPr>
          <w:rFonts w:ascii="Arial" w:cs="Arial" w:eastAsia="Arial" w:hAnsi="Arial"/>
          <w:sz w:val="18"/>
          <w:szCs w:val="18"/>
          <w:color w:val="auto"/>
        </w:rPr>
        <w:t>barrels per day of pipeline capacity, respectively, and transport crude oil from the San Joaquin Valley to refineries and terminal facilities in the Los Angeles Basin and in Bakersfield, California. Additionally, we have a distribution pipeline system in the Los Angeles Basin that connects our storage assets with all major refineries and third-party pipelines and marine terminals in the Los Angeles Basin.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All American Pipeline. </w:t>
      </w:r>
      <w:r>
        <w:rPr>
          <w:rFonts w:ascii="Arial" w:cs="Arial" w:eastAsia="Arial" w:hAnsi="Arial"/>
          <w:sz w:val="18"/>
          <w:szCs w:val="18"/>
          <w:color w:val="auto"/>
        </w:rPr>
        <w:t>We own the All American Pipeline, which historically received crude oil from offshore oil producers at Las Flores,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and at Gaviota, California. The pipeline terminates at our Emidio Station. Between Gaviota and our Emidio Station, the All American Pipeline interconnects with our San Joaquin Valley Gathering System, Line 2000 and Line 63, as well as other third-party intrastate pipelines.</w:t>
      </w:r>
    </w:p>
    <w:p>
      <w:pPr>
        <w:spacing w:after="0" w:line="18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 May 2015, we experienced a crude oil release on the segment of the All American Pipeline known as Line 901 that runs from Las Flores to Gaviota in Santa Barbara County, California. The segment of the pipeline upstream of our Pentland station has been shut down since this incident. We are currently evaluating a replacement of the pipeline, subject to receipt of shipper commitments and regulatory approvals. See Note 18 to our Consolidated Financial Statements for additional information regarding the Line 901 incident.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i w:val="1"/>
          <w:iCs w:val="1"/>
          <w:color w:val="auto"/>
        </w:rPr>
        <w:t xml:space="preserve">Rainbow Pipeline. </w:t>
      </w:r>
      <w:r>
        <w:rPr>
          <w:rFonts w:ascii="Arial" w:cs="Arial" w:eastAsia="Arial" w:hAnsi="Arial"/>
          <w:sz w:val="16"/>
          <w:szCs w:val="16"/>
          <w:color w:val="auto"/>
        </w:rPr>
        <w:t>We own and operate the Rainbow Pipeline, which is an approximately 185,000 barrel per day capacity pipeline that extends from</w:t>
      </w:r>
      <w:r>
        <w:rPr>
          <w:rFonts w:ascii="Arial" w:cs="Arial" w:eastAsia="Arial" w:hAnsi="Arial"/>
          <w:sz w:val="16"/>
          <w:szCs w:val="16"/>
          <w:i w:val="1"/>
          <w:iCs w:val="1"/>
          <w:color w:val="auto"/>
        </w:rPr>
        <w:t xml:space="preserve"> </w:t>
      </w:r>
      <w:r>
        <w:rPr>
          <w:rFonts w:ascii="Arial" w:cs="Arial" w:eastAsia="Arial" w:hAnsi="Arial"/>
          <w:sz w:val="16"/>
          <w:szCs w:val="16"/>
          <w:color w:val="auto"/>
        </w:rPr>
        <w:t>Zama, Alberta to Edmonton, Alberta. The pipeline transports both blended heavy and light crude oil and includes gathering and diluent pipelines. Rainbow Pipeline offers delivery optionality at Edmonton, Alberta, where it can connect to Enbridge, Trans Mountain and Pembina pipelines as well as IOL Refinery.</w:t>
      </w:r>
    </w:p>
    <w:p>
      <w:pPr>
        <w:spacing w:after="0" w:line="147" w:lineRule="exact"/>
        <w:rPr>
          <w:sz w:val="20"/>
          <w:szCs w:val="20"/>
          <w:color w:val="auto"/>
        </w:rPr>
      </w:pPr>
    </w:p>
    <w:p>
      <w:pPr>
        <w:jc w:val="both"/>
        <w:ind w:right="140" w:firstLine="648"/>
        <w:spacing w:after="0" w:line="297" w:lineRule="auto"/>
        <w:rPr>
          <w:sz w:val="20"/>
          <w:szCs w:val="20"/>
          <w:color w:val="auto"/>
        </w:rPr>
      </w:pPr>
      <w:r>
        <w:rPr>
          <w:rFonts w:ascii="Arial" w:cs="Arial" w:eastAsia="Arial" w:hAnsi="Arial"/>
          <w:sz w:val="16"/>
          <w:szCs w:val="16"/>
          <w:i w:val="1"/>
          <w:iCs w:val="1"/>
          <w:color w:val="auto"/>
        </w:rPr>
        <w:t xml:space="preserve">Rangeland Pipeline. </w:t>
      </w:r>
      <w:r>
        <w:rPr>
          <w:rFonts w:ascii="Arial" w:cs="Arial" w:eastAsia="Arial" w:hAnsi="Arial"/>
          <w:sz w:val="16"/>
          <w:szCs w:val="16"/>
          <w:color w:val="auto"/>
        </w:rPr>
        <w:t>We own and operate the Rangeland Pipeline system, which has the capacity to transport approximately 85,000 barrels per day</w:t>
      </w:r>
      <w:r>
        <w:rPr>
          <w:rFonts w:ascii="Arial" w:cs="Arial" w:eastAsia="Arial" w:hAnsi="Arial"/>
          <w:sz w:val="16"/>
          <w:szCs w:val="16"/>
          <w:i w:val="1"/>
          <w:iCs w:val="1"/>
          <w:color w:val="auto"/>
        </w:rPr>
        <w:t xml:space="preserve"> </w:t>
      </w:r>
      <w:r>
        <w:rPr>
          <w:rFonts w:ascii="Arial" w:cs="Arial" w:eastAsia="Arial" w:hAnsi="Arial"/>
          <w:sz w:val="16"/>
          <w:szCs w:val="16"/>
          <w:color w:val="auto"/>
        </w:rPr>
        <w:t>of diluent, light sweet crude oil and light sour crude oil either north to Edmonton, Alberta or south to the U.S./Canadian border near Cutbank, Montana. The Rangeland Pipeline system consists of three main segments. The North Gathering system begins at Medicine River and Rimbey truck terminal, and ships to Sundre truck terminal. The South Sour mainline delivers sour from the Sundre truck terminal to Glacier Pipeline, and MAPL delivers sweet from Sundre to Edmonton. The Pipeline also offers delivery optionality at Edmonton, Alberta, where it can connect to Enbridge pipelines and the IOL Refinery.</w:t>
      </w:r>
    </w:p>
    <w:p>
      <w:pPr>
        <w:spacing w:after="0" w:line="15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South Saskatchewan Pipeline</w:t>
      </w:r>
      <w:r>
        <w:rPr>
          <w:rFonts w:ascii="Arial" w:cs="Arial" w:eastAsia="Arial" w:hAnsi="Arial"/>
          <w:sz w:val="18"/>
          <w:szCs w:val="18"/>
          <w:color w:val="auto"/>
        </w:rPr>
        <w:t>. We own and operate the South Saskatchewan system, which has approximately 70,000 barrels per day of capacity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 heavy crude oil from the Cantuar, Dollard, Rapdan and Gull Lake gathering areas in southern Saskatchewan to the Enbridge mainline system at the Regina terminal.</w:t>
      </w:r>
    </w:p>
    <w:p>
      <w:pPr>
        <w:spacing w:after="0" w:line="18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i w:val="1"/>
          <w:iCs w:val="1"/>
          <w:color w:val="auto"/>
        </w:rPr>
        <w:t xml:space="preserve">Manito Pipeline. </w:t>
      </w:r>
      <w:r>
        <w:rPr>
          <w:rFonts w:ascii="Arial" w:cs="Arial" w:eastAsia="Arial" w:hAnsi="Arial"/>
          <w:sz w:val="16"/>
          <w:szCs w:val="16"/>
          <w:color w:val="auto"/>
        </w:rPr>
        <w:t>We own and operate the Manito Pipeline, which delivers heavy crude oil produced from the Lloydminster producing area of</w:t>
      </w:r>
      <w:r>
        <w:rPr>
          <w:rFonts w:ascii="Arial" w:cs="Arial" w:eastAsia="Arial" w:hAnsi="Arial"/>
          <w:sz w:val="16"/>
          <w:szCs w:val="16"/>
          <w:i w:val="1"/>
          <w:iCs w:val="1"/>
          <w:color w:val="auto"/>
        </w:rPr>
        <w:t xml:space="preserve"> </w:t>
      </w:r>
      <w:r>
        <w:rPr>
          <w:rFonts w:ascii="Arial" w:cs="Arial" w:eastAsia="Arial" w:hAnsi="Arial"/>
          <w:sz w:val="16"/>
          <w:szCs w:val="16"/>
          <w:color w:val="auto"/>
        </w:rPr>
        <w:t>Alberta to our Kerrobert Terminal and our Kerrobert Rail Terminal. The Kerrobert Terminal is connected to both the Enbridge mainline system and our Kerrobert Rail Terminal. The Manito system includes blended crude oil lines with capacity of approximately 70,000 barrels per day and parallel diluent lines.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Milk River Pipeline. </w:t>
      </w:r>
      <w:r>
        <w:rPr>
          <w:rFonts w:ascii="Arial" w:cs="Arial" w:eastAsia="Arial" w:hAnsi="Arial"/>
          <w:sz w:val="18"/>
          <w:szCs w:val="18"/>
          <w:color w:val="auto"/>
        </w:rPr>
        <w:t>We own and operate Milk River Pipeline system, which has approximately 100,000 barrels per day of capacity to transport</w:t>
      </w:r>
      <w:r>
        <w:rPr>
          <w:rFonts w:ascii="Arial" w:cs="Arial" w:eastAsia="Arial" w:hAnsi="Arial"/>
          <w:sz w:val="18"/>
          <w:szCs w:val="18"/>
          <w:i w:val="1"/>
          <w:iCs w:val="1"/>
          <w:color w:val="auto"/>
        </w:rPr>
        <w:t xml:space="preserve"> </w:t>
      </w:r>
      <w:r>
        <w:rPr>
          <w:rFonts w:ascii="Arial" w:cs="Arial" w:eastAsia="Arial" w:hAnsi="Arial"/>
          <w:sz w:val="18"/>
          <w:szCs w:val="18"/>
          <w:color w:val="auto"/>
        </w:rPr>
        <w:t>heavy crude oil from Milk River, Alberta to the U.S./Canadian border west of Coutts, Alberta and connects with the Cenex Santa Rita Pipeline System in the U.S.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Wascana Pipeline. </w:t>
      </w:r>
      <w:r>
        <w:rPr>
          <w:rFonts w:ascii="Arial" w:cs="Arial" w:eastAsia="Arial" w:hAnsi="Arial"/>
          <w:sz w:val="18"/>
          <w:szCs w:val="18"/>
          <w:color w:val="auto"/>
        </w:rPr>
        <w:t>We own and operate the Wascana Pipeline, which has approximately 40,000 barrels per day of capacity to move sweet crude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Bakken North pipeline system to Enbridge’s mainline system at Regina, Saskatchewan. The Wascana Pipeline is currently undergoing modifications to add bi-directional capability.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Canadian NGL Pipelines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Co-Ed NGL Pipeline. </w:t>
      </w:r>
      <w:r>
        <w:rPr>
          <w:rFonts w:ascii="Arial" w:cs="Arial" w:eastAsia="Arial" w:hAnsi="Arial"/>
          <w:sz w:val="18"/>
          <w:szCs w:val="18"/>
          <w:color w:val="auto"/>
        </w:rPr>
        <w:t>We own and operate the Co-Ed NGL pipeline, which has approximately 70,000 barrels per day of capacity to transport NGL</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gathers from approximately 27 field gas processing plants located in Alberta, including all of the NGL produced at the Cochrane Straddle Plant for delivery to NGL facilities at Fort Saskatchewan. Co-Ed’s main volume capture regions are Southwest and Central Alberta, Cardium, Deep Basin, and Alberta Montney.</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PPTC Pipeline. </w:t>
      </w:r>
      <w:r>
        <w:rPr>
          <w:rFonts w:ascii="Arial" w:cs="Arial" w:eastAsia="Arial" w:hAnsi="Arial"/>
          <w:sz w:val="18"/>
          <w:szCs w:val="18"/>
          <w:color w:val="auto"/>
        </w:rPr>
        <w:t>We own and operate the Plains Petroleum Transmission Company Pipeline (the “PPTC Pipeline”), which has approximately 15,000</w:t>
      </w:r>
      <w:r>
        <w:rPr>
          <w:rFonts w:ascii="Arial" w:cs="Arial" w:eastAsia="Arial" w:hAnsi="Arial"/>
          <w:sz w:val="18"/>
          <w:szCs w:val="18"/>
          <w:i w:val="1"/>
          <w:iCs w:val="1"/>
          <w:color w:val="auto"/>
        </w:rPr>
        <w:t xml:space="preserve"> </w:t>
      </w:r>
      <w:r>
        <w:rPr>
          <w:rFonts w:ascii="Arial" w:cs="Arial" w:eastAsia="Arial" w:hAnsi="Arial"/>
          <w:sz w:val="18"/>
          <w:szCs w:val="18"/>
          <w:color w:val="auto"/>
        </w:rPr>
        <w:t>barrels per day of capacity to transport NGL from Empress, Alberta to the Fort Whyte Terminal in Winnipeg, Manitoba. The PPTC Pipeline also provides access to several truck terminals and rail loading facilities.</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Eastern Delivery System. </w:t>
      </w:r>
      <w:r>
        <w:rPr>
          <w:rFonts w:ascii="Arial" w:cs="Arial" w:eastAsia="Arial" w:hAnsi="Arial"/>
          <w:sz w:val="18"/>
          <w:szCs w:val="18"/>
          <w:color w:val="auto"/>
        </w:rPr>
        <w:t>We own and operate the Eastern Delivery System, which has various segments that transport propane and butane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Sarnia, Ontario and Windsor, Ontario and from Sarnia, Ontario to St. Clair, Michigan; refinery grade butane between Windsor, Ontario and Woodhaven, Michigan; and syncrude from Sarnia, Ontario to local refineries. The Eastern Delivery System also receives ethane from Kinder Morgan Utopia Pipeline at Windsor, Ontario for delivery to petrochemical facilities in the Sarnia, Ontario area, as well as our facility in Sarnia, Ontario. These pipelines have a combined capacity of approximately 150,000 barrels per day.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We generate revenue through a combination of month-to-month and multi-year agreements and processing arrangements.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generated in this segment include (i) storage and throughput fees at our crude and NGL storage terminals and natural gas storage facilities,</w:t>
      </w:r>
    </w:p>
    <w:p>
      <w:pPr>
        <w:spacing w:after="0" w:line="46" w:lineRule="exact"/>
        <w:rPr>
          <w:sz w:val="20"/>
          <w:szCs w:val="20"/>
          <w:color w:val="auto"/>
        </w:rPr>
      </w:pPr>
    </w:p>
    <w:p>
      <w:pPr>
        <w:ind w:right="200" w:firstLine="8"/>
        <w:spacing w:after="0" w:line="261"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from natural gas and condensate processing services and from NGL fractionation and isomerization services and (iii) loading and unloading fees at our rail terminals.</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December 31, 2018, we owned, operated or employed a variety of long-term physical assets throughout the United States and Canada in this segment, including:</w:t>
      </w:r>
    </w:p>
    <w:p>
      <w:pPr>
        <w:spacing w:after="0" w:line="17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77 million barrels of crude oil storage capacity primarily at our terminalling and storage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32 million barrels of NGL storage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63 billion cubic feet (“Bcf”) of natural gas storage working gas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25 Bcf of owned base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seven natural gas processing plants located throughout Canada and the Gulf Coast area of the United States;</w:t>
      </w:r>
    </w:p>
    <w:p>
      <w:pPr>
        <w:spacing w:after="0" w:line="117"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120,000 barrels per day;</w:t>
      </w:r>
    </w:p>
    <w:p>
      <w:pPr>
        <w:spacing w:after="0" w:line="62"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eight fractionation plants located throughout Canada and the United States with an aggregate net processing capacity of approximately 211,000 barrels per day, and an isomerization and fractionation facility in California with an aggregate processing capacity of approximately 15,000 barrels per day;</w:t>
      </w:r>
    </w:p>
    <w:p>
      <w:pPr>
        <w:spacing w:after="0" w:line="73"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33 crude oil and NGL rail terminals located throughout the United States and Canada. See “Rail Facilities” below for an overview of various terminals and “Supply and Logistics” regarding our use of railcars;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five marine facilities in the United States;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425 miles of active pipelines that support our facilities assets.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tabular presentation of our active Facilities segment storage and service assets in the United States and Canada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grouped by product and service type, with capacity and volume as indicated:</w:t>
      </w:r>
    </w:p>
    <w:p>
      <w:pPr>
        <w:sectPr>
          <w:pgSz w:w="11900" w:h="16838" w:orient="portrait"/>
          <w:cols w:equalWidth="0" w:num="1">
            <w:col w:w="11320"/>
          </w:cols>
          <w:pgMar w:left="240" w:top="125" w:right="339" w:bottom="1440" w:gutter="0" w:footer="0" w:header="0"/>
        </w:sect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Crude Oil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Cushing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LA Basin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Patoka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Mobile and Ten Mile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25"/>
          <w:szCs w:val="25"/>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NGL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Fort Saskatchewan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Sarnia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Empress Area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Bumstead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Natural Gas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Salt Caverns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Total Gas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8"/>
                <w:szCs w:val="8"/>
                <w:b w:val="1"/>
                <w:bCs w:val="1"/>
                <w:color w:val="auto"/>
              </w:rPr>
              <w:t>(2)</w:t>
            </w:r>
          </w:p>
        </w:tc>
        <w:tc>
          <w:tcPr>
            <w:tcW w:w="120" w:type="dxa"/>
            <w:vAlign w:val="bottom"/>
            <w:vMerge w:val="restart"/>
          </w:tcPr>
          <w:p>
            <w:pPr>
              <w:spacing w:after="0"/>
              <w:rPr>
                <w:sz w:val="12"/>
                <w:szCs w:val="12"/>
                <w:color w:val="auto"/>
              </w:rPr>
            </w:pPr>
          </w:p>
        </w:tc>
        <w:tc>
          <w:tcPr>
            <w:tcW w:w="18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xml:space="preserve">Spec Product </w:t>
            </w:r>
            <w:r>
              <w:rPr>
                <w:rFonts w:ascii="Arial" w:cs="Arial" w:eastAsia="Arial" w:hAnsi="Arial"/>
                <w:sz w:val="8"/>
                <w:szCs w:val="8"/>
                <w:b w:val="1"/>
                <w:bCs w:val="1"/>
                <w:color w:val="auto"/>
                <w:w w:val="92"/>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(Bcf/d)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United States Gulf Coast Area</w:t>
            </w: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Canada</w:t>
            </w:r>
          </w:p>
        </w:tc>
        <w:tc>
          <w:tcPr>
            <w:tcW w:w="1880" w:type="dxa"/>
            <w:vAlign w:val="bottom"/>
          </w:tcPr>
          <w:p>
            <w:pPr>
              <w:jc w:val="right"/>
              <w:ind w:right="94"/>
              <w:spacing w:after="0"/>
              <w:rPr>
                <w:sz w:val="20"/>
                <w:szCs w:val="20"/>
                <w:color w:val="auto"/>
              </w:rPr>
            </w:pPr>
            <w:r>
              <w:rPr>
                <w:rFonts w:ascii="Arial" w:cs="Arial" w:eastAsia="Arial" w:hAnsi="Arial"/>
                <w:sz w:val="18"/>
                <w:szCs w:val="18"/>
                <w:color w:val="auto"/>
              </w:rPr>
              <w:t>50-88%</w:t>
            </w:r>
          </w:p>
        </w:tc>
        <w:tc>
          <w:tcPr>
            <w:tcW w:w="120" w:type="dxa"/>
            <w:vAlign w:val="bottom"/>
          </w:tcPr>
          <w:p>
            <w:pPr>
              <w:spacing w:after="0"/>
              <w:rPr>
                <w:sz w:val="23"/>
                <w:szCs w:val="23"/>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Condensate Stabilization Facility</w:t>
            </w: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continu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6160" w:type="dxa"/>
            <w:vAlign w:val="bottom"/>
            <w:tcBorders>
              <w:bottom w:val="single" w:sz="8" w:color="auto"/>
            </w:tcBorders>
            <w:gridSpan w:val="2"/>
            <w:vMerge w:val="continue"/>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Gardendale</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1"/>
        </w:trPr>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120" w:type="dxa"/>
            <w:vAlign w:val="bottom"/>
            <w:vMerge w:val="restart"/>
          </w:tcPr>
          <w:p>
            <w:pPr>
              <w:spacing w:after="0"/>
              <w:rPr>
                <w:sz w:val="12"/>
                <w:szCs w:val="12"/>
                <w:color w:val="auto"/>
              </w:rPr>
            </w:pPr>
          </w:p>
        </w:tc>
        <w:tc>
          <w:tcPr>
            <w:tcW w:w="18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xml:space="preserve">Spec Product </w:t>
            </w:r>
            <w:r>
              <w:rPr>
                <w:rFonts w:ascii="Arial" w:cs="Arial" w:eastAsia="Arial" w:hAnsi="Arial"/>
                <w:sz w:val="8"/>
                <w:szCs w:val="8"/>
                <w:b w:val="1"/>
                <w:bCs w:val="1"/>
                <w:color w:val="auto"/>
                <w:w w:val="92"/>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Empress</w:t>
            </w: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17,100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Fort Saskatchewan</w:t>
            </w:r>
          </w:p>
        </w:tc>
        <w:tc>
          <w:tcPr>
            <w:tcW w:w="1880" w:type="dxa"/>
            <w:vAlign w:val="bottom"/>
          </w:tcPr>
          <w:p>
            <w:pPr>
              <w:jc w:val="right"/>
              <w:ind w:right="94"/>
              <w:spacing w:after="0"/>
              <w:rPr>
                <w:sz w:val="20"/>
                <w:szCs w:val="20"/>
                <w:color w:val="auto"/>
              </w:rPr>
            </w:pPr>
            <w:r>
              <w:rPr>
                <w:rFonts w:ascii="Arial" w:cs="Arial" w:eastAsia="Arial" w:hAnsi="Arial"/>
                <w:sz w:val="18"/>
                <w:szCs w:val="18"/>
                <w:color w:val="auto"/>
              </w:rPr>
              <w:t>21-100%</w:t>
            </w:r>
          </w:p>
        </w:tc>
        <w:tc>
          <w:tcPr>
            <w:tcW w:w="120" w:type="dxa"/>
            <w:vAlign w:val="bottom"/>
          </w:tcPr>
          <w:p>
            <w:pPr>
              <w:spacing w:after="0"/>
              <w:rPr>
                <w:sz w:val="23"/>
                <w:szCs w:val="23"/>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41,000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Sarnia</w:t>
            </w:r>
          </w:p>
        </w:tc>
        <w:tc>
          <w:tcPr>
            <w:tcW w:w="1880" w:type="dxa"/>
            <w:vAlign w:val="bottom"/>
          </w:tcPr>
          <w:p>
            <w:pPr>
              <w:jc w:val="right"/>
              <w:ind w:right="94"/>
              <w:spacing w:after="0"/>
              <w:rPr>
                <w:sz w:val="20"/>
                <w:szCs w:val="20"/>
                <w:color w:val="auto"/>
              </w:rPr>
            </w:pPr>
            <w:r>
              <w:rPr>
                <w:rFonts w:ascii="Arial" w:cs="Arial" w:eastAsia="Arial" w:hAnsi="Arial"/>
                <w:sz w:val="18"/>
                <w:szCs w:val="18"/>
                <w:color w:val="auto"/>
              </w:rPr>
              <w:t>62-84%</w:t>
            </w:r>
          </w:p>
        </w:tc>
        <w:tc>
          <w:tcPr>
            <w:tcW w:w="120" w:type="dxa"/>
            <w:vAlign w:val="bottom"/>
          </w:tcPr>
          <w:p>
            <w:pPr>
              <w:spacing w:after="0"/>
              <w:rPr>
                <w:sz w:val="23"/>
                <w:szCs w:val="23"/>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53,900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Shafter</w:t>
            </w: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9,500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Other</w:t>
            </w:r>
          </w:p>
        </w:tc>
        <w:tc>
          <w:tcPr>
            <w:tcW w:w="1880" w:type="dxa"/>
            <w:vAlign w:val="bottom"/>
          </w:tcPr>
          <w:p>
            <w:pPr>
              <w:jc w:val="right"/>
              <w:ind w:right="94"/>
              <w:spacing w:after="0"/>
              <w:rPr>
                <w:sz w:val="20"/>
                <w:szCs w:val="20"/>
                <w:color w:val="auto"/>
              </w:rPr>
            </w:pPr>
            <w:r>
              <w:rPr>
                <w:rFonts w:ascii="Arial" w:cs="Arial" w:eastAsia="Arial" w:hAnsi="Arial"/>
                <w:sz w:val="18"/>
                <w:szCs w:val="18"/>
                <w:color w:val="auto"/>
              </w:rPr>
              <w:t>82-100%</w:t>
            </w:r>
          </w:p>
        </w:tc>
        <w:tc>
          <w:tcPr>
            <w:tcW w:w="120" w:type="dxa"/>
            <w:vAlign w:val="bottom"/>
          </w:tcPr>
          <w:p>
            <w:pPr>
              <w:spacing w:after="0"/>
              <w:rPr>
                <w:sz w:val="23"/>
                <w:szCs w:val="23"/>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9,800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131,300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-2443480</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-2795270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-1791970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(MMBbls)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48895</wp:posOffset>
            </wp:positionV>
            <wp:extent cx="934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(MMBbls)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31750</wp:posOffset>
            </wp:positionV>
            <wp:extent cx="934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31750</wp:posOffset>
            </wp:positionV>
            <wp:extent cx="9347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48895</wp:posOffset>
            </wp:positionV>
            <wp:extent cx="934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10"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(Bcf)</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Gas</w:t>
      </w:r>
    </w:p>
    <w:p>
      <w:pPr>
        <w:ind w:left="60"/>
        <w:spacing w:after="0" w:line="226" w:lineRule="auto"/>
        <w:rPr>
          <w:sz w:val="20"/>
          <w:szCs w:val="20"/>
          <w:color w:val="auto"/>
        </w:rPr>
      </w:pPr>
      <w:r>
        <w:rPr>
          <w:rFonts w:ascii="Arial" w:cs="Arial" w:eastAsia="Arial" w:hAnsi="Arial"/>
          <w:sz w:val="14"/>
          <w:szCs w:val="14"/>
          <w:b w:val="1"/>
          <w:bCs w:val="1"/>
          <w:color w:val="auto"/>
        </w:rPr>
        <w:t>Processing</w:t>
      </w:r>
    </w:p>
    <w:p>
      <w:pPr>
        <w:ind w:left="100"/>
        <w:spacing w:after="0" w:line="222" w:lineRule="auto"/>
        <w:rPr>
          <w:sz w:val="20"/>
          <w:szCs w:val="20"/>
          <w:color w:val="auto"/>
        </w:rPr>
      </w:pPr>
      <w:r>
        <w:rPr>
          <w:rFonts w:ascii="Arial" w:cs="Arial" w:eastAsia="Arial" w:hAnsi="Arial"/>
          <w:sz w:val="14"/>
          <w:szCs w:val="14"/>
          <w:b w:val="1"/>
          <w:bCs w:val="1"/>
          <w:color w:val="auto"/>
        </w:rPr>
        <w:t>Capacity</w:t>
      </w:r>
    </w:p>
    <w:p>
      <w:pPr>
        <w:ind w:left="180"/>
        <w:spacing w:after="0"/>
        <w:rPr>
          <w:sz w:val="20"/>
          <w:szCs w:val="20"/>
          <w:color w:val="auto"/>
        </w:rPr>
      </w:pPr>
      <w:r>
        <w:rPr>
          <w:rFonts w:ascii="Arial" w:cs="Arial" w:eastAsia="Arial" w:hAnsi="Arial"/>
          <w:sz w:val="14"/>
          <w:szCs w:val="14"/>
          <w:b w:val="1"/>
          <w:bCs w:val="1"/>
          <w:color w:val="auto"/>
        </w:rPr>
        <w:t>(Bcf/d)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48895</wp:posOffset>
            </wp:positionV>
            <wp:extent cx="1003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(Bbls/d)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120,000</w:t>
      </w:r>
    </w:p>
    <w:p>
      <w:pPr>
        <w:spacing w:after="0" w:line="200" w:lineRule="exact"/>
        <w:rPr>
          <w:sz w:val="20"/>
          <w:szCs w:val="20"/>
          <w:color w:val="auto"/>
        </w:rPr>
      </w:pPr>
    </w:p>
    <w:p>
      <w:pPr>
        <w:spacing w:after="0" w:line="206"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Net</w:t>
      </w:r>
    </w:p>
    <w:p>
      <w:pPr>
        <w:jc w:val="center"/>
        <w:ind w:right="300"/>
        <w:spacing w:after="0" w:line="226" w:lineRule="auto"/>
        <w:rPr>
          <w:sz w:val="20"/>
          <w:szCs w:val="20"/>
          <w:color w:val="auto"/>
        </w:rPr>
      </w:pPr>
      <w:r>
        <w:rPr>
          <w:rFonts w:ascii="Arial" w:cs="Arial" w:eastAsia="Arial" w:hAnsi="Arial"/>
          <w:sz w:val="14"/>
          <w:szCs w:val="14"/>
          <w:b w:val="1"/>
          <w:bCs w:val="1"/>
          <w:color w:val="auto"/>
        </w:rPr>
        <w:t>Capacity</w:t>
      </w:r>
    </w:p>
    <w:p>
      <w:pPr>
        <w:spacing w:after="0" w:line="1"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(Bbls/d)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67,800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90,000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31750</wp:posOffset>
            </wp:positionV>
            <wp:extent cx="10033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226,100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31750</wp:posOffset>
            </wp:positionV>
            <wp:extent cx="10033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48895</wp:posOffset>
            </wp:positionV>
            <wp:extent cx="10033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820" w:space="420"/>
            <w:col w:w="1080"/>
          </w:cols>
          <w:pgMar w:left="240" w:top="125"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20"/>
          </w:cols>
          <w:pgMar w:left="24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Loading</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Unloading</w:t>
            </w:r>
          </w:p>
        </w:tc>
        <w:tc>
          <w:tcPr>
            <w:tcW w:w="0" w:type="dxa"/>
            <w:vAlign w:val="bottom"/>
          </w:tcPr>
          <w:p>
            <w:pPr>
              <w:spacing w:after="0"/>
              <w:rPr>
                <w:sz w:val="1"/>
                <w:szCs w:val="1"/>
                <w:color w:val="auto"/>
              </w:rPr>
            </w:pPr>
          </w:p>
        </w:tc>
      </w:tr>
      <w:tr>
        <w:trPr>
          <w:trHeight w:val="149"/>
        </w:trPr>
        <w:tc>
          <w:tcPr>
            <w:tcW w:w="6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Rail Facilities</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gridSpan w:val="2"/>
            <w:vMerge w:val="restart"/>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Capacity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Crude Oil Rail Facilities</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314,000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504"/>
        </w:trPr>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Rack Spots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Storage Spots</w:t>
            </w:r>
          </w:p>
        </w:tc>
        <w:tc>
          <w:tcPr>
            <w:tcW w:w="0" w:type="dxa"/>
            <w:vAlign w:val="bottom"/>
          </w:tcPr>
          <w:p>
            <w:pPr>
              <w:spacing w:after="0"/>
              <w:rPr>
                <w:sz w:val="1"/>
                <w:szCs w:val="1"/>
                <w:color w:val="auto"/>
              </w:rPr>
            </w:pPr>
          </w:p>
        </w:tc>
      </w:tr>
      <w:tr>
        <w:trPr>
          <w:trHeight w:val="270"/>
        </w:trPr>
        <w:tc>
          <w:tcPr>
            <w:tcW w:w="6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5"/>
                <w:szCs w:val="25"/>
                <w:color w:val="auto"/>
                <w:vertAlign w:val="superscript"/>
              </w:rPr>
              <w:t>(4)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50-100%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Amount includes approximately 2 million barrels of storage capacity associated with our crude oil rail terminal operations.</w:t>
      </w:r>
    </w:p>
    <w:p>
      <w:pPr>
        <w:spacing w:after="0" w:line="98" w:lineRule="exact"/>
        <w:rPr>
          <w:rFonts w:ascii="Arial" w:cs="Arial" w:eastAsia="Arial" w:hAnsi="Arial"/>
          <w:sz w:val="25"/>
          <w:szCs w:val="25"/>
          <w:color w:val="auto"/>
          <w:vertAlign w:val="superscript"/>
        </w:rPr>
      </w:pPr>
    </w:p>
    <w:p>
      <w:pPr>
        <w:ind w:left="660" w:hanging="652"/>
        <w:spacing w:after="0" w:line="196" w:lineRule="auto"/>
        <w:tabs>
          <w:tab w:leader="none" w:pos="6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While natural gas processing volumes and capacity amounts are presented, they currently are not a significant driver of our segment results.</w:t>
      </w:r>
    </w:p>
    <w:p>
      <w:pPr>
        <w:spacing w:after="0" w:line="98" w:lineRule="exact"/>
        <w:rPr>
          <w:rFonts w:ascii="Arial" w:cs="Arial" w:eastAsia="Arial" w:hAnsi="Arial"/>
          <w:sz w:val="24"/>
          <w:szCs w:val="24"/>
          <w:color w:val="auto"/>
          <w:vertAlign w:val="superscript"/>
        </w:rPr>
      </w:pPr>
    </w:p>
    <w:p>
      <w:pPr>
        <w:ind w:left="660" w:hanging="652"/>
        <w:spacing w:after="0" w:line="188"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Represents average volumes net to our share for the entire year.</w:t>
      </w:r>
    </w:p>
    <w:p>
      <w:pPr>
        <w:spacing w:after="0" w:line="98" w:lineRule="exact"/>
        <w:rPr>
          <w:rFonts w:ascii="Arial" w:cs="Arial" w:eastAsia="Arial" w:hAnsi="Arial"/>
          <w:sz w:val="25"/>
          <w:szCs w:val="25"/>
          <w:color w:val="auto"/>
          <w:vertAlign w:val="superscript"/>
        </w:rPr>
      </w:pPr>
    </w:p>
    <w:p>
      <w:pPr>
        <w:ind w:left="660" w:right="400" w:hanging="652"/>
        <w:spacing w:after="0" w:line="214"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discussion contains a detailed description of our more significant Facilities segment assets.</w:t>
      </w:r>
    </w:p>
    <w:p>
      <w:pPr>
        <w:spacing w:after="0" w:line="22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Crude Oil Facilities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Cushing Terminal. </w:t>
      </w:r>
      <w:r>
        <w:rPr>
          <w:rFonts w:ascii="Arial" w:cs="Arial" w:eastAsia="Arial" w:hAnsi="Arial"/>
          <w:sz w:val="16"/>
          <w:szCs w:val="16"/>
          <w:color w:val="auto"/>
        </w:rPr>
        <w:t>We are the largest provider of crude oil terminalling services in Cushing, Oklahoma, which is one of the largest physical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hubs in the United States and is the delivery point for crude oil futures contracts traded on the NYMEX. Our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certain Gulf Coast refiners.</w:t>
      </w:r>
    </w:p>
    <w:p>
      <w:pPr>
        <w:spacing w:after="0" w:line="15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Cushing Terminal is designed to serve the operational needs of refiners, with an emphasis on ensuring operational reliability and flexibility. Accordingly, we have access to all major inbound and outbound pipelines in Cushing (23 direct pipeline connections) and our facility is designed to handle multiple grades of crude oil while minimizing the interface and enabling deliveries to connecting carriers at their maximum rate. Since 1999, we have completed multiple expansions that have increased the capacity of our Cushing Terminal.</w:t>
      </w:r>
    </w:p>
    <w:p>
      <w:pPr>
        <w:spacing w:after="0" w:line="187"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i w:val="1"/>
          <w:iCs w:val="1"/>
          <w:color w:val="auto"/>
        </w:rPr>
        <w:t xml:space="preserve">St. James Terminal. </w:t>
      </w:r>
      <w:r>
        <w:rPr>
          <w:rFonts w:ascii="Arial" w:cs="Arial" w:eastAsia="Arial" w:hAnsi="Arial"/>
          <w:sz w:val="17"/>
          <w:szCs w:val="17"/>
          <w:color w:val="auto"/>
        </w:rPr>
        <w:t>The crude oil interchange at St. James, Louisiana is one of the three most liquid crude oil interchanges in the United States. Our</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is connected to major pipelines and other terminals and includes a manifold and header system that allows for receipts and deliveries with connecting pipelines at their maximum operating capacity. In addition, this facility includes a marine dock that is able to receive from, and deliver to, tankers and barges and is also connected to our rail unloading facility. See “Rail Facilities” below for further discussion.</w:t>
      </w:r>
    </w:p>
    <w:p>
      <w:pPr>
        <w:spacing w:after="0" w:line="17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i w:val="1"/>
          <w:iCs w:val="1"/>
          <w:color w:val="auto"/>
        </w:rPr>
        <w:t xml:space="preserve">L.A. Basin. </w:t>
      </w:r>
      <w:r>
        <w:rPr>
          <w:rFonts w:ascii="Arial" w:cs="Arial" w:eastAsia="Arial" w:hAnsi="Arial"/>
          <w:sz w:val="16"/>
          <w:szCs w:val="16"/>
          <w:color w:val="auto"/>
        </w:rPr>
        <w:t>We own four crude oil and black oil storage facilities in the Los Angeles area with storage capacity in commercial service and a</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pipeline system of approximately 50 miles of pipeline in the Los Angeles Basin. We use the Los Angeles area storage and distribution system to service the storage and distribution needs of refining, pipeline and marine terminal facilities in the Los Angeles Basin. Our Los Angeles area system’s pipeline distribution assets connect our storage assets with major refineries and third-party pipelines and marine terminals in the Los Angeles Basin.</w:t>
      </w:r>
    </w:p>
    <w:p>
      <w:pPr>
        <w:spacing w:after="0" w:line="154"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Patoka Terminal. </w:t>
      </w:r>
      <w:r>
        <w:rPr>
          <w:rFonts w:ascii="Arial" w:cs="Arial" w:eastAsia="Arial" w:hAnsi="Arial"/>
          <w:sz w:val="18"/>
          <w:szCs w:val="18"/>
          <w:color w:val="auto"/>
        </w:rPr>
        <w:t>Our Patoka Terminal includes crude oil storage and an associated manifold and header system at the Patoka Interchange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Illinois. Our terminal has access to all major pipelines and terminals at the Patoka Interchange, a growing regional hub serving both northbound and southbound movements.</w:t>
      </w:r>
    </w:p>
    <w:p>
      <w:pPr>
        <w:spacing w:after="0" w:line="181"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i w:val="1"/>
          <w:iCs w:val="1"/>
          <w:color w:val="auto"/>
        </w:rPr>
        <w:t xml:space="preserve">Mobile and Ten Mile Terminal. </w:t>
      </w:r>
      <w:r>
        <w:rPr>
          <w:rFonts w:ascii="Arial" w:cs="Arial" w:eastAsia="Arial" w:hAnsi="Arial"/>
          <w:sz w:val="17"/>
          <w:szCs w:val="17"/>
          <w:color w:val="auto"/>
        </w:rPr>
        <w:t>We have a marine terminal in Mobile, Alabama (the “Mobile Terminal”) and a terminal at our nearby Ten Mile</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The facilities are pipeline connected. The Mobile Terminal is equipped with a ship/tanker dock, barge dock, truck unloading facilities and various third-party connections for crude oil movements to area refiners and our Ten Mile Facility is connected to our Pascagoula Pipeline.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i w:val="1"/>
          <w:iCs w:val="1"/>
          <w:color w:val="auto"/>
        </w:rPr>
        <w:t xml:space="preserve">Corpus Christi (Eagle Ford) Terminal. </w:t>
      </w:r>
      <w:r>
        <w:rPr>
          <w:rFonts w:ascii="Arial" w:cs="Arial" w:eastAsia="Arial" w:hAnsi="Arial"/>
          <w:sz w:val="18"/>
          <w:szCs w:val="18"/>
          <w:color w:val="auto"/>
        </w:rPr>
        <w:t>We own a 50% interest in Eagle Ford Terminals Corpus Christi LLC, a joint venture with a subsidiary of</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Eagle Ford Terminals is currently developing a terminal in Corpus Christi, Texas that, when completed, will be capable of loading ocean going vessels with either crude oil or condensate. Initial storage capacity of the terminal will be approximately 1 million barrels. The facility will have access to production from both the Eagle Ford and the Permian Basin through the Eagle Ford joint venture pipeline and is expected to be placed into service in the second quarter of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18"/>
          <w:szCs w:val="18"/>
          <w:color w:val="auto"/>
        </w:rPr>
        <w:t>The Fort Saskatchewan facility is located near Edmonton, Alberta in one of the key North American NGL hubs. The facility is a</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storage, fractionation and delivery facility for NGL and is connected to other major NGL plants and pipeline systems in the area. The facility’s primary assets include 27 storage caverns. The facility includes assets operated by us and assets operated by a third party. Our ownership in the various facility assets ranges from approximately 21% to 100%. See the section entitled “—NGL Fractionation and Isomerization Facilities” below for additional discussion of this facility.</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Sarnia Area. </w:t>
      </w:r>
      <w:r>
        <w:rPr>
          <w:rFonts w:ascii="Arial" w:cs="Arial" w:eastAsia="Arial" w:hAnsi="Arial"/>
          <w:sz w:val="18"/>
          <w:szCs w:val="18"/>
          <w:color w:val="auto"/>
        </w:rPr>
        <w:t>Our Sarnia Area facilities in Southwestern Ontario consist of (i) our Sarnia facility, (ii) our Windsor storage terminal and (iii) our St.</w:t>
      </w:r>
      <w:r>
        <w:rPr>
          <w:rFonts w:ascii="Arial" w:cs="Arial" w:eastAsia="Arial" w:hAnsi="Arial"/>
          <w:sz w:val="18"/>
          <w:szCs w:val="18"/>
          <w:i w:val="1"/>
          <w:iCs w:val="1"/>
          <w:color w:val="auto"/>
        </w:rPr>
        <w:t xml:space="preserve"> </w:t>
      </w:r>
      <w:r>
        <w:rPr>
          <w:rFonts w:ascii="Arial" w:cs="Arial" w:eastAsia="Arial" w:hAnsi="Arial"/>
          <w:sz w:val="18"/>
          <w:szCs w:val="18"/>
          <w:color w:val="auto"/>
        </w:rPr>
        <w:t>Clair terminal. The Sarnia facility is a large NGL fractionation and storage facility located in the Sarnia Chemical Valley that contains multiple rail and truck loading spots. The Sarnia Area facilities are served by a network of 15 pipelines connected to various refineries, chemical plants and other pipeline systems in the area. This pipeline network also delivers product between our Sarnia facility and our Windsor storage terminal in addition to the delivery capability from our Sarnia facility to our St. Clair terminal.</w:t>
      </w:r>
    </w:p>
    <w:p>
      <w:pPr>
        <w:spacing w:after="0" w:line="188" w:lineRule="exact"/>
        <w:rPr>
          <w:sz w:val="20"/>
          <w:szCs w:val="20"/>
          <w:color w:val="auto"/>
        </w:rPr>
      </w:pPr>
    </w:p>
    <w:p>
      <w:pPr>
        <w:ind w:right="940" w:firstLine="648"/>
        <w:spacing w:after="0" w:line="342" w:lineRule="auto"/>
        <w:rPr>
          <w:sz w:val="20"/>
          <w:szCs w:val="20"/>
          <w:color w:val="auto"/>
        </w:rPr>
      </w:pPr>
      <w:r>
        <w:rPr>
          <w:rFonts w:ascii="Arial" w:cs="Arial" w:eastAsia="Arial" w:hAnsi="Arial"/>
          <w:sz w:val="16"/>
          <w:szCs w:val="16"/>
          <w:i w:val="1"/>
          <w:iCs w:val="1"/>
          <w:color w:val="auto"/>
        </w:rPr>
        <w:t xml:space="preserve">Empress Area. </w:t>
      </w:r>
      <w:r>
        <w:rPr>
          <w:rFonts w:ascii="Arial" w:cs="Arial" w:eastAsia="Arial" w:hAnsi="Arial"/>
          <w:sz w:val="16"/>
          <w:szCs w:val="16"/>
          <w:color w:val="auto"/>
        </w:rPr>
        <w:t>We own a network of seven NGL terminals (Fort Whyte, Moose Jaw, Rapid City, Stewart Valley, Dewdney, Empress and</w:t>
      </w:r>
      <w:r>
        <w:rPr>
          <w:rFonts w:ascii="Arial" w:cs="Arial" w:eastAsia="Arial" w:hAnsi="Arial"/>
          <w:sz w:val="16"/>
          <w:szCs w:val="16"/>
          <w:i w:val="1"/>
          <w:iCs w:val="1"/>
          <w:color w:val="auto"/>
        </w:rPr>
        <w:t xml:space="preserve"> </w:t>
      </w:r>
      <w:r>
        <w:rPr>
          <w:rFonts w:ascii="Arial" w:cs="Arial" w:eastAsia="Arial" w:hAnsi="Arial"/>
          <w:sz w:val="16"/>
          <w:szCs w:val="16"/>
          <w:color w:val="auto"/>
        </w:rPr>
        <w:t>Richardson). The facilities are complemented by various other NGL fractionation and extraction assets as described further below.</w:t>
      </w:r>
    </w:p>
    <w:p>
      <w:pPr>
        <w:spacing w:after="0" w:line="12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Our Bumstead facility is located at a major rail transit point near Phoenix, Arizona. The facility’s primary assets include salt-dome</w:t>
      </w:r>
      <w:r>
        <w:rPr>
          <w:rFonts w:ascii="Arial" w:cs="Arial" w:eastAsia="Arial" w:hAnsi="Arial"/>
          <w:sz w:val="18"/>
          <w:szCs w:val="18"/>
          <w:i w:val="1"/>
          <w:iCs w:val="1"/>
          <w:color w:val="auto"/>
        </w:rPr>
        <w:t xml:space="preserve"> </w:t>
      </w:r>
      <w:r>
        <w:rPr>
          <w:rFonts w:ascii="Arial" w:cs="Arial" w:eastAsia="Arial" w:hAnsi="Arial"/>
          <w:sz w:val="18"/>
          <w:szCs w:val="18"/>
          <w:color w:val="auto"/>
        </w:rPr>
        <w:t>storage caverns, a rail track and truck racks.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own two U.S. Federal Energy Regulatory Commission (“FERC”) regulated natural gas storage facilities located on the Gulf Coast that are certificated for 112 Bcf of working gas capacity, and as of December 31, 2018, we had an aggregate commercial working gas capacity of approximately 63 Bcf in service. Our facilities have aggregate certificated peak daily injection and withdrawal rates of 3.6 Bcf and 5.6 Bcf, respectively.</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two natural gas storage facilities are strategically located within the Gulf Coast market and have a diverse group of customers, including liquefied natural gas (“LNG”) exporters, utilities, pipelines, producers, power generators and marketers whose storage needs vary from traditional seasonal storage services to hourly balancing. We are located near several major market hubs and our facilities have 14 physical interconnects with third-party interstate pipelines, intrastate pipelines and direct connect customers, serving markets in the Gulf Coast, Mid-Atlantic, Northeast, and Southeast regions of the United States.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own and/or operate four straddle plants located in Western Canada. In addition to the processing capacity at our straddle plants, we have a long-term liquids supply contract relating to a third-party owned straddle plant with gross processing capacity of approximately 2.5 Bcf per day. We also own and operate three natural gas processing plants located in Louisiana and Alabama.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Empress. </w:t>
      </w:r>
      <w:r>
        <w:rPr>
          <w:rFonts w:ascii="Arial" w:cs="Arial" w:eastAsia="Arial" w:hAnsi="Arial"/>
          <w:sz w:val="18"/>
          <w:szCs w:val="18"/>
          <w:color w:val="auto"/>
        </w:rPr>
        <w:t>We own the Empress fractionation facility, which is connected to and receives liquids from our Empress straddle plant. The facility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producing spec NGL products and connects to our PPTC Pipeline network.</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Fort Saskatchewan. </w:t>
      </w:r>
      <w:r>
        <w:rPr>
          <w:rFonts w:ascii="Arial" w:cs="Arial" w:eastAsia="Arial" w:hAnsi="Arial"/>
          <w:sz w:val="16"/>
          <w:szCs w:val="16"/>
          <w:color w:val="auto"/>
        </w:rPr>
        <w:t>Our recently expanded Fort Saskatchewan fractionation facility has a design capacity of 85,000 barrels per day and produces</w:t>
      </w:r>
      <w:r>
        <w:rPr>
          <w:rFonts w:ascii="Arial" w:cs="Arial" w:eastAsia="Arial" w:hAnsi="Arial"/>
          <w:sz w:val="16"/>
          <w:szCs w:val="16"/>
          <w:i w:val="1"/>
          <w:iCs w:val="1"/>
          <w:color w:val="auto"/>
        </w:rPr>
        <w:t xml:space="preserve"> </w:t>
      </w:r>
      <w:r>
        <w:rPr>
          <w:rFonts w:ascii="Arial" w:cs="Arial" w:eastAsia="Arial" w:hAnsi="Arial"/>
          <w:sz w:val="16"/>
          <w:szCs w:val="16"/>
          <w:color w:val="auto"/>
        </w:rPr>
        <w:t>spec propane, butane, condensate and a propane and butane mix, which is sent to our Sarnia facility for further fractionation. Through our 21% ownership in the Keyera Fort Saskatchewan fractionation plant, we have additional fractionation capacity, net to our share, of approximately 17,000 barrels per day.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from refineries, gas plants and chemical plants in the area. The fractionation unit produces specification propane, isobutane, normal butane and natural gasoline. Our ownership in the various processing units at the Sarnia Fractionator ranges from 62% to 84%.</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15,000 barrels per day including NGL fractionation capacity of approximately 12,000 barrels per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Gardendale condensate processing facility located in La Salle County, Texas is designed to extract natural gas liquids from condensate. The facility is adjacent to our Gardendale terminal and rail facility and is connected to a third-party pipeline that delivers NGL to Mont Belvieu, Texas. The facility has a total processing capacity of 120,000 barrels per day and usable storage capacity of 160,000 barrels. Throughput at the Gardendale processing facility is supplied by long-term commitments from producers.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own crude oil and condensate rail loading facilities located at or near Carr, Colorado; Tampa, Colorado; Gardendale, Texas; McCamey, Texas; Manitou, North Dakota; and Kerrobert, Saskatchewan.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own three crude oil rail unloading facilities. Our St. James, Louisiana facility receives unit trains and has a capacity of 140,000 barrels per day. Our Yorktown, Virginia rail facility can receive unit trains and has an unload capacity of approximately 140,000 barrels per day. Our Bakersfield, California rail facility receives unit trains and has permitted capacity to unload 70,000 barrels per 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own 26 operational NGL rail facilities (including our Fort Saskatchewan rail facility, as well as facilities that can provide both crude oil and NGL service) strategically located near NGL storage, pipelines, gas production or propane distribution centers throughout the United States and Canada. We have the ability to switch our own railcars at eight of our facilities. We are currently in the process of commissioning rail offload capability at Tampa, Florida, which will add 14 unloading spots and room to store 14 cars, with total capacity of 28 cars on site at a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purchase of U.S. and Canadian crude oil at the wellhead, and the bulk purchase of crude oil at pipeline, terminal and rail facilities;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extraction of NGL from gas processed at our facilities;</w:t>
      </w:r>
    </w:p>
    <w:p>
      <w:pPr>
        <w:spacing w:after="0" w:line="117"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operators of petrochemical facilities, exporters or other resellers; and</w:t>
      </w:r>
    </w:p>
    <w:p>
      <w:pPr>
        <w:spacing w:after="0" w:line="62"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vessels from various delivery points, market hub locations or directly to end users such as refineries, processors and fractionation facilities.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purchase and resale of crude oil and NGL results in us generating a margin, which is reduced by the transportation, facilities and other logistical costs associated with delivering the crude oil or NGL to market as well as related operating and general and administrative expenses. A portion of our results is impacted by overall market structure and the degree of market volatility, as well as variable operating expenses. Our activities are designed to limit downside exposure, while generating upside potential associated with opportunities inherent in volatile market conditions (including opportunities to benefit from fluctuating differentials and market structure). Opportunities to realize upside potential through our Supply and Logistics operations occur from time to time and are typically for short periods of time when there are local or regional infrastructure constraints. See “—Impact of Commodity Price Volatility and Dynamic Market Conditions on Our Business Model” below for further discussion.</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to hedged working inventories associated with its merchant activities, as of December 31, 2018, our Supply and Logistics segment owned significant volumes of crude oil and NGL classified as long-term assets and linefill or minimum inventory requirements and employed a variety of owned or leased physical assets throughout the United States and Canada, including approximately:</w:t>
      </w:r>
    </w:p>
    <w:p>
      <w:pPr>
        <w:spacing w:after="0" w:line="18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15 million barrels of crude oil and NGL linefill in pipelines owned by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4 million barrels of crude oil and NGL utilized as linefill in pipelines owned by third parties or otherwise required as long-term inventory;</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750 trucks and 900 trailers;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9,100 crude oil and NGL railcars.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 connection with its operations, our Supply and Logistics segment secures transportation and facilities services from our other two segments as well as third-party service providers under month-to-month and multi-year arrangements. Intersegment fees are based on posted tariff rates, rates similar to those charged to third parties or rates that we believe approximate market rates.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tcPr>
          <w:p>
            <w:pPr>
              <w:jc w:val="right"/>
              <w:ind w:right="457"/>
              <w:spacing w:after="0"/>
              <w:rPr>
                <w:sz w:val="20"/>
                <w:szCs w:val="20"/>
                <w:color w:val="auto"/>
              </w:rPr>
            </w:pPr>
            <w:r>
              <w:rPr>
                <w:rFonts w:ascii="Arial" w:cs="Arial" w:eastAsia="Arial" w:hAnsi="Arial"/>
                <w:sz w:val="14"/>
                <w:szCs w:val="14"/>
                <w:b w:val="1"/>
                <w:bCs w:val="1"/>
                <w:color w:val="auto"/>
              </w:rPr>
              <w:t>Volumes</w:t>
            </w:r>
          </w:p>
        </w:tc>
      </w:t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(MBbls/d)</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NGL sales</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255</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 volumes</w:t>
            </w:r>
          </w:p>
        </w:tc>
        <w:tc>
          <w:tcPr>
            <w:tcW w:w="1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1,309</w:t>
            </w: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Crude Oil and NGL Purchases. </w:t>
      </w:r>
      <w:r>
        <w:rPr>
          <w:rFonts w:ascii="Arial" w:cs="Arial" w:eastAsia="Arial" w:hAnsi="Arial"/>
          <w:sz w:val="18"/>
          <w:szCs w:val="18"/>
          <w:color w:val="auto"/>
        </w:rPr>
        <w:t>We purchase crude oil and NGL from multiple producers under contracts and believe we have established long-term, broad-based relationships with the crude oil and NGL producers in our areas of operations.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crude oil contracts generally range in term from thirty-day evergreen to five years, with the majority ranging from thirty days to one year and a limited number of contracts with remaining terms extending up to ten years. We utilize our truck fleet, railcars and pipelines as well as leased railcars, third-party pipelines, trucks and barges to transport crude oil to market. From time to time, we enter into various types of purchase and exchange transactions including fixed-price purchase contracts, collars, financial swaps and crude oil and NGL-related futures contracts as hedging devices.</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In the last few years, we have implemented an increasing number of contracts with longer terms to ensure capacity utilization and base-load expansion projects. We also acquire NGL from gas shippers by paying an extraction right to remove the liquids from the gas flowing through our straddle plants at Empress, Alberta. We utilize our trucking fleet and pipeline network, as well as leased railcars, third-party tank trucks and third-party pipelines to transport NGL.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In addition to purchasing crude oil from producers, we purchase both domestic and foreign crude oil in bulk at major hub locations, rail and dock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Crude Oil and NGL Sales. </w:t>
      </w:r>
      <w:r>
        <w:rPr>
          <w:rFonts w:ascii="Arial" w:cs="Arial" w:eastAsia="Arial" w:hAnsi="Arial"/>
          <w:sz w:val="18"/>
          <w:szCs w:val="18"/>
          <w:color w:val="auto"/>
        </w:rPr>
        <w:t>The activities involved in the supply, logistics and distribution of crude oil and NGL are complex and require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knowledge of crude oil and NGL sources and end markets, as well as a familiarity with a number of factors including individual refinery demand for specific grades of crude oil, area market price structures, location of customers, various modes and availability of transportation facilities to deliver crude oil and NGL to our customers.</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sell our crude oil to major integrated oil companies, independent refiners, exporters and other resellers in various types of sale and exchange transactions. Our crude oil sales contracts generally range in term from thirty-day evergreen to five years, with the majority ranging from thirty days to one year. We sell NGL primarily to propane and refined product retailers, petrochemical companies and refiners, and limited volumes to other marketers. The majority of our NGL contracts generally span a term of one year. For contracts greater than one year, pricing mechanisms are typically put in place to ensure any significant cost escalations are accounted for, which may include provisions for annual price negotiations designed to ensure both the buyer and seller remain at market-based pricing. We establish a margin for the crude oil and NGL we purchase by entering into physical sales contracts with third parties, or by entering into a future delivery obligation with respect to futures contracts on the NYMEX, ICE or over-the-counter exchanges. Through these transactions, we seek to maintain a position that is substantially balanced between purchases and sales and future delivery obligations. From time to time, we enter into various types of sale and exchange transactions, including fixed-price delivery contracts, collars, financial swaps and crude oil and NGL-related futures contracts as hedging devices.</w:t>
      </w:r>
    </w:p>
    <w:p>
      <w:pPr>
        <w:spacing w:after="0" w:line="17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we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19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and NGL for resale and require significant extensions of credit by our suppliers.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we sell crude oil and NGL, we must determine the amount, if any, of credit to be extended to any given customer. We manage our exposure to credit risk through credit analysis, credit approvals, credit limits, prepayment, letters of credit and monitoring procedures.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188"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and pipeline, transportation and terminalling services settle within 30 days from the date we issue an invoice for the provision of services.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18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Certain activities in our Supply and Logistics segment are affected by seasonal aspects, primarily with respect to NGL supply and logistics activities, which are sensitive to weather-related demand, particularly during the approximate five-month peak heating season of November through March.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our three business segments, we are engaged in the transportation, storage, terminalling and marketing of crude oil, NGL and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our activities are focused on crude oil, which is the principal feedstock used by refineries in the production of transportation fuels.</w:t>
      </w:r>
    </w:p>
    <w:p>
      <w:pPr>
        <w:spacing w:after="0" w:line="22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Crude oil, NGL and natural gas commodity prices have historically been very volatile. For example, since the mid-1980s, NYMEX West Texas Intermediate (“WTI”) crude oil benchmark prices have ranged from a low of approximately $10 per barrel during 1986 to a high of over $147 per barrel during 2008. During 2018, WTI crude oil prices traded within a range of approximately $43 to $76 per barrel. There has also been volatility within the propane and butane markets as seen through the North American benchmark price located at Mont Belvieu, Texas. Specifically, over the last ten years, propane prices have ranged from a low of approximately 30% of the WTI benchmark price for crude oil in 2015 to a high of approximately 75% of the WTI benchmark price for crude oil in 2017. During 2018, propane averaged 57% of WTI and on a daily basis traded within a range of 49% to 68% of WTI. During the same ten-year period, butane has seen a price range from a low of approximately 35% of the WTI benchmark price for crude oil in 2015 to a high of approximately 108% of the WTI benchmark price for crude oil in 2017. During 2018, butane averaged 66% of WTI and on a daily basis traded within a range of 55% to 77% of WTI.</w:t>
      </w:r>
    </w:p>
    <w:p>
      <w:pPr>
        <w:spacing w:after="0" w:line="19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Absent extended periods of lower crude oil or NGL prices that are below production replacement costs or higher crude oil or NGL prices that have a significant adverse impact on consumption, demand for the services we provide in our fee-based Transportation and Facilities segments and our financial results from these activities have little correlation to absolute commodity prices. Relative contribution levels will vary from quarter-to-quarter due to seasonal and other similar factors, but we project that (absent material outperformance in our Supply and Logistics business) our fee-based Transportation and Facilities segments should comprise approximately 90% or greater of our aggregate segment results.</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Results from our supply and logistics activities depend on our ability to sell crude oil and NGL at prices in excess of our aggregate cost. Although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cash flow is not materially adversely affected by the absolute level of energy prices, shifts between demand-driven markets and supply-driven markets or other similar dynamics. Beginning in the second half of 2014 through early 2018, however, the market experienced impacts from aggressive competition and overbuilt infrastructure in certain regions, which caused supply and demand imbalances and price volatility. In some of the areas where we operate, there has been significantly increased competition for marginal or incremental volumes from shippers on third-party pipelines who have committed to ship more production than they have and are purchasing barrels in the market for shipment on the applicable third-party pipeline to satisfy their transportation commitments, often doing so at a loss because the loss on sale of the purchased crude oil will be less than the amount of the take-or-pay obligation on the pipeline. This type of activity has put downward pressure on margins across our three business segments. During such transitional markets, our Supply and Logistics segment may not be able to fully recover its costs on certain transactions.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challenging market conditions, such as those experienced over the last several years, we believe the complementary, integrated nature of our business activities and diversification of our asset base among varying regions and demand-driven and supply-driven markets provides flexibility for our customers and plays a valuable role in driving the growth of our fee-based Transportation and Facilities segments. Additionally, this approach is also intended to provide opportunities to realize incremental margin during volatile market conditions.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w:t>
      </w:r>
    </w:p>
    <w:p>
      <w:pPr>
        <w:spacing w:after="0" w:line="18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executing our business model, we employ a variety of financial risk management tools and techniques, predominantly in our Supply and Logistics segment. These are discussed in greater detail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rather than trying to profit from trading activity.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17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Marathon Petroleum Corporation and its subsidiaries accounted for 14%, 19% and 18% of our revenues for the years ended December 31, 2018, 2017 and 2016, respectively. ExxonMobil Corporation and its subsidiaries accounted for 14%, 11% and 14% of our revenues for the years ended December 31, 2018, 2017 and 2016, respectively. Phillips 66 Company and its subsidiaries accounted for 11% of our revenues in each of the years ended December 31, 2017 and 2016. No other customers accounted for 10% or more of our revenues during any of the three years ended December 31, 2018.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15 to our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supply regions and demand for crude oil and NGL by end users. Although new pipeline projects represent a source of competition for our business, there are also existing third-party owned pipelines with excess capacity in the vicinity of our operations that expose us to significant competition based on the relatively low operating cost associated with moving an incremental barrel of crude oil or NGL through such unutilized capacity. In the current environment, competition for marginal or incremental volumes has been exacerbated in some areas by shippers on third-party pipelines who have committed to ship more production than they own or have secured under contract and are purchasing barrels in the market and shipping them on the applicable third-party pipeline in satisfaction of their transportation commitment. This type of activity reduces the pool of incremental barrels that would otherwise be available for transport on our pipelines. In addition, in areas where additional infrastructure is necessary to accommodate new or increased production or changing product flows, we face competition in providing the required infrastructure solutions as well as the risk of building capacity in excess of sustainable demand levels. For example, over the last 18 months, several potential new pipeline projects have been announced or are currently under construction. In many cases the sponsors have represented that such projects are underpinned by substantial minimum volume commitments and/or acreage dedications. Combined with current pipeline takeaway capacity, these proposed or pending pipeline projects could result in significant excess capacity relative to projected crude oil production volumes, especially in the Permian Basin, where we have significant operations. In combination with incremental shipper commitments or dedications, the ratio of excess capacity to uncommitted barrels is expected to increase significantly, amplifying the competition for incremental barrels to fill available capacity on our assets and resulting in downward pressure on margins.</w:t>
      </w:r>
    </w:p>
    <w:p>
      <w:pPr>
        <w:spacing w:after="0" w:line="18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brokers and marketers of widely varying sizes, financial resources and experience. Some of these competitors have capital resources greater than ours. The addition of new pipelines supported by minimum volume commitments and/or acreage dedications could also amplify the level of competition for purchasing wellhead barrels, especially in the Permian Basin and thus impact our margins.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storage facilities connected to their systems that compete with some of our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Our Business— Our operations are also subject to laws and regulations relating to protection of the environment and wildlife, operational safety, climate change and related matters that may expose us to significant costs and liabilities. The current laws and regulations affecting our business are subject to change and in the future we may be subject to additional laws and regulations, which could adversely impact our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but not all, of the laws and regulations affecting our operations.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and remedial liabilities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health and safety laws and regulations to which our operations are subject.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Safety/Integrity Management</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DOT that require transportation pipeline operators to implement integrity management programs, including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$86 million in 2018, $137 million in 2017 and $89 million in 2016. Based on currently available information, our preliminary estimate for 2019 is that we will incur approximately $69 million in capital expenditures and approximately $28 million in operational expenditures associated with our required pipeline integrity management program.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$38 million in 2018, $39 million in 2017 and $48 million in 2016, and our preliminary estimate for 2019 is that we will incur approximately $52 million of such costs.</w:t>
      </w:r>
    </w:p>
    <w:p>
      <w:pPr>
        <w:spacing w:after="0" w:line="18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PHMSA was reauthorized and the HLPSA was amended in 2011 and 2016. The regulatory changes precipitated by these actions have increased our cost to operate. We anticipate that future rulemaking (including the 2019 reauthorization of PHMSA and the eventual adoption of the hazardous liquids rule) will have the potential to contribute to a higher cost to operate.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October 2015, the Governor of California signed the Oil Spill Response: Environmentally and Ecologically Sensitive Areas Bill (“AB-864”) which requires new and existing pipelines located near environmentally and ecologically sensitive areas connected to or located in the coastal zone to use best available technologies to reduce the amount of oil released in an oil spill to protect state waters and wildlife. Best available technology includes, but is not limited to, installation of leak detection technologies, automatic shutoff systems, or remote controlled sectionalized block valves, or any combination of these technologies based on a risk analysis conducted by the operator. The California Office of the State Fire Marshal is in the process of developing the regulations required by AB 864 and issued updated draft regulations in January 2019. The updated draft regulations (while not yet adopted) require that the risk analysis, plans for installation of best available technology and any exemption requests be submitted in 2020 and installation of best available technology, if required, be completed by July 2022. These deadlines could change depending upon the date the final regulations are adopted. Compliance with these new regulations will impact our pipeline operations in California and add to the cost to operate the pipelines subject to these rules.</w:t>
      </w:r>
    </w:p>
    <w:p>
      <w:pPr>
        <w:spacing w:after="0" w:line="16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DOT has generally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our costs associated with this program were approximately $53 million, $37 million and $29 million in 2018, 2017 and 2016, respectively. For 2019, we have budgeted approximately $51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Canada, the NEB and provincial agencies regulate the safety and integrity management of pipelines and storage tanks used for hydrocarbon transmission. We have incurred and will continue to incur costs related to such regulatory requirements.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have implemented Pipeline, Facility and Cavern Integrity Management Programs to comply with applicable regulatory requirements and assist in our efforts to mitigate risk. Costs incurred for such integrity management activities were approximately $71 million, $60 million and $59 million in 2018, 2017 and 2016, respectively, and our preliminary estimate for 2019 is that we will incur approximately $76 million of such costs.</w:t>
      </w:r>
    </w:p>
    <w:p>
      <w:pPr>
        <w:spacing w:after="0" w:line="166"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cannot predict the potential costs associated with additional, future regulation. Significant additional expenses could be incurred, and additional operational requirements and constraints could be imposed, if new or more stringently interpreted pipeline safety requirements are implemented.</w:t>
      </w:r>
    </w:p>
    <w:p>
      <w:pPr>
        <w:spacing w:after="0" w:line="124" w:lineRule="exact"/>
        <w:rPr>
          <w:sz w:val="20"/>
          <w:szCs w:val="20"/>
          <w:color w:val="auto"/>
        </w:rPr>
      </w:pPr>
    </w:p>
    <w:p>
      <w:pPr>
        <w:jc w:val="center"/>
        <w:ind w:right="900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 under RCRA may be revisited and our wastes subject to more rigorous and costly disposal requirements, resulting in additional capital expenditures or operating expenses. For example, pursuant to a settlement agreement with environmental organizations, the EPA must determine by 2019 whether currently exempt oil and gas wastes should be regulated under RCRA’s hazardous waste provisions.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are subject to the Environmental Protection Agency’s (“EPA”)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 In January 2016, the EPA finalized revisions to the Risk Management Plan (“RMP”) rules, including requirements for the use of third-party compliance audits, root cause analyses for facilities that experience releases, process hazard analyses and enhanced information-sharing provisions, effective March 2017. However, the EPA has since published a rule delaying implementation of the RMP revisions until February 2019 while the agency considers whether to amend or repeal the rule. OSHA has announced that it is considering similar revisions to the PSM rule, but, to date, has not issued a Notice of Proposed Rulemaking. The potential for revisions to either the RMP or PSM rule is uncertain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may experience releases of hydrocarbon products into the environment from our pipeline, rail, storage and other facility operations. We may also discover environmental impacts from past releases that were previously unidentified. The costs and liabilities associated with any such releases or environmental impacts could be significant and may not be covered by insurance; accordingly, such costs and liabilities could have a material adverse impact on our results of operations and/or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Our United States operations are subject to the United States Clean Air Act (“Clean Air Act”), comparable state laws and associated state and federal regulations. Our Canadian operations are also subject to federal and provincial air emission regulations, which are discussed in subsequent sections.</w:t>
      </w:r>
    </w:p>
    <w:p>
      <w:pPr>
        <w:spacing w:after="0" w:line="12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EPA has adopted rules for the reporting the emission of carbon dioxide, methane and other greenhouse gases (“GHG”) from certain sources.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2016, the EPA finalized regulations affecting new, modified and reconstructed sources of air emissions in the oil and natural gas sector that require significant reductions in fugitive methane emissions from certain upstream and midstream oil and gas facilities. These new rules also require operators to implement fugitive emission leak detection and repair requirements for compressor stations. However, the EPA has taken several steps to delay implementation of its methane rules, and the agency proposed a rulemaking in June 2017 to stay the requirements for a period of two years and revisit implementation of the methane rules in their entirety. The EPA has not yet published a final rule but, as a result of these developments, future implementation of the 2016 rules is uncertain at this time. However, several states have either proposed or finalized similar regulations related to the reduction of methane emissions from the oil and natural gas sector.</w:t>
      </w:r>
    </w:p>
    <w:p>
      <w:pPr>
        <w:spacing w:after="0" w:line="18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California has implemented a GHG cap-and-trade program, authorized under Assembly Bill 32 (“AB32”). Since its start in 2014, California’s cap-and-trade program has only applied to large industrial facilities with carbon dioxide equivalent emissions over 25,000 metric tons. The California Air Resources Board has published a list of facilities that are subject to this program. At this time, the list only includes one of our facilities, the Lone Star Gas Liquids facility in Shafter, California because it is a significant combustion and propane fractionation source. As a result, compliance instruments for GHG emissions have been purchased since 2013.</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Effective January 1, 2015, the AB32 regulations also covered finished fuel providers and importers. California finished fuels providers (refiners and importers) are required to purchase GHG emission credits for finished fuel sold in or imported into California. Plains Marketing was included in this portion of the regulation due to propane imports and completed its first year of compliance in 2016. The compliance requirements of the GHG cap-and-trade program through 2020 are currently being phased in. Effective January 1, 2018, importers of finished fuels responsible for compliance costs associated with GHG has changed from the consignee to the importer on title of the product. Plains Midstream Canada is now included in this change to the rule due to its imports of propane into California and will submit its first compliance report in 2019.</w:t>
      </w:r>
    </w:p>
    <w:p>
      <w:pPr>
        <w:spacing w:after="0" w:line="17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Executive Order B-30-15 was signed by California’s Governor in mid-2015. This Executive Order requires a 40% reduction in GHG emissions from the 1990 baseline level by 2030. The current 2020 goals for GHG emissions reductions are at 15% below the 1990 baseline level. Compliance with this reduction requirement may necessitate the lowering of the threshold for industrial facilities required to participate in the GHG cap and trade program.</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While it is not possible at this time to predict how federal or state governments may choose to regulate GHG emissions, any new regulatory restrictions on GHG emissions could result in material increased compliance costs, additional operating restrictions and an increase in the cost of feedstock and products produced by our refinery customers.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6"/>
          <w:szCs w:val="16"/>
          <w:color w:val="auto"/>
        </w:rPr>
        <w:t>In December 2015, the Paris Agreement was signed at the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annual Conference of Parties to the United Nations Framework Convention on Climate Change (“UNFCCC”). The Paris Agreement, which came into effect in November 2016, requires signatory parties to develop and implement carbon emission reduction policies with a goal of limiting the rise in average global temperatures to 2°C or less. The United States and Canada are currently signatories to the Agreement; however, in June 2017, President Trump stated that the United States would withdraw from the Paris Agreement, but may enter into a future international agreement related to GHGs. In August 2017, the U.S. State Department officially informed the United Nations of the intent of the United States to withdraw from the Paris Agreement. The United States’ adherence to the exit process is uncertain and/or the terms on which the United States may reenter the Paris Agreement or a separately negotiated agreement are unclear at this time. The Paris Agreement is likely to become a significant driver for future potential GHG reduction programs in participating countries. Notwithstanding potential risks related to climate change, the International Energy Agency estimates that global energy demand will continue to rise and will not peak until after 2040 and that oil and gas will continue to represent a substantial percentage of global energy use over that time. Finally, to the extent increasing concentrations of GHGs in the Earth’s atmosphere may produce climate changes that have significant physical effects, such as increased frequency and severity of storms, droughts, floods and other climatic events, such events could have a material adverse effect on our assets, particularly those located in coastal or flood prone areas.</w:t>
      </w:r>
    </w:p>
    <w:p>
      <w:pPr>
        <w:spacing w:after="0" w:line="181"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Federal Regulations. </w:t>
      </w:r>
      <w:r>
        <w:rPr>
          <w:rFonts w:ascii="Arial" w:cs="Arial" w:eastAsia="Arial" w:hAnsi="Arial"/>
          <w:sz w:val="18"/>
          <w:szCs w:val="18"/>
          <w:color w:val="auto"/>
        </w:rPr>
        <w:t>Along with 197 other countries, Canada is a signatory to the UNFCCC “Durban Platform” committing it to develop a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binding agreement to reduce GHG emissions by 2020. Further, on December 12, 2015, the UNFCCC ratified the Paris Agreement to accelerate climate change initiatives and to intensify the actions of member nations in the reduction of GHG emissions. This ratification also included requirements that all Parties report on their emissions status and agreement for a review every five years to assess success among member nations in attaining objectives and targets under this agreement.</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This has resulted in one additional PMC facility (for a total of four locations) being currently required to prepare annual reports of their emissions. The associated costs with this new reporting requirement is not considered to be material.</w:t>
      </w:r>
    </w:p>
    <w:p>
      <w:pPr>
        <w:spacing w:after="0" w:line="15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October 2016, the Government of Canada implemented a pan-Canadian approach to pricing carbon pollution requiring all Canadian provinces and territories to have carbon pricing in place by 2018, which is now in effect. The provinces and territories were granted flexibility in deciding how they implement carbon pricing either by placing a direct price on carbon pollution or adopting a cap and trade system. The Provincial programs that fail to meet the Federal government’s requirements for their programs are required to adopt the Federal program. The Federal program includes two components: a direct price on carbon pollution (the Federal price on carbon pollution will start at $20/tonne in 2019 and rise by $10 a year to reach $50/tonne in 2022) and an output based pricing system (“OBPS”) designed to address competitiveness risk for large emitters.</w:t>
      </w:r>
    </w:p>
    <w:p>
      <w:pPr>
        <w:spacing w:after="0" w:line="178"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April 2018, the Federal Department of Environment and Climate Change introduced regulations designed to reduce methane emissions by up to 45% by 2025 (from 2012 levels) from oil and natural gas facilities. The scope and requirements of the proposed rule are similar to the EPA methane rules described above. Effective June 2017, the Federal Department of Environment and Climate Change has introduced the Multi Sector Air Pollutants Regulations which set air pollution emission standards across Canada for several industrial sectors that utilize applicable equipment regulated under this program. The regulations establish specific limits to the amount of nitrogen oxides emitted from gas fueled boilers, heaters and stationary spark-ignition engines above a specified power rating. Based on these regulations, reporting obligations exist that are associated with seven facilities with equipment that meets specifications of the program. The implications of these regulations coming into effect are not believed to be material.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Provincial Regulations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Ontario</w:t>
      </w:r>
      <w:r>
        <w:rPr>
          <w:rFonts w:ascii="Arial" w:cs="Arial" w:eastAsia="Arial" w:hAnsi="Arial"/>
          <w:sz w:val="16"/>
          <w:szCs w:val="16"/>
          <w:color w:val="auto"/>
        </w:rPr>
        <w:t>. In February 2015, the Ontario Ministry of Environment and Climate Change issued a discussion paper that identified carbon pricing as a</w:t>
      </w:r>
      <w:r>
        <w:rPr>
          <w:rFonts w:ascii="Arial" w:cs="Arial" w:eastAsia="Arial" w:hAnsi="Arial"/>
          <w:sz w:val="16"/>
          <w:szCs w:val="16"/>
          <w:i w:val="1"/>
          <w:iCs w:val="1"/>
          <w:color w:val="auto"/>
        </w:rPr>
        <w:t xml:space="preserve"> </w:t>
      </w:r>
      <w:r>
        <w:rPr>
          <w:rFonts w:ascii="Arial" w:cs="Arial" w:eastAsia="Arial" w:hAnsi="Arial"/>
          <w:sz w:val="16"/>
          <w:szCs w:val="16"/>
          <w:color w:val="auto"/>
        </w:rPr>
        <w:t>critical action necessary to reduce emissions of greenhouse gases. In April 2015, the Ontario government announced it would be implementing a GHG cap and trade program, which would be implemented through the Western Climate Initiative (“WCI”), which includes Quebec and California. Mandatory participants for the program were responsible for their emissions starting on January 1, 2017. PMC’s facility at Sarnia was considered to be a mandatory participant in the program. In June 2018, the newly formed Ontario Provincial government repealed the provincial cap and trade program with the passing of the Cap and Trade Cancellation Act which now subjects the province to the Federal carbon pricing program. At this time, we do not believe that the cancellation of Ontario’s cap and trade program, or replacement with the Federal program, will have a material adverse effect on our operations.</w:t>
      </w:r>
    </w:p>
    <w:p>
      <w:pPr>
        <w:spacing w:after="0" w:line="16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Ontario government has introduced an updated Sulphur Dioxide (“SO2”) standard which requires the reduction of SO2 from the current one hour average emission rate of 690 micrograms per cubic meter of air (“ug/m3”) to the new one hour standard of 100 ug/m3 by 2023 at industrial facilities. The introduction of this reduction measure will require further evaluation of current emissions and further measures to be implemented based on initial emission testing. The impact of this requirement is not known at this time.</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Alberta. </w:t>
      </w:r>
      <w:r>
        <w:rPr>
          <w:rFonts w:ascii="Arial" w:cs="Arial" w:eastAsia="Arial" w:hAnsi="Arial"/>
          <w:sz w:val="17"/>
          <w:szCs w:val="17"/>
          <w:color w:val="auto"/>
        </w:rPr>
        <w:t>The Alberta Climate Change and Emissions Management Act provides a framework for managing GHG emissions by reducing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gas emissions to 50% of 1990 levels by December 31, 2020. The Specified Gas Emitters Regulation (“SGER”) was the initial program introduced which imposed GHG emissions limits on large emitters and required reductions in GHG emissions intensity. PMC has two facilities (Fort Saskatchewan Storage and Fractionation Facility and Empress VI) which do not meet the reduction obligations. As such, PMC has been required to submit compliance payments to the Climate Change Emissions Management Fund. In January 2018, the SGER was replaced with the Carbon Competitive Incentive Regulation (“CCIR”) for compliance years 2018 onwards. Although various elements of the SGER are carried through into the CCIR, the CCIR has fundamental differences, both in the way a facility’s regulated emissions are calculated as well as how the emission intensity reduction is measured, which aligns with the program developed by the Federal government and their OBPS requirements. Compliance options under the CCIR are similar to those under the previous SGER such that a GHG fund credit purchase is required if reduction targets identified under the program are not attained, which has historically resulted in payments being made to the province for the two facilities under this program.</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association with the Federal methane reduction targets, the Alberta government has introduced the Alberta Methane reduction program, which requires a 45% reduction of methane from oil and gas operations by 2025. The primary focus will be on the improvement of measurement and reporting, and leak detection programs which will be formalized internally within existing operational budgets.</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i w:val="1"/>
          <w:iCs w:val="1"/>
          <w:color w:val="auto"/>
        </w:rPr>
        <w:t>Other Canadian Jurisdictions</w:t>
      </w:r>
      <w:r>
        <w:rPr>
          <w:rFonts w:ascii="Arial" w:cs="Arial" w:eastAsia="Arial" w:hAnsi="Arial"/>
          <w:sz w:val="18"/>
          <w:szCs w:val="18"/>
          <w:color w:val="auto"/>
        </w:rPr>
        <w:t>. Nova Scotia and Quebec Cap and Trade programs cover propane supplied by PMC into the Nova Scotia and Quebec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PMC is required to purchase GHG emission credits and submit annual compliance reports under each province’s respective Cap and Trade program. Effective April 1, 2019, the Federal carbon pricing program comes into effect for provinces that do not have a carbon pricing program in place. This includes Saskatchewan, Manitoba, Ontario and New Brunswick.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for over 35 years, the Army Corps of Engineers (the “Corps”) has authorized construction, maintenance and repair of pipelines under a streamlined nationwide permit program under the CWA known as Nationwide Permit 12 (“NWP”). The NWP program is supported by strong statutory and regulatory history and was originally approved by Congress in 1977. From time to time, environmental groups have challenged the NWP program; however, to date, federal courts have upheld the validity of NWP program under the CWA. We cannot predict whether future lawsuits will be filed to contest the validity of NWP; however, in the event that a court wholly or partially strikes down the NWP program, which we believe to be unlikely, we could face significant delays and financial costs when seeking project approvals from the Corps.</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May 2015, the EPA published a final rule that attempted to clarify federal jurisdiction under the CWA over waters of the United States. This clarification greatly expanded the definition of “waters of the United States” thus increasing the jurisdiction of the Corps. A number of legal challenges to this rule are pending. Additionally, following the issuance of a presidential executive order to review the rule, the EPA and the Corps proposed a rulemaking in June 2017 to repeal the May 2015 rule. The EPA and Corps also announced their intent to issue a new rule defining the CWA’s jurisdiction and recently finalized a stay delaying implementation of the rule for two years. Several states and environmental organizations have already announced their intent to challenge the stay and any attempt by the EPA and the Corps to rescind or revise the rule. On December 11, 2018, the EPA and the Corps released the pre-publication version of the Proposed 2018 Rule concerning the redefinition of “waters of the United States.” The proposal narrows the definition of the federal waters covered under the CWA’s key permitting programs such as Section 404 dredge and fill permits, Section 402 discharge permits, and Section 311 oil spill prevention plans. The Proposed Rule works towards the administration’s larger goal of re-balancing the relationship between the federal government, tribal governments, and states by drawing boundaries between those waters subject to federal CWA requirements and those waters that states and tribal governments have flexibility to manage under their respective authorities. As written in the Proposed Rule, fewer waters would be federally regulated relative to the May 2015 rule, which would lessen CWA permitting burdens for oil and gas operations as well as reduce mitigation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25"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associated with lengthy regulatory review and approval requirements could materially and negatively affect the viability of such projects.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in the United States. </w:t>
      </w:r>
      <w:r>
        <w:rPr>
          <w:rFonts w:ascii="Arial" w:cs="Arial" w:eastAsia="Arial" w:hAnsi="Arial"/>
          <w:sz w:val="18"/>
          <w:szCs w:val="18"/>
          <w:color w:val="auto"/>
        </w:rPr>
        <w:t>Our interstate common carrier liquids pipeline operations are subject to rate regulation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FERC under the Interstate Commerce Act (“ICA”). The ICA requires that tariff rates for liquids pipelines, which include both crude oil pipelines and refined products pipelines, be just and reasonable and non-discriminatory.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State Regulation in the United States. </w:t>
      </w:r>
      <w:r>
        <w:rPr>
          <w:rFonts w:ascii="Arial" w:cs="Arial" w:eastAsia="Arial" w:hAnsi="Arial"/>
          <w:sz w:val="18"/>
          <w:szCs w:val="18"/>
          <w:color w:val="auto"/>
        </w:rPr>
        <w:t>Our intrastate liquids pipeline transportation activities are subject to various state laws and regulations,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 xml:space="preserve">U.S. Energy Policy Act of 1992 and Subsequent Developments. </w:t>
      </w:r>
      <w:r>
        <w:rPr>
          <w:rFonts w:ascii="Arial" w:cs="Arial" w:eastAsia="Arial" w:hAnsi="Arial"/>
          <w:sz w:val="16"/>
          <w:szCs w:val="16"/>
          <w:color w:val="auto"/>
        </w:rPr>
        <w:t>In October 1992, Congress passed the Energy Policy Act of 1992 (“EPAct”), which,</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2016, the annual index adjustment for the five year period ending June 30, 2021 will equal the producer price index for finished goods for the applicable year plus an adjustment factor of 1.23%. Pipelines may raise their rates to the rate ceiling level generated by application of the annual index adjustment factor each year; however, a shipper may challenge such increase if the increase in the pipeline’s rates is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Indexing is the default methodology to change rates. The FERC, however, retained cost-of-service ratemaking, market-based rates and settlement rates as alternatives to the indexing approach that may be used in certain specified circumstances. Because the indexing methodology for the next five-year period is tied in part to an inflation index and is not based on our specific costs, the indexing methodology could hamper our ability to recover cost increases.</w:t>
      </w:r>
    </w:p>
    <w:p>
      <w:pPr>
        <w:spacing w:after="0" w:line="16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rate or rules as unduly discriminatory or preferential.</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Pipeline Rate Regulation in the United States</w:t>
      </w:r>
      <w:r>
        <w:rPr>
          <w:rFonts w:ascii="Arial" w:cs="Arial" w:eastAsia="Arial" w:hAnsi="Arial"/>
          <w:sz w:val="16"/>
          <w:szCs w:val="16"/>
          <w:color w:val="auto"/>
        </w:rPr>
        <w:t>. The FERC historically has not investigated rates of liquids pipelines on its own initiative when those</w:t>
      </w:r>
      <w:r>
        <w:rPr>
          <w:rFonts w:ascii="Arial" w:cs="Arial" w:eastAsia="Arial" w:hAnsi="Arial"/>
          <w:sz w:val="16"/>
          <w:szCs w:val="16"/>
          <w:i w:val="1"/>
          <w:iCs w:val="1"/>
          <w:color w:val="auto"/>
        </w:rPr>
        <w:t xml:space="preserve"> </w:t>
      </w:r>
      <w:r>
        <w:rPr>
          <w:rFonts w:ascii="Arial" w:cs="Arial" w:eastAsia="Arial" w:hAnsi="Arial"/>
          <w:sz w:val="16"/>
          <w:szCs w:val="16"/>
          <w:color w:val="auto"/>
        </w:rPr>
        <w:t>rates have not been the subject of a protest or complaint by a shipper. The majority of our Transportation segment profit in the United States is produced by rates that are either grandfathered or set by agreement with one or more shippers. FERC issued an Advance Notice of Proposed Rulemaking on October 20, 2016 that addressed issues related to FERC’s indexing methodology and liquids pipeline reporting practices. If implemented, the proposals in this rulemaking could affect the profitability of certain liquids pipelines. On December 15, 2016, FERC issued a Notice of Inquiry regarding certain matters related to FERC’s income tax allowance policy. In 2018, FERC issued a revised policy statement (subsequently modified in a final rule issued in July 2018)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 effect in July 2021. See Item 1A. “Risk Factors—Risks Related to Our Business—Our assets are subject to federal, state and provincial regulation. Rate regulation or a successful challenge to the rates we charge on our U.S. and Canadian pipeline systems may reduce the amount of cash we generate” for additional discussion on how our rates could be impacted by this policy change.</w:t>
      </w:r>
    </w:p>
    <w:p>
      <w:pPr>
        <w:spacing w:after="0" w:line="173"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i w:val="1"/>
          <w:iCs w:val="1"/>
          <w:color w:val="auto"/>
        </w:rPr>
        <w:t xml:space="preserve">Canadian Regulation. </w:t>
      </w:r>
      <w:r>
        <w:rPr>
          <w:rFonts w:ascii="Arial" w:cs="Arial" w:eastAsia="Arial" w:hAnsi="Arial"/>
          <w:sz w:val="16"/>
          <w:szCs w:val="16"/>
          <w:color w:val="auto"/>
        </w:rPr>
        <w:t>Our Canadian pipeline assets are subject to regulation by the NEB and by provincial authorities. With respect to a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of the DOT, the OSHA, as well as other federal and state regulatory agencies and Canadian regulatory agencies for operations in Canada.</w:t>
      </w:r>
    </w:p>
    <w:p>
      <w:pPr>
        <w:spacing w:after="0" w:line="14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December 2015, Congress passed the Fixing America’s Surface Transportation (“FAST”) Act which was subsequently signed by the President. This legislation clarified the parameters around the timeline and requirements for railcars hauling crude oil in the United States. We believe our railcar fleet is in compliance in all material respects with current standards for crude oil moved by rail.</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December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the permitted vapor pressure limits.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a result of our cross border activities, including transportation and importation of crude oil, NGL and natural gas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North American Free Trade Agreement (“NAFTA”)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NEB.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$1.2 million per violation per day (adjusted annually for inflation).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$1.1 million (adjusted annually for inflation) or triple the monetary gain to the person for each violation.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 numbers and volumes of relevant transactions to the FERC. Our natural gas storage facilities are subject to these annual reporting requirements.</w:t>
      </w:r>
    </w:p>
    <w:p>
      <w:pPr>
        <w:spacing w:after="0" w:line="18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approximately $1.2 million per day for each violation (adjusted annually for inflation). FERC also has the authority to order disgorgement of profits from transactions deemed to violate the NGA and the EPAct 2005.</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December 2016, PHMSA issued an interim final rule (“IFR”) that establishes minimum federal standards for salt dome underground natural gas storage facilities. The IFR imposes new requirements on “downhole facilities,” including wells, wellbore tubing and casings at underground natural gas storage facilities. The IFR addresses construction, maintenance, risk management and integrity management procedures for these facilities and includes registration and reporting obligations. The IFR adopts and incorporates by reference the requirements and recommendations contained in American Petroleum Institute (“API”) Recommended Practice 1170. The IFR required that existing salt dome underground natural gas storage facilities meet the appropriate requirements and mandatory recommendations of API 1170 by January 18, 2018. However, PHMSA issued a partial stay of the IFR’s requirements in June 2017. A final rule is expected in 2019. We do not anticipate that compliance with the final rule will have a significant adverse effect on our operations.</w:t>
      </w:r>
    </w:p>
    <w:p>
      <w:pPr>
        <w:spacing w:after="0" w:line="16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Hazards and Insurance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that we consider adequate under the circumstances to cover our operations and properties, and we self-insure certain risks, including gradual pollution and named windstorm. With respect to our insurance, our policies are subject to deductibles and retention levels that we consider reasonable and not excessive. However, such insurance does not cover every potential risk that might occur, associated with operating pipelines, terminals and other facilities and equipment, including the potential loss of significant revenues and cash flows.</w:t>
      </w:r>
    </w:p>
    <w:p>
      <w:pPr>
        <w:spacing w:after="0" w:line="18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Since the terrorist attacks of September 11, 2001,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or the Transportation Safety Administration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6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Additionally we self-insure certain risks including, gradual pollution and named windstorm. With respect to our insurance coverage,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Our real property holdings generally consist of: (i) parcels of land that we own in fee, (ii) surface leases and underground storage leases and</w:t>
      </w:r>
    </w:p>
    <w:p>
      <w:pPr>
        <w:spacing w:after="0" w:line="23" w:lineRule="exact"/>
        <w:rPr>
          <w:sz w:val="20"/>
          <w:szCs w:val="20"/>
          <w:color w:val="auto"/>
        </w:rPr>
      </w:pPr>
    </w:p>
    <w:p>
      <w:pPr>
        <w:ind w:right="60" w:firstLine="8"/>
        <w:spacing w:after="0" w:line="270" w:lineRule="auto"/>
        <w:tabs>
          <w:tab w:leader="none" w:pos="3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customary liens, restrictions or encumbrances. Except for challenges that we do not regard as material relative to our overall operations,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abandonment of use, revocation by the licensor or grantor and possible relocation obligations.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To carry out our operations, our general partner or its affiliates (including PMC) employed approximately 4,900 employees at December 31, 2018. Of these employees, 149 are covered by four separate collective agreements, all of which are scheduled for renegotiation in 2019. Our general partner and its affiliates consider employee relations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The following is a brief summary of certain material tax considerations of owning and disposing of common units, however, the tax consequences of ownership of common units are complex and depend in part on the owner’s individual tax circumstances.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 This summary does not address all aspects of U.S. federal income taxation or the tax considerations arising under the laws of any non-U.S., state, or local jurisdiction, or under U.S. federal estate and gift tax laws. It is the responsibility of each unitholder, either individually or through a tax advisor, to investigate the legal and tax consequences, under the laws of pertinent U.S. federal, states and localities of the unitholder’s investment in us. Further, it is the responsibility of each unitholder to file all U.S. federal, state and local tax returns that may be required of the unitholder. Also see Item 1A. “Risk Factors—Tax Risks to Common Unitholders.”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 Cash Distributions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are treated for U.S. federal income tax purposes as a partnership based upon our meeting the “Qualifying Income Exception” imposed by Section 7704 of the Internal Revenue Code (the “Code”), which we must meet each year. The owners of our common units are considered partners in the Partnership so long as they do not loan their common units to others to cover short sales or otherwise dispose of those units. Accordingly, subject to the Bipartisan Budget Act audit rules, we generally are not liable for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including with respect to intercompany interest payments and dividend payments. Unitholders may be eligible for foreign tax credits with respect to allocable Canadian withholding and income taxes paid.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Allocations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A unitholder who disposes of common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Common Units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the amount of all distributions made to the unitholder (including deemed distributions due to a decrease in the unitholder’s share of our nonrecourse liabilities) and the amount of any excess business interest allocated to the unitholder.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Partnership Losses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9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For taxpayers other than corporations in taxable years beginning after December 31, 2017,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common units will generally be increased by the amount of any excess business interest upon a disposition of such common units.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 unitholder who sells common units will recognize gain or loss equal to the difference between the amount realized and the adjusted tax basis of those common units (taking into account any basis adjustments attributable to previously disallowed interest deductions).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to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Common Units by Tax-Exempt Organizations and Certain Other Investors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federal income tax returns and to pay tax on the unitholder’s share of our taxable income and on gain realized from the sale or disposition of common units to the extent the gain is effectively connected with a U.S. trade or business of the non-U.S. unitholder.</w:t>
      </w:r>
    </w:p>
    <w:p>
      <w:pPr>
        <w:spacing w:after="0" w:line="17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and we are required to deduct and withhold from the transferee amounts that should have been withheld by the transferees but were not withheld. Because the “amount realized” includes a partner’s share of the partnership’s liabilities, 10% of the amount realized could exceed the total cash purchase price for the common units. For this and other reasons, the IRS has suspended the application of this withholding rule to open market transfers of interests in publicly traded partnerships, pending promulgation of regulations that address the amount to be withheld, the reporting necessary to determine such amount and the appropriate party to withhold such amounts, but it is not clear if or when such regulations will be issued. Finally, distributions to non-U.S. unitholders are generally subject to federal income tax withholding at the highest applicable rate.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Procedures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We make available, free of charge on our Internet website at </w:t>
      </w:r>
      <w:r>
        <w:rPr>
          <w:rFonts w:ascii="Arial" w:cs="Arial" w:eastAsia="Arial" w:hAnsi="Arial"/>
          <w:sz w:val="18"/>
          <w:szCs w:val="18"/>
          <w:i w:val="1"/>
          <w:iCs w:val="1"/>
          <w:color w:val="auto"/>
        </w:rPr>
        <w:t>http://www.plainsallamerican.com</w:t>
      </w:r>
      <w:r>
        <w:rPr>
          <w:rFonts w:ascii="Arial" w:cs="Arial" w:eastAsia="Arial" w:hAnsi="Arial"/>
          <w:sz w:val="18"/>
          <w:szCs w:val="18"/>
          <w:color w:val="auto"/>
        </w:rPr>
        <w:t xml:space="preserve">, our annual report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Our profitability depends on the volume of crude oil, natural gas and NGL shipped, processed, purchased, stored, fractionated and/or gathered at or through the use of our facilities, which can be negatively impacted by a variety of factors outside of our control.</w:t>
      </w:r>
    </w:p>
    <w:p>
      <w:pPr>
        <w:spacing w:after="0" w:line="147" w:lineRule="exact"/>
        <w:rPr>
          <w:sz w:val="20"/>
          <w:szCs w:val="20"/>
          <w:color w:val="auto"/>
        </w:rPr>
      </w:pPr>
    </w:p>
    <w:p>
      <w:pPr>
        <w:ind w:right="440" w:firstLine="648"/>
        <w:spacing w:after="0" w:line="302" w:lineRule="auto"/>
        <w:rPr>
          <w:sz w:val="20"/>
          <w:szCs w:val="20"/>
          <w:color w:val="auto"/>
        </w:rPr>
      </w:pPr>
      <w:r>
        <w:rPr>
          <w:rFonts w:ascii="Arial" w:cs="Arial" w:eastAsia="Arial" w:hAnsi="Arial"/>
          <w:sz w:val="16"/>
          <w:szCs w:val="16"/>
          <w:color w:val="auto"/>
        </w:rPr>
        <w:t>Our profitability could be materially impacted by a decline in the volume of crude oil, natural gas and NGL transported, gathered, stored or processed at or through our facilities. A material decrease in crude oil or natural gas production or crude oil refining, as a result of depressed commodity prices, natural decline rates attributable to crude oil and natural gas reservoirs, a decrease in exploration and development activities, supply disruptions, economic conditions or otherwise, could result in a decline in the volume of crude oil, natural gas or NGL handled by our facilities.</w:t>
      </w:r>
    </w:p>
    <w:p>
      <w:pPr>
        <w:spacing w:after="0" w:line="15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During the latter half of 2014 and continuing into 2016, benchmark crude oil prices declined significantly; as a result, many of the companies that produce oil and gas significantly reduced capital expenditures. Such reduced expenditure levels, coupled with high decline rates for many horizontal wells in the shale resource plays, led to production declines in many areas in the Lower 48 United States (excluding Gulf of Mexico production). After recovering in late 2017 through mid-2018, benchmark crude oil prices experienced volatility in the second half of 2018. If producers again reduce drilling activity in response to future declines in benchmark crude oil prices, it could adversely impact production. Other factors that could adversely impact production include reduced capital market access, increased capital raising costs for producers or adverse governmental or regulatory action. In turn, such developments could lead to reduced throughput on our pipelines and at our other facilities, which, depending on the level of production declines, could have a material adverse effect on our business.</w:t>
      </w:r>
    </w:p>
    <w:p>
      <w:pPr>
        <w:spacing w:after="0" w:line="19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Also, except with respect to some of our recently constructed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18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our ability to secure additional supplies of crude oil.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profitability can be negatively affected by a variety of factors stemming from competition in our industry, including risks associated with the general capacity overbuild of midstream energy infrastructure in some of the areas where we operate.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expansion capital projects, acquisitions and joint venture activities. Some of our competitors have capital resources many times greater than ours and control greater supplies of crude oil, natural gas or NGL.</w:t>
      </w:r>
    </w:p>
    <w:p>
      <w:pPr>
        <w:spacing w:after="0" w:line="187" w:lineRule="exact"/>
        <w:rPr>
          <w:sz w:val="20"/>
          <w:szCs w:val="20"/>
          <w:color w:val="auto"/>
        </w:rPr>
      </w:pPr>
    </w:p>
    <w:p>
      <w:pPr>
        <w:ind w:right="880" w:firstLine="648"/>
        <w:spacing w:after="0" w:line="291" w:lineRule="auto"/>
        <w:rPr>
          <w:sz w:val="20"/>
          <w:szCs w:val="20"/>
          <w:color w:val="auto"/>
        </w:rPr>
      </w:pPr>
      <w:r>
        <w:rPr>
          <w:rFonts w:ascii="Arial" w:cs="Arial" w:eastAsia="Arial" w:hAnsi="Arial"/>
          <w:sz w:val="16"/>
          <w:szCs w:val="16"/>
          <w:color w:val="auto"/>
        </w:rPr>
        <w:t>A significant driver of competition in some of the markets where we operate (including, for example, the Eagle Ford, Permian Basin, and Rockies/Bakken areas) stems from the rapid development of new midstream energy infrastructure capacity that was driven by the combination of</w:t>
      </w:r>
    </w:p>
    <w:p>
      <w:pPr>
        <w:ind w:right="80" w:firstLine="8"/>
        <w:spacing w:after="0" w:line="267" w:lineRule="auto"/>
        <w:tabs>
          <w:tab w:leader="none" w:pos="2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these areas have become, or in the future may become, overbuilt, resulting in an excess of midstream energy infrastructure capacity. For example, in the past eighteen months, several potential new pipeline projects have been announced or are currently under construction, and such projects may result in excess takeaway capacity in certain areas where we operate. In addition, as an established participant in some markets, we also face competition from aggressive new entrants to the market who are willing to provide services at a lower rate of return in order to establish relationships and gain a foothold in the market. We also face competition for incremental volumes from shippers on third-party pipelines who overcommitted relative to their actual production or committed supplies and are now purchasing barrels on the open market and shipping them on such third-party pipelines in order to satisfy their minimum commitment levels. In addition, our Supply and Logistics segment is a customer of our Transportation and Facilities segments (See Note 20 to our Consolidated Financial Statements for a discussion of our operating segments). Competition that impacts our Supply and Logistics activities could result in a reduction in the use of our Transportation and Facilities assets by our Supply and Logistics segment. All of these competitive effects put downward pressure on our throughput and margins and, together with other adverse competitive effects, could have a significant adverse impact on our financial position, cash flows and ability to pay or increase distributions to our unitholders.</w:t>
      </w:r>
    </w:p>
    <w:p>
      <w:pPr>
        <w:spacing w:after="0" w:line="184"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With respect to our crude oil activities, our competitors include other crude oil pipelines, the major integrated oil companies, their marketing affiliates, refiners, private equity-backed entities, and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pacing w:after="0" w:line="187" w:lineRule="exact"/>
        <w:rPr>
          <w:sz w:val="20"/>
          <w:szCs w:val="20"/>
          <w:color w:val="auto"/>
        </w:rPr>
      </w:pPr>
    </w:p>
    <w:p>
      <w:pPr>
        <w:ind w:right="100" w:firstLine="594"/>
        <w:spacing w:after="0" w:line="286" w:lineRule="auto"/>
        <w:rPr>
          <w:sz w:val="20"/>
          <w:szCs w:val="20"/>
          <w:color w:val="auto"/>
        </w:rPr>
      </w:pPr>
      <w:r>
        <w:rPr>
          <w:rFonts w:ascii="Arial" w:cs="Arial" w:eastAsia="Arial" w:hAnsi="Arial"/>
          <w:sz w:val="17"/>
          <w:szCs w:val="17"/>
          <w:color w:val="auto"/>
        </w:rPr>
        <w:t>With respect to our natural gas storage operations, the principal elements of competition are rates, terms of service, supply and market access and flexibility of service.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supply and demand, which can be caused by a variety of factors outside of our control, can negatively affect our operating results.</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Supply and demand for crude oil and other hydrocarbon products we handle is dependent upon a variety of factors, including price, the impact of future economic conditions, fuel conservation measures, alternative fuel adoption,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Demand also depends on the ability and willingness of shippers having access to our transportation assets to satisfy their demand by deliveries through those assets. 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Also, increased supply of NGL products could reduce the value of NGL we handle and reduce the margins realized by us.</w:t>
      </w:r>
    </w:p>
    <w:p>
      <w:pPr>
        <w:spacing w:after="0" w:line="18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18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b w:val="1"/>
          <w:bCs w:val="1"/>
          <w:i w:val="1"/>
          <w:iCs w:val="1"/>
          <w:color w:val="auto"/>
        </w:rPr>
        <w:t>A natural disaster, catastrophe, terrorist attack (including eco-terrorist attacks), process safety failure or other event, including pipeline or facility accidents and attacks on our electronic and computer systems, could interrupt our operations and/or result in severe personal injury, property damage and environmental damage, which could have a material adverse effect on our financial position, results of operations and cash flows.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Some of our operations involve risks of personal injury, property damage and environmental damage that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our physical facilities and hackers may attack our electronic and computer systems.</w:t>
      </w:r>
    </w:p>
    <w:p>
      <w:pPr>
        <w:spacing w:after="0" w:line="17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If one or more of our pipelines or other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and operations, and expose us to liability, which would cause our business and reputation to suffer.</w:t>
      </w:r>
    </w:p>
    <w:p>
      <w:pPr>
        <w:spacing w:after="0" w:line="26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We are reliant on the continuous and uninterrupted operation of our information technology systems. User access of our sites and information technology systems are critical elements to our operations, as is cloud security and protection against cyber security incidents. In the ordinary course of our business, we collect and store sensitive data in our data centers and on our networks, including intellectual property, proprietary business information, information regarding our customers, suppliers, royalty owners and business partners, and personally identifiable information of our employees.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services, which could adversely affect our business.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information technology infrastructure is critical to the efficient operation of our business and essential to our ability to perform day-to-day operations. Potential risks to our IT systems could include unauthorized attempts to extract business sensitive, confidential or personal information, denial of access extortion, corruption of information or disruption of business processes, or by inadvertent or intentional actions by our employees or vendors. Breaches in our information technology infrastructure or physical facilities, or other disruptions, could result in damage to our assets, safety incidents, damage to the environment, remediation costs, potential liability, regulatory enforcement, violation of privacy or securities laws and regulations or the loss of contracts, any of which could have a material adverse effect on our operations, financial position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opposition to the development or operation of our pipelines and facilities from various groups.</w:t>
      </w:r>
    </w:p>
    <w:p>
      <w:pPr>
        <w:spacing w:after="0" w:line="225"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We may face opposition to the development or operation of our pipelines and facilities from environmental groups, landowners, tribal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6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Recently, activists concerned about the potential effects of climate change have directed their attention towards sources of funding for fossil-fuel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consequently could both indirectly affect demand for our services and directly affect our ability to fund construction or other capital projects.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results of our Supply and Logistics segment are influenced by the overall forward market for crude oil and NGL, and certain market structures, the absence of pricing volatility and other market factors may adversely impact our results.</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Results from our Supply and Logistics segment are dependent on a variety of factors affecting the markets for crude oil and NGL, including regional and international supply and demand imbalances, takeaway availability and constraints, transportation costs and the overall forward market for crude oil. Periods when differentials are wide or when there is volatility in the forward market structure are generally more favorable for our Supply and Logistics segment. During periods where the infrastructure is over-built and/or there is a lack of volatility in the pricing structure our results may be negatively impacted. Depending on the overall duration of these transition periods, how we have allocated our assets to particular strategies and the time length of our crude oil purchase and sale contracts and storage agreements, these periods may have either an adverse or beneficial effect on our aggregate segment results. In the past, the results from our Supply and Logistics segment have varied significantly based on market conditions and this segment may continue to experience highly variable results as a result of future changes to the markets for crude oil and NGL.</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Loss of our investment grade credit rating or the ability to receive open credit could negatively affect our borrowing costs, ability to purchase crude oil, NGL and natural gas supplies or to capitalize on market opportunities.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believe that, because of our strategic asset base and complementary business model, we will continue to benefit from swings in market prices and shifts in market structure during periods of volatility in the crude oil, NGL and natural gas markets. The extent to which we are able to capture that benefit, however, is subject to numerous risks and uncertainties, including whether we will be able to maintain an attractive credit rating and continue to receive open credit from our suppliers and trade counterparties. Our senior unsecured debt is currently rated as “investment grade” by Standard &amp; Poor’s and Fitch Ratings Inc. In August 2017, Moody’s Investors Service downgraded its rating of our senior unsecured debt to a level below investment grade. A further downgrade by Standard &amp; Poor’s or Fitch Ratings, Inc. to a level below our current ratings levels assigned by such rating agencies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Loss of our remaining investment grade credit ratings could also adversely impact our cash flows, our ability to make distributions at our current levels and the value of our outstanding equity and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make acquisitions that fail to perform as anticipated, our future growth may be limited.</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evaluating acquisitions, we generally prepare one or more financial cases based on a number of business, industry, economic, legal, regulatory, and other assumptions applicable to the proposed transaction. Although we expect a reasonable basis will exist for those assumptions, the assumptions will generally involve current estimates of future conditions. Realization of many of the assumptions will be beyond our control. Moreover, the uncertainty and risk of inaccuracy associated with any financial projection will increase with the length of the forecasted period. Some acquisitions may not be accretive in the near term, and will be accretive in the long term only if we are able to timely and effectively integrate the underlying assets and such assets perform at or near the levels anticipated in our acquisition projections.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joint ventures involve risks that may adversely affect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we used in evaluating the acquisition;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117" w:lineRule="exact"/>
        <w:rPr>
          <w:rFonts w:ascii="Arial" w:cs="Arial" w:eastAsia="Arial" w:hAnsi="Arial"/>
          <w:sz w:val="18"/>
          <w:szCs w:val="18"/>
          <w:color w:val="auto"/>
        </w:rPr>
      </w:pPr>
    </w:p>
    <w:p>
      <w:pPr>
        <w:ind w:left="980" w:right="40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we are either not fully insured or indemnified, including liabilities arising from the operation of the acquired businesses or assets prior to our acquisition;</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our historical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from our acquisitions, realize other anticipated benefits and our ability to pay distributions to our partners or meet our debt service requirements.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are also involved in many strategic joint ventures. We may not always be in complete alignment with our joint venture counterparties - we may have differing strategic or commercial objectives or we may disagree on governance matters with respect to the joint venture entity. When we enter into joint ventures we may be subject to the risk that our counterparties do not fund their obligations. In some joint ventures we may not be responsible for construction or operation of such projects and will rely on our joint venture counterparties for such services. Joint ventures may also require us to expend additional internal resources that could otherwise be directed to other projects. If we are unable to successfully execute and manage our existing and proposed joint venture projects, it could adversely impact our financial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fully implement or capitalize upon planned growth projects.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have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our control, including the following:</w:t>
      </w:r>
    </w:p>
    <w:p>
      <w:pPr>
        <w:spacing w:after="0" w:line="181" w:lineRule="exact"/>
        <w:rPr>
          <w:sz w:val="20"/>
          <w:szCs w:val="20"/>
          <w:color w:val="auto"/>
        </w:rPr>
      </w:pPr>
    </w:p>
    <w:p>
      <w:pPr>
        <w:ind w:left="980" w:right="80" w:hanging="324"/>
        <w:spacing w:after="0" w:line="34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15"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face opposition to our planned growth projects from environmental groups, landowners, local groups and other advocates, including lawsuits or other actions designed to disrupt or delay our planned projects;</w:t>
      </w:r>
    </w:p>
    <w:p>
      <w:pPr>
        <w:spacing w:after="0" w:line="62"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15" w:lineRule="exact"/>
        <w:rPr>
          <w:rFonts w:ascii="Arial" w:cs="Arial" w:eastAsia="Arial" w:hAnsi="Arial"/>
          <w:sz w:val="16"/>
          <w:szCs w:val="16"/>
          <w:color w:val="auto"/>
        </w:rPr>
      </w:pPr>
    </w:p>
    <w:p>
      <w:pPr>
        <w:ind w:left="980" w:right="40" w:hanging="324"/>
        <w:spacing w:after="0" w:line="286"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Despite the fact that we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construct pipelines, facilities or other assets in anticipation of market demand that dissipates or market growth that never materializes;</w:t>
      </w:r>
    </w:p>
    <w:p>
      <w:pPr>
        <w:spacing w:after="0" w:line="140" w:lineRule="exact"/>
        <w:rPr>
          <w:rFonts w:ascii="Arial" w:cs="Arial" w:eastAsia="Arial" w:hAnsi="Arial"/>
          <w:sz w:val="16"/>
          <w:szCs w:val="16"/>
          <w:color w:val="auto"/>
        </w:rPr>
      </w:pPr>
    </w:p>
    <w:p>
      <w:pPr>
        <w:ind w:left="980" w:right="20" w:hanging="324"/>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completion or success of our projects may depend on the completion or success of third-party facilities over which we have no control.</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our capital projects may not be achieved or could be delayed. In turn, this could negatively impact our cash flow and our ability to make or increase cash distributions to our partners.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growth strategy requires access to new capital. Tightened capital markets or other factors that increase our cost of capital could impair our ability to grow.</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continuously consider potential acquisitions and opportunities for expansion capital projects. Acquisition transactions can be effected quickly, may occur at any time and may be significant in size relative to our existing assets and operations. Our ability to fund our capital projects and make acquisitions depends on whether we can access the necessary financing to fund these activities. Any limitations on our access to capital or increase in the cost of that capital could significantly impair our growth strategy. Our ability to maintain our targeted credit profile, including maintaining our credit ratings, could affect our cost of capital as well as our ability to execute our growth strategy. In addition, a variety of factors beyond our control could impact the availability or cost of capital, including domestic or international economic conditions,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increases in key benchmark interest rates and/or credit spreads, the adoption of new or amended banking or capital market laws or regulations, the re-pricing of market risks and volatility in capital and financial markets.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acquisitions and construction projects, take advantage of business opportunities or respond to competitive pressures, any of which could have a material adverse effect on our revenues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credit risk of our customers and other counterparties we transact within the ordinary course of our business activities.</w:t>
      </w:r>
    </w:p>
    <w:p>
      <w:pPr>
        <w:spacing w:after="0" w:line="24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Risks of nonpayment and nonperformance by customers or other counterparties are a significant consideration in our business.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have a number of minimum volume commitment contracts that support pipelines in our Transportation segment.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our profitability and earnings.</w:t>
      </w:r>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231F20"/>
        </w:rPr>
        <w:t>We have also undertaken numerous projects that require cooperation with and performance by joint venture co-owners. In addition, in connection with various acquisition, divestiture, joint venture and other transactions, we often receive indemnifications from various parties for certain risks or liabilities. Nonperformance by any of these parties could result in increased costs or other adverse consequences that could decrease our earnings and returns.</w:t>
      </w:r>
    </w:p>
    <w:p>
      <w:pPr>
        <w:spacing w:after="0" w:line="147"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231F20"/>
        </w:rPr>
        <w:t>We also rely to a significant degree on the banks that lend to us under our revolving credit facility for financial liquidity, and any failure of those banks to perform on their obligations to us could significantly impair our liquidity. Furthermore, nonpayment by the counterparties to our interest rate, commodity and/or foreign currency derivatives could expose us to additional interest rate, commodity price and/or foreign currency risk.</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risk policies cannot eliminate all risks. In addition, any non-compliance with our risk policies could result in significant financial losses.</w:t>
      </w:r>
    </w:p>
    <w:p>
      <w:pPr>
        <w:spacing w:after="0" w:line="23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Generally, it is our policy to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resulting from price changes. We are also exposed to basis risk when crude oil or other products are purchased against one pricing index and sold against a different index. Moreover, we are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refined products and NGL, up to predefined limits and authorizations. Although this activity is monitored independently by our risk management function, it exposes us to commodity price risks within these limits.</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addition, our operations involve the risk of non-compliance with our risk policies. We have taken steps within our organization to implement processes and procedures designed to detect unauthorized trading; however, we can provide no assurance that these steps will detect and prevent all violations of our risk policies and procedures, particularly if deception, collusion or other intentional misconduct is involved.</w:t>
      </w:r>
    </w:p>
    <w:p>
      <w:pPr>
        <w:spacing w:after="0" w:line="16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Our operations are also subject to laws and regulations relating to protection of the environment and wildlife, operational safety, climate change and related matters that may expose us to significant costs and liabilities. The current laws and regulations affecting our business are subject to change and in the future we may be subject to additional laws and regulations, which could adversely impact our business.</w:t>
      </w:r>
    </w:p>
    <w:p>
      <w:pPr>
        <w:spacing w:after="0" w:line="16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NGL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and wildlife, operational safety, climate change and related matters. Compliance with all of these laws and regulations increases our overall cost of doing business, including our capital costs to construct, maintain and upgrade equipment and facilities. For example, the adoption of legislation or regulatory programs to reduce emissions of greenhouse gases (such as carbon dioxide and methane), including cap and trade programs, could require us to incur increased operating costs, such as costs to purchase and operate emissions control systems, to acquire emissions allowances or comply with new regulatory or reporting requirements. In addition, with respect to our railcar operations, the adoption of new regulations designed to enhance the overall safety of crude oil and natural gas liquids transportation by rail could result in increased operating costs and potentially involve substantial capital expenditures. Also, new or additional regulations, new interpretations of existing requirements or changes in our operations could trigger new permitting requirements applicable to our operations, which could result in increased costs or delays of, or denial of rights to conduct, our development programs. The failure to comply with any such laws and regulations could result in the assessment of administrative, civil, and criminal penalties, the imposition of investigatory and remedial liabilities, the issuance of injunctions that may subject us to additional operational requirements and constraints, or claims of damages to property or persons resulting from our operations. In addition, criminal violations of certain environmental laws, or in some cases even the allegation of criminal violations, may result in the temporary suspension or outright debarment from participating in government contracts.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Our business and operations may also become subject to additional laws or regulations. Any new laws or regulations, or changes to or interpretations of existing laws or regulations, adverse to us could have a material adverse effect on our operations, revenues, expenses and profitability.</w:t>
      </w:r>
    </w:p>
    <w:p>
      <w:pPr>
        <w:spacing w:after="0" w:line="19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have a history of incremental additions to the miles of pipelines we own, both through acquisitions and expansion capital projects. We have also increased our terminal and storage capacity and operate several facilities on or near navigable waters and domestic water supplies. Although we have implemented programs intended to maintain the integrity of our assets (discussed below), as we acquire additional assets we are at risk for an increase in the number of releases of liquid hydrocarbons into the environment. These releases expose us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spacing w:after="0" w:line="16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currently devote substantial resources to comply with DOT-mandated pipeline integrity rules. The DOT regulations include requirements for the establishment of pipeline integrity management programs and for protection of “high consequence areas” where a pipeline leak or rupture could produce significant adverse consequences. Pipeline safety regulations are revised frequently. For example, PHMSA is expected to publish finalized regulations in the first half of 2019 for hazardous liquid pipelines which will significantly extend and expand the reach of certain PHMSA integrity management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requirements (i.e., periodic assessments, leak detection and repairs) regardless of proximity to a high consequence area. The final rule will also impose new reporting requirements for certain unregulated pipelines, including all hazardous liquid gathering lines. The adoption of new regulations requiring more comprehensive or stringent safety standards could require us to install new or modified safety controls, pursue new capital projects, or conduct maintenance programs on an accelerated basis, all of which could require us to incur increased operational costs that could be significant.</w:t>
      </w:r>
    </w:p>
    <w:p>
      <w:pPr>
        <w:spacing w:after="0" w:line="17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Although we continue to focus on pipeline and facility integrity management as a primary operational emphasis, doing so requires substantial time and resources and cannot eliminate all risk of releases. We have an internal review process pursuant to which we examine various aspects of our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18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Our U.S. interstate common carrier liquids pipelines are subject to regulation by the FERC under the ICA. The ICA requires that tariff rates and terms and conditions of service for liquids pipelines be just and reasonable and non-discriminatory. We are also subject to the Pipeline Safety Regulations of the DOT. Our intrastate pipeline transportation activities are subject to various state laws and regulations as well as orders of regulatory bodies.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our U.S. interstate common carrier liquids pipelines subject to FERC regulation under the ICA, shippers may protest our pipeline tariff filings or file complaints against our existing rates or complaints alleging that we are engaging in discriminating behavior. The FERC can also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the DOT, and certain state agencies.</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March 2018, FERC issued a revised policy statement (subsequently modified in a final rule issued in July 2018)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 effect in July 2021. We do not have cost-of-service rates that would be impacted by this policy change; our FERC regulated tariffs are either grandfathered or based on negotiated rates. However, depending on how the FERC incorporates its most recent tax policy statement into its next index review, the policy could potentially have a negative impact on the FERC adder to the PPI-FG Index, which in turn could have a negative effect on our ability to increase our index-based rates. The policy could impact future (i.e., July 2021 and later) tariff escalations on our FERC regulated pipelines, as well as some of our state-regulated pipelines that have negotiated rates with escalations tied to the FERC Index.</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we routinely monitor the public filings and proceedings of other parties with the FERC and other regulatory agencies in an effort to identify issues that could potentially impact our business. Under certain circumstances we may choose to intervene in such third-party proceedings in order to express our support for, or our opposition to, various issues raised by the parties to such proceedings. For example, if we believe that a petition filed with, or order issued by, the FERC is improper, overbroad other otherwise flawed, we may attempt to intervene in such proceedings for the purpose of protesting such petition or order and requesting appropriate action such as a clarification, rehearing or other remedy. Despite such efforts, we can provide no assurance that the FERC and other agencies that regulate our business will not issue future orders or declarations that increase our costs or otherwise adversely affect our operations.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FERC issued a Notice of Inquiry on April 19, 2018 (Certificate Policy Statement NOI), thereby initiating a review of its policies on certification of natural gas pipelines and storage facilities, including an examination of its long-standing Policy Statement on Certification of New Interstate Natural Gas Pipeline Facilities, issued in 1999, that is used to determine whether to grant certificates for new pipeline and storage projects and expansions. Comments on the Certificate Policy Statement NOI were due on July 25, 2018, and we are unable to predict what, if any, changes may be proposed as a result of the NOI that will affect our natural gas storage business or when such proposals, if any, might become effective.</w:t>
      </w:r>
    </w:p>
    <w:p>
      <w:pPr>
        <w:spacing w:after="0" w:line="173"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operations cross the U.S./Canada border and are subject to cross-border regulation.</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Our cross border activities subject us to regulatory matters, including import and export licenses, tariffs, Canadian and U.S. customs and tax issues and toxic substance certifications. Such regulations include the Short Supply Controls of the EAA, the NAFTA and the TSCA. Violations of these licensing, tariff and tax reporting requirements could result in the imposition of significant administrative, civil and criminal penalties.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purchases and sales of crude oil, natural gas and NGL, and hedging activities, expose us to potential regulatory risks.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purchases and sales of crude oil, natural gas or NGL and any related hedging activities that we undertake, we are required to observe the market-related regulations enforced by these agencies, which hold substantial enforcement authority. Our purchases and sales may also be subject to certain reporting and other requirements. Additionally, to the extent that we enter into transportation contracts with common carrier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our ability to use derivative instruments to reduce the effect of commodity price, interest rate and other risks associated with our business and increase the working capital requirement to conduct these hedging activities.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“Dodd-Frank Act”), enacted on July 21, 2010, established federal oversight and regulation of derivative markets and entities, such as us,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October 2011, the CFTC issued regulations to set position limits for certain futures and option contracts in the major energy markets. The initial position limits rule was vacated by the United States District Court for the District of Columbia in September 2012. However, in November 2013,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us is uncertain at this time.</w:t>
      </w:r>
    </w:p>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73"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or if we are otherwise required to post additional cash margin or collateral it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Dodd-Frank Act and related rules. The costs of such compliance may be passed on to customers such as ourselves, thus decreasing the benefits to us of hedging transactions or reducing our profitability. In addition, implementation of the Dodd-Frank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Finally, the Dodd-Frank Act was intended, in part, to reduce the volatility of oil and gas prices, which some legislators attributed to speculative trading in derivatives and commodity instruments related to oil and gas. Our financial results could be adversely affected if a consequence of the Dodd-Frank Act and implementing regulations is lower commodity prices.</w:t>
      </w:r>
    </w:p>
    <w:p>
      <w:pPr>
        <w:spacing w:after="0" w:line="181"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full impact of the Dodd-Frank Act and related regulatory requirements upon our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we encounter, reduce our ability to monetize or restructure our existing derivative contracts. If we reduce our use of derivatives as a result of the Dodd-Frank Act and regulations implementing the Dodd-Frank Act, our results of operations may become more volatile and our cash flows may be less predictable. Any of these consequences could have a material adverse effect on us, our financial condition and our results of operations.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Legislation and regulatory initiatives relating to hydraulic fracturing or other drilling activities could reduce domestic production of crude oil and natural gas.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We do not perform hydraulic fracturing, but many of the producers using our pipelines do.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or otherwise limit producers’ ability to drill or complete wells could reduce the production of crude oil and natural gas in the United States or Canada, and could thereby reduce demand for our transportation, terminalling and storage services as well as our supply and logistics services.</w:t>
      </w:r>
    </w:p>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Climate change laws and regulations restricting emissions of greenhouse gases could result in increased operating costs and reduced demand for crude oil and natural gas, while potential physical effects of climate change could disrupt crude oil production and cause us to incur significant costs in preparing for or responding to those effects.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response to findings that emissions of GHGs present an endangerment to public health and the environment, the EPA has adopted regulations under existing provisions of the federal Clean Air Act to reduce GHG emissions. For example, in June 2016, the EPA finalized new regulations, known as Subpart OOOOa, that set emissions standards for methane and volatile organic compounds from new and modified oil and natural gas production and natural gas processing and transmission facilities. However, there have been attempts to modify these regulations, and litigation concerning the regulations is ongoing.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While Congress has from time to time considered legislation to reduce emissions of GHGs, no significant legislation to reduce GHG emissions has been adopted at the federal level. In the absence of federal climate legislation, a number of state and regional GHG restrictions have emerged. Analogous regulations are or may be implemented in Canada. Any future laws and regulations that limit emissions of GHGs could adversely affect demand for oil and natural gas that operators, some of whom are our customers, produce and could thereby reduce demand for our midstream services.</w:t>
      </w:r>
    </w:p>
    <w:p>
      <w:pPr>
        <w:spacing w:after="0" w:line="15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Moreover, activists concerned about the potential effects of climate change have directed their attention at sources of funding for fossil-fuel energy companies, which has resulted in certain sources of capital restricting or eliminating their investment in oil and natural gas activities. Additionally, activist shareholders have introduced proposals that may seek to force companies to adopt aggressive emission reduction targets or restrict more carbon-intensive activities. While we cannot predict the outcomes of such proposals, they could make it more difficult for operators to engage in exploration and production activities, ultimately reducing demand for our services. Finally, many scientists have concluded that increasing concentrations of GHGs in the Earth’s atmosphere may produce significant physical effects, such as increased frequency and severity of storms, droughts, floods and other climatic events; if any such effects were to occur, they have the potential to cause physical damage to our assets and thus could have an adverse effect on our financial condition and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encounter increased costs related to, and lack of availability of, insurance.</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Over the last several years, as the scale and scope of our business activities has expanded, the breadth and depth of available insurance markets has contracted. As a result of these factors and other market conditions, as well as the fact that we have experienced several incidents over the last 3 to 5 years,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our financial position, results of operations and cash flows.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terms of our indebtedness may limit our ability to borrow additional funds or capitalize on business opportunities. In addition, our future debt level may limit our future financial and operating flexibility.</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As of December 31, 2018, the face value of our consolidated debt outstanding was approximately $9.3 billion, consisting of approximately $9.2 billion face value of long-term debt (including senior notes and long-term commercial paper and credit facility borrowings) and approximately $0.1 billion of short-term borrowings. As of December 31, 2018, we had approximately $2.9 billion of liquidity available, including cash and cash equivalents and available borrowing capacity under our senior unsecured revolving credit facility and our senior secured hedged inventory facility, subject to continued covenant compliance. Lower Adjusted EBITDA could increase our leverage ratios and effectively reduce our ability to incur additional indebtedness.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our current or future indebtedness could have significant effects on our operations, including, among other things:</w:t>
      </w:r>
    </w:p>
    <w:p>
      <w:pPr>
        <w:spacing w:after="0" w:line="225" w:lineRule="exact"/>
        <w:rPr>
          <w:sz w:val="20"/>
          <w:szCs w:val="20"/>
          <w:color w:val="auto"/>
        </w:rPr>
      </w:pPr>
    </w:p>
    <w:p>
      <w:pPr>
        <w:ind w:left="980" w:right="4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credit rating agencies may view our debt level negatively;</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covenants contained in our existing debt arrangements will require us to continue to meet financial tests that may adversely affect our flexibility in planning for and reacting to changes in our business;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acquisitions and general partnership purposes may be limited;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facilities treat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Moreover,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bank credit, as opposed to long-term public debt securities or equity securities, or sell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our business and the trading price of our units.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December 31, 2018, the face value of our consolidated debt was approximately $9.3 billion, of which approximately $9.1 billion was at fixed interest rates and approximately $0.2 billion was at variable interest rates. We are exposed to market risk due to the short-term nature of our commercial paper borrowings and the floating interest rates on our credit facilities. Our results of operations, cash flows and financial position could be adversely affected by significant increases in interest rates above current levels. Additionally, increases in interest rates could adversely affect our Supply and Logistics segment results by increasing interest costs associated with the storage of hedged crude oil and NGL inventory. Further, the trading price of our common units may be sensitive to changes in interest rates and any rise in interest rates could adversely impact such trading price.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as the U.S. dollar appreciates against the Canadian dollar, the U.S. dollar value of our Canadian dollar denominated earnings is reduced for U.S. reporting purposes.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business requires the retention and recruitment of a skilled workforce, and difficulties recruiting and retaining our workforce could result in a failure to implement our business plans.</w:t>
      </w:r>
    </w:p>
    <w:p>
      <w:pPr>
        <w:spacing w:after="0" w:line="170"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Our operations and management require the retention and recruitment of a skilled workforce, including engineers, technical personnel and other professionals. We and our affiliates compete with other companies in the energy industry for this skilled workforce. If we are unable to (i) retain current employees; and/or (ii) recruit new employees of comparable knowledge and experience, our business could be negatively impacted. In addition, we could experience increased costs to retain and recruit these professionals.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long-term assets could reduce our earnings.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At December 31, 2018, we had approximately $14.8 billion of net property and equipment, $916 million of linefill and base gas, $2.5 billion of goodwill, $2.7 billion of investments accounted for under the equity method of accounting and $772 million of net intangible assets capitalized on our balance sheet. GAAP requires an assessment for impairment on an annual basis or in certain circumstances, including when there is an indication that the carrying value of property and equipment may not be recoverable or a determination that it is more likely than not that a reporting unit’s carrying value is in excess of the reporting unit’s fair value. If we were to determine that any of our property and equipment, linefill and base gas, goodwill,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 capitalization. See Note 6 to our Consolidated Financial Statements for additional information regarding impairments.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 and marine transportation of crude oil have inherent operating risks.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supply and logistics operations include purchasing crude oil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our reputation and customer relationships generally. Although certain of these risks may be covered under our insurance program, any of these circumstances or events could increase our costs or lower our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use or availability of third-party assets for certain of our operations.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Certain of our business activities require the use or availability of third-party assets over which we may have little or no control. If at any time the availability of these assets is limited or denied, and if access to alternative assets cannot be arranged, it could have an adverse effect on our business, results of operations and cash flow.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Non-utilization of certain assets could significantly reduce our profitability due to fixed costs incurred to obtain the right to use such assets.</w:t>
      </w:r>
    </w:p>
    <w:p>
      <w:pPr>
        <w:spacing w:after="0" w:line="23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From time to time in connection with our business, we may lease or otherwise secure the right to use certain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Non-utilization of assets we lease or otherwise secure the right to use in connection with our business could have a significant negative impact on our profitability and cash flows.</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pipelines, terminals, storage and processing and fractionation assets are generally long-lived assets, and many of them have been in service for many years. The age and condition of our assets could result in increased maintenance or repair expenditures in the future. Any significant increase in these expenditures could adversely affect our results of operations, financial position or cash flows, as well as our ability to make cash distributions to our unitholders.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own all of the land on which our pipelines and facilities are located, which could result in disruptions to our operations.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do not own all of the land on which our pipelines and facilities have been constructed, and therefore are potentially subject to more onerous terms and/or increased costs to retain necessary land use if we do not have valid rights-of-way or if such rights-of-way lapse or terminate. In some instances, we obtain the rights to construct and operate our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In September 2018, the Fourth Circuit Court of Appeals reversed a decision of the United States Forest Service (“USFS”) issuing a permit for the construction of a pipeline and granting a right of way across the Appalachian Trail, ruling that the USFS lacked statutory authority. This decision may make it more difficult to obtain permits and rights of way on certain federal lands and may be used as precedent to challenge existing and future permits and rights of way. We cannot guarantee that we will always be able to renew existing rights-of-way or obtain new rights-of-way on favorable terms or without experiencing significant delays and costs. Any loss of rights with respect to real property, through our inability to renew right-of-way contracts or otherwise, could have a material adverse effect on our business, results of operations, and financial position.</w:t>
      </w:r>
    </w:p>
    <w:p>
      <w:pPr>
        <w:spacing w:after="0" w:line="1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we may not be able to perform all of our obligations under our contracts, which could lead to increased costs and negatively impact our financial results.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our part to satisfy our contractual commitments and obligations. For example, in connection with our provision of firm storage services and hub services to our natural gas storage customers, we enter into contracts that obligate us to honor our customers’ requests to inject gas into our storage facilities, withdraw gas from our facilities and wheel gas through our facilities, in each case subject to volume, timing and other limitations set forth in such contracts. The following factors could adversely impact our ability to perform our obligations under these contracts:</w:t>
      </w:r>
    </w:p>
    <w:p>
      <w:pPr>
        <w:spacing w:after="0" w:line="188" w:lineRule="exact"/>
        <w:rPr>
          <w:sz w:val="20"/>
          <w:szCs w:val="20"/>
          <w:color w:val="auto"/>
        </w:rPr>
      </w:pPr>
    </w:p>
    <w:p>
      <w:pPr>
        <w:ind w:left="980" w:right="2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failure on the part of our storage facilities to perform as we expect them to, whether due to malfunction of equipment or facilities or realization of other operational risks;</w:t>
      </w:r>
    </w:p>
    <w:p>
      <w:pPr>
        <w:spacing w:after="0" w:line="62"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operating pressure of our storage facilities (affected in varying degree, depending on the type of storage cavern, by total volume of working and base gas, and temperature);</w:t>
      </w:r>
    </w:p>
    <w:p>
      <w:pPr>
        <w:spacing w:after="0" w:line="62" w:lineRule="exact"/>
        <w:rPr>
          <w:rFonts w:ascii="Arial" w:cs="Arial" w:eastAsia="Arial" w:hAnsi="Arial"/>
          <w:sz w:val="18"/>
          <w:szCs w:val="18"/>
          <w:color w:val="auto"/>
        </w:rPr>
      </w:pPr>
    </w:p>
    <w:p>
      <w:pPr>
        <w:ind w:left="980" w:hanging="324"/>
        <w:spacing w:after="0" w:line="25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variety of commercial decisions we make from time to time in connection with the management and operation of our storage facilities. Examples include, without limitation, decisions with respect to matters such as (i) the aggregate amount of commitments we are willing to make with respect to wheeling, injection, and withdrawal services, which could exceed our capabilities at any given time for various reasons, (ii) the timing of scheduled and unplanned maintenance or repairs, which can impact equipment availability and capacity, (iii) the schedule for and rate at which we conduct opportunistic leaching activities at our facilities in connection with the expansion of existing salt caverns, which can impact the amount of storage capacity we have available to satisfy our customers’ requests, (iv) the timing and aggregate volume of any base gas park and/or loan transactions we consummate, which can directly affect the operating pressure of our storage facilities and (v) the amount of compression capacity and other gas handling equipment that we install at our facilities to support gas wheeling, injection and withdrawal activities; and</w:t>
      </w:r>
    </w:p>
    <w:p>
      <w:pPr>
        <w:spacing w:after="0" w:line="89"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Although we manage and monitor all of these various factors in connection with the ongoing operation of our natural gas storage facilities with the goal of performing all of our contractual commitments and obligations and optimizing our revenue, one or more of the above factors may adversely impact our ability to satisfy our injection, withdrawal or wheeling obligations under our storage contracts. In such event, we may be liable to our customers for losses or damages they suffer and/or we may need to incur costs or expenses in order to permit us to satisfy our obligations.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If we fail to obtain materials in the quantity and the quality we need, and at commercially acceptable prices, whether due to tariffs, quotas or other factors, our results of operations, financial condition and cash flows could be materially and adversely affected.</w:t>
      </w:r>
    </w:p>
    <w:p>
      <w:pPr>
        <w:spacing w:after="0" w:line="14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Our business requires access to steel and other materials to construct and maintain new and existing pipelines and facilities. If we experience a shortage in the supply of these materials or are unable to source sufficient quantities of high quality materials at acceptable prices and in a timely manner, it could materially and adversely affect our ability to construct new infrastructure and maintain our existing assets.</w:t>
      </w:r>
    </w:p>
    <w:p>
      <w:pPr>
        <w:spacing w:after="0" w:line="16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some of the materials used in our business are imported. Existing and future import duties and quotas could materially increase our costs of procuring imported or domestic steel and/or create shortages or difficulties in procuring sufficient quantities of steel meeting our required technical specifications. A material increase in our costs of construction and maintenance or any significant delays in our ability to complete our infrastructure projects could have a material adverse effect on our financial position,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reimbursements due to our general partner may be substantial and will reduce our cash available for distribution to unitholders.</w:t>
      </w:r>
    </w:p>
    <w:p>
      <w:pPr>
        <w:spacing w:after="0" w:line="23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with services for which we will be charged reasonable fees as determined by the general partner.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and the establishment of financial reserves.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levels of financial reserves and working capital borrowings, and not solely on profitability, which is affected by non-cash items.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Therefore, cash distributions might be made during periods when we record losses and might not be made during periods when we record profits.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preferred units have rights, preferences and privileges that are not held by, and are preferential to the rights of, holders of our common units.</w:t>
      </w:r>
    </w:p>
    <w:p>
      <w:pPr>
        <w:spacing w:after="0" w:line="24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Series A preferred units and Series B preferred units (together our “preferred units”)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distributions on the preferred units accrue and are cumulative, at the rate of 8% per annum with respect to our Series A preferred units and 6.125% with respect to our Series B preferred units on the original issue price. Our Series A preferred units are convertible into common units by the holders of such units or by us in certain circumstances. Our Series B preferred units are not convertible into common units, but are redeemable by us in certain circumstances. Our obligation to pay distributions on our preferred units, or on the common units issued following the conversion of our Series A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not be able to remove our general partner even if they wish to do so.</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our outstanding units (including units held by our general partner or its affiliates). Because AAP owns approximately 39% of our outstanding common units and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18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170" w:lineRule="exact"/>
        <w:rPr>
          <w:sz w:val="20"/>
          <w:szCs w:val="20"/>
          <w:color w:val="auto"/>
        </w:rPr>
      </w:pPr>
    </w:p>
    <w:p>
      <w:pPr>
        <w:ind w:left="980" w:right="200" w:hanging="324"/>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 and</w:t>
      </w:r>
    </w:p>
    <w:p>
      <w:pPr>
        <w:spacing w:after="0" w:line="73"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a result of these provisions, the price at which our common units will trade may be lower because of the absence or reduction of a takeover premium in the trading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common units without unitholder approval, which would dilute a unitholder’s existing ownership interests.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may have the following effects:</w:t>
      </w:r>
    </w:p>
    <w:p>
      <w:pPr>
        <w:spacing w:after="0" w:line="147"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existing unitholder’s proportionate ownership interest in the Partnership will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addition, our Series A preferred units are convertible into common units at any time after January 28, 2018 by the holders of such units, or under certain circumstances, at our option.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unitholders to sell their units at an undesirable time or price.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18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conflicts may include the following:</w:t>
      </w:r>
    </w:p>
    <w:p>
      <w:pPr>
        <w:spacing w:after="0" w:line="225"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our partnership agreement, we reimburse the general partner for the costs of managing and for operating the partnership;</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 of cash expenditures, borrowings and reserves in any quarter may affect available cash to pay quarterly distributions to unitholders;</w:t>
      </w:r>
    </w:p>
    <w:p>
      <w:pPr>
        <w:spacing w:after="0" w:line="140" w:lineRule="exact"/>
        <w:rPr>
          <w:rFonts w:ascii="Arial" w:cs="Arial" w:eastAsia="Arial" w:hAnsi="Arial"/>
          <w:sz w:val="16"/>
          <w:szCs w:val="16"/>
          <w:color w:val="auto"/>
        </w:rPr>
      </w:pPr>
    </w:p>
    <w:p>
      <w:pPr>
        <w:ind w:left="980" w:right="140" w:hanging="324"/>
        <w:spacing w:after="0" w:line="273"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70" w:lineRule="exact"/>
        <w:rPr>
          <w:rFonts w:ascii="Arial" w:cs="Arial" w:eastAsia="Arial" w:hAnsi="Arial"/>
          <w:sz w:val="17"/>
          <w:szCs w:val="17"/>
          <w:color w:val="auto"/>
        </w:rPr>
      </w:pPr>
    </w:p>
    <w:p>
      <w:pPr>
        <w:ind w:left="980" w:right="52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ultimate owners of our general partner to directly or indirectly transfer their ownership interest in our general partner to a third party. Any new owner of our general partner would, subject to obtaining any approvals or consents required under the applicable governing documents for the PAGP entities, be able to replace the board of directors and officers with its own choices and to control their decisions and actions.</w:t>
      </w:r>
    </w:p>
    <w:p>
      <w:pPr>
        <w:spacing w:after="0" w:line="188"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Debt Securities</w:t>
      </w:r>
    </w:p>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4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leverage is significant in relation to our partners’ capital. At December 31, 2018, the face value of our total outstanding long-term debt was approximately $9.2 billion, and the face value of our total outstanding short-term debt was approximately $0.1 billion.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8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transfer our debt securities may be limited by the absence of an organized trading market.</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 which may restrict our ability to receive funds from such subsidiaries and make payments on our debt securities.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Unlike a corporation, our partnership agreement requires us to distribute, on a quarterly basis, 100% of our available cash to our unitholders of record.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71" w:lineRule="exact"/>
        <w:rPr>
          <w:sz w:val="20"/>
          <w:szCs w:val="20"/>
          <w:color w:val="auto"/>
        </w:rPr>
      </w:pPr>
    </w:p>
    <w:p>
      <w:pPr>
        <w:ind w:left="980" w:right="7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comply with applicable law or any loan agreement, security agreement, mortgage, debt instrument or other agreement or obligation;</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provide funds to make payments on the preferred units;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provide funds for distributions to our common unitholders for any one or more of the next four calendar quarters.</w:t>
      </w:r>
    </w:p>
    <w:p>
      <w:pPr>
        <w:spacing w:after="0" w:line="11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U.S. federal income tax purposes and not being subject to a material amount of entity-level taxation. If the Internal Revenue Service (“IRS”) were to treat us as a corporation for federal income tax purposes, or we become subject to entity-level taxation for state or foreign tax purposes, our cash available for distributions to our unitholders would be substantially reduced.</w:t>
      </w:r>
    </w:p>
    <w:p>
      <w:pPr>
        <w:spacing w:after="0" w:line="14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anticipated after-tax economic benefit of an investment in our common units depends largely on our being treated as a partnership for federal income tax purposes. A publicly traded partnership such as us may be treated as a corporation for federal income tax purposes unless it satisfies a “qualifying income” requirement, as defined in Section 7704 of the Internal Revenue Code of 1986, as amended. Based upon our current operations and current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6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If we were treated as a corporation for federal income tax purposes, we would pay federal income tax on our taxable income at the corporate tax rate,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to our unitholders would be substantially reduced. Therefore, treatment of us as a corporation would result in a material reduction in cash flow and after-tax return to our unitholders, likely causing a substantial reduction in the value of our common units.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several states are evaluating ways to subject partnerships to entity-level taxation through the imposition of state income, franchise and other forms of taxation. For example, we are subject to entity-level tax on the portion of our income apportioned to Texas. Imposition of any similar taxes or additional federal or foreign taxes on us will reduce the cash available for distribution to our unitholders.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present U.S. federal income tax treatment of publicly traded partnerships, including us, or an investment in our common units may be modified by administrative, legislative or judicial changes or differing interpretations at any time. From time to time, members of Congress have proposed and considered substantive changes to the existing U.S. federal income tax laws that would affect publicly traded partnerships, including a prior legislative proposal that would have eliminated the qualifying income exception to the treatment of all publicly-traded partnerships as corporations upon which we rely for our treatment as a partnership for U.S. federal income tax purposes. In addition, the Treasury Department has issued, and in the future may issue, regulations interpreting those laws that affect publicly traded partnerships. Although there are no current legislative or administrative proposals, there can be no assurance that there will not be further changes to U.S. federal income tax laws or the Treasury Department’s interpretation of the qualifying income rules in a manner that could impact our ability to qualify as a publicly traded partnership in the future.</w:t>
      </w:r>
    </w:p>
    <w:p>
      <w:pPr>
        <w:spacing w:after="0" w:line="166" w:lineRule="exact"/>
        <w:rPr>
          <w:sz w:val="20"/>
          <w:szCs w:val="20"/>
          <w:color w:val="auto"/>
        </w:rPr>
      </w:pPr>
    </w:p>
    <w:p>
      <w:pPr>
        <w:ind w:right="20" w:firstLine="729"/>
        <w:spacing w:after="0" w:line="257" w:lineRule="auto"/>
        <w:rPr>
          <w:sz w:val="20"/>
          <w:szCs w:val="20"/>
          <w:color w:val="auto"/>
        </w:rPr>
      </w:pPr>
      <w:r>
        <w:rPr>
          <w:rFonts w:ascii="Arial" w:cs="Arial" w:eastAsia="Arial" w:hAnsi="Arial"/>
          <w:sz w:val="18"/>
          <w:szCs w:val="18"/>
          <w:color w:val="auto"/>
        </w:rPr>
        <w:t>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w:t>
      </w:r>
    </w:p>
    <w:p>
      <w:pPr>
        <w:spacing w:after="0" w:line="22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 new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These rules are not applicable for tax years beginning on or prior to December 31, 2017.</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the IRS or Canada Revenue Agency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IRS has made no determination as to our status as a partnership for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 See Note 14 for additional information regarding CRA challenge of intercompany transactions.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unitholders may be required to pay taxes on their share of our income even if they do not receive any cash distributions from us.</w:t>
      </w:r>
    </w:p>
    <w:p>
      <w:pPr>
        <w:spacing w:after="0" w:line="2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disposition of our common units could be more or less than expected.</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 unitholder sells common units, the unitholder will recognize a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 substantial portion of the amount realized from a unitholder’s sale of our units, whether or not representing a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subject to limitation on their ability to deduct interest expense incurred by us.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general, we are entitled to a deduction for interest paid or accrued on indebtedness properly allocable to our trade or business during our taxable year. However, under the Tax Cuts and Jobs Act, for taxable years beginning after December 31, 2017,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and in the case of taxable years beginning before January 1, 2022, any deduction allowable for depreciation, amortization, or depletion. 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entities face unique tax issues from owning our common units that may result in adverse tax consequences to them.</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With respect to taxable years beginning after December 31, 2017, subject to the proposed aggregation rules for certain similarly situated businesses or activities issued by the Treasury Department, a tax-exempt entity with more than one unrelated trade or business (including by attribution from investment in a partnership such as ours) is required to compute the unrelated business taxable income of such tax-exempt entity separately with respect to each such trade or business (including for purposes of determining any net operating loss deduction). As a result, for years beginning after December 31, 2017, it may not be possible for tax-exempt entities to utilize losses from an investment in our partnership to offset unrelated business taxable income from another unrelated trade or business and vice versa. Tax-exempt entities should consult a tax advisor before investing in our common units.</w:t>
      </w: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20"/>
          </w:cols>
          <w:pgMar w:left="24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unitholders will be subject to U.S. taxes and withholding with respect to their income and gain from owning our units.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 to the extent the gain is effectively connected with a U.S. trade or business of the Non-U.S. unitholder.</w:t>
      </w:r>
    </w:p>
    <w:p>
      <w:pPr>
        <w:spacing w:after="0" w:line="15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Tax Cuts and Jobs Act imposes a withholding obligation of 10% of the amount realized upon a Non-U.S. unitholder’s sale or exchange of an interest in a partnership that is engaged in a U.S. trade or business. However, due to challenges of administering a withholding obligation applicable to open market trading and other complications, the IRS has temporarily suspended the application of this withholding rule to open market transfers of interests in publicly traded partnerships pending promulgation of regulations or other guidance that resolves the challenges. It is not clear if or when such regulations or other guidance will be issued. Non-U.S. unitholders should consult a tax advisor before investing in our common units.</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to U.S. federal income taxes, our unitholders will likely be subject to other taxes, including foreign,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multiple states that currently impose a personal income tax on individuals and an income tax on corporations and other entities. It is our unitholders’ responsibility to file all U.S. federal, state, local and non-U.S. tax returns, as applicable. Unitholders should consult with their own tax advisors regarding the filing of such tax returns, the payment of such taxes, and the deductibility of any taxes paid.</w:t>
      </w:r>
    </w:p>
    <w:p>
      <w:pPr>
        <w:spacing w:after="0" w:line="19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147" w:lineRule="exact"/>
        <w:rPr>
          <w:sz w:val="20"/>
          <w:szCs w:val="20"/>
          <w:color w:val="auto"/>
        </w:rPr>
      </w:pPr>
    </w:p>
    <w:p>
      <w:pPr>
        <w:ind w:right="80" w:firstLine="729"/>
        <w:spacing w:after="0" w:line="279" w:lineRule="auto"/>
        <w:rPr>
          <w:sz w:val="20"/>
          <w:szCs w:val="20"/>
          <w:color w:val="auto"/>
        </w:rPr>
      </w:pPr>
      <w:r>
        <w:rPr>
          <w:rFonts w:ascii="Arial" w:cs="Arial" w:eastAsia="Arial" w:hAnsi="Arial"/>
          <w:sz w:val="17"/>
          <w:szCs w:val="17"/>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A unitholder whose common units are the subject of a securities loan (e.g., a loan to a “short seller” to cover a short sale of common units) may be considered to have disposed of those common units. If so, such unitholder would no longer be treated for tax purposes as a partner with respect to those common units during the period of the loan and may recognize gain or loss from the disposition.</w:t>
      </w:r>
    </w:p>
    <w:p>
      <w:pPr>
        <w:spacing w:after="0" w:line="166"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Because there are no specific rules governing the federal income tax consequences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to the short seller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common units.</w:t>
      </w:r>
    </w:p>
    <w:p>
      <w:pPr>
        <w:spacing w:after="0" w:line="16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4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(i) depreciation and amortization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income from our non-U.S. businesses is not eligible for the 20% deduction for qualified publicly traded partnership income.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the Tax Cuts and Jobs Acts, a unitholder is generally allowed to a deduction equal to 20% of our “qualified publicly traded partnership income” that is allocated to such unitholder. For purposes of the deduction, the term qualified publicly traded partnership income includes the net amount of such unitholder’s allocable share of our income that is effectively connected to our U.S. trade or business activities. Because our non-U.S. business operations earn income that is not effectively connected with a U.S. trade or business, unitholders may not apply the 20% deduction for qualified publicly traded partnership income to that portion of our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Series B Preferred Unitholders</w:t>
      </w:r>
    </w:p>
    <w:p>
      <w:pPr>
        <w:spacing w:after="0" w:line="229"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Treatment of distributions on our Series B Preferred Units as guaranteed payments for the use of capital creates a different tax treatment for the holders of our Series B Preferred Units than the holders of our common units and, under recently issued U.S. Treasury Regulations, such distributions are not eligible for the 20% deduction for qualified publicly traded partnership income in our taxable years beginning on or after January 1, 2020.</w:t>
      </w:r>
    </w:p>
    <w:p>
      <w:pPr>
        <w:spacing w:after="0" w:line="13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Although a holder of Series B Preferred Units could recognize taxable income from the accrual of such a guaranteed payment even in the absence of a contemporaneous cash distribution. We anticipate accruing and making the guaranteed payment distributions semi-annually on May 15th and November 15th through November 15th, 2022 commencing November 15, 2017, and after November 15, 2022 quarterly on February 15th, May 15th, August 15th and November 15th.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anticipated to share in the partnership’s items of income, gain, loss or deduction, except to the extent necessary to (i) achieve parity with the Series A Preferred Units or (ii) provide, to the extent possible, the Series B Preferred Units with the benefit of the liquidation preference. The Partnership will not allocate any share of our nonrecourse liabilities to the holders of Series B Preferred Units. If the Series B Preferred Units were treated as indebtedness for tax purposes, rather than as guaranteed payments for the use of capital, distributions likely would be treated as payments of interest by us to the holders of Series B Preferred Units.</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Although we expect that a substantial portion of the income we earn is generally eligible for the 20% deduction for qualified publicly traded partnership income, recently issued U.S. Treasury Regulations, which are effective for our taxable years beginning on or after January 1, 2020, provide that a guaranteed payment for the use of capital is not eligible for the 20% deduction for qualified publicly traded partnership income. As a result, it is unclear whether a guaranteed payment for use of capital received by our Series B Preferred Units in our 2018 or 2019 taxable years may be eligible for the 20% deduction for qualified publicly traded partnership income. All holders of our Series B Preferred Units are urged to consult a tax advisor to determine whether they are eligible to receive the 20% deduction for qualified publicly traded partnership income with respect to their Series B Preferred Units.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holder of Series B Preferred Units will be required to recognize gain or loss on a sale of Series B Units equal to the difference between the amount realized by such holder and such holder’s tax basis in the Series B Preferred Units.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generally not be allocated a share of our items of depreciation, depletion or amortization, it is not anticipated that such holders would be required to recharacterize any portion of their gain as ordinary income as a result of the recapture rules.</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Investment in the Series B Preferred Units by tax-exempt investors, such as employee benefit plans and individual retirement accounts, and non-U.S. persons raises issues unique to them. The treatment of guaranteed payments for the use of capital to tax-exempt investors is not certain and such payments may be treated as unrelated business taxable income for U.S. federal income tax purposes. Although the issue is not free from doubt, we will treat a substantial portion of our distributions to non-U.S. holders of the Series B Preferred Units as “effectively connected income” (which will subject holders to U.S. net income taxation and possibly the branch profits tax) that is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holders of our Series B Preferred Units are urged to consult a tax advisor with respect to the consequences of owning our Series B Preferred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is included in Note 18 to our Consolidated Financial Statements, and is incorporated herein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Units, Related Unitholder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Distributions</w:t>
      </w:r>
    </w:p>
    <w:p>
      <w:pPr>
        <w:spacing w:after="0" w:line="229"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Our common units are listed and traded on the New York Stock Exchange under the symbol “PAA.” As of February 12, 2019, there were 726,579,550 common units outstanding and approximately 109,500 record holders and beneficial owners (held in street name).</w:t>
      </w:r>
    </w:p>
    <w:p>
      <w:pPr>
        <w:spacing w:after="0" w:line="14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following table presents cash distributions per common unit pertaining to the quarter presented, which were declared and paid in the following calendar quarter (see the “Cash Distribution Policy” section below for a discussion of our policy regarding distribution payments):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First Quarter</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Second Quarter</w:t>
            </w:r>
          </w:p>
        </w:tc>
        <w:tc>
          <w:tcPr>
            <w:tcW w:w="26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4240" w:type="dxa"/>
            <w:vAlign w:val="bottom"/>
            <w:tcBorders>
              <w:top w:val="single" w:sz="8" w:color="CCEEFF"/>
              <w:bottom w:val="single" w:sz="8" w:color="CCEEFF"/>
            </w:tcBorders>
            <w:shd w:val="clear" w:color="auto" w:fill="CCEEFF"/>
          </w:tcPr>
          <w:p>
            <w:pPr>
              <w:jc w:val="right"/>
              <w:ind w:right="3750"/>
              <w:spacing w:after="0"/>
              <w:rPr>
                <w:sz w:val="20"/>
                <w:szCs w:val="20"/>
                <w:color w:val="auto"/>
              </w:rPr>
            </w:pPr>
            <w:r>
              <w:rPr>
                <w:rFonts w:ascii="Arial" w:cs="Arial" w:eastAsia="Arial" w:hAnsi="Arial"/>
                <w:sz w:val="18"/>
                <w:szCs w:val="18"/>
                <w:b w:val="1"/>
                <w:bCs w:val="1"/>
                <w:color w:val="auto"/>
                <w:w w:val="94"/>
              </w:rPr>
              <w:t>2018</w:t>
            </w:r>
          </w:p>
        </w:tc>
        <w:tc>
          <w:tcPr>
            <w:tcW w:w="1300" w:type="dxa"/>
            <w:vAlign w:val="bottom"/>
            <w:tcBorders>
              <w:top w:val="single" w:sz="8" w:color="auto"/>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0.30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r>
      <w:tr>
        <w:trPr>
          <w:trHeight w:val="243"/>
        </w:trPr>
        <w:tc>
          <w:tcPr>
            <w:tcW w:w="4240" w:type="dxa"/>
            <w:vAlign w:val="bottom"/>
          </w:tcPr>
          <w:p>
            <w:pPr>
              <w:jc w:val="right"/>
              <w:ind w:right="3750"/>
              <w:spacing w:after="0"/>
              <w:rPr>
                <w:sz w:val="20"/>
                <w:szCs w:val="20"/>
                <w:color w:val="auto"/>
              </w:rPr>
            </w:pPr>
            <w:r>
              <w:rPr>
                <w:rFonts w:ascii="Arial" w:cs="Arial" w:eastAsia="Arial" w:hAnsi="Arial"/>
                <w:sz w:val="18"/>
                <w:szCs w:val="18"/>
                <w:b w:val="1"/>
                <w:bCs w:val="1"/>
                <w:color w:val="auto"/>
                <w:w w:val="94"/>
              </w:rPr>
              <w:t>2017</w:t>
            </w: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0.55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0.30</w:t>
            </w:r>
          </w:p>
        </w:tc>
      </w:tr>
    </w:tbl>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common units are also used as a form of compensation to our employees and PAGP GP directors. See Note 17 to our Consolidated Financial Statements for additional information regarding our equity-indexed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following graph compares the total unitholder return performance of our common units with the performance of: (i) the Standard &amp; Poor’s 500 Stock Index (“S&amp;P 500”) and (ii) the Alerian MLP Index. The Alerian MLP Index is a composite of the most prominent energy master limited partnerships that provides investors with a comprehensive benchmark for this asset class. The graph assumes that $100 was invested in our common units and each comparison index beginning on December 31, 2013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118110</wp:posOffset>
            </wp:positionV>
            <wp:extent cx="5848985" cy="2915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898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12/31/2018</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S&amp;P 500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113.69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115.26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129.05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157.22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150.33</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Alerian MLP Index</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68.43</w:t>
            </w:r>
          </w:p>
        </w:tc>
      </w:tr>
      <w:tr>
        <w:trPr>
          <w:trHeight w:val="675"/>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Simplification Transactions</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See Note 1 to our Consolidated Financial Statements for further discussion of the Simplification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Pursuant to the Omnibus Agreement entered into in November 2016 as part of the Simplification Transactions, we agreed to issue common units to AAP upon any AAP Management Units becoming earned that were not earned as of the date of the closing of the Simplification Transactions. See Note 1 to our Consolidated Financial Statements for further discussion of the Simplification Transactions. During the three months ended December 31, 2018, we issued 183,814 common units to AAP associated with AAP Management Units that became earned as of October 31, 2018. This issuance was exempt from the registration requirements of the Securities Act of 1933, as amended, pursuant to Section 4(a)(2) thereof.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for any quarter ending prior to liquidation, all of our cash and cash equivalents on hand at the end of each quarter less reserves established in the reasonable discretion of our general partner for future requirements to:</w:t>
      </w:r>
    </w:p>
    <w:p>
      <w:pPr>
        <w:spacing w:after="0" w:line="187" w:lineRule="exact"/>
        <w:rPr>
          <w:sz w:val="20"/>
          <w:szCs w:val="20"/>
          <w:color w:val="auto"/>
        </w:rPr>
      </w:pPr>
    </w:p>
    <w:p>
      <w:pPr>
        <w:ind w:left="980" w:right="1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for the proper conduct of our business and the business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comply with applicable law or any loan agreement, security agreement, mortgage, debt instrument or other agreement or obligation; or</w:t>
      </w:r>
    </w:p>
    <w:p>
      <w:pPr>
        <w:spacing w:after="0" w:line="128" w:lineRule="exact"/>
        <w:rPr>
          <w:rFonts w:ascii="Arial" w:cs="Arial" w:eastAsia="Arial" w:hAnsi="Arial"/>
          <w:sz w:val="17"/>
          <w:szCs w:val="17"/>
          <w:color w:val="auto"/>
        </w:rPr>
      </w:pPr>
    </w:p>
    <w:p>
      <w:pPr>
        <w:ind w:left="980" w:right="40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funds for distributions to our Series A and Series B preferred unitholders or distributions to our common unitholders for any one or more of the next four calendar quarters.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16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Under the terms of our partnership agreement, our Series A preferred units and our Series B preferred units rank senior to all classes or series of equity securities in us with respect to distribution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The historical financial information below was derived from our audited Consolidated Financial Statements as of December 31, 2018, 2017, 2016, 2015 and 2014 and for the years then ended. The selected financial data should be read in conjunction with Item 7. “Management’s Discussion and Analysis of Financial Condition and Results of Operations,” and the Consolidated Financial Statements, including the notes thereto, in Item 8. “Financial Statements and Supplementary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left="573"/>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2016</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20" w:type="dxa"/>
            <w:vAlign w:val="bottom"/>
            <w:gridSpan w:val="5"/>
          </w:tcPr>
          <w:p>
            <w:pPr>
              <w:jc w:val="center"/>
              <w:ind w:right="251"/>
              <w:spacing w:after="0"/>
              <w:rPr>
                <w:sz w:val="20"/>
                <w:szCs w:val="20"/>
                <w:color w:val="auto"/>
              </w:rPr>
            </w:pPr>
            <w:r>
              <w:rPr>
                <w:rFonts w:ascii="Arial" w:cs="Arial" w:eastAsia="Arial" w:hAnsi="Arial"/>
                <w:sz w:val="14"/>
                <w:szCs w:val="14"/>
                <w:b w:val="1"/>
                <w:bCs w:val="1"/>
                <w:color w:val="auto"/>
                <w:w w:val="92"/>
              </w:rPr>
              <w:t>(in millions, except per unit data and volumes)</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34,055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26,223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20,182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23,152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43,464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2,277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2,216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858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730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906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2,216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r>
      <w:tr>
        <w:trPr>
          <w:trHeight w:val="284"/>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unit data:</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net income per common unit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2.77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0.96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0.43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0.78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common unit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0.95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Declared distributions per common unit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1.20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1.95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2.65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2.76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2.55</w:t>
            </w:r>
          </w:p>
        </w:tc>
      </w:tr>
      <w:tr>
        <w:trPr>
          <w:trHeight w:val="324"/>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end of period):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14,787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14,089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13,872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13,474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25,511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25,351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24,210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22,288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22,198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9,143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9,183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10,124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10,375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9,209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9,920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11,839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11,374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9,991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12,002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10,958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8,816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7,939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8,191</w:t>
            </w:r>
          </w:p>
        </w:tc>
      </w:tr>
      <w:tr>
        <w:trPr>
          <w:trHeight w:val="324"/>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2,608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2,499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733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1,358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2,023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by/(used in) financing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(943)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556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800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1,638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1,323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105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1,099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Expansion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1,888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1,135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2,170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252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247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186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220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224</w:t>
            </w:r>
          </w:p>
        </w:tc>
      </w:tr>
      <w:tr>
        <w:trPr>
          <w:trHeight w:val="810"/>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80" w:type="dxa"/>
            <w:vAlign w:val="bottom"/>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160" w:type="dxa"/>
            <w:vAlign w:val="bottom"/>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4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40" w:type="dxa"/>
            <w:vAlign w:val="bottom"/>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Volumes </w:t>
            </w:r>
            <w:r>
              <w:rPr>
                <w:rFonts w:ascii="Arial" w:cs="Arial" w:eastAsia="Arial" w:hAnsi="Arial"/>
                <w:sz w:val="25"/>
                <w:szCs w:val="25"/>
                <w:b w:val="1"/>
                <w:bCs w:val="1"/>
                <w:color w:val="auto"/>
                <w:vertAlign w:val="superscript"/>
              </w:rPr>
              <w:t>(2) (3)</w:t>
            </w: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2"/>
              </w:rPr>
              <w:t>Transportation segment (average daily volumes in thousands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of barrels per day):</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Tariff activities</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Trucking</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Transportation segment total volumes</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5,889</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4,453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segment:</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Liquids storage (average monthly capacity in millions of</w:t>
            </w:r>
          </w:p>
        </w:tc>
        <w:tc>
          <w:tcPr>
            <w:tcW w:w="1280" w:type="dxa"/>
            <w:vAlign w:val="bottom"/>
            <w:vMerge w:val="restart"/>
          </w:tcPr>
          <w:p>
            <w:pPr>
              <w:jc w:val="right"/>
              <w:ind w:right="3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0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barrels)</w:t>
            </w: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8"/>
              </w:rPr>
              <w:t>Natural gas storage (average monthly working capacity in</w:t>
            </w: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billions of cubic feet)</w:t>
            </w: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4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4"/>
              </w:rPr>
              <w:t>NGL fractionation (average volumes in thousands of barrels</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0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6"/>
                <w:szCs w:val="16"/>
                <w:color w:val="auto"/>
              </w:rPr>
            </w:pP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per day)</w:t>
            </w: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3"/>
              </w:rPr>
              <w:t>Facilities segment total volumes (average monthly volumes</w:t>
            </w: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 millions of barrels)</w:t>
            </w: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4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Supply and Logistics segment (average daily volumes in</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thousands of barrels per day):</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Crude oil lease gathering purchases</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945</w:t>
            </w: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Supply and Logistics segment total volumes</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10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Represents cash distributions declared and paid per unit during the year presented. See Note 12 to our Consolidated Financial Statements for further discussion regarding our distributions.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Average volumes are calculated as the total volumes (attributable to our interest) for the year divided by the number of days or months in the year.</w:t>
      </w:r>
    </w:p>
    <w:p>
      <w:pPr>
        <w:spacing w:after="0" w:line="98" w:lineRule="exact"/>
        <w:rPr>
          <w:rFonts w:ascii="Arial" w:cs="Arial" w:eastAsia="Arial" w:hAnsi="Arial"/>
          <w:sz w:val="22"/>
          <w:szCs w:val="22"/>
          <w:color w:val="auto"/>
          <w:vertAlign w:val="superscript"/>
        </w:rPr>
      </w:pPr>
    </w:p>
    <w:p>
      <w:pPr>
        <w:ind w:left="660" w:right="160" w:hanging="652"/>
        <w:spacing w:after="0" w:line="230"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is calculated as the sum of: (i) liquids storage capacity; (ii) natural gas storage working capacity divided by 6 to account for the 6:1 thousand cubic feet (“mcf”) of natural gas to crude British thermal unit (“Btu”) equivalent ratio and further divided by 1,000 to convert to monthly volumes in millions; and (iii) NGL fractionation volumes multiplied by the number of days in the year and divided by the number of months in the year.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recognized net income of $2.2 billion in 2018 compared to net income of $858 million recognized in 2017. This year-over-year increase reflects:</w:t>
      </w:r>
    </w:p>
    <w:p>
      <w:pPr>
        <w:spacing w:after="0" w:line="248" w:lineRule="exact"/>
        <w:rPr>
          <w:sz w:val="20"/>
          <w:szCs w:val="20"/>
          <w:color w:val="auto"/>
        </w:rPr>
      </w:pPr>
    </w:p>
    <w:p>
      <w:pPr>
        <w:ind w:left="980" w:right="26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Favorable regional crude oil differentials and higher lease gathering and NGL margins in our Supply and Logistics segment, as well as more favorable impacts in the 2018 period from the mark-to-market of certain derivative instruments;</w:t>
      </w:r>
    </w:p>
    <w:p>
      <w:pPr>
        <w:spacing w:after="0" w:line="170"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Favorable results from our Transportation segment, primarily from our pipelines in the Permian Basin region, driven by higher volumes from increased production and our recently completed capital expansion projects, which more than offset the impact of asset sales;</w:t>
      </w:r>
    </w:p>
    <w:p>
      <w:pPr>
        <w:spacing w:after="0" w:line="146" w:lineRule="exact"/>
        <w:rPr>
          <w:rFonts w:ascii="Arial" w:cs="Arial" w:eastAsia="Arial" w:hAnsi="Arial"/>
          <w:sz w:val="17"/>
          <w:szCs w:val="17"/>
          <w:color w:val="auto"/>
        </w:rPr>
      </w:pPr>
    </w:p>
    <w:p>
      <w:pPr>
        <w:ind w:left="980" w:right="120" w:hanging="324"/>
        <w:spacing w:after="0" w:line="342"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Net gains recognized during the 2018 period associated with asset sales (including a gain on the sale of a portion of our interest in BridgeTex), as compared to net losses recognized during the 2017 period associated with asset sales, impairments and accelerated depreciation; and</w:t>
      </w:r>
    </w:p>
    <w:p>
      <w:pPr>
        <w:spacing w:after="0" w:line="123"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interest expense primarily driven by a lower weighted average debt balance in the 2018 period as a result of our efforts to implement our Leverage Reduction Plan announced in August 2017 (discussed further below); partially offset by</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income tax expense due to higher year-over-year income as impacted by fluctuations in derivative mark-to-market valuations in our Canadian operations.</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See further discussion of our segment operating results in the “—Results of Operations—Analysis of Operating Segments” and “—Other Income and Expenses” sections below. See the “Outlook—Market Overview and Outlook” section below for a discussion of the market and our current outlook.</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125"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invested approximately $1.9 billion in midstream infrastructure projects during 2018, which primarily included takeaway pipelines in the Permian Basin and other complementary Permian Basin projects. See the “—Acquisitions, Capital Projects and Divestitures” section below for additional information.</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funded such capital activities primarily from proceeds received from asset sales as part of our divestiture program, which totaled approximately $1.3 billion for 2018. In addition, we progressed our Leverage Reduction Plan, as discussed further below. We also paid approximately $1.0 billion of cash distributions to our common unitholders and our Series A and B preferred unitholders during 2018.</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Leverage Reduction Plan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August 25, 2017, we announced that we were implementing an action plan to strengthen our balance sheet, reduce leverage, enhance our distribution coverage, minimize new issuances of common equity and position the Partnership for future distribution growth. The action plan (“Leverage Reduction Plan”), which was endorsed by the PAGP GP Board, included our intent to achieve certain objectives. During 2017 and 2018, we made meaningful progress in executing our Leverage Reduction Plan and remain on track to achieve our objectives in the first half of 2019. However, there can be no assurance that the objectives of our Leverage Reduction Plan remaining to be achieved will be achieved, or that they will be achieved within our desired time frame or in the desired amounts. Achievement of such objectives is subject to risks and uncertainties, many of which are outside of our control. Please see “Risk Factors—Risks Related to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Capital Projects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Projects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completed a number of acquisitions and capital projects in 2018, 2017 and 2016 that have impacted our results of operations. The following table summarizes our expenditures for acquisition capital, expansion capital and maintenance capital for such periods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70"/>
        </w:trPr>
        <w:tc>
          <w:tcPr>
            <w:tcW w:w="6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r>
      <w:tr>
        <w:trPr>
          <w:trHeight w:val="270"/>
        </w:trPr>
        <w:tc>
          <w:tcPr>
            <w:tcW w:w="6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(2)</w:t>
            </w:r>
          </w:p>
        </w:tc>
        <w:tc>
          <w:tcPr>
            <w:tcW w:w="90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1,888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1,405</w:t>
            </w:r>
          </w:p>
        </w:tc>
      </w:tr>
      <w:tr>
        <w:trPr>
          <w:trHeight w:val="270"/>
        </w:trPr>
        <w:tc>
          <w:tcPr>
            <w:tcW w:w="6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(2)</w:t>
            </w:r>
          </w:p>
        </w:tc>
        <w:tc>
          <w:tcPr>
            <w:tcW w:w="9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r>
      <w:tr>
        <w:trPr>
          <w:trHeight w:val="237"/>
        </w:trPr>
        <w:tc>
          <w:tcPr>
            <w:tcW w:w="66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2,140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1,880</w:t>
            </w:r>
          </w:p>
        </w:tc>
      </w:tr>
      <w:tr>
        <w:trPr>
          <w:trHeight w:val="27"/>
        </w:trPr>
        <w:tc>
          <w:tcPr>
            <w:tcW w:w="6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hanging="652"/>
        <w:spacing w:after="0" w:line="226"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jc w:val="both"/>
        <w:ind w:left="660" w:right="440" w:hanging="652"/>
        <w:spacing w:after="0" w:line="226"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Acquisitions are financed using a combination of equity and debt, including borrowings under our commercial paper program or credit facilities and the issuance of senior notes. In addition, we may also use excess cash flow from operations and proceeds from sales of assets for funding. Businesses acquired impact our results of operations commencing on the closing date of each acquisition. Our acquisition activities are discussed further in “—Liquidity and Capital Resources.” We did not complete any acquisitions during 2018. Information regarding acquisitions completed in 2017 and 2016 is set forth in the table below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Acquisition</w:t>
            </w:r>
          </w:p>
        </w:tc>
        <w:tc>
          <w:tcPr>
            <w:tcW w:w="1720" w:type="dxa"/>
            <w:vAlign w:val="bottom"/>
            <w:gridSpan w:val="2"/>
          </w:tcPr>
          <w:p>
            <w:pPr>
              <w:ind w:left="540"/>
              <w:spacing w:after="0"/>
              <w:rPr>
                <w:sz w:val="20"/>
                <w:szCs w:val="20"/>
                <w:color w:val="auto"/>
              </w:rPr>
            </w:pPr>
            <w:r>
              <w:rPr>
                <w:rFonts w:ascii="Arial" w:cs="Arial" w:eastAsia="Arial" w:hAnsi="Arial"/>
                <w:sz w:val="14"/>
                <w:szCs w:val="14"/>
                <w:b w:val="1"/>
                <w:bCs w:val="1"/>
                <w:color w:val="auto"/>
              </w:rPr>
              <w:t>Effective</w:t>
            </w:r>
          </w:p>
        </w:tc>
        <w:tc>
          <w:tcPr>
            <w:tcW w:w="260" w:type="dxa"/>
            <w:vAlign w:val="bottom"/>
          </w:tcPr>
          <w:p>
            <w:pPr>
              <w:spacing w:after="0"/>
              <w:rPr>
                <w:sz w:val="14"/>
                <w:szCs w:val="14"/>
                <w:color w:val="auto"/>
              </w:rPr>
            </w:pPr>
          </w:p>
        </w:tc>
        <w:tc>
          <w:tcPr>
            <w:tcW w:w="1220" w:type="dxa"/>
            <w:vAlign w:val="bottom"/>
          </w:tcPr>
          <w:p>
            <w:pPr>
              <w:jc w:val="right"/>
              <w:ind w:right="314"/>
              <w:spacing w:after="0"/>
              <w:rPr>
                <w:sz w:val="20"/>
                <w:szCs w:val="20"/>
                <w:color w:val="auto"/>
              </w:rPr>
            </w:pPr>
            <w:r>
              <w:rPr>
                <w:rFonts w:ascii="Arial" w:cs="Arial" w:eastAsia="Arial" w:hAnsi="Arial"/>
                <w:sz w:val="14"/>
                <w:szCs w:val="14"/>
                <w:b w:val="1"/>
                <w:bCs w:val="1"/>
                <w:color w:val="auto"/>
              </w:rPr>
              <w:t>Acquisition</w:t>
            </w:r>
          </w:p>
        </w:tc>
        <w:tc>
          <w:tcPr>
            <w:tcW w:w="100" w:type="dxa"/>
            <w:vAlign w:val="bottom"/>
          </w:tcPr>
          <w:p>
            <w:pPr>
              <w:spacing w:after="0"/>
              <w:rPr>
                <w:sz w:val="14"/>
                <w:szCs w:val="14"/>
                <w:color w:val="auto"/>
              </w:rPr>
            </w:pPr>
          </w:p>
        </w:tc>
        <w:tc>
          <w:tcPr>
            <w:tcW w:w="30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Operating Segment</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Alpha Crude Connector Gathering System</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February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Transportation and Facilities</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 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Canada NGL Assets</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August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and Facilities</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 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Expansion Capital Projects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2018 projects primarily included the construction and expansion of pipeline systems and storage and terminal facilities. The following table summarizes our 2018, 2017 and 2016 projects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Permian Basin Takeaway Pipeline Projects </w:t>
            </w:r>
            <w:r>
              <w:rPr>
                <w:rFonts w:ascii="Arial" w:cs="Arial" w:eastAsia="Arial" w:hAnsi="Arial"/>
                <w:sz w:val="25"/>
                <w:szCs w:val="25"/>
                <w:color w:val="auto"/>
                <w:vertAlign w:val="superscript"/>
              </w:rPr>
              <w:t>(1) (2)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Complementary Permian Basin Projects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224</w:t>
            </w: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Facilities Projects </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Red River Pipeline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5"/>
                <w:szCs w:val="25"/>
                <w:color w:val="auto"/>
                <w:vertAlign w:val="superscript"/>
              </w:rPr>
              <w:t>(4)</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432</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1,405</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60" w:hanging="652"/>
        <w:spacing w:after="0" w:line="216"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Represents pipeline projects with takeaway capacity out of the Permian Basin, including our Sunrise expansion and our 65% interest in the Cactus II Pipeline.</w:t>
      </w:r>
    </w:p>
    <w:p>
      <w:pPr>
        <w:spacing w:after="0" w:line="95" w:lineRule="exact"/>
        <w:rPr>
          <w:rFonts w:ascii="Arial" w:cs="Arial" w:eastAsia="Arial" w:hAnsi="Arial"/>
          <w:sz w:val="25"/>
          <w:szCs w:val="25"/>
          <w:color w:val="auto"/>
          <w:vertAlign w:val="superscript"/>
        </w:rPr>
      </w:pPr>
    </w:p>
    <w:p>
      <w:pPr>
        <w:ind w:left="660" w:right="260" w:hanging="652"/>
        <w:spacing w:after="0" w:line="216"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These projects will continue into 2019. See “—Liquidity and Capital Resources—Acquisitions, Investments, Expansion Capital Expenditures and Divestitures —2019 Capital Projects.”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Includes projects at our St. James, Fort Saskatchewan and Cushing terminals.</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50% interest in Diamond Pipeline LLC.</w:t>
      </w:r>
    </w:p>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recent expansion capital programs were primarily driven by investment in midstream infrastructure projects to address the need for additional takeaway capacity in regions impacted by the increase in crude oil and liquids-rich gas production growth in North America, as well as the long-term needs of both the upstream and downstream sectors of the crude oil space. Substantially all of the expansion capital spent in the years presented was invested in our fee-based Transportation and Facilities segments.</w:t>
      </w:r>
    </w:p>
    <w:p>
      <w:pPr>
        <w:spacing w:after="0" w:line="187"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We currently expect to spend approximately $1.1 billion for expansion capital in 2019. See “—Liquidity and Capital Resources—Acquisitions, Investments, Expansion Capital Expenditures and Divestitures —2019 Capital Projects” and “Outlook—Market Overview and Outlook” for additional information.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ind w:right="560" w:firstLine="648"/>
        <w:spacing w:after="0" w:line="279" w:lineRule="auto"/>
        <w:rPr>
          <w:sz w:val="20"/>
          <w:szCs w:val="20"/>
          <w:color w:val="auto"/>
        </w:rPr>
      </w:pPr>
      <w:r>
        <w:rPr>
          <w:rFonts w:ascii="Arial" w:cs="Arial" w:eastAsia="Arial" w:hAnsi="Arial"/>
          <w:sz w:val="17"/>
          <w:szCs w:val="17"/>
          <w:color w:val="auto"/>
        </w:rPr>
        <w:t>In 2016, we initiated a program to evaluate potential sales of non-core assets and/or sales of partial interests in assets to strategic joint venture partners to optimize our asset portfolio and strengthen our balance sheet and leverage metrics. As of December 31, 2018, we had completed asset sales totaling approximately $3.0 billion. The following table summarizes the proceeds received for sales of assets, which were previously reported in our Transportation and Facilities segments, during the years ended December 31, 2018, 2017 and 2016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22"/>
                <w:szCs w:val="22"/>
                <w:color w:val="auto"/>
              </w:rPr>
            </w:pP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assets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1,334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line="270" w:lineRule="exact"/>
              <w:rPr>
                <w:sz w:val="20"/>
                <w:szCs w:val="20"/>
                <w:color w:val="auto"/>
              </w:rPr>
            </w:pPr>
            <w:r>
              <w:rPr>
                <w:rFonts w:ascii="Arial" w:cs="Arial" w:eastAsia="Arial" w:hAnsi="Arial"/>
                <w:sz w:val="18"/>
                <w:szCs w:val="18"/>
                <w:color w:val="auto"/>
              </w:rPr>
              <w:t xml:space="preserve">569  </w:t>
            </w:r>
            <w:r>
              <w:rPr>
                <w:rFonts w:ascii="Arial" w:cs="Arial" w:eastAsia="Arial" w:hAnsi="Arial"/>
                <w:sz w:val="25"/>
                <w:szCs w:val="25"/>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Net of amounts paid for the remaining interest in a non-core pipeline that was subsequently sold.</w:t>
      </w:r>
    </w:p>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Proceeds from asset sales were used to fund our expansion capital program and reduce debt levels. See “—Liquidity and Capital Resources” for additional discussion of our divestiture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7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believe that the assumptions, judgments and estimates involved in the accounting for our (i) estimated fair value of assets and liabilities acquired and identification of associated goodwill and intangible assets, (ii) impairment assessments of goodwill and intangible assets, (iii) fair value of derivatives,</w:t>
      </w:r>
    </w:p>
    <w:p>
      <w:pPr>
        <w:ind w:right="60" w:firstLine="8"/>
        <w:spacing w:after="0" w:line="271" w:lineRule="auto"/>
        <w:tabs>
          <w:tab w:leader="none" w:pos="3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accruals and contingent liabilities, (v) equity-indexed compensation plan accruals, (vi) property and equipment, depreciation and amortization expense, asset retirement obligations and impairments, (vii) allowance for doubtful accounts and (viii)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further as follows. For further information on all of our significant accounting policies, see Note 2 to our Consolidated Financial Statements.</w:t>
      </w:r>
    </w:p>
    <w:p>
      <w:pPr>
        <w:spacing w:after="0" w:line="17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Fair Value of Assets and Liabilities Acquired and Identification of Associated Goodwill and Intangible Assets. </w:t>
      </w:r>
      <w:r>
        <w:rPr>
          <w:rFonts w:ascii="Arial" w:cs="Arial" w:eastAsia="Arial" w:hAnsi="Arial"/>
          <w:sz w:val="17"/>
          <w:szCs w:val="17"/>
          <w:color w:val="auto"/>
        </w:rPr>
        <w:t>In accordance with FASB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17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 party assessments.</w:t>
      </w:r>
    </w:p>
    <w:p>
      <w:pPr>
        <w:spacing w:after="0" w:line="18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i w:val="1"/>
          <w:iCs w:val="1"/>
          <w:color w:val="auto"/>
        </w:rPr>
        <w:t xml:space="preserve">Impairment Assessments of Goodwill and Intangible Assets. </w:t>
      </w:r>
      <w:r>
        <w:rPr>
          <w:rFonts w:ascii="Arial" w:cs="Arial" w:eastAsia="Arial" w:hAnsi="Arial"/>
          <w:sz w:val="18"/>
          <w:szCs w:val="18"/>
          <w:color w:val="auto"/>
        </w:rPr>
        <w:t>Goodwill and intangible assets with indefinite lives are not amortized but are instead</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periodically assessed for impairment. See Note 8 to our Consolidated Financial Statements for further discussion of goodwill. Intangible assets with finite lives are amortized over their estimated useful life as determined by management.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Impairment testing entails estimating future net cash flows relating to the business, based on management’s estimate of future revenues, future cash flows and market conditions including pricing, demand, competition, operating costs and other factors, such as weighted average cost of capital. Uncertainties associated with these estimates include changes in production decline rates, production interruptions, fluctuations in refinery capacity or product slates, economic obsolescence factors in the area and potential future sources of cash flow.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19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The fair value of a derivative at a particular period end does not reflect the end results of a particular transaction,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most likely not reflect the gain or loss at the conclusion of a transaction. We reflect estimates for these items based on our internal records and information from third parties. We have commodity derivatives, interest rate derivatives and foreign currency derivatives that are accounted for as assets and liabilities at fair value in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79" w:lineRule="exact"/>
        <w:rPr>
          <w:sz w:val="20"/>
          <w:szCs w:val="20"/>
          <w:color w:val="auto"/>
        </w:rPr>
      </w:pPr>
    </w:p>
    <w:p>
      <w:pPr>
        <w:ind w:right="900" w:firstLine="648"/>
        <w:spacing w:after="0" w:line="264" w:lineRule="auto"/>
        <w:rPr>
          <w:sz w:val="20"/>
          <w:szCs w:val="20"/>
          <w:color w:val="auto"/>
        </w:rPr>
      </w:pPr>
      <w:r>
        <w:rPr>
          <w:rFonts w:ascii="Arial" w:cs="Arial" w:eastAsia="Arial" w:hAnsi="Arial"/>
          <w:sz w:val="18"/>
          <w:szCs w:val="18"/>
          <w:color w:val="auto"/>
        </w:rPr>
        <w:t>We also have embedded derivatives in our Series A preferred units that are recorded at fair value on our Consolidated Balance Sheets. These embedded derivatives are valued using a model that contains inputs, including our common unit price, ten-year U.S. Treasury rates, default probabilities and timing estimates, some of which involve management judgment.</w:t>
      </w:r>
    </w:p>
    <w:p>
      <w:pPr>
        <w:spacing w:after="0" w:line="181"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18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for, among other things, environmental remediation, natural resource damage</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governmental fines and penalties, potential legal claims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$19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6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Equity-Indexed Compensation Plan Accruals. </w:t>
      </w:r>
      <w:r>
        <w:rPr>
          <w:rFonts w:ascii="Arial" w:cs="Arial" w:eastAsia="Arial" w:hAnsi="Arial"/>
          <w:sz w:val="17"/>
          <w:szCs w:val="17"/>
          <w:color w:val="auto"/>
        </w:rPr>
        <w:t>We accrue compensation expense (referred to herein as equity-indexed compensation expense) for</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equity-indexed compensation expense only if the attainment of the performance condition is considered probable. Uncertainties involved in this estimate include future levels of four quarter trailing distributable cash flow (“DCF”) per common unit and whether or not a performance condition will be attained. In addition, the common unit price at the end of each period (and at the time of vesting) will impact the amount of compensation expense recorded in each period for certain awards. We cannot provide assurance that the actual fair value of our equity-indexed compensation awards will not vary significantly from estimated amounts.</w:t>
      </w:r>
    </w:p>
    <w:p>
      <w:pPr>
        <w:spacing w:after="0" w:line="17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recognized equity-indexed compensation expense of $79 million, $41 million and $60 million in 2018, 2017 and 2016, respectively, related to awards granted under our various equity-indexed compensation plans. A hypothetical variance of 5% in our aggregate estimate for the equity-indexed compensation expense would have an impact on our total costs and expenses of less than 1%. See Note 17 to our Consolidated Financial Statements for a discussion regarding our equity-indexed compensation plans.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Property and Equipment, Depreciation and Amortization Expense, Asset Retirement Obligations and Impairments. </w:t>
      </w:r>
      <w:r>
        <w:rPr>
          <w:rFonts w:ascii="Arial" w:cs="Arial" w:eastAsia="Arial" w:hAnsi="Arial"/>
          <w:sz w:val="16"/>
          <w:szCs w:val="16"/>
          <w:color w:val="auto"/>
        </w:rPr>
        <w:t>We compute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using the straight-line method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87"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170"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A change in our outlook or use could result in impairments that may be material to our results of operations or financial condition. See the “— Outlook— Market Overview and Outlook” section below and Note 6 to our Consolidated Financial Statements for additional information.</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credit evaluations of our customers and grant credit based on past payment history,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anticipated industry conditions. Customer payments are regularly monitored and a provision for doubtful accounts is established based on specific situations and overall industry conditions. Our history of bad debt losses has been minimal (less than $2 million in the aggregate over the years ended December 31, 2018, 2017 and 2016) and generally limited to specific customer circumstances; however, credit risks can change suddenly and without notice. See Note 2 to our Consolidated Financial Statements for additional discussion.</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Inventory Valuations. </w:t>
      </w:r>
      <w:r>
        <w:rPr>
          <w:rFonts w:ascii="Arial" w:cs="Arial" w:eastAsia="Arial" w:hAnsi="Arial"/>
          <w:sz w:val="17"/>
          <w:szCs w:val="17"/>
          <w:color w:val="auto"/>
        </w:rPr>
        <w:t>Inventory, including long-term inventory, primarily consists of crude oil, NGL and natural gas and is valued at the lower of</w:t>
      </w:r>
      <w:r>
        <w:rPr>
          <w:rFonts w:ascii="Arial" w:cs="Arial" w:eastAsia="Arial" w:hAnsi="Arial"/>
          <w:sz w:val="17"/>
          <w:szCs w:val="17"/>
          <w:i w:val="1"/>
          <w:iCs w:val="1"/>
          <w:color w:val="auto"/>
        </w:rPr>
        <w:t xml:space="preserve"> </w:t>
      </w:r>
      <w:r>
        <w:rPr>
          <w:rFonts w:ascii="Arial" w:cs="Arial" w:eastAsia="Arial" w:hAnsi="Arial"/>
          <w:sz w:val="17"/>
          <w:szCs w:val="17"/>
          <w:color w:val="auto"/>
        </w:rPr>
        <w:t>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2018, 2017 and 2016, we recorded charges of $8 million, $35 million and $3 million, respectively, related to the valuation adjustment of our crude oil, NGL and natural gas inventory due to declines in prices. See Note 5 to our Consolidated Financial Statements for further discussion regarding inventory.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an overview of our consolidated financial results calculated in accordance with GAAP (in millions, except per unit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Variance</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Transportation Segment Adjusted EBITDA</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1,141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7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vMerge w:val="continue"/>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vMerge w:val="continue"/>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667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Supply and Logistics Segment Adjusted</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3320" w:type="dxa"/>
            <w:vAlign w:val="bottom"/>
          </w:tcPr>
          <w:p>
            <w:pPr>
              <w:ind w:left="200"/>
              <w:spacing w:after="0"/>
              <w:rPr>
                <w:sz w:val="20"/>
                <w:szCs w:val="20"/>
                <w:color w:val="auto"/>
              </w:rPr>
            </w:pPr>
            <w:r>
              <w:rPr>
                <w:rFonts w:ascii="Arial" w:cs="Arial" w:eastAsia="Arial" w:hAnsi="Arial"/>
                <w:sz w:val="18"/>
                <w:szCs w:val="18"/>
                <w:color w:val="auto"/>
                <w:w w:val="96"/>
              </w:rPr>
              <w:t>Selected items impacting comparability -</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60"/>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rPr>
              <w:t>Gains/(losses) on asset sales and asset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Pr>
          <w:p>
            <w:pPr>
              <w:ind w:left="200"/>
              <w:spacing w:after="0" w:line="257" w:lineRule="exact"/>
              <w:rPr>
                <w:sz w:val="20"/>
                <w:szCs w:val="20"/>
                <w:color w:val="auto"/>
              </w:rPr>
            </w:pPr>
            <w:r>
              <w:rPr>
                <w:rFonts w:ascii="Arial" w:cs="Arial" w:eastAsia="Arial" w:hAnsi="Arial"/>
                <w:sz w:val="18"/>
                <w:szCs w:val="18"/>
                <w:color w:val="auto"/>
              </w:rPr>
              <w:t xml:space="preserve">impairments, net </w:t>
            </w:r>
            <w:r>
              <w:rPr>
                <w:rFonts w:ascii="Arial" w:cs="Arial" w:eastAsia="Arial" w:hAnsi="Arial"/>
                <w:sz w:val="25"/>
                <w:szCs w:val="25"/>
                <w:color w:val="auto"/>
                <w:vertAlign w:val="superscript"/>
              </w:rPr>
              <w:t>(2)</w:t>
            </w:r>
          </w:p>
        </w:tc>
        <w:tc>
          <w:tcPr>
            <w:tcW w:w="240" w:type="dxa"/>
            <w:vAlign w:val="bottom"/>
          </w:tcPr>
          <w:p>
            <w:pPr>
              <w:spacing w:after="0"/>
              <w:rPr>
                <w:sz w:val="22"/>
                <w:szCs w:val="22"/>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of investment in</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unconsolidated entities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332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unit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Diluted net income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0.43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rPr>
              <w:t>Diluted weighted average common units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466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0" w:hanging="412"/>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that variance as a 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right="340" w:hanging="652"/>
        <w:spacing w:after="0" w:line="232"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20 to our Consolidated Financial Statements for additional discussion of such adjustments.</w:t>
      </w:r>
    </w:p>
    <w:p>
      <w:pPr>
        <w:spacing w:after="0" w:line="94" w:lineRule="exact"/>
        <w:rPr>
          <w:rFonts w:ascii="Arial" w:cs="Arial" w:eastAsia="Arial" w:hAnsi="Arial"/>
          <w:sz w:val="25"/>
          <w:szCs w:val="25"/>
          <w:color w:val="auto"/>
          <w:vertAlign w:val="superscript"/>
        </w:rPr>
      </w:pPr>
    </w:p>
    <w:p>
      <w:pPr>
        <w:ind w:left="660" w:right="100" w:hanging="652"/>
        <w:spacing w:after="0" w:line="238" w:lineRule="auto"/>
        <w:tabs>
          <w:tab w:leader="none" w:pos="66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Effective for the fourth quarter of 2018, we reclassified amounts related to gains and losses on asset sales and asset impairments from “Depreciation and amortization” to “(Gains)/losses on asset sales and asset impairments, net” on our Consolidated Statements of Operations. This change was applied retrospectively. See Note 1 to our Consolidated Financial Statements for additional discussion.</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gains and losses on asset sales and asset impairments, and gains on sales of investments in unconsolidated entities, adjusted for certain selected items impacting comparability (“Adjusted EBITDA”) and implied DCF.</w:t>
      </w:r>
    </w:p>
    <w:p>
      <w:pPr>
        <w:spacing w:after="0" w:line="17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125" w:right="2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these non-GAAP financial performance measures from Net Income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Variance</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2018-2017</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2017-2016</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Add/(Subtract):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4080" w:type="dxa"/>
            <w:vAlign w:val="bottom"/>
            <w:gridSpan w:val="2"/>
          </w:tcPr>
          <w:p>
            <w:pPr>
              <w:ind w:left="180"/>
              <w:spacing w:after="0"/>
              <w:rPr>
                <w:sz w:val="20"/>
                <w:szCs w:val="20"/>
                <w:color w:val="auto"/>
              </w:rPr>
            </w:pPr>
            <w:r>
              <w:rPr>
                <w:rFonts w:ascii="Arial" w:cs="Arial" w:eastAsia="Arial" w:hAnsi="Arial"/>
                <w:sz w:val="18"/>
                <w:szCs w:val="18"/>
                <w:color w:val="auto"/>
                <w:w w:val="91"/>
              </w:rPr>
              <w:t>(Gains)/losses on asset sales and asset impairments,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34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(205)%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unconsolidated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80" w:type="dxa"/>
            <w:vAlign w:val="bottom"/>
            <w:gridSpan w:val="2"/>
            <w:shd w:val="clear" w:color="auto" w:fill="CCEEFF"/>
          </w:tcPr>
          <w:p>
            <w:pPr>
              <w:ind w:left="340"/>
              <w:spacing w:after="0" w:line="257" w:lineRule="exact"/>
              <w:rPr>
                <w:sz w:val="20"/>
                <w:szCs w:val="20"/>
                <w:color w:val="auto"/>
              </w:rPr>
            </w:pPr>
            <w:r>
              <w:rPr>
                <w:rFonts w:ascii="Arial" w:cs="Arial" w:eastAsia="Arial" w:hAnsi="Arial"/>
                <w:sz w:val="18"/>
                <w:szCs w:val="18"/>
                <w:color w:val="auto"/>
              </w:rPr>
              <w:t xml:space="preserve">entities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Gain on sale of investment in unconsolidated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340"/>
              <w:spacing w:after="0"/>
              <w:rPr>
                <w:sz w:val="20"/>
                <w:szCs w:val="20"/>
                <w:color w:val="auto"/>
              </w:rPr>
            </w:pPr>
            <w:r>
              <w:rPr>
                <w:rFonts w:ascii="Arial" w:cs="Arial" w:eastAsia="Arial" w:hAnsi="Arial"/>
                <w:sz w:val="18"/>
                <w:szCs w:val="18"/>
                <w:color w:val="auto"/>
              </w:rPr>
              <w:t>entities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0"/>
                <w:szCs w:val="20"/>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340"/>
              <w:spacing w:after="0"/>
              <w:rPr>
                <w:sz w:val="20"/>
                <w:szCs w:val="20"/>
                <w:color w:val="auto"/>
              </w:rPr>
            </w:pPr>
            <w:r>
              <w:rPr>
                <w:rFonts w:ascii="Arial" w:cs="Arial" w:eastAsia="Arial" w:hAnsi="Arial"/>
                <w:sz w:val="18"/>
                <w:szCs w:val="18"/>
                <w:color w:val="auto"/>
              </w:rPr>
              <w:t>(Gains)/losses from derivative activities net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80" w:type="dxa"/>
            <w:vAlign w:val="bottom"/>
            <w:gridSpan w:val="2"/>
          </w:tcPr>
          <w:p>
            <w:pPr>
              <w:ind w:left="500"/>
              <w:spacing w:after="0" w:line="257" w:lineRule="exact"/>
              <w:rPr>
                <w:sz w:val="20"/>
                <w:szCs w:val="20"/>
                <w:color w:val="auto"/>
              </w:rPr>
            </w:pPr>
            <w:r>
              <w:rPr>
                <w:rFonts w:ascii="Arial" w:cs="Arial" w:eastAsia="Arial" w:hAnsi="Arial"/>
                <w:sz w:val="18"/>
                <w:szCs w:val="18"/>
                <w:color w:val="auto"/>
              </w:rPr>
              <w:t xml:space="preserve">inventory valuation adjustments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404</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tcPr>
          <w:p>
            <w:pPr>
              <w:ind w:left="340"/>
              <w:spacing w:after="0"/>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80" w:type="dxa"/>
            <w:vAlign w:val="bottom"/>
            <w:gridSpan w:val="2"/>
          </w:tcPr>
          <w:p>
            <w:pPr>
              <w:ind w:left="50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tcPr>
          <w:p>
            <w:pPr>
              <w:ind w:left="340"/>
              <w:spacing w:after="0" w:line="270" w:lineRule="exact"/>
              <w:rPr>
                <w:sz w:val="20"/>
                <w:szCs w:val="20"/>
                <w:color w:val="auto"/>
              </w:rPr>
            </w:pPr>
            <w:r>
              <w:rPr>
                <w:rFonts w:ascii="Arial" w:cs="Arial" w:eastAsia="Arial" w:hAnsi="Arial"/>
                <w:sz w:val="18"/>
                <w:szCs w:val="18"/>
                <w:color w:val="auto"/>
                <w:w w:val="94"/>
              </w:rPr>
              <w:t xml:space="preserve">Net (gain)/loss on foreign currency revaluation </w:t>
            </w:r>
            <w:r>
              <w:rPr>
                <w:rFonts w:ascii="Arial" w:cs="Arial" w:eastAsia="Arial" w:hAnsi="Arial"/>
                <w:sz w:val="25"/>
                <w:szCs w:val="25"/>
                <w:color w:val="auto"/>
                <w:w w:val="94"/>
                <w:vertAlign w:val="superscript"/>
              </w:rPr>
              <w:t>(6)</w:t>
            </w:r>
          </w:p>
        </w:tc>
        <w:tc>
          <w:tcPr>
            <w:tcW w:w="2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5"/>
              </w:rPr>
              <w:t>Selected Items Impacting Comparability - Segment</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w w:val="94"/>
              </w:rPr>
              <w:t xml:space="preserve">Net (gain)/loss on foreign currency revaluation </w:t>
            </w:r>
            <w:r>
              <w:rPr>
                <w:rFonts w:ascii="Arial" w:cs="Arial" w:eastAsia="Arial" w:hAnsi="Arial"/>
                <w:sz w:val="25"/>
                <w:szCs w:val="25"/>
                <w:color w:val="auto"/>
                <w:w w:val="94"/>
                <w:vertAlign w:val="superscript"/>
              </w:rPr>
              <w:t>(6)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tcPr>
          <w:p>
            <w:pPr>
              <w:ind w:left="340"/>
              <w:spacing w:after="0"/>
              <w:rPr>
                <w:sz w:val="20"/>
                <w:szCs w:val="20"/>
                <w:color w:val="auto"/>
              </w:rPr>
            </w:pPr>
            <w:r>
              <w:rPr>
                <w:rFonts w:ascii="Arial" w:cs="Arial" w:eastAsia="Arial" w:hAnsi="Arial"/>
                <w:sz w:val="18"/>
                <w:szCs w:val="18"/>
                <w:color w:val="auto"/>
              </w:rPr>
              <w:t>Net loss on early repayment of senior</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80" w:type="dxa"/>
            <w:vAlign w:val="bottom"/>
            <w:gridSpan w:val="2"/>
          </w:tcPr>
          <w:p>
            <w:pPr>
              <w:ind w:left="500"/>
              <w:spacing w:after="0" w:line="257"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5"/>
                <w:szCs w:val="25"/>
                <w:color w:val="auto"/>
                <w:vertAlign w:val="superscript"/>
              </w:rPr>
              <w:t>(9)</w:t>
            </w:r>
          </w:p>
        </w:tc>
        <w:tc>
          <w:tcPr>
            <w:tcW w:w="2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5"/>
              </w:rPr>
              <w:t>Selected Items Impacting Comparability - Adjusted</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80" w:type="dxa"/>
            <w:vAlign w:val="bottom"/>
            <w:gridSpan w:val="2"/>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(10)</w:t>
            </w: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080" w:type="dxa"/>
            <w:vAlign w:val="bottom"/>
            <w:gridSpan w:val="2"/>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(10)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2,169</w:t>
            </w:r>
          </w:p>
        </w:tc>
        <w:tc>
          <w:tcPr>
            <w:tcW w:w="14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1"/>
        </w:trPr>
        <w:tc>
          <w:tcPr>
            <w:tcW w:w="4080" w:type="dxa"/>
            <w:vAlign w:val="bottom"/>
            <w:tcBorders>
              <w:top w:val="single" w:sz="8" w:color="CCEEFF"/>
            </w:tcBorders>
            <w:gridSpan w:val="2"/>
            <w:shd w:val="clear" w:color="auto" w:fill="CCEEFF"/>
          </w:tcPr>
          <w:p>
            <w:pPr>
              <w:ind w:left="180"/>
              <w:spacing w:after="0" w:line="251"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(11)</w:t>
            </w:r>
          </w:p>
        </w:tc>
        <w:tc>
          <w:tcPr>
            <w:tcW w:w="2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Borders>
              <w:top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0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(12)</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9"/>
        </w:trPr>
        <w:tc>
          <w:tcPr>
            <w:tcW w:w="4080" w:type="dxa"/>
            <w:vAlign w:val="bottom"/>
            <w:gridSpan w:val="2"/>
          </w:tcPr>
          <w:p>
            <w:pPr>
              <w:ind w:left="180"/>
              <w:spacing w:after="0"/>
              <w:rPr>
                <w:sz w:val="20"/>
                <w:szCs w:val="20"/>
                <w:color w:val="auto"/>
              </w:rPr>
            </w:pPr>
            <w:r>
              <w:rPr>
                <w:rFonts w:ascii="Arial" w:cs="Arial" w:eastAsia="Arial" w:hAnsi="Arial"/>
                <w:sz w:val="18"/>
                <w:szCs w:val="18"/>
                <w:color w:val="auto"/>
                <w:w w:val="94"/>
              </w:rPr>
              <w:t>Adjusted equity earnings in unconsolidated entities,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80" w:type="dxa"/>
            <w:vAlign w:val="bottom"/>
            <w:gridSpan w:val="2"/>
          </w:tcPr>
          <w:p>
            <w:pPr>
              <w:ind w:left="340"/>
              <w:spacing w:after="0" w:line="257" w:lineRule="exact"/>
              <w:rPr>
                <w:sz w:val="20"/>
                <w:szCs w:val="20"/>
                <w:color w:val="auto"/>
              </w:rPr>
            </w:pPr>
            <w:r>
              <w:rPr>
                <w:rFonts w:ascii="Arial" w:cs="Arial" w:eastAsia="Arial" w:hAnsi="Arial"/>
                <w:sz w:val="18"/>
                <w:szCs w:val="18"/>
                <w:color w:val="auto"/>
              </w:rPr>
              <w:t xml:space="preserve">net of distributions </w:t>
            </w:r>
            <w:r>
              <w:rPr>
                <w:rFonts w:ascii="Arial" w:cs="Arial" w:eastAsia="Arial" w:hAnsi="Arial"/>
                <w:sz w:val="25"/>
                <w:szCs w:val="25"/>
                <w:color w:val="auto"/>
                <w:vertAlign w:val="superscript"/>
              </w:rPr>
              <w:t>(13)</w:t>
            </w: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64"/>
        </w:trPr>
        <w:tc>
          <w:tcPr>
            <w:tcW w:w="4080" w:type="dxa"/>
            <w:vAlign w:val="bottom"/>
            <w:gridSpan w:val="2"/>
          </w:tcPr>
          <w:p>
            <w:pPr>
              <w:ind w:left="40"/>
              <w:spacing w:after="0" w:line="264"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5"/>
                <w:szCs w:val="25"/>
                <w:color w:val="auto"/>
                <w:vertAlign w:val="superscript"/>
              </w:rPr>
              <w:t>(14)</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2"/>
                <w:szCs w:val="22"/>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1,414</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0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Preferred unit cash distributions </w:t>
            </w:r>
            <w:r>
              <w:rPr>
                <w:rFonts w:ascii="Arial" w:cs="Arial" w:eastAsia="Arial" w:hAnsi="Arial"/>
                <w:sz w:val="25"/>
                <w:szCs w:val="25"/>
                <w:color w:val="auto"/>
                <w:vertAlign w:val="superscript"/>
              </w:rPr>
              <w:t>(15)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General partner cash distributions </w:t>
            </w:r>
            <w:r>
              <w:rPr>
                <w:rFonts w:ascii="Arial" w:cs="Arial" w:eastAsia="Arial" w:hAnsi="Arial"/>
                <w:sz w:val="25"/>
                <w:szCs w:val="25"/>
                <w:color w:val="auto"/>
                <w:vertAlign w:val="superscript"/>
              </w:rPr>
              <w:t>(16)</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Implied DCF Available to Common</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1,787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1,307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Unitholders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80" w:type="dxa"/>
            <w:vAlign w:val="bottom"/>
            <w:tcBorders>
              <w:bottom w:val="single" w:sz="8" w:color="CCEEFF"/>
            </w:tcBorders>
            <w:gridSpan w:val="2"/>
          </w:tcPr>
          <w:p>
            <w:pPr>
              <w:ind w:left="180"/>
              <w:spacing w:after="0" w:line="257"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5"/>
                <w:szCs w:val="25"/>
                <w:color w:val="auto"/>
                <w:vertAlign w:val="superscript"/>
              </w:rPr>
              <w:t>(17)</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(1,062)</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Implied DCF Excess/(Shortage) </w:t>
            </w:r>
            <w:r>
              <w:rPr>
                <w:rFonts w:ascii="Arial" w:cs="Arial" w:eastAsia="Arial" w:hAnsi="Arial"/>
                <w:sz w:val="25"/>
                <w:szCs w:val="25"/>
                <w:color w:val="auto"/>
                <w:vertAlign w:val="superscript"/>
              </w:rPr>
              <w:t>(18)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that variance as a percentage is not meaningful.</w:t>
      </w:r>
    </w:p>
    <w:p>
      <w:pPr>
        <w:spacing w:after="0" w:line="117" w:lineRule="exact"/>
        <w:rPr>
          <w:sz w:val="20"/>
          <w:szCs w:val="20"/>
          <w:color w:val="auto"/>
        </w:rPr>
      </w:pPr>
    </w:p>
    <w:p>
      <w:pPr>
        <w:ind w:left="660" w:right="40" w:hanging="652"/>
        <w:spacing w:after="0" w:line="226"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strategic pipeline joint ventures, which are accounted for under the equity method of accounting. We exclude our proportionate share of the depreciation and amortization expense and gains and losses on significant asset sales by such unconsolidated entities when reviewing Adjusted EBITDA, similar to our consolidated assets.</w:t>
      </w:r>
    </w:p>
    <w:p>
      <w:pPr>
        <w:spacing w:after="0" w:line="95" w:lineRule="exact"/>
        <w:rPr>
          <w:rFonts w:ascii="Arial" w:cs="Arial" w:eastAsia="Arial" w:hAnsi="Arial"/>
          <w:sz w:val="25"/>
          <w:szCs w:val="25"/>
          <w:color w:val="auto"/>
          <w:vertAlign w:val="superscript"/>
        </w:rPr>
      </w:pPr>
    </w:p>
    <w:p>
      <w:pPr>
        <w:ind w:left="660" w:right="20" w:hanging="652"/>
        <w:spacing w:after="0" w:line="257" w:lineRule="auto"/>
        <w:tabs>
          <w:tab w:leader="none" w:pos="66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13 to our Consolidated Financial Statements for a comprehensive discussion regarding our derivatives and risk management activities and our Preferred Distribution Rate Reset Option.</w:t>
      </w:r>
    </w:p>
    <w:p>
      <w:pPr>
        <w:spacing w:after="0" w:line="82" w:lineRule="exact"/>
        <w:rPr>
          <w:rFonts w:ascii="Arial" w:cs="Arial" w:eastAsia="Arial" w:hAnsi="Arial"/>
          <w:sz w:val="24"/>
          <w:szCs w:val="24"/>
          <w:color w:val="auto"/>
          <w:vertAlign w:val="superscript"/>
        </w:rPr>
      </w:pPr>
    </w:p>
    <w:p>
      <w:pPr>
        <w:ind w:left="660" w:hanging="652"/>
        <w:spacing w:after="0" w:line="253" w:lineRule="auto"/>
        <w:tabs>
          <w:tab w:leader="none" w:pos="66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for additional inventory disclosures.</w:t>
      </w:r>
    </w:p>
    <w:p>
      <w:pPr>
        <w:spacing w:after="0" w:line="83" w:lineRule="exact"/>
        <w:rPr>
          <w:rFonts w:ascii="Arial" w:cs="Arial" w:eastAsia="Arial" w:hAnsi="Arial"/>
          <w:sz w:val="24"/>
          <w:szCs w:val="24"/>
          <w:color w:val="auto"/>
          <w:vertAlign w:val="superscript"/>
        </w:rPr>
      </w:pPr>
    </w:p>
    <w:p>
      <w:pPr>
        <w:ind w:left="660" w:hanging="652"/>
        <w:spacing w:after="0" w:line="258" w:lineRule="auto"/>
        <w:tabs>
          <w:tab w:leader="none" w:pos="66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right="20" w:hanging="652"/>
        <w:spacing w:after="0" w:line="254" w:lineRule="auto"/>
        <w:tabs>
          <w:tab w:leader="none" w:pos="66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17 to our Consolidated Financial Statements for a comprehensive discussion regarding our equity-indexed compensation plans.</w:t>
      </w:r>
    </w:p>
    <w:p>
      <w:pPr>
        <w:spacing w:after="0" w:line="87" w:lineRule="exact"/>
        <w:rPr>
          <w:rFonts w:ascii="Arial" w:cs="Arial" w:eastAsia="Arial" w:hAnsi="Arial"/>
          <w:sz w:val="24"/>
          <w:szCs w:val="24"/>
          <w:color w:val="auto"/>
          <w:vertAlign w:val="superscript"/>
        </w:rPr>
      </w:pPr>
    </w:p>
    <w:p>
      <w:pPr>
        <w:ind w:left="660" w:right="80" w:hanging="652"/>
        <w:spacing w:after="0" w:line="262" w:lineRule="auto"/>
        <w:tabs>
          <w:tab w:leader="none" w:pos="660" w:val="left"/>
        </w:tabs>
        <w:numPr>
          <w:ilvl w:val="0"/>
          <w:numId w:val="51"/>
        </w:numPr>
        <w:rPr>
          <w:rFonts w:ascii="Arial" w:cs="Arial" w:eastAsia="Arial" w:hAnsi="Arial"/>
          <w:sz w:val="22"/>
          <w:szCs w:val="22"/>
          <w:color w:val="auto"/>
          <w:vertAlign w:val="superscript"/>
        </w:rPr>
      </w:pPr>
      <w:r>
        <w:rPr>
          <w:rFonts w:ascii="Arial" w:cs="Arial" w:eastAsia="Arial" w:hAnsi="Arial"/>
          <w:sz w:val="16"/>
          <w:szCs w:val="16"/>
          <w:color w:val="auto"/>
        </w:rPr>
        <w:t>During the periods presented, there were fluctuations in the value of the Canadian dollar (“CAD”) to the U.S. dollar (“USD”), resulting in gains and losses that were not related to our core operating results for the period and were thus classified as a selected item impacting comparability. See Note 13 to our Consolidated Financial Statements for discussion regarding our currency exchange rate risk hedging activities.</w:t>
      </w:r>
    </w:p>
    <w:p>
      <w:pPr>
        <w:spacing w:after="0" w:line="78" w:lineRule="exact"/>
        <w:rPr>
          <w:rFonts w:ascii="Arial" w:cs="Arial" w:eastAsia="Arial" w:hAnsi="Arial"/>
          <w:sz w:val="22"/>
          <w:szCs w:val="22"/>
          <w:color w:val="auto"/>
          <w:vertAlign w:val="superscript"/>
        </w:rPr>
      </w:pPr>
    </w:p>
    <w:p>
      <w:pPr>
        <w:ind w:left="660" w:right="240" w:hanging="652"/>
        <w:spacing w:after="0" w:line="252" w:lineRule="auto"/>
        <w:tabs>
          <w:tab w:leader="none" w:pos="660" w:val="left"/>
        </w:tabs>
        <w:numPr>
          <w:ilvl w:val="0"/>
          <w:numId w:val="51"/>
        </w:numPr>
        <w:rPr>
          <w:rFonts w:ascii="Arial" w:cs="Arial" w:eastAsia="Arial" w:hAnsi="Arial"/>
          <w:sz w:val="22"/>
          <w:szCs w:val="22"/>
          <w:color w:val="auto"/>
          <w:vertAlign w:val="superscript"/>
        </w:rPr>
      </w:pPr>
      <w:r>
        <w:rPr>
          <w:rFonts w:ascii="Arial" w:cs="Arial" w:eastAsia="Arial" w:hAnsi="Arial"/>
          <w:sz w:val="16"/>
          <w:szCs w:val="16"/>
          <w:color w:val="auto"/>
        </w:rPr>
        <w:t>Includes costs recognized during the period related to the Line 901 incident that occurred in May 2015, net of amounts we believe are probable of recovery from insurance. See Note 18 to our Consolidated Financial Statements for additional information regarding the Line 901 incident.</w:t>
      </w:r>
    </w:p>
    <w:p>
      <w:pPr>
        <w:spacing w:after="0" w:line="81" w:lineRule="exact"/>
        <w:rPr>
          <w:rFonts w:ascii="Arial" w:cs="Arial" w:eastAsia="Arial" w:hAnsi="Arial"/>
          <w:sz w:val="22"/>
          <w:szCs w:val="22"/>
          <w:color w:val="auto"/>
          <w:vertAlign w:val="superscript"/>
        </w:rPr>
      </w:pPr>
    </w:p>
    <w:p>
      <w:pPr>
        <w:ind w:left="660" w:right="160" w:hanging="652"/>
        <w:spacing w:after="0" w:line="216"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in February 2017. See Note 7 to our Consolidated Financial Statements for additional information.</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60" w:hanging="652"/>
        <w:spacing w:after="0" w:line="216"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Includes net losses incurred in connection with the early redemption of our (i) $600 million, 6.50% senior notes due May 2018 and (ii) $350 million, 8.75% senior notes due May 2019. See Note 11 to our Consolidated Financial Statements for additional information.</w:t>
      </w:r>
    </w:p>
    <w:p>
      <w:pPr>
        <w:spacing w:after="0" w:line="95" w:lineRule="exact"/>
        <w:rPr>
          <w:rFonts w:ascii="Arial" w:cs="Arial" w:eastAsia="Arial" w:hAnsi="Arial"/>
          <w:sz w:val="25"/>
          <w:szCs w:val="25"/>
          <w:color w:val="auto"/>
          <w:vertAlign w:val="superscript"/>
        </w:rPr>
      </w:pPr>
    </w:p>
    <w:p>
      <w:pPr>
        <w:jc w:val="both"/>
        <w:ind w:left="660" w:right="480" w:hanging="652"/>
        <w:spacing w:after="0" w:line="252" w:lineRule="auto"/>
        <w:tabs>
          <w:tab w:leader="none" w:pos="660" w:val="left"/>
        </w:tabs>
        <w:numPr>
          <w:ilvl w:val="0"/>
          <w:numId w:val="52"/>
        </w:numPr>
        <w:rPr>
          <w:rFonts w:ascii="Arial" w:cs="Arial" w:eastAsia="Arial" w:hAnsi="Arial"/>
          <w:sz w:val="22"/>
          <w:szCs w:val="22"/>
          <w:color w:val="auto"/>
          <w:vertAlign w:val="superscript"/>
        </w:rPr>
      </w:pPr>
      <w:r>
        <w:rPr>
          <w:rFonts w:ascii="Arial" w:cs="Arial" w:eastAsia="Arial" w:hAnsi="Arial"/>
          <w:sz w:val="16"/>
          <w:szCs w:val="16"/>
          <w:color w:val="auto"/>
        </w:rPr>
        <w:t>Adjusted EBITDA includes Other income/(expense), net per our Consolidated Statements of Operations, adjusted for selected items impacting comparability (“Adjusted Other income/(expense), net”). Segment Adjusted EBITDA does not include Adjusted Other income/(expense), net.</w:t>
      </w:r>
    </w:p>
    <w:p>
      <w:pPr>
        <w:spacing w:after="0" w:line="35"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8" w:lineRule="exact"/>
        <w:rPr>
          <w:rFonts w:ascii="Arial" w:cs="Arial" w:eastAsia="Arial" w:hAnsi="Arial"/>
          <w:sz w:val="24"/>
          <w:szCs w:val="24"/>
          <w:color w:val="auto"/>
          <w:vertAlign w:val="superscript"/>
        </w:rPr>
      </w:pPr>
    </w:p>
    <w:p>
      <w:pPr>
        <w:ind w:left="660" w:right="40" w:hanging="652"/>
        <w:spacing w:after="0" w:line="214"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94" w:lineRule="exact"/>
        <w:rPr>
          <w:rFonts w:ascii="Arial" w:cs="Arial" w:eastAsia="Arial" w:hAnsi="Arial"/>
          <w:sz w:val="25"/>
          <w:szCs w:val="25"/>
          <w:color w:val="auto"/>
          <w:vertAlign w:val="superscript"/>
        </w:rPr>
      </w:pPr>
    </w:p>
    <w:p>
      <w:pPr>
        <w:ind w:left="660" w:right="440" w:hanging="652"/>
        <w:spacing w:after="0" w:line="216"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and losses on significant asset sales) and cash distributions received from such entities.</w:t>
      </w:r>
    </w:p>
    <w:p>
      <w:pPr>
        <w:spacing w:after="0" w:line="95" w:lineRule="exact"/>
        <w:rPr>
          <w:rFonts w:ascii="Arial" w:cs="Arial" w:eastAsia="Arial" w:hAnsi="Arial"/>
          <w:sz w:val="25"/>
          <w:szCs w:val="25"/>
          <w:color w:val="auto"/>
          <w:vertAlign w:val="superscript"/>
        </w:rPr>
      </w:pPr>
    </w:p>
    <w:p>
      <w:pPr>
        <w:jc w:val="both"/>
        <w:ind w:left="660" w:right="160" w:hanging="652"/>
        <w:spacing w:after="0" w:line="226"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Including net costs recognized during the period related to the Line 901 incident that occurred in May 2015, Implied DCF would have been $1,280 million for the year ended December 31, 2017. See Note 18 to our Consolidated Financial Statements for additional information regarding the Line 901 incident.</w:t>
      </w:r>
    </w:p>
    <w:p>
      <w:pPr>
        <w:spacing w:after="0" w:line="95" w:lineRule="exact"/>
        <w:rPr>
          <w:rFonts w:ascii="Arial" w:cs="Arial" w:eastAsia="Arial" w:hAnsi="Arial"/>
          <w:sz w:val="25"/>
          <w:szCs w:val="25"/>
          <w:color w:val="auto"/>
          <w:vertAlign w:val="superscript"/>
        </w:rPr>
      </w:pPr>
    </w:p>
    <w:p>
      <w:pPr>
        <w:ind w:left="660" w:right="140" w:hanging="652"/>
        <w:spacing w:after="0" w:line="253" w:lineRule="auto"/>
        <w:tabs>
          <w:tab w:leader="none" w:pos="66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were paid in cash beginning with the May 2018 quarterly distribution. The current $61.25 per unit annual distribution requirement of our Series B preferred units, which were issued in October 2017, is payable semi-annually in arrears on May 15 and November 15. A pro-rated initial distribution on the Series B preferred units was paid on November 15, 2017. See Note 12 to our Consolidated Financial Statements for additional information regarding our preferred units.</w:t>
      </w:r>
    </w:p>
    <w:p>
      <w:pPr>
        <w:spacing w:after="0" w:line="83" w:lineRule="exact"/>
        <w:rPr>
          <w:rFonts w:ascii="Arial" w:cs="Arial" w:eastAsia="Arial" w:hAnsi="Arial"/>
          <w:sz w:val="24"/>
          <w:szCs w:val="24"/>
          <w:color w:val="auto"/>
          <w:vertAlign w:val="superscript"/>
        </w:rPr>
      </w:pPr>
    </w:p>
    <w:p>
      <w:pPr>
        <w:ind w:left="660" w:right="300" w:hanging="652"/>
        <w:spacing w:after="0" w:line="216"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The Simplification Transactions, which closed on November 15, 2016, simplified our governance structure and permanently eliminated our IDRs and the economic rights associated with our 2% general partner interest.</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Common unit cash distributions paid during the period presented.</w:t>
      </w:r>
    </w:p>
    <w:p>
      <w:pPr>
        <w:spacing w:after="0" w:line="98" w:lineRule="exact"/>
        <w:rPr>
          <w:rFonts w:ascii="Arial" w:cs="Arial" w:eastAsia="Arial" w:hAnsi="Arial"/>
          <w:sz w:val="25"/>
          <w:szCs w:val="25"/>
          <w:color w:val="auto"/>
          <w:vertAlign w:val="superscript"/>
        </w:rPr>
      </w:pPr>
    </w:p>
    <w:p>
      <w:pPr>
        <w:ind w:left="660" w:right="380" w:hanging="652"/>
        <w:spacing w:after="0" w:line="246" w:lineRule="auto"/>
        <w:tabs>
          <w:tab w:leader="none" w:pos="660" w:val="left"/>
        </w:tabs>
        <w:numPr>
          <w:ilvl w:val="0"/>
          <w:numId w:val="52"/>
        </w:numPr>
        <w:rPr>
          <w:rFonts w:ascii="Arial" w:cs="Arial" w:eastAsia="Arial" w:hAnsi="Arial"/>
          <w:sz w:val="22"/>
          <w:szCs w:val="22"/>
          <w:color w:val="auto"/>
          <w:vertAlign w:val="superscript"/>
        </w:rPr>
      </w:pPr>
      <w:r>
        <w:rPr>
          <w:rFonts w:ascii="Arial" w:cs="Arial" w:eastAsia="Arial" w:hAnsi="Arial"/>
          <w:sz w:val="16"/>
          <w:szCs w:val="16"/>
          <w:color w:val="auto"/>
        </w:rPr>
        <w:t>Excess DCF is retained to establish reserves for future distributions, capital expenditures and other partnership purposes. DCF shortages may be funded from previously established reserves, cash on hand or from borrowings under our credit facilities or commercial paper program.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and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20 to our Consolidated Financial Statements for a reconciliation of Segment Adjusted EBITDA to net income attributable to PAA.</w:t>
      </w:r>
    </w:p>
    <w:p>
      <w:pPr>
        <w:spacing w:after="0" w:line="18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Intersegment activities are eliminated in consolidation and we believe that the estimates with</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327" w:lineRule="auto"/>
        <w:rPr>
          <w:sz w:val="20"/>
          <w:szCs w:val="20"/>
          <w:color w:val="auto"/>
        </w:rPr>
      </w:pPr>
      <w:r>
        <w:rPr>
          <w:rFonts w:ascii="Arial" w:cs="Arial" w:eastAsia="Arial" w:hAnsi="Arial"/>
          <w:sz w:val="15"/>
          <w:szCs w:val="15"/>
          <w:color w:val="auto"/>
        </w:rPr>
        <w:t>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4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Variance</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Equity earnings in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unconsolidated entities</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8"/>
              </w:rPr>
              <w:t>net of inventory valuation adjustments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Deficiencies under minimum volume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commitments, net</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Significant acquisition-related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1,141</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Segment Adjusted EBITDA per barrel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87</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9"/>
              </w:rPr>
              <w:t>Variance</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4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5"/>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80" w:type="dxa"/>
            <w:vAlign w:val="bottom"/>
            <w:gridSpan w:val="2"/>
            <w:vMerge w:val="continue"/>
          </w:tcPr>
          <w:p>
            <w:pPr>
              <w:spacing w:after="0"/>
              <w:rPr>
                <w:sz w:val="6"/>
                <w:szCs w:val="6"/>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0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Volumes</w:t>
            </w:r>
          </w:p>
        </w:tc>
        <w:tc>
          <w:tcPr>
            <w:tcW w:w="100" w:type="dxa"/>
            <w:vAlign w:val="bottom"/>
            <w:vMerge w:val="restart"/>
          </w:tcPr>
          <w:p>
            <w:pPr>
              <w:spacing w:after="0"/>
              <w:rPr>
                <w:sz w:val="6"/>
                <w:szCs w:val="6"/>
                <w:color w:val="auto"/>
              </w:rPr>
            </w:pPr>
          </w:p>
        </w:tc>
        <w:tc>
          <w:tcPr>
            <w:tcW w:w="420" w:type="dxa"/>
            <w:vAlign w:val="bottom"/>
            <w:vMerge w:val="restart"/>
          </w:tcPr>
          <w:p>
            <w:pPr>
              <w:spacing w:after="0"/>
              <w:rPr>
                <w:sz w:val="6"/>
                <w:szCs w:val="6"/>
                <w:color w:val="auto"/>
              </w:rPr>
            </w:pPr>
          </w:p>
        </w:tc>
        <w:tc>
          <w:tcPr>
            <w:tcW w:w="7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89"/>
              </w:rPr>
              <w:t>Volumes</w:t>
            </w:r>
          </w:p>
        </w:tc>
        <w:tc>
          <w:tcPr>
            <w:tcW w:w="100" w:type="dxa"/>
            <w:vAlign w:val="bottom"/>
            <w:vMerge w:val="restart"/>
          </w:tcPr>
          <w:p>
            <w:pPr>
              <w:spacing w:after="0"/>
              <w:rPr>
                <w:sz w:val="6"/>
                <w:szCs w:val="6"/>
                <w:color w:val="auto"/>
              </w:rPr>
            </w:pPr>
          </w:p>
        </w:tc>
        <w:tc>
          <w:tcPr>
            <w:tcW w:w="420" w:type="dxa"/>
            <w:vAlign w:val="bottom"/>
            <w:vMerge w:val="restart"/>
          </w:tcPr>
          <w:p>
            <w:pPr>
              <w:spacing w:after="0"/>
              <w:rPr>
                <w:sz w:val="6"/>
                <w:szCs w:val="6"/>
                <w:color w:val="auto"/>
              </w:rPr>
            </w:pPr>
          </w:p>
        </w:tc>
        <w:tc>
          <w:tcPr>
            <w:tcW w:w="7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Crude oil pipelines (by region):</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2,146</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0"/>
        </w:trPr>
        <w:tc>
          <w:tcPr>
            <w:tcW w:w="33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3380" w:type="dxa"/>
            <w:vAlign w:val="bottom"/>
            <w:gridSpan w:val="2"/>
          </w:tcPr>
          <w:p>
            <w:pPr>
              <w:ind w:left="380"/>
              <w:spacing w:after="0"/>
              <w:rPr>
                <w:sz w:val="20"/>
                <w:szCs w:val="20"/>
                <w:color w:val="auto"/>
              </w:rPr>
            </w:pPr>
            <w:r>
              <w:rPr>
                <w:rFonts w:ascii="Arial" w:cs="Arial" w:eastAsia="Arial" w:hAnsi="Arial"/>
                <w:sz w:val="18"/>
                <w:szCs w:val="18"/>
                <w:color w:val="auto"/>
              </w:rPr>
              <w:t>Gulf Coast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380" w:type="dxa"/>
            <w:vAlign w:val="bottom"/>
            <w:gridSpan w:val="2"/>
          </w:tcPr>
          <w:p>
            <w:pPr>
              <w:ind w:left="380"/>
              <w:spacing w:after="0"/>
              <w:rPr>
                <w:sz w:val="20"/>
                <w:szCs w:val="20"/>
                <w:color w:val="auto"/>
              </w:rPr>
            </w:pPr>
            <w:r>
              <w:rPr>
                <w:rFonts w:ascii="Arial" w:cs="Arial" w:eastAsia="Arial" w:hAnsi="Arial"/>
                <w:sz w:val="18"/>
                <w:szCs w:val="18"/>
                <w:color w:val="auto"/>
              </w:rPr>
              <w:t>Western</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Crude oil pipelines</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5,791</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 volumes</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5,186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4,637</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pacing w:after="0" w:line="6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53"/>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20 to our Consolidated Financial Statements for additional discussion of such adjustments.</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Average daily volumes are calculated as the total volumes (attributable to our interest) for the year divided by the number of days in the year.</w:t>
      </w:r>
    </w:p>
    <w:p>
      <w:pPr>
        <w:spacing w:after="0" w:line="98" w:lineRule="exact"/>
        <w:rPr>
          <w:rFonts w:ascii="Arial" w:cs="Arial" w:eastAsia="Arial" w:hAnsi="Arial"/>
          <w:sz w:val="24"/>
          <w:szCs w:val="24"/>
          <w:color w:val="auto"/>
          <w:vertAlign w:val="superscript"/>
        </w:rPr>
      </w:pPr>
    </w:p>
    <w:p>
      <w:pPr>
        <w:ind w:left="660" w:hanging="652"/>
        <w:spacing w:after="0" w:line="188" w:lineRule="auto"/>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We recognize the allowance volumes collected at fair value.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4"/>
              </w:rPr>
              <w:t>Favorable/(Unfavorable) Variance</w:t>
            </w:r>
          </w:p>
        </w:tc>
        <w:tc>
          <w:tcPr>
            <w:tcW w:w="160" w:type="dxa"/>
            <w:vAlign w:val="bottom"/>
          </w:tcPr>
          <w:p>
            <w:pPr>
              <w:spacing w:after="0"/>
              <w:rPr>
                <w:sz w:val="14"/>
                <w:szCs w:val="14"/>
                <w:color w:val="auto"/>
              </w:rPr>
            </w:pPr>
          </w:p>
        </w:tc>
        <w:tc>
          <w:tcPr>
            <w:tcW w:w="3100" w:type="dxa"/>
            <w:vAlign w:val="bottom"/>
            <w:gridSpan w:val="7"/>
          </w:tcPr>
          <w:p>
            <w:pPr>
              <w:jc w:val="center"/>
              <w:ind w:right="54"/>
              <w:spacing w:after="0"/>
              <w:rPr>
                <w:sz w:val="20"/>
                <w:szCs w:val="20"/>
                <w:color w:val="auto"/>
              </w:rPr>
            </w:pPr>
            <w:r>
              <w:rPr>
                <w:rFonts w:ascii="Arial" w:cs="Arial" w:eastAsia="Arial" w:hAnsi="Arial"/>
                <w:sz w:val="14"/>
                <w:szCs w:val="14"/>
                <w:b w:val="1"/>
                <w:bCs w:val="1"/>
                <w:color w:val="auto"/>
                <w:w w:val="95"/>
              </w:rPr>
              <w:t>Favorable/(Unfavorable) Variance</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2"/>
              </w:rPr>
              <w:t>2018-2017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2017-2016</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0"/>
              </w:rPr>
              <w:t>Revenues</w:t>
            </w:r>
          </w:p>
        </w:tc>
        <w:tc>
          <w:tcPr>
            <w:tcW w:w="100" w:type="dxa"/>
            <w:vAlign w:val="bottom"/>
            <w:vMerge w:val="restart"/>
          </w:tcPr>
          <w:p>
            <w:pPr>
              <w:spacing w:after="0"/>
              <w:rPr>
                <w:sz w:val="13"/>
                <w:szCs w:val="13"/>
                <w:color w:val="auto"/>
              </w:rPr>
            </w:pP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Purchases and</w:t>
            </w:r>
          </w:p>
        </w:tc>
        <w:tc>
          <w:tcPr>
            <w:tcW w:w="180" w:type="dxa"/>
            <w:vAlign w:val="bottom"/>
          </w:tcPr>
          <w:p>
            <w:pPr>
              <w:spacing w:after="0"/>
              <w:rPr>
                <w:sz w:val="13"/>
                <w:szCs w:val="13"/>
                <w:color w:val="auto"/>
              </w:rPr>
            </w:pPr>
          </w:p>
        </w:tc>
        <w:tc>
          <w:tcPr>
            <w:tcW w:w="106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3"/>
                <w:szCs w:val="13"/>
                <w:color w:val="auto"/>
              </w:rPr>
            </w:pPr>
          </w:p>
        </w:tc>
        <w:tc>
          <w:tcPr>
            <w:tcW w:w="8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3"/>
              </w:rPr>
              <w:t>Revenues</w:t>
            </w:r>
          </w:p>
        </w:tc>
        <w:tc>
          <w:tcPr>
            <w:tcW w:w="120" w:type="dxa"/>
            <w:vAlign w:val="bottom"/>
            <w:vMerge w:val="restart"/>
          </w:tcPr>
          <w:p>
            <w:pPr>
              <w:spacing w:after="0"/>
              <w:rPr>
                <w:sz w:val="13"/>
                <w:szCs w:val="13"/>
                <w:color w:val="auto"/>
              </w:rPr>
            </w:pPr>
          </w:p>
        </w:tc>
        <w:tc>
          <w:tcPr>
            <w:tcW w:w="11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Purchases and</w:t>
            </w:r>
          </w:p>
        </w:tc>
        <w:tc>
          <w:tcPr>
            <w:tcW w:w="160" w:type="dxa"/>
            <w:vAlign w:val="bottom"/>
          </w:tcPr>
          <w:p>
            <w:pPr>
              <w:spacing w:after="0"/>
              <w:rPr>
                <w:sz w:val="13"/>
                <w:szCs w:val="13"/>
                <w:color w:val="auto"/>
              </w:rPr>
            </w:pPr>
          </w:p>
        </w:tc>
        <w:tc>
          <w:tcPr>
            <w:tcW w:w="8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Earnings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Permian Basin region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South Texas / Eagle Ford region</w:t>
            </w: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Central region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Gulf Coast region</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Rocky Mountain region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Other regions (including trucking and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pipeline loss allowance revenue)</w:t>
            </w:r>
          </w:p>
        </w:tc>
        <w:tc>
          <w:tcPr>
            <w:tcW w:w="16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variance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Below is a discussion of the significant drivers impacting net revenues and equity earnings in unconsolidated entities for the comparative periods presented:</w:t>
      </w:r>
    </w:p>
    <w:p>
      <w:pPr>
        <w:spacing w:after="0" w:line="170" w:lineRule="exact"/>
        <w:rPr>
          <w:sz w:val="20"/>
          <w:szCs w:val="20"/>
          <w:color w:val="auto"/>
        </w:rPr>
      </w:pPr>
    </w:p>
    <w:p>
      <w:pPr>
        <w:ind w:left="980" w:hanging="324"/>
        <w:spacing w:after="0" w:line="254" w:lineRule="auto"/>
        <w:tabs>
          <w:tab w:leader="none" w:pos="98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Total revenues, net of purchases and related costs, increased by approximately $218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compared to the year ended December 31, 2017 and by approximately $174 million for the year ended December 31, 2017 compared to the year ended December 31, 2016 primarily due to higher volumes from increased production and our recently completed capital expansion projects. These increases included (i) higher volumes on our gathering systems of approximately 329,000 and 163,000 barrels per day, including our ACC system, which was acquired in February 2017, (ii) higher volumes of approximately 363,000 and 263,000 barrels per day on our intra-basin pipelines and (iii) a volume increase of approximately 185,000 and 283,000 barrels per day on our long-haul pipelines, including our Sunrise pipeline expansion, which was placed in service in the fourth quarter of 2018, as well as our equity interest in BridgeTex discussed further below.</w:t>
      </w:r>
    </w:p>
    <w:p>
      <w:pPr>
        <w:spacing w:after="0" w:line="192" w:lineRule="exact"/>
        <w:rPr>
          <w:rFonts w:ascii="Arial" w:cs="Arial" w:eastAsia="Arial" w:hAnsi="Arial"/>
          <w:sz w:val="18"/>
          <w:szCs w:val="18"/>
          <w:i w:val="1"/>
          <w:iCs w:val="1"/>
          <w:color w:val="auto"/>
        </w:rPr>
      </w:pPr>
    </w:p>
    <w:p>
      <w:pPr>
        <w:jc w:val="both"/>
        <w:ind w:left="980" w:right="6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Equity earnings increased in 2018 compared to 2017 primarily due to earnings from our 50% interest in Advantage, which we acquired in April 2017, and from our interest in BridgeTex due to increased volumes. Such favorable variances were partially offset by the impact of our sale of a 30% interest in BridgeTex in the third quarter of 2018.</w:t>
      </w:r>
    </w:p>
    <w:p>
      <w:pPr>
        <w:spacing w:after="0" w:line="181" w:lineRule="exact"/>
        <w:rPr>
          <w:rFonts w:ascii="Arial" w:cs="Arial" w:eastAsia="Arial" w:hAnsi="Arial"/>
          <w:sz w:val="18"/>
          <w:szCs w:val="18"/>
          <w:i w:val="1"/>
          <w:iCs w:val="1"/>
          <w:color w:val="auto"/>
        </w:rPr>
      </w:pPr>
    </w:p>
    <w:p>
      <w:pPr>
        <w:ind w:left="980" w:right="58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Equity earnings increased in 2017 compared to 2016 primarily due to earnings from our 50% interest in BridgeTex resulting from higher volumes.</w:t>
      </w:r>
    </w:p>
    <w:p>
      <w:pPr>
        <w:spacing w:after="0" w:line="170" w:lineRule="exact"/>
        <w:rPr>
          <w:rFonts w:ascii="Arial" w:cs="Arial" w:eastAsia="Arial" w:hAnsi="Arial"/>
          <w:sz w:val="18"/>
          <w:szCs w:val="18"/>
          <w:i w:val="1"/>
          <w:iCs w:val="1"/>
          <w:color w:val="auto"/>
        </w:rPr>
      </w:pPr>
    </w:p>
    <w:p>
      <w:pPr>
        <w:ind w:left="980" w:right="340" w:hanging="324"/>
        <w:spacing w:after="0" w:line="277" w:lineRule="auto"/>
        <w:tabs>
          <w:tab w:leader="none" w:pos="98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Equity earnings from our 50% interest in Eagle Ford Pipeline LLC was favorably impacted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periods by higher volumes from our Cactus pipeline.</w:t>
      </w:r>
    </w:p>
    <w:p>
      <w:pPr>
        <w:spacing w:after="0" w:line="170" w:lineRule="exact"/>
        <w:rPr>
          <w:rFonts w:ascii="Arial" w:cs="Arial" w:eastAsia="Arial" w:hAnsi="Arial"/>
          <w:sz w:val="18"/>
          <w:szCs w:val="18"/>
          <w:i w:val="1"/>
          <w:iCs w:val="1"/>
          <w:color w:val="auto"/>
        </w:rPr>
      </w:pPr>
    </w:p>
    <w:p>
      <w:pPr>
        <w:ind w:left="980" w:right="60" w:hanging="324"/>
        <w:spacing w:after="0" w:line="279" w:lineRule="auto"/>
        <w:tabs>
          <w:tab w:leader="none" w:pos="980" w:val="left"/>
        </w:tabs>
        <w:numPr>
          <w:ilvl w:val="0"/>
          <w:numId w:val="5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Central region. </w:t>
      </w:r>
      <w:r>
        <w:rPr>
          <w:rFonts w:ascii="Arial" w:cs="Arial" w:eastAsia="Arial" w:hAnsi="Arial"/>
          <w:sz w:val="17"/>
          <w:szCs w:val="17"/>
          <w:color w:val="auto"/>
        </w:rPr>
        <w:t>The decrease in revenues for the year ended December 31, 2018 compared to the year ended December 31, 2017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the sale of certain of our Mid-Continent Area System assets in the fourth quarter of 2017, including the sale of a portion of our interest in our Midway pipeline for which our remaining interest is now accounted for under the equity method of accounting. However, such unfavorable results were partially offset by additional movements on our Red River pipeline in 2018.</w:t>
      </w:r>
    </w:p>
    <w:p>
      <w:pPr>
        <w:spacing w:after="0" w:line="171" w:lineRule="exact"/>
        <w:rPr>
          <w:rFonts w:ascii="Arial" w:cs="Arial" w:eastAsia="Arial" w:hAnsi="Arial"/>
          <w:sz w:val="17"/>
          <w:szCs w:val="17"/>
          <w:i w:val="1"/>
          <w:iCs w:val="1"/>
          <w:color w:val="auto"/>
        </w:rPr>
      </w:pPr>
    </w:p>
    <w:p>
      <w:pPr>
        <w:jc w:val="both"/>
        <w:ind w:left="980" w:right="120"/>
        <w:spacing w:after="0" w:line="264" w:lineRule="auto"/>
        <w:rPr>
          <w:rFonts w:ascii="Arial" w:cs="Arial" w:eastAsia="Arial" w:hAnsi="Arial"/>
          <w:sz w:val="17"/>
          <w:szCs w:val="17"/>
          <w:i w:val="1"/>
          <w:iCs w:val="1"/>
          <w:color w:val="auto"/>
        </w:rPr>
      </w:pPr>
      <w:r>
        <w:rPr>
          <w:rFonts w:ascii="Arial" w:cs="Arial" w:eastAsia="Arial" w:hAnsi="Arial"/>
          <w:sz w:val="18"/>
          <w:szCs w:val="18"/>
          <w:color w:val="auto"/>
        </w:rPr>
        <w:t>Revenues for the year ended December 31, 2017 were flat compared to the year ended December 31, 2016, as increased revenues and volumes from the start-up of our Red River pipeline in December 2016 were offset by (i) lower volumes on certain pipelines due to production declines and (ii) volumes shifting to our recently formed joint venture pipelines.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40"/>
        <w:spacing w:after="0" w:line="286" w:lineRule="auto"/>
        <w:rPr>
          <w:sz w:val="20"/>
          <w:szCs w:val="20"/>
          <w:color w:val="auto"/>
        </w:rPr>
      </w:pPr>
      <w:r>
        <w:rPr>
          <w:rFonts w:ascii="Arial" w:cs="Arial" w:eastAsia="Arial" w:hAnsi="Arial"/>
          <w:sz w:val="17"/>
          <w:szCs w:val="17"/>
          <w:color w:val="auto"/>
        </w:rPr>
        <w:t>Equity earnings increased in 2018 compared to 2017 primarily due to earnings from (i) our 50% interest in the Diamond joint venture pipeline, which was placed in service in late 2017, and (ii) our 50% interest in Midway pipeline, which we account for under the equity method of accounting following the sale of a portion of our interest in the pipeline in the fourth quarter of 2017, as discussed above.</w:t>
      </w:r>
    </w:p>
    <w:p>
      <w:pPr>
        <w:spacing w:after="0" w:line="166" w:lineRule="exact"/>
        <w:rPr>
          <w:sz w:val="20"/>
          <w:szCs w:val="20"/>
          <w:color w:val="auto"/>
        </w:rPr>
      </w:pPr>
    </w:p>
    <w:p>
      <w:pPr>
        <w:ind w:left="980" w:right="40"/>
        <w:spacing w:after="0" w:line="312" w:lineRule="auto"/>
        <w:rPr>
          <w:sz w:val="20"/>
          <w:szCs w:val="20"/>
          <w:color w:val="auto"/>
        </w:rPr>
      </w:pPr>
      <w:r>
        <w:rPr>
          <w:rFonts w:ascii="Arial" w:cs="Arial" w:eastAsia="Arial" w:hAnsi="Arial"/>
          <w:sz w:val="16"/>
          <w:szCs w:val="16"/>
          <w:color w:val="auto"/>
        </w:rPr>
        <w:t>Equity earnings increased in 2017 compared to 2016 primarily due to earnings from (i) our 50% interest in STACK, which was formed in mid-2016 and which completed extensions of the joint venture pipeline in 2017, (ii) our 50% interest in Caddo, which placed the joint venture pipeline in service in late 2016, and (iii) our 50% interest in Diamond, which placed the joint venture pipeline in service in late 2017.</w:t>
      </w:r>
    </w:p>
    <w:p>
      <w:pPr>
        <w:spacing w:after="0" w:line="147" w:lineRule="exact"/>
        <w:rPr>
          <w:sz w:val="20"/>
          <w:szCs w:val="20"/>
          <w:color w:val="auto"/>
        </w:rPr>
      </w:pPr>
    </w:p>
    <w:p>
      <w:pPr>
        <w:ind w:left="980" w:right="60" w:hanging="324"/>
        <w:spacing w:after="0" w:line="302" w:lineRule="auto"/>
        <w:tabs>
          <w:tab w:leader="none" w:pos="9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Gulf Coast region. </w:t>
      </w:r>
      <w:r>
        <w:rPr>
          <w:rFonts w:ascii="Arial" w:cs="Arial" w:eastAsia="Arial" w:hAnsi="Arial"/>
          <w:sz w:val="16"/>
          <w:szCs w:val="16"/>
          <w:color w:val="auto"/>
        </w:rPr>
        <w:t>The decrease in revenues for the year ended December 31, 2018 compared to the year ended December 31, 2017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 lower volumes on the Capline pipeline once the Diamond joint venture pipeline was placed in service in late 2017 and (ii) taking the Capline pipeline out of service beginning in the fourth quarter of 2018. We are currently pursuing an opportunity to reverse the flow of the pipeline. See the “Outlook—Outlook for Certain Idled and Underutilized Assets” section below for additional information.</w:t>
      </w:r>
    </w:p>
    <w:p>
      <w:pPr>
        <w:spacing w:after="0" w:line="154" w:lineRule="exact"/>
        <w:rPr>
          <w:rFonts w:ascii="Arial" w:cs="Arial" w:eastAsia="Arial" w:hAnsi="Arial"/>
          <w:sz w:val="16"/>
          <w:szCs w:val="16"/>
          <w:i w:val="1"/>
          <w:iCs w:val="1"/>
          <w:color w:val="auto"/>
        </w:rPr>
      </w:pPr>
    </w:p>
    <w:p>
      <w:pPr>
        <w:ind w:left="980" w:right="16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Revenues and volumes decreased for the year ended December 31, 2017 compared to the year ended December 31, 2016 primarily due to the sale of certain of our Gulf Coast pipelines in March and July 2016.</w:t>
      </w:r>
    </w:p>
    <w:p>
      <w:pPr>
        <w:spacing w:after="0" w:line="170" w:lineRule="exact"/>
        <w:rPr>
          <w:rFonts w:ascii="Arial" w:cs="Arial" w:eastAsia="Arial" w:hAnsi="Arial"/>
          <w:sz w:val="16"/>
          <w:szCs w:val="16"/>
          <w:i w:val="1"/>
          <w:iCs w:val="1"/>
          <w:color w:val="auto"/>
        </w:rPr>
      </w:pPr>
    </w:p>
    <w:p>
      <w:pPr>
        <w:ind w:left="980" w:right="160" w:hanging="324"/>
        <w:spacing w:after="0" w:line="264" w:lineRule="auto"/>
        <w:tabs>
          <w:tab w:leader="none" w:pos="98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The decrease in revenues and volumes for the year ended December 31, 2018 compared to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2017 was primarily due to the sale of certain pipelines and related assets in the fourth quarter of 2017 and the second quarter of 2018, partially offset by higher volumes on certain of our remaining pipelines.</w:t>
      </w:r>
    </w:p>
    <w:p>
      <w:pPr>
        <w:spacing w:after="0" w:line="181" w:lineRule="exact"/>
        <w:rPr>
          <w:rFonts w:ascii="Arial" w:cs="Arial" w:eastAsia="Arial" w:hAnsi="Arial"/>
          <w:sz w:val="18"/>
          <w:szCs w:val="18"/>
          <w:i w:val="1"/>
          <w:iCs w:val="1"/>
          <w:color w:val="auto"/>
        </w:rPr>
      </w:pPr>
    </w:p>
    <w:p>
      <w:pPr>
        <w:ind w:left="980" w:right="2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decrease in revenues in 2017 compared to 2016 was largely driven by (i) lower volumes on certain Salt Lake City area pipelines due to proactively shutting down our Wahsatch pipeline for approximately 30 days during the first quarter of 2017 as a precautionary measure in response to indications of soil movement identified by our monitoring systems, (ii) the sale of certain Bakken and Salt Lake City area pipelines in October 2017 and (iii) the sale of 50% of our investment in Cheyenne in June 2016, subsequent to which it was accounted for under the equity method of accounting.</w:t>
      </w:r>
    </w:p>
    <w:p>
      <w:pPr>
        <w:spacing w:after="0" w:line="188" w:lineRule="exact"/>
        <w:rPr>
          <w:rFonts w:ascii="Arial" w:cs="Arial" w:eastAsia="Arial" w:hAnsi="Arial"/>
          <w:sz w:val="18"/>
          <w:szCs w:val="18"/>
          <w:i w:val="1"/>
          <w:iCs w:val="1"/>
          <w:color w:val="auto"/>
        </w:rPr>
      </w:pPr>
    </w:p>
    <w:p>
      <w:pPr>
        <w:ind w:left="980" w:right="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Equity earnings increased for the year ended December 31, 2017 compared to the year ended December 31, 2016 due to earnings from (i) our 40% investment in Saddlehorn, which began operations in the third quarter of 2016, and (ii) our 50% investment in Cheyenne, as discussed above. Such increases were partially offset by decreased equity earnings from our 35.67% interest in White Cliffs due to lower volumes on the joint venture pipeline.</w:t>
      </w:r>
    </w:p>
    <w:p>
      <w:pPr>
        <w:spacing w:after="0" w:line="186" w:lineRule="exact"/>
        <w:rPr>
          <w:rFonts w:ascii="Arial" w:cs="Arial" w:eastAsia="Arial" w:hAnsi="Arial"/>
          <w:sz w:val="18"/>
          <w:szCs w:val="18"/>
          <w:i w:val="1"/>
          <w:iCs w:val="1"/>
          <w:color w:val="auto"/>
        </w:rPr>
      </w:pPr>
    </w:p>
    <w:p>
      <w:pPr>
        <w:ind w:left="980" w:right="20" w:hanging="324"/>
        <w:spacing w:after="0" w:line="279" w:lineRule="auto"/>
        <w:tabs>
          <w:tab w:leader="none" w:pos="980"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The increase in other revenue for the year ended December 31, 2018 compared to the year ended December 31, 2017 was primarily due</w:t>
      </w:r>
      <w:r>
        <w:rPr>
          <w:rFonts w:ascii="Arial" w:cs="Arial" w:eastAsia="Arial" w:hAnsi="Arial"/>
          <w:sz w:val="17"/>
          <w:szCs w:val="17"/>
          <w:i w:val="1"/>
          <w:iCs w:val="1"/>
          <w:color w:val="auto"/>
        </w:rPr>
        <w:t xml:space="preserve"> </w:t>
      </w:r>
      <w:r>
        <w:rPr>
          <w:rFonts w:ascii="Arial" w:cs="Arial" w:eastAsia="Arial" w:hAnsi="Arial"/>
          <w:sz w:val="17"/>
          <w:szCs w:val="17"/>
          <w:color w:val="auto"/>
        </w:rPr>
        <w:t>to greater loss allowance revenue driven by higher volumes and prices in 2018. The decrease in volumes on our Canadian crude oil pipelines in 2018 compared to 2017 was partially due to the temporary outage of a connecting carrier. Additionally, the impact on revenues from the decrease in volumes was partially offset by increased tariff rates on certain of the pipelines.</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Adjustments: Deficiencies under minimum volume commitments, net. </w:t>
      </w:r>
      <w:r>
        <w:rPr>
          <w:rFonts w:ascii="Arial" w:cs="Arial" w:eastAsia="Arial" w:hAnsi="Arial"/>
          <w:sz w:val="17"/>
          <w:szCs w:val="17"/>
          <w:color w:val="auto"/>
        </w:rPr>
        <w:t>Many industry infrastructure projects developed and completed over the last</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w:t>
      </w:r>
    </w:p>
    <w:p>
      <w:pPr>
        <w:spacing w:after="0" w:line="166"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During 2018, 2017 and 2016, we had net collections for deficiencies under minimum volume commitments resulting in deferred revenues and an increase to Segment Adjusted EBITDA. Such collections in 2018 were partially offset and in 2017 were substantially offset by (i) shippers utilizing credits associated with previous deficiencies or (ii) credits expiring resulting in the recognition of previously deferred revenue.</w:t>
      </w:r>
    </w:p>
    <w:p>
      <w:pPr>
        <w:spacing w:after="0" w:line="16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for the year ended December 31, 2018 compared to the year ended December 31, 2017 were impacted</w:t>
      </w:r>
      <w:r>
        <w:rPr>
          <w:rFonts w:ascii="Arial" w:cs="Arial" w:eastAsia="Arial" w:hAnsi="Arial"/>
          <w:sz w:val="17"/>
          <w:szCs w:val="17"/>
          <w:i w:val="1"/>
          <w:iCs w:val="1"/>
          <w:color w:val="auto"/>
        </w:rPr>
        <w:t xml:space="preserve"> </w:t>
      </w:r>
      <w:r>
        <w:rPr>
          <w:rFonts w:ascii="Arial" w:cs="Arial" w:eastAsia="Arial" w:hAnsi="Arial"/>
          <w:sz w:val="17"/>
          <w:szCs w:val="17"/>
          <w:color w:val="auto"/>
        </w:rPr>
        <w:t>by (i) an increase in power related costs, primarily from temporary sources, resulting from higher volumes, and (ii) increases in performance-based compensation costs. Such increases were partially offset by (i) the sale of assets in the Rocky Mountain region in the fourth quarter of 2017 and the second quarter of 2018 and (ii) the impact of an increase of estimated costs recognized in 2017 associated with the Line 901 incident (which impact our field operating costs but are excluded from Segment Adjusted EBITDA and thus are reflected as an “Adjustment” in the table above). See Note 18 to our Consolidated Financial Statements for additional information regarding the Line 901 incident.</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20"/>
          </w:cols>
          <w:pgMar w:left="24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The increase in field operating costs for the year ended December 31, 2017 compared to the year ended December 31, 2016 was primarily due to an increase in estimated costs associated with the Line 901 incident (which impact our field operating costs but are excluded from Segment Adjusted EBITDA and thus are reflected as an “Adjustment” in the table above). The increase in field operating costs was further driven by an increase in power costs resulting from higher volumes and incremental operating costs from the ACC gathering system acquisition in February 2017, partially offset by cost reduction efforts and decreased costs due to the sale of certain Gulf Coast pipelines in March and July 2016.</w:t>
      </w:r>
    </w:p>
    <w:p>
      <w:pPr>
        <w:spacing w:after="0" w:line="17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2017 was primarily driven by an increase in equity-indexed compensation expense due to a smaller impact from the decrease in unit price for the 2018 period compared to the decrease in unit price for the 2017 period as well as shorter service periods for awards outstanding during 2018 compared to 2017. A portion of equity-indexed compensation expense was associated with awards that will or may be settled in common units (which impact our general and administrative expenses but are excluded from Segment Adjusted EBITDA and thus are reflected as an “Adjustment” in the table above). This increase was partially offset by acquisition costs incurred in the 2017 period related to the ACC gathering system acquisition (which impact our segment general and administrative expenses but are excluded from Segment Adjusted EBITDA and thus are reflected as an “Adjustment” in the table above).</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and/or refurbishment of partially or fully depreciated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order to maintain the operating and/or earnings capacity of our existing assets. The increase in maintenance capital for the year ended December 31, 2018 compared to the year ended December 31, 2017 was primarily due to increased investment in our integrity management program and an operational tank replacement project.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Variance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7"/>
              </w:rPr>
              <w:t>Year Ended December 31,</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Deficiencies under minimum volume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commitments, net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8"/>
              </w:rPr>
              <w:t>Net gain on foreign currency revaluation</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91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(4)</w:t>
      </w:r>
    </w:p>
    <w:p>
      <w:pPr>
        <w:spacing w:after="0" w:line="63"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Liquids storage (average monthly capacity in millions of barrels)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Natural gas storage (average</w:t>
      </w:r>
    </w:p>
    <w:p>
      <w:pPr>
        <w:spacing w:after="0" w:line="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 xml:space="preserve">monthly working capacity in billions of cubic feet) </w:t>
      </w:r>
      <w:r>
        <w:rPr>
          <w:rFonts w:ascii="Arial" w:cs="Arial" w:eastAsia="Arial" w:hAnsi="Arial"/>
          <w:sz w:val="25"/>
          <w:szCs w:val="25"/>
          <w:color w:val="auto"/>
          <w:vertAlign w:val="superscript"/>
        </w:rPr>
        <w:t>(5)</w:t>
      </w:r>
    </w:p>
    <w:p>
      <w:pPr>
        <w:spacing w:after="0" w:line="2" w:lineRule="exact"/>
        <w:rPr>
          <w:sz w:val="20"/>
          <w:szCs w:val="20"/>
          <w:color w:val="auto"/>
        </w:rPr>
      </w:pPr>
    </w:p>
    <w:p>
      <w:pPr>
        <w:ind w:left="200" w:right="420" w:hanging="161"/>
        <w:spacing w:after="0" w:line="306" w:lineRule="auto"/>
        <w:rPr>
          <w:sz w:val="20"/>
          <w:szCs w:val="20"/>
          <w:color w:val="auto"/>
        </w:rPr>
      </w:pPr>
      <w:r>
        <w:rPr>
          <w:rFonts w:ascii="Arial" w:cs="Arial" w:eastAsia="Arial" w:hAnsi="Arial"/>
          <w:sz w:val="16"/>
          <w:szCs w:val="16"/>
          <w:color w:val="auto"/>
        </w:rPr>
        <w:t>NGL fractionation (average volumes in thousands of barrels per day)</w:t>
      </w:r>
    </w:p>
    <w:p>
      <w:pPr>
        <w:spacing w:after="0" w:line="1" w:lineRule="exact"/>
        <w:rPr>
          <w:sz w:val="20"/>
          <w:szCs w:val="20"/>
          <w:color w:val="auto"/>
        </w:rPr>
      </w:pPr>
    </w:p>
    <w:p>
      <w:pPr>
        <w:jc w:val="right"/>
        <w:ind w:left="40" w:right="40"/>
        <w:spacing w:after="0" w:line="288" w:lineRule="auto"/>
        <w:rPr>
          <w:sz w:val="20"/>
          <w:szCs w:val="20"/>
          <w:color w:val="auto"/>
        </w:rPr>
      </w:pPr>
      <w:r>
        <w:rPr>
          <w:rFonts w:ascii="Arial" w:cs="Arial" w:eastAsia="Arial" w:hAnsi="Arial"/>
          <w:sz w:val="16"/>
          <w:szCs w:val="16"/>
          <w:color w:val="auto"/>
        </w:rPr>
        <w:t>Facilities segment total volumes (average monthly volumes in millions of barrels)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25044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9"/>
              </w:rPr>
              <w:t>Variance</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25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6"/>
              </w:rPr>
              <w:t>Year Ended December 31,</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r>
      <w:tr>
        <w:trPr>
          <w:trHeight w:val="264"/>
        </w:trPr>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0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Volumes</w:t>
            </w:r>
          </w:p>
        </w:tc>
        <w:tc>
          <w:tcPr>
            <w:tcW w:w="720" w:type="dxa"/>
            <w:vAlign w:val="bottom"/>
          </w:tcPr>
          <w:p>
            <w:pPr>
              <w:jc w:val="right"/>
              <w:ind w:right="4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9"/>
              </w:rPr>
              <w:t>Volumes</w:t>
            </w:r>
          </w:p>
        </w:tc>
        <w:tc>
          <w:tcPr>
            <w:tcW w:w="72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r>
      <w:tr>
        <w:trPr>
          <w:trHeight w:val="445"/>
        </w:trPr>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15"/>
        </w:trPr>
        <w:tc>
          <w:tcPr>
            <w:tcW w:w="1000" w:type="dxa"/>
            <w:vAlign w:val="bottom"/>
          </w:tcPr>
          <w:p>
            <w:pPr>
              <w:jc w:val="right"/>
              <w:ind w:right="3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97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99"/>
        </w:trPr>
        <w:tc>
          <w:tcPr>
            <w:tcW w:w="1000" w:type="dxa"/>
            <w:vAlign w:val="bottom"/>
          </w:tcPr>
          <w:p>
            <w:pPr>
              <w:jc w:val="right"/>
              <w:ind w:right="36"/>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48"/>
        </w:trPr>
        <w:tc>
          <w:tcPr>
            <w:tcW w:w="1000" w:type="dxa"/>
            <w:vAlign w:val="bottom"/>
          </w:tcPr>
          <w:p>
            <w:pPr>
              <w:jc w:val="right"/>
              <w:ind w:right="36"/>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127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-728345</wp:posOffset>
            </wp:positionV>
            <wp:extent cx="724662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-1491615</wp:posOffset>
            </wp:positionV>
            <wp:extent cx="7246620" cy="317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260"/>
            <w:col w:w="8060"/>
          </w:cols>
          <w:pgMar w:left="240" w:top="125" w:right="239" w:bottom="1440" w:gutter="0" w:footer="0" w:header="0"/>
          <w:type w:val="continuous"/>
        </w:sectPr>
      </w:pPr>
    </w:p>
    <w:p>
      <w:pPr>
        <w:spacing w:after="0" w:line="16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pacing w:after="0" w:line="60"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hanging="652"/>
        <w:spacing w:after="0" w:line="196" w:lineRule="auto"/>
        <w:tabs>
          <w:tab w:leader="none" w:pos="660" w:val="left"/>
        </w:tabs>
        <w:numPr>
          <w:ilvl w:val="0"/>
          <w:numId w:val="56"/>
        </w:numPr>
        <w:rPr>
          <w:rFonts w:ascii="Arial" w:cs="Arial" w:eastAsia="Arial" w:hAnsi="Arial"/>
          <w:sz w:val="24"/>
          <w:szCs w:val="24"/>
          <w:color w:val="auto"/>
          <w:vertAlign w:val="superscript"/>
        </w:rPr>
      </w:pPr>
      <w:r>
        <w:rPr>
          <w:rFonts w:ascii="Arial" w:cs="Arial" w:eastAsia="Arial" w:hAnsi="Arial"/>
          <w:sz w:val="17"/>
          <w:szCs w:val="17"/>
          <w:color w:val="auto"/>
        </w:rPr>
        <w:t>Segment general and administrative expenses reflect direct costs attributable to each segment and an allocation of other expenses to the</w:t>
      </w:r>
    </w:p>
    <w:p>
      <w:pPr>
        <w:spacing w:after="0" w:line="2" w:lineRule="exact"/>
        <w:rPr>
          <w:rFonts w:ascii="Arial" w:cs="Arial" w:eastAsia="Arial" w:hAnsi="Arial"/>
          <w:sz w:val="24"/>
          <w:szCs w:val="24"/>
          <w:color w:val="auto"/>
          <w:vertAlign w:val="superscript"/>
        </w:rPr>
      </w:pPr>
    </w:p>
    <w:p>
      <w:pPr>
        <w:ind w:left="660" w:right="180"/>
        <w:spacing w:after="0" w:line="259" w:lineRule="auto"/>
        <w:rPr>
          <w:rFonts w:ascii="Arial" w:cs="Arial" w:eastAsia="Arial" w:hAnsi="Arial"/>
          <w:sz w:val="24"/>
          <w:szCs w:val="24"/>
          <w:color w:val="auto"/>
          <w:vertAlign w:val="superscript"/>
        </w:rPr>
      </w:pPr>
      <w:r>
        <w:rPr>
          <w:rFonts w:ascii="Arial" w:cs="Arial" w:eastAsia="Arial" w:hAnsi="Arial"/>
          <w:sz w:val="18"/>
          <w:szCs w:val="18"/>
          <w:color w:val="auto"/>
        </w:rPr>
        <w:t>segments. The proportional allocations by segment require judgment by management and are based on the business activities that exist during each period.</w:t>
      </w:r>
    </w:p>
    <w:p>
      <w:pPr>
        <w:spacing w:after="0" w:line="77" w:lineRule="exact"/>
        <w:rPr>
          <w:rFonts w:ascii="Arial" w:cs="Arial" w:eastAsia="Arial" w:hAnsi="Arial"/>
          <w:sz w:val="24"/>
          <w:szCs w:val="24"/>
          <w:color w:val="auto"/>
          <w:vertAlign w:val="superscript"/>
        </w:rPr>
      </w:pPr>
    </w:p>
    <w:p>
      <w:pPr>
        <w:ind w:left="660" w:right="640" w:hanging="652"/>
        <w:spacing w:after="0" w:line="216"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20 to our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year divided by the number of months in the year.</w:t>
      </w:r>
    </w:p>
    <w:p>
      <w:pPr>
        <w:spacing w:after="0" w:line="98"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over the comparative periods was driven by adjustments for (i) the sale of our Bluewater natural gas storage facility in June 2017, (ii) changes in base gas and (iii)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360" w:hanging="652"/>
        <w:spacing w:after="0" w:line="238" w:lineRule="auto"/>
        <w:tabs>
          <w:tab w:leader="none" w:pos="660" w:val="left"/>
        </w:tabs>
        <w:numPr>
          <w:ilvl w:val="0"/>
          <w:numId w:val="56"/>
        </w:numPr>
        <w:rPr>
          <w:rFonts w:ascii="Arial" w:cs="Arial" w:eastAsia="Arial" w:hAnsi="Arial"/>
          <w:sz w:val="24"/>
          <w:szCs w:val="24"/>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year and divided by the number of months in the year.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purchases and related costs and average monthly volumes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periods were primarily driven by:</w:t>
      </w:r>
    </w:p>
    <w:p>
      <w:pPr>
        <w:spacing w:after="0" w:line="170" w:lineRule="exact"/>
        <w:rPr>
          <w:sz w:val="20"/>
          <w:szCs w:val="20"/>
          <w:color w:val="auto"/>
        </w:rPr>
      </w:pPr>
    </w:p>
    <w:p>
      <w:pPr>
        <w:ind w:left="660" w:right="220" w:hanging="328"/>
        <w:spacing w:after="0" w:line="288"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NGL Storage, NGL Fractionation and Canadian Gas Processing. </w:t>
      </w:r>
      <w:r>
        <w:rPr>
          <w:rFonts w:ascii="Arial" w:cs="Arial" w:eastAsia="Arial" w:hAnsi="Arial"/>
          <w:sz w:val="16"/>
          <w:szCs w:val="16"/>
          <w:color w:val="auto"/>
        </w:rPr>
        <w:t>Revenues decreased by $14 million for the year ended December 31, 2018</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2017 primarily due to the sale of a natural gas processing facility in the second quarter of 2018 and decreases in fees at certain of our storage and fractionation facilities. These unfavorable variances were partially offset by the favorable impacts of</w:t>
      </w:r>
    </w:p>
    <w:p>
      <w:pPr>
        <w:ind w:left="660" w:right="280"/>
        <w:spacing w:after="0" w:line="261" w:lineRule="auto"/>
        <w:rPr>
          <w:rFonts w:ascii="Arial" w:cs="Arial" w:eastAsia="Arial" w:hAnsi="Arial"/>
          <w:sz w:val="16"/>
          <w:szCs w:val="16"/>
          <w:color w:val="auto"/>
        </w:rPr>
      </w:pPr>
      <w:r>
        <w:rPr>
          <w:rFonts w:ascii="Arial" w:cs="Arial" w:eastAsia="Arial" w:hAnsi="Arial"/>
          <w:sz w:val="18"/>
          <w:szCs w:val="18"/>
          <w:color w:val="auto"/>
        </w:rPr>
        <w:t>(i) increased volumes and fees associated with placing an additional 1.6 million barrels of NGL storage capacity into service in the second half of 2017 at our Fort Saskatchewan facility and (ii) higher volumetric gains at certain facilities in the 2018 period.</w:t>
      </w:r>
    </w:p>
    <w:p>
      <w:pPr>
        <w:spacing w:after="0" w:line="184" w:lineRule="exact"/>
        <w:rPr>
          <w:sz w:val="20"/>
          <w:szCs w:val="20"/>
          <w:color w:val="auto"/>
        </w:rPr>
      </w:pPr>
    </w:p>
    <w:p>
      <w:pPr>
        <w:ind w:left="660" w:right="120"/>
        <w:spacing w:after="0" w:line="286" w:lineRule="auto"/>
        <w:rPr>
          <w:sz w:val="20"/>
          <w:szCs w:val="20"/>
          <w:color w:val="auto"/>
        </w:rPr>
      </w:pPr>
      <w:r>
        <w:rPr>
          <w:rFonts w:ascii="Arial" w:cs="Arial" w:eastAsia="Arial" w:hAnsi="Arial"/>
          <w:sz w:val="17"/>
          <w:szCs w:val="17"/>
          <w:color w:val="auto"/>
        </w:rPr>
        <w:t>Revenues increased by $99 million for the year ended December 31, 2017 compared to the year ended December 31, 2016 primarily due to contributions from (i) the Western Canada NGL assets we acquired in August 2016, (ii) expansion projects at our Fort Saskatchewan facility, which have increased storage and fractionation capacity, and (iii) increases in fees at certain of our NGL storage and fractionation facilities.</w:t>
      </w:r>
    </w:p>
    <w:p>
      <w:pPr>
        <w:spacing w:after="0" w:line="166" w:lineRule="exact"/>
        <w:rPr>
          <w:sz w:val="20"/>
          <w:szCs w:val="20"/>
          <w:color w:val="auto"/>
        </w:rPr>
      </w:pPr>
    </w:p>
    <w:p>
      <w:pPr>
        <w:ind w:left="660" w:right="6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decreased by $16 million for the year ended December 31, 2018 compared to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sale of certain of our Bay Area, California terminal assets in December 2017. These lower results were partially offset by higher revenues from increased activity at our Cushing and St. James terminals.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40"/>
        <w:spacing w:after="0" w:line="312" w:lineRule="auto"/>
        <w:rPr>
          <w:sz w:val="20"/>
          <w:szCs w:val="20"/>
          <w:color w:val="auto"/>
        </w:rPr>
      </w:pPr>
      <w:r>
        <w:rPr>
          <w:rFonts w:ascii="Arial" w:cs="Arial" w:eastAsia="Arial" w:hAnsi="Arial"/>
          <w:sz w:val="16"/>
          <w:szCs w:val="16"/>
          <w:color w:val="auto"/>
        </w:rPr>
        <w:t>Revenues for the year ended December 31, 2017 were relatively flat compared to the year ended December 31, 2016. Higher 2017 revenues from our Cushing terminal driven by increased terminal throughput and capacity expansions of approximately 2 million barrels were offset by (i) decreased utilization at certain of our Southern California terminals and (ii) the sale of certain of our East Coast terminals in April 2016.</w:t>
      </w:r>
    </w:p>
    <w:p>
      <w:pPr>
        <w:spacing w:after="0" w:line="147" w:lineRule="exact"/>
        <w:rPr>
          <w:sz w:val="20"/>
          <w:szCs w:val="20"/>
          <w:color w:val="auto"/>
        </w:rPr>
      </w:pPr>
    </w:p>
    <w:p>
      <w:pPr>
        <w:ind w:left="660" w:right="20" w:hanging="328"/>
        <w:spacing w:after="0" w:line="297"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Natural Gas Storage. </w:t>
      </w:r>
      <w:r>
        <w:rPr>
          <w:rFonts w:ascii="Arial" w:cs="Arial" w:eastAsia="Arial" w:hAnsi="Arial"/>
          <w:sz w:val="16"/>
          <w:szCs w:val="16"/>
          <w:color w:val="auto"/>
        </w:rPr>
        <w:t>Revenues, net of purchases and related costs, decreased by $2 million for the year ended December 31, 2018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2017 primarily due to (i) the June 2017 sale of our Bluewater natural gas storage facility, (ii) the absence of a one-time fee recognized during the first quarter of 2017 related to the early termination of a storage contract at our Pine Prairie facility and (iii) increased storage costs incurred to manage customer activity in 2018. These unfavorable impacts were partially offset by the favorable impact of expiring contracts replaced at higher rates and more favorable market conditions for hub services at certain of our natural gas storage facilities.</w:t>
      </w:r>
    </w:p>
    <w:p>
      <w:pPr>
        <w:spacing w:after="0" w:line="158" w:lineRule="exact"/>
        <w:rPr>
          <w:rFonts w:ascii="Arial" w:cs="Arial" w:eastAsia="Arial" w:hAnsi="Arial"/>
          <w:sz w:val="16"/>
          <w:szCs w:val="16"/>
          <w:color w:val="auto"/>
        </w:rPr>
      </w:pPr>
    </w:p>
    <w:p>
      <w:pPr>
        <w:jc w:val="both"/>
        <w:ind w:left="660" w:right="220"/>
        <w:spacing w:after="0" w:line="264" w:lineRule="auto"/>
        <w:rPr>
          <w:rFonts w:ascii="Arial" w:cs="Arial" w:eastAsia="Arial" w:hAnsi="Arial"/>
          <w:sz w:val="16"/>
          <w:szCs w:val="16"/>
          <w:color w:val="auto"/>
        </w:rPr>
      </w:pPr>
      <w:r>
        <w:rPr>
          <w:rFonts w:ascii="Arial" w:cs="Arial" w:eastAsia="Arial" w:hAnsi="Arial"/>
          <w:sz w:val="18"/>
          <w:szCs w:val="18"/>
          <w:color w:val="auto"/>
        </w:rPr>
        <w:t>Revenues decreased slightly for the year ended December 31, 2017 compared to the same 2016 period. Lower results due to the June 2017 sale of our Bluewater natural gas storage facility were largely offset by contributions from higher rates on new contracts replacing expiring contracts and more favorable market conditions for hub services.</w:t>
      </w:r>
    </w:p>
    <w:p>
      <w:pPr>
        <w:spacing w:after="0" w:line="181"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increased by $26 million for the year ended December 31, 2018 compared to the year ended December 31,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activity at certain of our rail terminals resulting from more favorable market conditions.</w:t>
      </w:r>
    </w:p>
    <w:p>
      <w:pPr>
        <w:spacing w:after="0" w:line="170" w:lineRule="exact"/>
        <w:rPr>
          <w:rFonts w:ascii="Arial" w:cs="Arial" w:eastAsia="Arial" w:hAnsi="Arial"/>
          <w:sz w:val="18"/>
          <w:szCs w:val="18"/>
          <w:color w:val="auto"/>
        </w:rPr>
      </w:pPr>
    </w:p>
    <w:p>
      <w:pPr>
        <w:ind w:left="660" w:right="40"/>
        <w:spacing w:after="0" w:line="264" w:lineRule="auto"/>
        <w:rPr>
          <w:rFonts w:ascii="Arial" w:cs="Arial" w:eastAsia="Arial" w:hAnsi="Arial"/>
          <w:sz w:val="18"/>
          <w:szCs w:val="18"/>
          <w:color w:val="auto"/>
        </w:rPr>
      </w:pPr>
      <w:r>
        <w:rPr>
          <w:rFonts w:ascii="Arial" w:cs="Arial" w:eastAsia="Arial" w:hAnsi="Arial"/>
          <w:sz w:val="18"/>
          <w:szCs w:val="18"/>
          <w:color w:val="auto"/>
        </w:rPr>
        <w:t>Revenues decreased by $26 million for the year ended December 31, 2017 compared to the year ended December 31, 2016 primarily due to lower activity at our U.S. terminals resulting from less favorable market conditions, partially offset by revenues and volumes from our Fort Saskatchewan, Alberta rail terminal that came online in April 2016.</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year ended December 31, 2018 compared to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an increase in performance-based compensation costs as well as higher personnel costs at our rail terminals as a result of increased activity, partially offset by lower costs due to sales of assets.</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decrease in field operating costs for the year ended December 31, 2017 compared to the same 2016 period due to reduced rail activity, cost reduction efforts and the sales of our Bluewater natural gas storage facility in June 2017 and certain of our East Coast terminals in April 2016. Such decreases were largely offset by an increase in operating costs associated with the Western Canada NGL assets acquired in August 2016 and increased power costs.</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2017 was primarily driven by an increase in equity-indexed compensation expense due to a smaller impact from the decrease in unit price for the 2018 period compared to the decrease in unit price for the 2017 period as well as shorter service periods for awards outstanding during 2018 compared to 2017. A portion of equity-indexed compensation expense was associated with awards that will or may be settled in common units (which impact our general and administrative expenses but are excluded from Segment Adjusted EBITDA and thus are reflected as an “Adjustment” in the table above).</w:t>
      </w:r>
    </w:p>
    <w:p>
      <w:pPr>
        <w:spacing w:after="0" w:line="193"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For the year ended December 31, 2018 compared to the year ended December 31, 2017, maintenance capital spending</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primarily due to the impact of higher expenditures related to our integrity management program in 2017 compared to 2018, primarily on assets at our Southern California terminals. Total maintenance costs related to our integrity management program at these terminals decreased by approximately $46 million for the year ended December 31, 2018 compared to the year ended December 31, 2017. This decrease in maintenance capital spending in 2018 compared to 2017 was partially offset by increased costs at our NGL processing facilities located in Western Canada in 2018.</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increase in maintenance capital for 2017 compared to 2016 was primarily due to increased investment in our integrity management program, primarily on assets at our Southern California terminals. Total maintenance costs related to our integrity management program at these terminals increased by approximately $49 million for 2017 compared to 2016.</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125"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and the allocation of our assets among our various risk management strategies and (iii) the effects of competition on our lease gathering and NGL margins. In addition, the execution of our risk management strategies in conjunction with our assets can provide upside in certain markets.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Variance</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7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2017-2016</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32,822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19,018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Purchases and related costs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(18,627)</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Segment general and administrative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3"/>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98"/>
              </w:rPr>
              <w:t>net of inventory valuation adjustments</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3"/>
          </w:tcPr>
          <w:p>
            <w:pPr>
              <w:ind w:left="180"/>
              <w:spacing w:after="0"/>
              <w:rPr>
                <w:sz w:val="20"/>
                <w:szCs w:val="20"/>
                <w:color w:val="auto"/>
              </w:rPr>
            </w:pPr>
            <w:r>
              <w:rPr>
                <w:rFonts w:ascii="Arial" w:cs="Arial" w:eastAsia="Arial" w:hAnsi="Arial"/>
                <w:sz w:val="18"/>
                <w:szCs w:val="18"/>
                <w:color w:val="auto"/>
                <w:w w:val="96"/>
              </w:rPr>
              <w:t>Long-term inventory costing adjustments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gridSpan w:val="3"/>
          </w:tcPr>
          <w:p>
            <w:pPr>
              <w:ind w:left="180"/>
              <w:spacing w:after="0"/>
              <w:rPr>
                <w:sz w:val="20"/>
                <w:szCs w:val="20"/>
                <w:color w:val="auto"/>
              </w:rPr>
            </w:pPr>
            <w:r>
              <w:rPr>
                <w:rFonts w:ascii="Arial" w:cs="Arial" w:eastAsia="Arial" w:hAnsi="Arial"/>
                <w:sz w:val="18"/>
                <w:szCs w:val="18"/>
                <w:color w:val="auto"/>
              </w:rPr>
              <w:t>Net (gain)/loss on foreign currency</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ind w:left="340"/>
              <w:spacing w:after="0"/>
              <w:rPr>
                <w:sz w:val="20"/>
                <w:szCs w:val="20"/>
                <w:color w:val="auto"/>
              </w:rPr>
            </w:pPr>
            <w:r>
              <w:rPr>
                <w:rFonts w:ascii="Arial" w:cs="Arial" w:eastAsia="Arial" w:hAnsi="Arial"/>
                <w:sz w:val="18"/>
                <w:szCs w:val="18"/>
                <w:color w:val="auto"/>
              </w:rPr>
              <w:t>revaluation</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Maintenance capital</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320" w:type="dxa"/>
            <w:vAlign w:val="bottom"/>
            <w:gridSpan w:val="5"/>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280"/>
              <w:spacing w:after="0"/>
              <w:rPr>
                <w:sz w:val="20"/>
                <w:szCs w:val="20"/>
                <w:color w:val="auto"/>
              </w:rPr>
            </w:pPr>
            <w:r>
              <w:rPr>
                <w:rFonts w:ascii="Arial" w:cs="Arial" w:eastAsia="Arial" w:hAnsi="Arial"/>
                <w:sz w:val="18"/>
                <w:szCs w:val="18"/>
                <w:color w:val="auto"/>
              </w:rPr>
              <w:t>— %</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51"/>
        </w:trPr>
        <w:tc>
          <w:tcPr>
            <w:tcW w:w="33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0.97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0.84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8"/>
                <w:szCs w:val="8"/>
                <w:b w:val="1"/>
                <w:bCs w:val="1"/>
                <w:color w:val="auto"/>
              </w:rPr>
              <w:t>(4)</w:t>
            </w: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0"/>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2018-2017</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33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Volume</w:t>
            </w:r>
          </w:p>
        </w:tc>
        <w:tc>
          <w:tcPr>
            <w:tcW w:w="100" w:type="dxa"/>
            <w:vAlign w:val="bottom"/>
            <w:gridSpan w:val="2"/>
            <w:vMerge w:val="restart"/>
          </w:tcPr>
          <w:p>
            <w:pPr>
              <w:spacing w:after="0"/>
              <w:rPr>
                <w:sz w:val="6"/>
                <w:szCs w:val="6"/>
                <w:color w:val="auto"/>
              </w:rPr>
            </w:pPr>
          </w:p>
        </w:tc>
        <w:tc>
          <w:tcPr>
            <w:tcW w:w="400" w:type="dxa"/>
            <w:vAlign w:val="bottom"/>
            <w:vMerge w:val="restart"/>
          </w:tcPr>
          <w:p>
            <w:pPr>
              <w:spacing w:after="0"/>
              <w:rPr>
                <w:sz w:val="6"/>
                <w:szCs w:val="6"/>
                <w:color w:val="auto"/>
              </w:rPr>
            </w:pPr>
          </w:p>
        </w:tc>
        <w:tc>
          <w:tcPr>
            <w:tcW w:w="7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Volume</w:t>
            </w:r>
          </w:p>
        </w:tc>
        <w:tc>
          <w:tcPr>
            <w:tcW w:w="100" w:type="dxa"/>
            <w:vAlign w:val="bottom"/>
            <w:gridSpan w:val="2"/>
            <w:vMerge w:val="restart"/>
          </w:tcPr>
          <w:p>
            <w:pPr>
              <w:spacing w:after="0"/>
              <w:rPr>
                <w:sz w:val="6"/>
                <w:szCs w:val="6"/>
                <w:color w:val="auto"/>
              </w:rPr>
            </w:pPr>
          </w:p>
        </w:tc>
        <w:tc>
          <w:tcPr>
            <w:tcW w:w="400" w:type="dxa"/>
            <w:vAlign w:val="bottom"/>
            <w:vMerge w:val="restart"/>
          </w:tcPr>
          <w:p>
            <w:pPr>
              <w:spacing w:after="0"/>
              <w:rPr>
                <w:sz w:val="6"/>
                <w:szCs w:val="6"/>
                <w:color w:val="auto"/>
              </w:rPr>
            </w:pPr>
          </w:p>
        </w:tc>
        <w:tc>
          <w:tcPr>
            <w:tcW w:w="7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NGL sales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1,153</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volumes</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pacing w:after="0" w:line="60"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hanging="652"/>
        <w:spacing w:after="0" w:line="196" w:lineRule="auto"/>
        <w:tabs>
          <w:tab w:leader="none" w:pos="660" w:val="left"/>
        </w:tabs>
        <w:numPr>
          <w:ilvl w:val="0"/>
          <w:numId w:val="60"/>
        </w:numPr>
        <w:rPr>
          <w:rFonts w:ascii="Arial" w:cs="Arial" w:eastAsia="Arial" w:hAnsi="Arial"/>
          <w:sz w:val="24"/>
          <w:szCs w:val="24"/>
          <w:color w:val="auto"/>
          <w:vertAlign w:val="superscript"/>
        </w:rPr>
      </w:pPr>
      <w:r>
        <w:rPr>
          <w:rFonts w:ascii="Arial" w:cs="Arial" w:eastAsia="Arial" w:hAnsi="Arial"/>
          <w:sz w:val="17"/>
          <w:szCs w:val="17"/>
          <w:color w:val="auto"/>
        </w:rPr>
        <w:t>Segment general and administrative expenses reflect direct costs attributable to each segment and an allocation of other expenses to the</w:t>
      </w:r>
    </w:p>
    <w:p>
      <w:pPr>
        <w:spacing w:after="0" w:line="2" w:lineRule="exact"/>
        <w:rPr>
          <w:rFonts w:ascii="Arial" w:cs="Arial" w:eastAsia="Arial" w:hAnsi="Arial"/>
          <w:sz w:val="24"/>
          <w:szCs w:val="24"/>
          <w:color w:val="auto"/>
          <w:vertAlign w:val="superscript"/>
        </w:rPr>
      </w:pPr>
    </w:p>
    <w:p>
      <w:pPr>
        <w:ind w:left="660" w:right="180"/>
        <w:spacing w:after="0" w:line="259" w:lineRule="auto"/>
        <w:rPr>
          <w:rFonts w:ascii="Arial" w:cs="Arial" w:eastAsia="Arial" w:hAnsi="Arial"/>
          <w:sz w:val="24"/>
          <w:szCs w:val="24"/>
          <w:color w:val="auto"/>
          <w:vertAlign w:val="superscript"/>
        </w:rPr>
      </w:pPr>
      <w:r>
        <w:rPr>
          <w:rFonts w:ascii="Arial" w:cs="Arial" w:eastAsia="Arial" w:hAnsi="Arial"/>
          <w:sz w:val="18"/>
          <w:szCs w:val="18"/>
          <w:color w:val="auto"/>
        </w:rPr>
        <w:t>segments. The proportional allocations by segment require judgment by management and are based on the business activities that exist during each period.</w:t>
      </w:r>
    </w:p>
    <w:p>
      <w:pPr>
        <w:spacing w:after="0" w:line="77" w:lineRule="exact"/>
        <w:rPr>
          <w:rFonts w:ascii="Arial" w:cs="Arial" w:eastAsia="Arial" w:hAnsi="Arial"/>
          <w:sz w:val="24"/>
          <w:szCs w:val="24"/>
          <w:color w:val="auto"/>
          <w:vertAlign w:val="superscript"/>
        </w:rPr>
      </w:pPr>
    </w:p>
    <w:p>
      <w:pPr>
        <w:ind w:left="660" w:right="640" w:hanging="652"/>
        <w:spacing w:after="0" w:line="216" w:lineRule="auto"/>
        <w:tabs>
          <w:tab w:leader="none" w:pos="66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20 to our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Average daily volumes are calculated as the total volumes for the period divided by the number of days in the period.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West Texas Intermediate benchmark price of crude oil (in dollars per barrel):</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NYMEX WTI</w:t>
            </w:r>
          </w:p>
        </w:tc>
        <w:tc>
          <w:tcPr>
            <w:tcW w:w="780" w:type="dxa"/>
            <w:vAlign w:val="bottom"/>
          </w:tcPr>
          <w:p>
            <w:pPr>
              <w:spacing w:after="0"/>
              <w:rPr>
                <w:sz w:val="14"/>
                <w:szCs w:val="14"/>
                <w:color w:val="auto"/>
              </w:rPr>
            </w:pPr>
          </w:p>
        </w:tc>
      </w:t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Crude Oil Price</w:t>
            </w:r>
          </w:p>
        </w:tc>
        <w:tc>
          <w:tcPr>
            <w:tcW w:w="780" w:type="dxa"/>
            <w:vAlign w:val="bottom"/>
            <w:tcBorders>
              <w:bottom w:val="single" w:sz="8" w:color="auto"/>
            </w:tcBorders>
          </w:tcPr>
          <w:p>
            <w:pPr>
              <w:spacing w:after="0"/>
              <w:rPr>
                <w:sz w:val="16"/>
                <w:szCs w:val="16"/>
                <w:color w:val="auto"/>
              </w:rPr>
            </w:pPr>
          </w:p>
        </w:tc>
      </w:tr>
      <w:tr>
        <w:trPr>
          <w:trHeight w:val="264"/>
        </w:trPr>
        <w:tc>
          <w:tcPr>
            <w:tcW w:w="8700" w:type="dxa"/>
            <w:vAlign w:val="bottom"/>
            <w:gridSpan w:val="2"/>
          </w:tcPr>
          <w:p>
            <w:pPr>
              <w:ind w:left="40"/>
              <w:spacing w:after="0"/>
              <w:rPr>
                <w:sz w:val="20"/>
                <w:szCs w:val="20"/>
                <w:color w:val="auto"/>
              </w:rPr>
            </w:pPr>
            <w:r>
              <w:rPr>
                <w:rFonts w:ascii="Arial" w:cs="Arial" w:eastAsia="Arial" w:hAnsi="Arial"/>
                <w:sz w:val="14"/>
                <w:szCs w:val="14"/>
                <w:b w:val="1"/>
                <w:bCs w:val="1"/>
                <w:color w:val="auto"/>
              </w:rPr>
              <w:t>During the Year Ended December 31,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374"/>
              <w:spacing w:after="0"/>
              <w:rPr>
                <w:sz w:val="20"/>
                <w:szCs w:val="20"/>
                <w:color w:val="auto"/>
              </w:rPr>
            </w:pPr>
            <w:r>
              <w:rPr>
                <w:rFonts w:ascii="Arial" w:cs="Arial" w:eastAsia="Arial" w:hAnsi="Arial"/>
                <w:sz w:val="14"/>
                <w:szCs w:val="14"/>
                <w:b w:val="1"/>
                <w:bCs w:val="1"/>
                <w:color w:val="auto"/>
                <w:w w:val="96"/>
              </w:rPr>
              <w:t>High</w:t>
            </w:r>
          </w:p>
        </w:tc>
      </w:tr>
      <w:tr>
        <w:trPr>
          <w:trHeight w:val="250"/>
        </w:trPr>
        <w:tc>
          <w:tcPr>
            <w:tcW w:w="8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7"/>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60</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8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each of the years presented primarily due to higher crude oil prices and volumes during the comparative periods. Additionally, revenues were impacted by net gains and losses from certain derivative activities during the periods.</w:t>
      </w:r>
    </w:p>
    <w:p>
      <w:pPr>
        <w:spacing w:after="0" w:line="188"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for the comparative periods:</w:t>
      </w:r>
    </w:p>
    <w:p>
      <w:pPr>
        <w:spacing w:after="0" w:line="170" w:lineRule="exact"/>
        <w:rPr>
          <w:sz w:val="20"/>
          <w:szCs w:val="20"/>
          <w:color w:val="auto"/>
        </w:rPr>
      </w:pPr>
    </w:p>
    <w:p>
      <w:pPr>
        <w:ind w:left="660" w:right="40" w:hanging="328"/>
        <w:spacing w:after="0" w:line="259"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Net revenues from our crude oil supply and logistics operations increased for the year ended December 31, 2018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2017 primarily due to favorable grade differentials, primarily in the Permian Basin and Western Canada. Such favorable impacts more than offset the benefit to the 2017 period of the contango market conditions. See the “Market Overview and Outlook” section below for additional discussion of recent market conditions.</w:t>
      </w:r>
    </w:p>
    <w:p>
      <w:pPr>
        <w:spacing w:after="0" w:line="186" w:lineRule="exact"/>
        <w:rPr>
          <w:rFonts w:ascii="Arial" w:cs="Arial" w:eastAsia="Arial" w:hAnsi="Arial"/>
          <w:sz w:val="18"/>
          <w:szCs w:val="18"/>
          <w:color w:val="auto"/>
        </w:rPr>
      </w:pPr>
    </w:p>
    <w:p>
      <w:pPr>
        <w:ind w:left="660" w:right="120"/>
        <w:spacing w:after="0" w:line="259" w:lineRule="auto"/>
        <w:rPr>
          <w:rFonts w:ascii="Arial" w:cs="Arial" w:eastAsia="Arial" w:hAnsi="Arial"/>
          <w:sz w:val="18"/>
          <w:szCs w:val="18"/>
          <w:color w:val="auto"/>
        </w:rPr>
      </w:pPr>
      <w:r>
        <w:rPr>
          <w:rFonts w:ascii="Arial" w:cs="Arial" w:eastAsia="Arial" w:hAnsi="Arial"/>
          <w:sz w:val="18"/>
          <w:szCs w:val="18"/>
          <w:color w:val="auto"/>
        </w:rPr>
        <w:t>Net revenues from our crude oil supply and logistics operations decreased for the year ended December 31, 2017 compared to the year ended December 31, 2016 primarily due to lower unit margins, largely due to the negative impact from overbuilt infrastructure, underwritten by volume commitments, and the effect of such on differentials, which, in turn, reduced arbitrage opportunities. Such unfavorable impacts were partially offset by the favorable impact of contango market conditions in 2017.</w:t>
      </w:r>
    </w:p>
    <w:p>
      <w:pPr>
        <w:spacing w:after="0" w:line="186" w:lineRule="exact"/>
        <w:rPr>
          <w:rFonts w:ascii="Arial" w:cs="Arial" w:eastAsia="Arial" w:hAnsi="Arial"/>
          <w:sz w:val="18"/>
          <w:szCs w:val="18"/>
          <w:color w:val="auto"/>
        </w:rPr>
      </w:pPr>
    </w:p>
    <w:p>
      <w:pPr>
        <w:ind w:left="660" w:right="260" w:hanging="328"/>
        <w:spacing w:after="0" w:line="259"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increased for the year ended December 31, 2018 compared to the same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an audit recovery in 2018 related to a profit-sharing arrangement, (ii) lower supply costs at our straddle plants relative to NGL values, (iii) favorable impacts from a wider isobutane/normal butane differential and (iv) modifications made to our contracting strategies in the 2017-2018 heating season.</w:t>
      </w:r>
    </w:p>
    <w:p>
      <w:pPr>
        <w:spacing w:after="0" w:line="186" w:lineRule="exact"/>
        <w:rPr>
          <w:rFonts w:ascii="Arial" w:cs="Arial" w:eastAsia="Arial" w:hAnsi="Arial"/>
          <w:sz w:val="18"/>
          <w:szCs w:val="18"/>
          <w:color w:val="auto"/>
        </w:rPr>
      </w:pPr>
    </w:p>
    <w:p>
      <w:pPr>
        <w:ind w:left="660"/>
        <w:spacing w:after="0" w:line="259" w:lineRule="auto"/>
        <w:rPr>
          <w:rFonts w:ascii="Arial" w:cs="Arial" w:eastAsia="Arial" w:hAnsi="Arial"/>
          <w:sz w:val="18"/>
          <w:szCs w:val="18"/>
          <w:color w:val="auto"/>
        </w:rPr>
      </w:pPr>
      <w:r>
        <w:rPr>
          <w:rFonts w:ascii="Arial" w:cs="Arial" w:eastAsia="Arial" w:hAnsi="Arial"/>
          <w:sz w:val="18"/>
          <w:szCs w:val="18"/>
          <w:color w:val="auto"/>
        </w:rPr>
        <w:t>Net revenues from our NGL operations decreased for the year ended December 31, 2017 compared to the year ended December 31, 2016, largely due to (i) higher supply costs and tighter differentials driven by competition, which more than offset higher sales volume from the Western Canada NGL assets acquired in August 2016, (ii) warmer weather during the first-quarter 2017 heating season and (iii) higher storage and processing fees for the 2017 period, which were largely offset in our Facilities segment results.</w:t>
      </w:r>
    </w:p>
    <w:p>
      <w:pPr>
        <w:spacing w:after="0" w:line="186" w:lineRule="exact"/>
        <w:rPr>
          <w:rFonts w:ascii="Arial" w:cs="Arial" w:eastAsia="Arial" w:hAnsi="Arial"/>
          <w:sz w:val="18"/>
          <w:szCs w:val="18"/>
          <w:color w:val="auto"/>
        </w:rPr>
      </w:pPr>
    </w:p>
    <w:p>
      <w:pPr>
        <w:ind w:left="660" w:right="100" w:hanging="328"/>
        <w:spacing w:after="0" w:line="297"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Impact from Certain Derivative Activities, Net of Inventory Valuation Adjustments. </w:t>
      </w:r>
      <w:r>
        <w:rPr>
          <w:rFonts w:ascii="Arial" w:cs="Arial" w:eastAsia="Arial" w:hAnsi="Arial"/>
          <w:sz w:val="16"/>
          <w:szCs w:val="16"/>
          <w:color w:val="auto"/>
        </w:rPr>
        <w:t>The impact from certain derivative activities on our net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13 to our Consolidated Financial Statements for a comprehensive discussion regarding our derivatives and risk management activities. These gains and losses impact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but are excluded from Segment Adjusted EBITDA and thus are reflected as an “Adjustment” in the table above.</w:t>
      </w:r>
    </w:p>
    <w:p>
      <w:pPr>
        <w:spacing w:after="0" w:line="239" w:lineRule="exact"/>
        <w:rPr>
          <w:sz w:val="20"/>
          <w:szCs w:val="20"/>
          <w:color w:val="auto"/>
        </w:rPr>
      </w:pPr>
    </w:p>
    <w:p>
      <w:pPr>
        <w:ind w:left="660" w:hanging="328"/>
        <w:spacing w:after="0" w:line="297"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Long-Term Inventory Costing Adjustments. </w:t>
      </w:r>
      <w:r>
        <w:rPr>
          <w:rFonts w:ascii="Arial" w:cs="Arial" w:eastAsia="Arial" w:hAnsi="Arial"/>
          <w:sz w:val="16"/>
          <w:szCs w:val="16"/>
          <w:color w:val="auto"/>
        </w:rPr>
        <w:t>Our net revenues are impacted by changes in the weighted average cost of our crude oil and NGL</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58" w:lineRule="exact"/>
        <w:rPr>
          <w:rFonts w:ascii="Arial" w:cs="Arial" w:eastAsia="Arial" w:hAnsi="Arial"/>
          <w:sz w:val="16"/>
          <w:szCs w:val="16"/>
          <w:color w:val="auto"/>
        </w:rPr>
      </w:pPr>
    </w:p>
    <w:p>
      <w:pPr>
        <w:ind w:left="660" w:right="360" w:hanging="328"/>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Impacts. </w:t>
      </w:r>
      <w:r>
        <w:rPr>
          <w:rFonts w:ascii="Arial" w:cs="Arial" w:eastAsia="Arial" w:hAnsi="Arial"/>
          <w:sz w:val="18"/>
          <w:szCs w:val="18"/>
          <w:color w:val="auto"/>
        </w:rPr>
        <w:t>Our net revenues are impacted by fluctuations in the value of CAD to USD, resulting in foreign exchange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year ended December 31, 2018 compared to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higher third-party trucking costs due to an increase in lease gathering volumes and higher fuel costs due to longer hauls and increased volumes.</w:t>
      </w:r>
    </w:p>
    <w:p>
      <w:pPr>
        <w:spacing w:after="0" w:line="181" w:lineRule="exact"/>
        <w:rPr>
          <w:rFonts w:ascii="Arial" w:cs="Arial" w:eastAsia="Arial" w:hAnsi="Arial"/>
          <w:sz w:val="18"/>
          <w:szCs w:val="18"/>
          <w:i w:val="1"/>
          <w:iCs w:val="1"/>
          <w:color w:val="auto"/>
        </w:rPr>
      </w:pPr>
    </w:p>
    <w:p>
      <w:pPr>
        <w:ind w:left="660" w:right="26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The decrease in field operating costs for the year ended December 31, 2017 compared to the year ended December 31, 2016 was primarily due to lower trucking costs as pipeline expansion projects were placed into service and lease gathering volumes shifted from trucks to pipelines.</w:t>
      </w:r>
    </w:p>
    <w:p>
      <w:pPr>
        <w:spacing w:after="0" w:line="123" w:lineRule="exact"/>
        <w:rPr>
          <w:rFonts w:ascii="Arial" w:cs="Arial" w:eastAsia="Arial" w:hAnsi="Arial"/>
          <w:sz w:val="18"/>
          <w:szCs w:val="18"/>
          <w:i w:val="1"/>
          <w:iCs w:val="1"/>
          <w:color w:val="auto"/>
        </w:rPr>
      </w:pPr>
    </w:p>
    <w:p>
      <w:pPr>
        <w:ind w:left="660" w:right="60" w:hanging="328"/>
        <w:spacing w:after="0" w:line="272" w:lineRule="auto"/>
        <w:tabs>
          <w:tab w:leader="none" w:pos="660" w:val="left"/>
        </w:tabs>
        <w:numPr>
          <w:ilvl w:val="0"/>
          <w:numId w:val="6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increase in segment general and administrative expenses for the year ended December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2017 was primarily driven by (i) an increase in equity-indexed compensation expense due to a smaller impact from the decrease in unit price for the 2018 period compared to the decrease in unit price for the 2017 period as well as shorter service periods for awards outstanding during 2018 compared to 2017 and (ii) an increase in personnel costs due primarily to general salary increases and employee severance costs associated with personnel reductions. A portion of equity-indexed compensation expense was associated with awards that will or may be settled in common units (which impact our general and administrative expenses but are excluded from Segment Adjusted EBITDA and thus are reflected as an “Adjustment” in the table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Depreciation and amortization expense increased for the year ended December 31, 2018 compared to the same period in 2017 largely driven by additional depreciation associated with the completion of various capital expansion projects, partially offset by the impact of asset sales in the Rocky Mountain region in the fourth quarter of 2017 and the second quarter of 2018.</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Depreciation and amortization expense increased for the year ended December 31, 2017 compared to the same period in 2016 largely driven by additional depreciation associated with acquisitions and the completion of various capital expansion projects.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to our Consolidated Financial Statements for additional information.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Net gains/losses on asset sales and asset impairments reflects a gain for the year ended December 31, 2018 as compared to a loss for the same period in 2017, and was largely driven by (i) gains on 2018 asset sales, primarily in the Rocky Mountain region and including the sale of an undivided joint interest in a capital expansion project in the Permian Basin region, and (ii) the impact of impairments and accelerated depreciation during 2017 associated with certain of our rail and terminal assets, partially offset by smaller net gains from non-core asset sales and joint venture formations.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125"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Net gains/losses on asset sales and asset impairments reflects a loss for the year ended December 31, 2017 as compared to a gain for the same period in 2016, and was largely driven by the impact of impairments and accelerated depreciation recognized during 2017 associated with certain of our rail and terminal assets, partially offset by smaller net gains from non-core asset sales and joint venture formations.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Sale of Investment in Unconsolidated Entities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third quarter of 2018, we sold a 30% interest in BridgeTex for proceeds of $868 million, resulting in a gain of $200 million. We retained a 20% interest in BridgeTex.</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225"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the interest expense variance (in millions, except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Average</w:t>
            </w:r>
          </w:p>
        </w:tc>
        <w:tc>
          <w:tcPr>
            <w:tcW w:w="1660" w:type="dxa"/>
            <w:vAlign w:val="bottom"/>
          </w:tcPr>
          <w:p>
            <w:pPr>
              <w:jc w:val="right"/>
              <w:ind w:right="197"/>
              <w:spacing w:after="0"/>
              <w:rPr>
                <w:sz w:val="20"/>
                <w:szCs w:val="20"/>
                <w:color w:val="auto"/>
              </w:rPr>
            </w:pPr>
            <w:r>
              <w:rPr>
                <w:rFonts w:ascii="Arial" w:cs="Arial" w:eastAsia="Arial" w:hAnsi="Arial"/>
                <w:sz w:val="14"/>
                <w:szCs w:val="14"/>
                <w:b w:val="1"/>
                <w:bCs w:val="1"/>
                <w:color w:val="auto"/>
              </w:rPr>
              <w:t>Weighted Average</w:t>
            </w:r>
          </w:p>
        </w:tc>
      </w:tr>
      <w:tr>
        <w:trPr>
          <w:trHeight w:val="192"/>
        </w:trPr>
        <w:tc>
          <w:tcPr>
            <w:tcW w:w="68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8"/>
                <w:szCs w:val="8"/>
                <w:b w:val="1"/>
                <w:bCs w:val="1"/>
                <w:color w:val="auto"/>
              </w:rPr>
              <w:t>(1)</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for the year ended December 31, 2016</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Impact of borrowings under credit facilities and commercial paper program</w:t>
            </w:r>
          </w:p>
        </w:tc>
        <w:tc>
          <w:tcPr>
            <w:tcW w:w="5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lower capitalized interest</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for the year ended December 31, 2017</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Impact of retirement of senior notes</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Interest expense for the year ended December 31, 2018</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6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Excludes commitment and other fees.</w:t>
      </w:r>
    </w:p>
    <w:p>
      <w:pPr>
        <w:spacing w:after="0" w:line="20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Interest expense decreased for the year ended December 31, 2018 compared to the year ended December 31, 2017 primarily due to a lower weighted average debt balance during the 2018 period, largely resulting from the repayment of an aggregate of $950 million of senior notes in December 2017.</w:t>
      </w:r>
    </w:p>
    <w:p>
      <w:pPr>
        <w:spacing w:after="0" w:line="12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Interest expense increased for the year ended December 31, 2017 compared to the year ended December 31, 2016 primarily due to (i) a higher weighted average debt balance during the 2017 period and (ii) lower capitalized interest in the 2017 period due to fewer capital projects under construction.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11 to our Consolidated Financial Statements for additional information regarding our debt activities during the periods presented.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70"/>
        </w:trPr>
        <w:tc>
          <w:tcPr>
            <w:tcW w:w="5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 on early redemption of senior notes </w:t>
            </w:r>
            <w:r>
              <w:rPr>
                <w:rFonts w:ascii="Arial" w:cs="Arial" w:eastAsia="Arial" w:hAnsi="Arial"/>
                <w:sz w:val="25"/>
                <w:szCs w:val="25"/>
                <w:color w:val="auto"/>
                <w:vertAlign w:val="superscript"/>
              </w:rPr>
              <w:t>(1)</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tcPr>
          <w:p>
            <w:pPr>
              <w:ind w:left="40"/>
              <w:spacing w:after="0"/>
              <w:rPr>
                <w:sz w:val="20"/>
                <w:szCs w:val="20"/>
                <w:color w:val="auto"/>
              </w:rPr>
            </w:pPr>
            <w:r>
              <w:rPr>
                <w:rFonts w:ascii="Arial" w:cs="Arial" w:eastAsia="Arial" w:hAnsi="Arial"/>
                <w:sz w:val="18"/>
                <w:szCs w:val="18"/>
                <w:color w:val="auto"/>
              </w:rPr>
              <w:t>Gains/(losses) related to mark-to-market adjustment of our Preferred</w:t>
            </w: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7"/>
        </w:trPr>
        <w:tc>
          <w:tcPr>
            <w:tcW w:w="5740" w:type="dxa"/>
            <w:vAlign w:val="bottom"/>
          </w:tcPr>
          <w:p>
            <w:pPr>
              <w:ind w:left="200"/>
              <w:spacing w:after="0" w:line="257" w:lineRule="exact"/>
              <w:rPr>
                <w:sz w:val="20"/>
                <w:szCs w:val="20"/>
                <w:color w:val="auto"/>
              </w:rPr>
            </w:pPr>
            <w:r>
              <w:rPr>
                <w:rFonts w:ascii="Arial" w:cs="Arial" w:eastAsia="Arial" w:hAnsi="Arial"/>
                <w:sz w:val="18"/>
                <w:szCs w:val="18"/>
                <w:color w:val="auto"/>
              </w:rPr>
              <w:t xml:space="preserve">Distribution Rate Reset Option </w:t>
            </w:r>
            <w:r>
              <w:rPr>
                <w:rFonts w:ascii="Arial" w:cs="Arial" w:eastAsia="Arial" w:hAnsi="Arial"/>
                <w:sz w:val="25"/>
                <w:szCs w:val="25"/>
                <w:color w:val="auto"/>
                <w:vertAlign w:val="superscript"/>
              </w:rPr>
              <w:t>(2)</w:t>
            </w:r>
          </w:p>
        </w:tc>
        <w:tc>
          <w:tcPr>
            <w:tcW w:w="12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37"/>
        </w:trPr>
        <w:tc>
          <w:tcPr>
            <w:tcW w:w="5740" w:type="dxa"/>
            <w:vAlign w:val="bottom"/>
          </w:tcPr>
          <w:p>
            <w:pPr>
              <w:spacing w:after="0"/>
              <w:rPr>
                <w:sz w:val="20"/>
                <w:szCs w:val="20"/>
                <w:color w:val="auto"/>
              </w:rPr>
            </w:pPr>
          </w:p>
        </w:tc>
        <w:tc>
          <w:tcPr>
            <w:tcW w:w="12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r>
      <w:tr>
        <w:trPr>
          <w:trHeight w:val="27"/>
        </w:trPr>
        <w:tc>
          <w:tcPr>
            <w:tcW w:w="57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See Note 11 to our Consolidated Financial Statements for additional information.</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See Note 13 to our Consolidated Financial Statements for additional information.</w:t>
      </w:r>
    </w:p>
    <w:p>
      <w:pPr>
        <w:spacing w:after="0" w:line="198"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Income tax expense increased for the year ended December 31, 2018 compared to the year ended December 31, 2017 and for the year ended December 31, 2017 compared to the year ended December 31, 2016 primarily due to higher year-over-year income as impacted by fluctuations in derivative mark-to-market valuations in our Canadian operations across the comparative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2018 marked a year of generally favorable fundamentals supporting our business versus the previous three years of relative cyclical lows. Brent and WTI Crude oil prices were largely constructive for our producer customers throughout the year ranging from a high of $86/$76 to a low of $50/$43, averaging $72/$65, respectively, but ended the year toward the low end of these ranges. 2018 average horizontal rig count in the U.S. increased more than 20% versus 2017, and crude oil production grew in every U.S. basin in which we have a meaningful presence.</w:t>
      </w:r>
    </w:p>
    <w:p>
      <w:pPr>
        <w:spacing w:after="0" w:line="17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late 2018, as crude oil inventories rose, crude oil prices declined, prompting concerns that the crude oil market was over supplied. In December alone, WTI crude prices dipped below $50 per barrel, Permian Basin wellhead prices dipped below $40 per barrel, OPEC and Russia announced plans to curb oil production by approximately 1.2 million barrels per day in the first half of 2019 and in Canada, the province of Alberta took the unprecedented step of mandating curtailment of crude oil production by approximately 325,000 barrels per day in 2019 (such production limits were relaxed in February 2019 to allow an additional 75,000 barrels per day of production). Although crude oil prices have recovered and regional basis differentials have narrowed, the combination of the previously mentioned factors appears to have induced a level of caution among our producer customers and may result in lower capital investment year-over-year and less production growth than previously forecast.</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With respect to the crude oil midstream sector, production growth and limited pipeline take-away capacity caused pipelines in many basins to operate at high levels of utilization during 2018, which was favorable for results in both our Transportation and Supply and Logistics segments. Specifically, regional production increases created concerns regarding pipeline take-away capacity, particularly in the Permian Basin and Western Canada, which in turn caused crude oil location differentials in these areas to widen relative to historical norms. This environment created opportunities for our Supply and Logistics segment to generate additional margin. Entering 2019, regional basis differentials have narrowed, and while we may experience periods of volatility in 2019, we do not expect regional basis differentials to be as wide as they were in 2018 due to mandated production curtailments in Canada and the commissioning of new pipeline takeaway capacity from the Permian Basin in 2019.</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Looking forward, we believe the fundamental outlook for the crude oil production in the U.S. to be constructive. Underpinned by technological advancements, and assuming a reasonable crude oil price. U.S. Lower 48 crude oil production is positioned to grow significantly over the next several years, with the Permian Basin representing the most attractive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significant growth region. We believe we are well positioned to grow our fee-based businesses as production in the U.S. increases.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Although the fundamental crude oil production growth outlook is favorable, midstream competition remains high, particularly in the crude oil transportation and terminalling businesses, leading to potential infrastructure overbuild in multiple basins in the U.S. An overbuild of crude oil pipelines could result in location differentials being in-line with or below pipeline tariffs (similar to the impact experienced in recent years). Additionally, although our positioning for the next few years remains solid, we expect to experience continued competitive pressures that could negatively impact our Supply and Logistics activities and certain of our legacy pipelines that are not supported by shipper commitments.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With respect to the financial markets for our equity securities, investor sentiment for energy investments appeared to be at a relative low throughout 2018. Capital inflows in the upstream and midstream sectors have been historically low, and stock performance has lagged broader markets. As a result, access to conventional financial markets historically relied upon by master limited partnerships (“MLP”) to finance growth-oriented projects and manage debt levels has been both challenging and limited.</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August 2017, we announced a plan to reduce our leverage and improve our financial flexibility. Since August of 2017, we have completed a combination of actions, including: reducing our distributions to unitholders, issuing approximately $800 million of preferred equity, completing approximately $2 billion of divestitures, and managing our working capital lower, while funding an expanded capital investment program and growing cash flow. The combination of these factors enabled us to reduce total debt since June 2017 by approximately $2 billion and meaningfully improve our leverage metrics. For the foreseeable future, we plan to fund the equity portion of our routine organic growth capital program with cash flow in excess of distributions, while targeting lower leverage and giving us the opportunity to consider increasing distributions to unitholders over time.</w:t>
      </w:r>
    </w:p>
    <w:p>
      <w:pPr>
        <w:spacing w:after="0" w:line="178" w:lineRule="exact"/>
        <w:rPr>
          <w:sz w:val="20"/>
          <w:szCs w:val="20"/>
          <w:color w:val="auto"/>
        </w:rPr>
      </w:pPr>
    </w:p>
    <w:p>
      <w:pPr>
        <w:ind w:right="240" w:firstLine="180"/>
        <w:spacing w:after="0" w:line="277" w:lineRule="auto"/>
        <w:rPr>
          <w:sz w:val="20"/>
          <w:szCs w:val="20"/>
          <w:color w:val="auto"/>
        </w:rPr>
      </w:pPr>
      <w:r>
        <w:rPr>
          <w:rFonts w:ascii="Arial" w:cs="Arial" w:eastAsia="Arial" w:hAnsi="Arial"/>
          <w:sz w:val="18"/>
          <w:szCs w:val="18"/>
          <w:color w:val="auto"/>
        </w:rPr>
        <w:t>However, we can provide no assurance that we will be able to achieve the objectives set forth above or that our efforts will generate targeted results. See Item 1A. “Risk Factors—Risks Related to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Idled and Underutilized Assets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2015, we shut down Line 901 and a portion of Line 903 in California following the release of crude oil from Line 901 (see Note 18 to our Consolidated Financial Statements for additional information). During the period since these pipelines were idled, we have been assessing potential alternatives in order to return them to operation. Some of the alternatives under consideration could result in incurring costs associated with retiring certain assets or an impairment of some or all of the carrying value of the idled property and equipment, which was approximately $120 million as of December 31, 2018.</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of December 31, 2018, we owned a 54% undivided joint interest in the Capline system, which originates in St. James, Louisiana and terminates in Patoka, Illinois. The construction of new crude oil pipeline infrastructure and the ongoing changing crude oil flows in the United States has resulted in a decline in volumes on the Capline system to levels that cannot sustain operations. Northbound service has been discontinued and the operator is in the process of purging the oil from the system and idling the pipeline. In January 2019, the owners converted their undivided joint interests into a limited liability company and launched a binding open season to solicit shipper interest for a reversal of Capline and the initiation of southbound service on Capline from Patoka, Illinois to St. James, Louisiana and potentially on our Diamond Pipeline and Capline from Cushing, Oklahoma to St. James. If Capline does not secure a sufficient amount of shipper interest to support a reversal of the pipeline system, we could incur costs associated with retiring the system and an impairment of the carrying value of our interest in the Capline system, which was $178 million, exclusive of linefill, as of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primary sources of liquidity are (i) cash flow from operating activities as further discussed below in the section entitled “—Cash Flow from Operating Activities,” (ii) borrowings under our credit facilities or commercial paper program and (iii) funds received from sales of equity and debt securities. In addition, we may supplement these sources of liquidity with proceeds from our divestiture program, as further discussed below in the section entitled “— Acquisitions, Investments, Expansion Capital Expenditures and Divestitures.”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our long-term debt and (v) distributions to our unitholders. We generally expect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2018, we had a working capital surplus of $77 million and approximately $2.9 billion of liquidity available to meet our ongoing operating, investing and financing needs, subject to continued covenant compliance, as noted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595"/>
              <w:spacing w:after="0"/>
              <w:rPr>
                <w:sz w:val="20"/>
                <w:szCs w:val="20"/>
                <w:color w:val="auto"/>
              </w:rPr>
            </w:pPr>
            <w:r>
              <w:rPr>
                <w:rFonts w:ascii="Arial" w:cs="Arial" w:eastAsia="Arial" w:hAnsi="Arial"/>
                <w:sz w:val="14"/>
                <w:szCs w:val="14"/>
                <w:b w:val="1"/>
                <w:bCs w:val="1"/>
                <w:color w:val="auto"/>
              </w:rPr>
              <w:t>As of</w:t>
            </w:r>
          </w:p>
        </w:tc>
      </w:tr>
      <w:tr>
        <w:trPr>
          <w:trHeight w:val="192"/>
        </w:trPr>
        <w:tc>
          <w:tcPr>
            <w:tcW w:w="9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December 31, 2018</w:t>
            </w:r>
          </w:p>
        </w:tc>
      </w:tr>
      <w:tr>
        <w:trPr>
          <w:trHeight w:val="270"/>
        </w:trPr>
        <w:tc>
          <w:tcPr>
            <w:tcW w:w="9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1,434</w:t>
            </w:r>
          </w:p>
        </w:tc>
      </w:tr>
      <w:tr>
        <w:trPr>
          <w:trHeight w:val="270"/>
        </w:trPr>
        <w:tc>
          <w:tcPr>
            <w:tcW w:w="96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5"/>
                <w:szCs w:val="25"/>
                <w:color w:val="auto"/>
                <w:vertAlign w:val="superscript"/>
              </w:rPr>
              <w:t>(1) (2)</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1,382</w:t>
            </w:r>
          </w:p>
        </w:tc>
      </w:tr>
      <w:tr>
        <w:trPr>
          <w:trHeight w:val="244"/>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2,816</w:t>
            </w:r>
          </w:p>
        </w:tc>
      </w:tr>
      <w:tr>
        <w:trPr>
          <w:trHeight w:val="243"/>
        </w:trPr>
        <w:tc>
          <w:tcPr>
            <w:tcW w:w="96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66</w:t>
            </w:r>
          </w:p>
        </w:tc>
      </w:tr>
      <w:tr>
        <w:trPr>
          <w:trHeight w:val="27"/>
        </w:trPr>
        <w:tc>
          <w:tcPr>
            <w:tcW w:w="9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2,882</w:t>
            </w:r>
          </w:p>
        </w:tc>
      </w:tr>
      <w:tr>
        <w:trPr>
          <w:trHeight w:val="20"/>
        </w:trPr>
        <w:tc>
          <w:tcPr>
            <w:tcW w:w="9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420" w:hanging="652"/>
        <w:spacing w:after="0" w:line="216" w:lineRule="auto"/>
        <w:tabs>
          <w:tab w:leader="none" w:pos="660" w:val="left"/>
        </w:tabs>
        <w:numPr>
          <w:ilvl w:val="0"/>
          <w:numId w:val="66"/>
        </w:numPr>
        <w:rPr>
          <w:rFonts w:ascii="Arial" w:cs="Arial" w:eastAsia="Arial" w:hAnsi="Arial"/>
          <w:sz w:val="25"/>
          <w:szCs w:val="25"/>
          <w:color w:val="auto"/>
          <w:vertAlign w:val="superscript"/>
        </w:rPr>
      </w:pPr>
      <w:r>
        <w:rPr>
          <w:rFonts w:ascii="Arial" w:cs="Arial" w:eastAsia="Arial" w:hAnsi="Arial"/>
          <w:sz w:val="18"/>
          <w:szCs w:val="18"/>
          <w:color w:val="auto"/>
        </w:rPr>
        <w:t>Amounts outstanding under the PAA commercial paper program reduce available capacity under the facilities. There were no outstanding PAA commercial paper borrowings at December 31, 2018.</w:t>
      </w:r>
    </w:p>
    <w:p>
      <w:pPr>
        <w:spacing w:after="0" w:line="95" w:lineRule="exact"/>
        <w:rPr>
          <w:rFonts w:ascii="Arial" w:cs="Arial" w:eastAsia="Arial" w:hAnsi="Arial"/>
          <w:sz w:val="25"/>
          <w:szCs w:val="25"/>
          <w:color w:val="auto"/>
          <w:vertAlign w:val="superscript"/>
        </w:rPr>
      </w:pPr>
    </w:p>
    <w:p>
      <w:pPr>
        <w:ind w:left="660" w:right="120" w:hanging="652"/>
        <w:spacing w:after="0" w:line="216" w:lineRule="auto"/>
        <w:tabs>
          <w:tab w:leader="none" w:pos="660" w:val="left"/>
        </w:tabs>
        <w:numPr>
          <w:ilvl w:val="0"/>
          <w:numId w:val="66"/>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senior unsecured revolving credit facility and the senior secured hedged inventory facility was reduced by outstanding letters of credit of $166 million and $18 million, respectively.</w:t>
      </w:r>
    </w:p>
    <w:p>
      <w:pPr>
        <w:spacing w:after="0" w:line="20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our credit facilities, which provide the financial backstop for our commercial paper program, is subject to ongoing compliance with covenants. As of December 31, 2018, we were in compliance with all such covenants. Also, see Item 1A. “Risk Factors” for further discussion regarding such risks that may impact our liquidity and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16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Net cash provided by operating activities for the years ended December 31, 2018, 2017 and 2016 was approximately $2.6 billion, $2.5 billion and $0.7 billion, respectively, and primarily resulted from earnings from our operations. Additionally,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125"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discussed further below, changes during these periods in our inventory levels and associated margin balances required as part of our hedging activities impacted our cash flow from operating activities.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2018, our cash provided by operating activities was favorably impacted by approximately $250 million of cash received for transactions for which the revenue has been deferred pending the completion of future performance obligations. See Note 3 to our Consolidated Financial Statements for additional information. The favorable impact was partially offset by an increase in the volume of crude oil inventory that we held, which was funded from earnings from our operations and proceeds from asset sales.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2017, net cash provided by operating activities was positively impacted by decreases in (i) the volume of crude oil inventory that we held and</w:t>
      </w:r>
    </w:p>
    <w:p>
      <w:pPr>
        <w:spacing w:after="0" w:line="46" w:lineRule="exact"/>
        <w:rPr>
          <w:sz w:val="20"/>
          <w:szCs w:val="20"/>
          <w:color w:val="auto"/>
        </w:rPr>
      </w:pPr>
    </w:p>
    <w:p>
      <w:pPr>
        <w:ind w:right="320" w:firstLine="8"/>
        <w:spacing w:after="0" w:line="273" w:lineRule="auto"/>
        <w:tabs>
          <w:tab w:leader="none" w:pos="26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margin balances required as part of our hedging activities, both of which had been funded by short-term debt. This was consistent with our plan to reduce our hedged inventory volumes, and the cash inflows associated with these items resulted in a favorable impact on our cash provided by operating activities. However, the favorable effects from such activities were partially offset by higher weighted average prices and volumes for NGL inventory that was purchased and stored at the end of the 2017 period in anticipation of the 2017-2018 heating season.</w:t>
      </w:r>
    </w:p>
    <w:p>
      <w:pPr>
        <w:spacing w:after="0" w:line="17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2016, we increased our inventory levels and margin balances required as part of our hedging activities that were funded by short-term debt, resulting in an unfavorable impact on our cash provided by operating activities. Furthermore, cash provided by operating activities as compared to prior periods was unfavorably impacted by the decrease in cash from overall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Investments, Expansion Capital Expenditures and Divestitures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to our operating needs discussed above, we also use cash for our acquisition activities and expansion capital projects. Historically, we have financed these expenditures primarily with cash generated by operating activities and the financing activities discussed in “—Equity and Debt Financing Activities” below. In recent years, we have also used proceeds from our divestiture program, as discussed further below. We have made and will continue to make capital expenditures for acquisitions, expansion capital projects and maintenance activities. Also see “—Acquisitions, Capital Projects and Divestitures” for further discussion of such capital expenditures.</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The price of acquisitions includes cash paid, assumed liabilities and net working capital items. Because of the non-cash items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total price of the acquisition and the timing of certain cash payments, the net cash paid may differ significantly from the total price of the acquisitions completed during the year. We did not acquire any assets in 2018. During the years ended December 31, 2017 and 2016, we paid cash of $1.280 billion (net of cash acquired of $4 million), and $282 million (net of cash acquired of $7 million), respectively, for acquisitions.</w:t>
      </w:r>
    </w:p>
    <w:p>
      <w:pPr>
        <w:spacing w:after="0" w:line="17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Divestitures</w:t>
      </w:r>
      <w:r>
        <w:rPr>
          <w:rFonts w:ascii="Arial" w:cs="Arial" w:eastAsia="Arial" w:hAnsi="Arial"/>
          <w:sz w:val="18"/>
          <w:szCs w:val="18"/>
          <w:color w:val="auto"/>
        </w:rPr>
        <w:t>. In 2016, we initiated a program to evaluate potential sales of non-core assets and/or sales of partial interests in assets to strategic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partners to optimize our asset portfolio and strengthen our balance sheet and leverage metrics. During the years ended December 31, 2017 and 2016, we received proceeds of $1.083 billion and $569 million (net of $85 million paid for a remaining interest in a pipeline that was subsequently sold during 2016), respectively. As part of our funding plans for our 2018 expansion capital program, we set a target to raise $700 million through divestitures in 2018. We exceeded this target, receiving proceeds of approximately $1.3 billion during 2018, which included proceeds from the sale of a portion of our interest in BridgeTex in the third quarter of 2018. Excess proceeds above our targeted amounts were used to reduce debt and fund incremental expansion opportunities. We expect to continue these efforts in 2019.</w:t>
      </w:r>
    </w:p>
    <w:p>
      <w:pPr>
        <w:spacing w:after="0" w:line="18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2019 Capital Projects. </w:t>
      </w:r>
      <w:r>
        <w:rPr>
          <w:rFonts w:ascii="Arial" w:cs="Arial" w:eastAsia="Arial" w:hAnsi="Arial"/>
          <w:sz w:val="18"/>
          <w:szCs w:val="18"/>
          <w:color w:val="auto"/>
        </w:rPr>
        <w:t>The majority of our 2019 expansion capital program will be invested in our fee-based Transportation and Facilities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that our investments will have minimal contributions to our 2019 results, but will provide growth for 2020 and beyond. Our 2019 capital program includes the following projects as of February 2019 with the estimated cost for the entire year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Projects</w:t>
            </w:r>
          </w:p>
        </w:tc>
        <w:tc>
          <w:tcPr>
            <w:tcW w:w="4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 Projects</w:t>
            </w:r>
          </w:p>
        </w:tc>
        <w:tc>
          <w:tcPr>
            <w:tcW w:w="496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 Projects</w:t>
            </w:r>
          </w:p>
        </w:tc>
        <w:tc>
          <w:tcPr>
            <w:tcW w:w="4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4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64"/>
        </w:trPr>
        <w:tc>
          <w:tcPr>
            <w:tcW w:w="4900" w:type="dxa"/>
            <w:vAlign w:val="bottom"/>
            <w:gridSpan w:val="2"/>
          </w:tcPr>
          <w:p>
            <w:pPr>
              <w:ind w:left="180"/>
              <w:spacing w:after="0" w:line="264" w:lineRule="exact"/>
              <w:rPr>
                <w:sz w:val="20"/>
                <w:szCs w:val="20"/>
                <w:color w:val="auto"/>
              </w:rPr>
            </w:pPr>
            <w:r>
              <w:rPr>
                <w:rFonts w:ascii="Arial" w:cs="Arial" w:eastAsia="Arial" w:hAnsi="Arial"/>
                <w:sz w:val="18"/>
                <w:szCs w:val="18"/>
                <w:color w:val="auto"/>
              </w:rPr>
              <w:t xml:space="preserve">Total Projected 2019 Expansion Capital Expenditures </w:t>
            </w:r>
            <w:r>
              <w:rPr>
                <w:rFonts w:ascii="Arial" w:cs="Arial" w:eastAsia="Arial" w:hAnsi="Arial"/>
                <w:sz w:val="25"/>
                <w:szCs w:val="25"/>
                <w:color w:val="auto"/>
                <w:vertAlign w:val="superscript"/>
              </w:rPr>
              <w:t>(1)</w:t>
            </w:r>
          </w:p>
        </w:tc>
        <w:tc>
          <w:tcPr>
            <w:tcW w:w="4460" w:type="dxa"/>
            <w:vAlign w:val="bottom"/>
            <w:gridSpan w:val="2"/>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vMerge w:val="restart"/>
          </w:tcPr>
          <w:p>
            <w:pPr>
              <w:jc w:val="right"/>
              <w:ind w:right="33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4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680" w:hanging="652"/>
        <w:spacing w:after="0" w:line="216" w:lineRule="auto"/>
        <w:tabs>
          <w:tab w:leader="none" w:pos="66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Amounts reflect our expectation that certain projects will be owned in a joint venture structure with a proportionate share of the project cost dispersed among the partners.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Commercial Paper Program and Indentures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At December 31, 2018, we had three primary credit arrangements. These include a $1.6 billion senior unsecured revolving credit facility maturing in 2023, a $1.4 billion senior secured hedged inventory facility maturing in 2021 and a $3.0 billion unsecured commercial paper program that is backstopped by our revolving credit facility and our hedged inventory facility. Additionally, we have two $100 million GO Zone term loans as discussed further below. The credit agreements for our revolving credit facilities (which impact our ability to access our commercial paper program because they provide the financial backstop that supports our short-term credit ratings) and our term loans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2018.</w:t>
      </w:r>
    </w:p>
    <w:p>
      <w:pPr>
        <w:spacing w:after="0" w:line="17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August 2018, we entered into an agreement for two $100 million GO Zone term loans from the remarketing of our GO Bonds. The GO Zone term loans accrue interest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 See Note 11 to our Consolidated Financial Statements for additional information.</w:t>
      </w:r>
    </w:p>
    <w:p>
      <w:pPr>
        <w:spacing w:after="0" w:line="154"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During the year ended December 31, 2018, we had net repayments on our credit facilities and commercial paper program of $901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During the year ended December 31, 2017, we had net repayments on our credit facilities and commercial paper program of $654 million. The net repayments resulted primarily from cash flow from operating activities and cash received from our equity activities and asset divestitures, which offset borrowings during the period related to funding needs for (i) acquisition and capital investments, (ii) repayment of our $400 million, 6.13% senior notes in January 2017, (iii) repayment of our $600 million, 6.50% senior notes and our $350 million, 8.75% senior notes in December 2017 and (iv) other general partnership purposes.</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During the year ended December 31, 2016, we had net repayments on our credit facilities and commercial paper program of $759 million. The net repayments resulted primarily from cash flow from operating activities as well as cash received from our equity issuances and asset divestitures, which offset borrowings during the period related to funding needs for (i) inventory purchases and related margin balances required as part of our hedging activities, (ii) capital investments, (iii) repayment of our $175 million senior notes in August 2016, (iv) repayment of $642 million of borrowings that we assumed under AAP’s senior secured credit agreement in connection with the Simplification Transactions and (v) other general partnership purposes.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financing activities primarily relate to funding expansion capital projects, acquisitions and refinancing of our debt maturities, as well as short-term working capital (including borrowings for NYMEX and ICE margin deposits) and hedged inventory borrowings related to our NGL business and contango market activities. Our financing activities have primarily consisted of equity offerings, senior notes offerings and borrowings and repayments under our credit facilities or commercial paper program and other debt agreements, as well as payment of distributions to our unitholders.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Registration Statements</w:t>
      </w:r>
      <w:r>
        <w:rPr>
          <w:rFonts w:ascii="Arial" w:cs="Arial" w:eastAsia="Arial" w:hAnsi="Arial"/>
          <w:sz w:val="18"/>
          <w:szCs w:val="18"/>
          <w:color w:val="auto"/>
        </w:rPr>
        <w:t>. We periodically access the capital markets for both equity and debt financing. We have filed with the SEC a universal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that, subject to effectiveness at the time of use, allows us to issue up to an aggregate of $1.1 billion of debt or equity securities (“Traditional Shelf”). All issuances of equity securities associated with our continuous offering program have been issued pursuant to the Traditional Shelf. At December 31, 2018,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The issuance of our Series B preferred units in October 2017, discussed below, was conducted under our WKSI Shelf.</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of Preferred Units</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i w:val="1"/>
          <w:iCs w:val="1"/>
          <w:color w:val="auto"/>
        </w:rPr>
        <w:t>Series A Preferred Units</w:t>
      </w:r>
      <w:r>
        <w:rPr>
          <w:rFonts w:ascii="Arial" w:cs="Arial" w:eastAsia="Arial" w:hAnsi="Arial"/>
          <w:sz w:val="18"/>
          <w:szCs w:val="18"/>
          <w:color w:val="auto"/>
        </w:rPr>
        <w:t>. In January 2016, we completed the private placement of approximately 61.0 million Series A preferred units at a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$26.25 per unit resulting in total net proceeds to us, after deducting offering expenses and the 2% transaction fee due to the purchasers and including our 2% general partner’s proportionate contribution, of approximately $1.6 billion. We used the net proceeds for capital expenditures, repayment of debt and general partnership purposes.</w:t>
      </w:r>
    </w:p>
    <w:p>
      <w:pPr>
        <w:spacing w:after="0" w:line="18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Commencing on January 28, 2018, the Series A preferred units are convertible at the purchasers’ option into common units on a one-for-one basis, subject to certain conditions, and will be convertible at our option in certain circumstances commencing January 28, 2019. See “Distributions to Our Unitholders ” below and Note 12 to our Consolidated Financial Statements for additional information regarding the Series A preferred units.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Series B Preferred Units</w:t>
      </w:r>
      <w:r>
        <w:rPr>
          <w:rFonts w:ascii="Arial" w:cs="Arial" w:eastAsia="Arial" w:hAnsi="Arial"/>
          <w:sz w:val="18"/>
          <w:szCs w:val="18"/>
          <w:color w:val="auto"/>
        </w:rPr>
        <w:t>. On October 10, 2017, we issued 800,000 Series B preferred units at a price to the public of $1,000 per unit. We used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$788 million, after deducting the underwriters’ discounts and offering expenses, from the issuance of the Series B preferred units to repay amounts outstanding under our credit facilities and commercial paper program and for general partnership purposes, including expenditures for our capital program. See “Distributions to Our Unitholders ” below and Note 12 to our Consolidated Financial Statements for additional information regarding the Series B preferred units.</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While our Series A and Series B preferred units are considered equity securities and are classified within partners’ capital on our Consolidated Balance Sheet, the two out of the three rating agencies that rate us as investment grade only ascribe 50% equity credit with the remaining 50% considered debt for purposes of determining our credit ratings. The remaining rating agency ascribes 100% equity credit while we are rated below investment grade, but will change its approach to 50% equity credit and 50% debt if the rating agency changes our rating to investment grade.</w:t>
      </w:r>
    </w:p>
    <w:p>
      <w:pPr>
        <w:spacing w:after="0" w:line="15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Sales of Common Units</w:t>
      </w:r>
      <w:r>
        <w:rPr>
          <w:rFonts w:ascii="Arial" w:cs="Arial" w:eastAsia="Arial" w:hAnsi="Arial"/>
          <w:sz w:val="18"/>
          <w:szCs w:val="18"/>
          <w:color w:val="auto"/>
        </w:rPr>
        <w:t>. We did not issue any common units during the year ended December 31, 2018. The following table summarizes our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common units during the years ended December 31, 2017 and 2016 (net proceeds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Type of Offering</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Units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 xml:space="preserve">Net Proceeds </w:t>
            </w:r>
            <w:r>
              <w:rPr>
                <w:rFonts w:ascii="Arial" w:cs="Arial" w:eastAsia="Arial" w:hAnsi="Arial"/>
                <w:sz w:val="8"/>
                <w:szCs w:val="8"/>
                <w:b w:val="1"/>
                <w:bCs w:val="1"/>
                <w:color w:val="auto"/>
                <w:w w:val="98"/>
              </w:rPr>
              <w:t>(1) (2)</w:t>
            </w:r>
          </w:p>
        </w:tc>
        <w:tc>
          <w:tcPr>
            <w:tcW w:w="340" w:type="dxa"/>
            <w:vAlign w:val="bottom"/>
            <w:tcBorders>
              <w:bottom w:val="single" w:sz="8" w:color="CCEEFF"/>
            </w:tcBorders>
          </w:tcPr>
          <w:p>
            <w:pPr>
              <w:spacing w:after="0"/>
              <w:rPr>
                <w:sz w:val="16"/>
                <w:szCs w:val="16"/>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Continuous Offering Program</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4,033,567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r>
      <w:tr>
        <w:trPr>
          <w:trHeight w:val="270"/>
        </w:trPr>
        <w:tc>
          <w:tcPr>
            <w:tcW w:w="3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tcPr>
          <w:p>
            <w:pPr>
              <w:spacing w:after="0"/>
              <w:rPr>
                <w:sz w:val="23"/>
                <w:szCs w:val="23"/>
                <w:color w:val="auto"/>
              </w:rPr>
            </w:pPr>
          </w:p>
        </w:tc>
        <w:tc>
          <w:tcPr>
            <w:tcW w:w="3900" w:type="dxa"/>
            <w:vAlign w:val="bottom"/>
            <w:tcBorders>
              <w:bottom w:val="single" w:sz="8" w:color="CCEEFF"/>
            </w:tcBorders>
            <w:gridSpan w:val="2"/>
          </w:tcPr>
          <w:p>
            <w:pPr>
              <w:jc w:val="center"/>
              <w:ind w:right="120"/>
              <w:spacing w:after="0" w:line="270" w:lineRule="exact"/>
              <w:rPr>
                <w:sz w:val="20"/>
                <w:szCs w:val="20"/>
                <w:color w:val="auto"/>
              </w:rPr>
            </w:pPr>
            <w:r>
              <w:rPr>
                <w:rFonts w:ascii="Arial" w:cs="Arial" w:eastAsia="Arial" w:hAnsi="Arial"/>
                <w:sz w:val="18"/>
                <w:szCs w:val="18"/>
                <w:color w:val="auto"/>
                <w:w w:val="89"/>
              </w:rPr>
              <w:t xml:space="preserve">Omnibus Agreement </w:t>
            </w:r>
            <w:r>
              <w:rPr>
                <w:rFonts w:ascii="Arial" w:cs="Arial" w:eastAsia="Arial" w:hAnsi="Arial"/>
                <w:sz w:val="25"/>
                <w:szCs w:val="25"/>
                <w:color w:val="auto"/>
                <w:w w:val="89"/>
                <w:vertAlign w:val="superscript"/>
              </w:rPr>
              <w:t>(4)</w:t>
            </w: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50,086,326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1,535</w:t>
            </w:r>
          </w:p>
        </w:tc>
        <w:tc>
          <w:tcPr>
            <w:tcW w:w="340" w:type="dxa"/>
            <w:vAlign w:val="bottom"/>
            <w:tcBorders>
              <w:bottom w:val="single" w:sz="8" w:color="CCEEFF"/>
            </w:tcBorders>
          </w:tcPr>
          <w:p>
            <w:pPr>
              <w:jc w:val="right"/>
              <w:ind w:right="97"/>
              <w:spacing w:after="0"/>
              <w:rPr>
                <w:sz w:val="20"/>
                <w:szCs w:val="20"/>
                <w:color w:val="auto"/>
              </w:rPr>
            </w:pPr>
            <w:r>
              <w:rPr>
                <w:rFonts w:ascii="Arial" w:cs="Arial" w:eastAsia="Arial" w:hAnsi="Arial"/>
                <w:sz w:val="13"/>
                <w:szCs w:val="13"/>
                <w:color w:val="auto"/>
              </w:rPr>
              <w:t>(5)</w:t>
            </w: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0"/>
              </w:rPr>
              <w:t>2017 Total</w:t>
            </w:r>
          </w:p>
        </w:tc>
        <w:tc>
          <w:tcPr>
            <w:tcW w:w="3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54,119,893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1,664</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3"/>
        </w:trPr>
        <w:tc>
          <w:tcPr>
            <w:tcW w:w="3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0"/>
              </w:rPr>
              <w:t>2016 Total</w:t>
            </w:r>
          </w:p>
        </w:tc>
        <w:tc>
          <w:tcPr>
            <w:tcW w:w="3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2"/>
              </w:rPr>
              <w:t>Continuous Offering Program</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26,278,288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805</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r>
      <w:tr>
        <w:trPr>
          <w:trHeight w:val="27"/>
        </w:trPr>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80" w:hanging="652"/>
        <w:spacing w:after="0" w:line="214" w:lineRule="auto"/>
        <w:tabs>
          <w:tab w:leader="none" w:pos="660"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color w:val="auto"/>
        </w:rPr>
        <w:t>For periods prior to the closing of the Simplification Transactions, the amounts include our general partner’s proportionate capital contribution of $9 million during 2016.</w:t>
      </w:r>
    </w:p>
    <w:p>
      <w:pPr>
        <w:spacing w:after="0" w:line="94" w:lineRule="exact"/>
        <w:rPr>
          <w:rFonts w:ascii="Arial" w:cs="Arial" w:eastAsia="Arial" w:hAnsi="Arial"/>
          <w:sz w:val="25"/>
          <w:szCs w:val="25"/>
          <w:color w:val="auto"/>
          <w:vertAlign w:val="superscript"/>
        </w:rPr>
      </w:pPr>
    </w:p>
    <w:p>
      <w:pPr>
        <w:ind w:left="660" w:right="40" w:hanging="652"/>
        <w:spacing w:after="0" w:line="226" w:lineRule="auto"/>
        <w:tabs>
          <w:tab w:leader="none" w:pos="660"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common unit issuances under our Continuous Offering Program. We paid $1 million and $8 million of such commissions during 2017 and 2016, respectively. The net proceeds from these offerings were used for general partnership purposes.</w:t>
      </w:r>
    </w:p>
    <w:p>
      <w:pPr>
        <w:spacing w:after="0" w:line="95" w:lineRule="exact"/>
        <w:rPr>
          <w:rFonts w:ascii="Arial" w:cs="Arial" w:eastAsia="Arial" w:hAnsi="Arial"/>
          <w:sz w:val="25"/>
          <w:szCs w:val="25"/>
          <w:color w:val="auto"/>
          <w:vertAlign w:val="superscript"/>
        </w:rPr>
      </w:pPr>
    </w:p>
    <w:p>
      <w:pPr>
        <w:ind w:left="660" w:right="60" w:hanging="652"/>
        <w:spacing w:after="0" w:line="250" w:lineRule="auto"/>
        <w:tabs>
          <w:tab w:leader="none" w:pos="660" w:val="left"/>
        </w:tabs>
        <w:numPr>
          <w:ilvl w:val="0"/>
          <w:numId w:val="69"/>
        </w:numPr>
        <w:rPr>
          <w:rFonts w:ascii="Arial" w:cs="Arial" w:eastAsia="Arial" w:hAnsi="Arial"/>
          <w:sz w:val="24"/>
          <w:szCs w:val="24"/>
          <w:color w:val="auto"/>
          <w:vertAlign w:val="superscript"/>
        </w:rPr>
      </w:pPr>
      <w:r>
        <w:rPr>
          <w:rFonts w:ascii="Arial" w:cs="Arial" w:eastAsia="Arial" w:hAnsi="Arial"/>
          <w:sz w:val="17"/>
          <w:szCs w:val="17"/>
          <w:color w:val="auto"/>
        </w:rPr>
        <w:t>Pursuant to the Omnibus Agreement entered into by the Plains Entities in connection with the Simplification Transactions, PAGP has agreed to use the net proceeds from any public or private offering and sale of Class A shares,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purchase from us an equivalent number of our common units.</w:t>
      </w:r>
    </w:p>
    <w:p>
      <w:pPr>
        <w:spacing w:after="0" w:line="86" w:lineRule="exact"/>
        <w:rPr>
          <w:rFonts w:ascii="Arial" w:cs="Arial" w:eastAsia="Arial" w:hAnsi="Arial"/>
          <w:sz w:val="24"/>
          <w:szCs w:val="24"/>
          <w:color w:val="auto"/>
          <w:vertAlign w:val="superscript"/>
        </w:rPr>
      </w:pPr>
    </w:p>
    <w:p>
      <w:pPr>
        <w:ind w:left="660" w:right="100" w:hanging="652"/>
        <w:spacing w:after="0" w:line="232" w:lineRule="auto"/>
        <w:tabs>
          <w:tab w:leader="none" w:pos="660"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color w:val="auto"/>
        </w:rPr>
        <w:t>Includes (i) approximately 1.8 million common units issued to AAP in connection with PAGP’s issuance of Class A shares under its Continuous Offering Program and (ii) 48.3 million common units issued to AAP in connection with PAGP’s March 2017 underwritten offering. We used the net proceeds we received from the sale of such common units for general partnership purposes, including repayment of amounts borrowed to fund the ACC Acquisition.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Issuances of Senior Notes. </w:t>
      </w:r>
      <w:r>
        <w:rPr>
          <w:rFonts w:ascii="Arial" w:cs="Arial" w:eastAsia="Arial" w:hAnsi="Arial"/>
          <w:sz w:val="18"/>
          <w:szCs w:val="18"/>
          <w:color w:val="auto"/>
        </w:rPr>
        <w:t>We did not issue any senior unsecured notes during the years ended December 31, 2018 or 2017. During 2016, we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senior unsecured notes as summarized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40" w:type="dxa"/>
            <w:vAlign w:val="bottom"/>
            <w:vMerge w:val="restart"/>
          </w:tcPr>
          <w:p>
            <w:pPr>
              <w:spacing w:after="0"/>
              <w:rPr>
                <w:sz w:val="14"/>
                <w:szCs w:val="14"/>
                <w:color w:val="auto"/>
              </w:rPr>
            </w:pP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20" w:type="dxa"/>
            <w:vAlign w:val="bottom"/>
            <w:vMerge w:val="restart"/>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5"/>
              </w:rPr>
              <w:t>Face Value</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4"/>
                <w:szCs w:val="14"/>
                <w:color w:val="auto"/>
              </w:rPr>
            </w:pPr>
          </w:p>
        </w:tc>
        <w:tc>
          <w:tcPr>
            <w:tcW w:w="960" w:type="dxa"/>
            <w:vAlign w:val="bottom"/>
          </w:tcPr>
          <w:p>
            <w:pPr>
              <w:jc w:val="center"/>
              <w:ind w:right="102"/>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92"/>
        </w:trPr>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0"/>
              </w:rPr>
              <w:t>Proceeds</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0"/>
              </w:rPr>
              <w:t>Proceeds</w:t>
            </w:r>
            <w:r>
              <w:rPr>
                <w:rFonts w:ascii="Arial" w:cs="Arial" w:eastAsia="Arial" w:hAnsi="Arial"/>
                <w:sz w:val="8"/>
                <w:szCs w:val="8"/>
                <w:b w:val="1"/>
                <w:bCs w:val="1"/>
                <w:color w:val="auto"/>
                <w:w w:val="90"/>
              </w:rPr>
              <w:t>(2)</w:t>
            </w:r>
          </w:p>
        </w:tc>
        <w:tc>
          <w:tcPr>
            <w:tcW w:w="0" w:type="dxa"/>
            <w:vAlign w:val="bottom"/>
          </w:tcPr>
          <w:p>
            <w:pPr>
              <w:spacing w:after="0"/>
              <w:rPr>
                <w:sz w:val="1"/>
                <w:szCs w:val="1"/>
                <w:color w:val="auto"/>
              </w:rPr>
            </w:pPr>
          </w:p>
        </w:tc>
      </w:tr>
      <w:tr>
        <w:trPr>
          <w:trHeight w:val="243"/>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21"/>
                <w:szCs w:val="21"/>
                <w:color w:val="auto"/>
              </w:rPr>
            </w:pPr>
          </w:p>
        </w:tc>
        <w:tc>
          <w:tcPr>
            <w:tcW w:w="5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4.50% Senior Notes issued at 99.716% of face value</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2026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21"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2"/>
          <w:szCs w:val="22"/>
          <w:color w:val="auto"/>
          <w:vertAlign w:val="superscript"/>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98" w:lineRule="exact"/>
        <w:rPr>
          <w:rFonts w:ascii="Arial" w:cs="Arial" w:eastAsia="Arial" w:hAnsi="Arial"/>
          <w:sz w:val="22"/>
          <w:szCs w:val="22"/>
          <w:color w:val="auto"/>
          <w:vertAlign w:val="superscript"/>
        </w:rPr>
      </w:pPr>
    </w:p>
    <w:p>
      <w:pPr>
        <w:ind w:left="660" w:right="420" w:hanging="652"/>
        <w:spacing w:after="0" w:line="225" w:lineRule="auto"/>
        <w:tabs>
          <w:tab w:leader="none" w:pos="66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Face value of notes less the applicable premium or discount, initial purchaser discounts, commissions and offering expenses. We used the net proceeds from the offering to repay outstanding borrowings under our credit facilities or commercial paper program and for general partnership purposes.</w:t>
      </w:r>
    </w:p>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Repayments of Senior Notes. </w:t>
      </w:r>
      <w:r>
        <w:rPr>
          <w:rFonts w:ascii="Arial" w:cs="Arial" w:eastAsia="Arial" w:hAnsi="Arial"/>
          <w:sz w:val="18"/>
          <w:szCs w:val="18"/>
          <w:color w:val="auto"/>
        </w:rPr>
        <w:t>We did not repay any senior unsecured notes during 2018. During 2017 and 2016, we repaid the following senior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notes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Repayment Date</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$400 million 6.13% Senior Notes due January 2017</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January 2017</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w:t>
            </w:r>
          </w:p>
        </w:tc>
      </w:tr>
      <w:tr>
        <w:trPr>
          <w:trHeight w:val="243"/>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$600 million 6.50% Senior Notes due May 2018</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2017</w:t>
            </w:r>
          </w:p>
        </w:tc>
        <w:tc>
          <w:tcPr>
            <w:tcW w:w="560" w:type="dxa"/>
            <w:vAlign w:val="bottom"/>
          </w:tcPr>
          <w:p>
            <w:pPr>
              <w:ind w:left="20"/>
              <w:spacing w:after="0"/>
              <w:rPr>
                <w:sz w:val="20"/>
                <w:szCs w:val="20"/>
                <w:color w:val="auto"/>
              </w:rPr>
            </w:pPr>
            <w:r>
              <w:rPr>
                <w:rFonts w:ascii="Arial" w:cs="Arial" w:eastAsia="Arial" w:hAnsi="Arial"/>
                <w:sz w:val="13"/>
                <w:szCs w:val="13"/>
                <w:color w:val="auto"/>
              </w:rPr>
              <w:t>(1) (2)</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$350 million 8.75% Senior Notes due May 2019</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December 2017</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 (2)</w:t>
            </w:r>
          </w:p>
        </w:tc>
      </w:tr>
      <w:tr>
        <w:trPr>
          <w:trHeight w:val="324"/>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3"/>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1"/>
                <w:szCs w:val="21"/>
                <w:color w:val="auto"/>
              </w:rPr>
            </w:pPr>
          </w:p>
        </w:tc>
        <w:tc>
          <w:tcPr>
            <w:tcW w:w="5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$175 million 5.88% Senior Notes due August 2016</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2016</w:t>
            </w:r>
          </w:p>
        </w:tc>
        <w:tc>
          <w:tcPr>
            <w:tcW w:w="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r>
      <w:tr>
        <w:trPr>
          <w:trHeight w:val="27"/>
        </w:trPr>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8"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24"/>
          <w:szCs w:val="24"/>
          <w:color w:val="auto"/>
          <w:vertAlign w:val="superscript"/>
        </w:rPr>
      </w:pPr>
      <w:r>
        <w:rPr>
          <w:rFonts w:ascii="Arial" w:cs="Arial" w:eastAsia="Arial" w:hAnsi="Arial"/>
          <w:sz w:val="17"/>
          <w:szCs w:val="17"/>
          <w:color w:val="auto"/>
        </w:rPr>
        <w:t>We repaid these senior notes with cash on hand and proceeds from borrowings under our credit facilities and commercial paper program.</w:t>
      </w:r>
    </w:p>
    <w:p>
      <w:pPr>
        <w:spacing w:after="0" w:line="98" w:lineRule="exact"/>
        <w:rPr>
          <w:rFonts w:ascii="Arial" w:cs="Arial" w:eastAsia="Arial" w:hAnsi="Arial"/>
          <w:sz w:val="24"/>
          <w:szCs w:val="24"/>
          <w:color w:val="auto"/>
          <w:vertAlign w:val="superscript"/>
        </w:rPr>
      </w:pPr>
    </w:p>
    <w:p>
      <w:pPr>
        <w:ind w:left="660" w:right="1040" w:hanging="652"/>
        <w:spacing w:after="0" w:line="214" w:lineRule="auto"/>
        <w:tabs>
          <w:tab w:leader="none" w:pos="660" w:val="left"/>
        </w:tabs>
        <w:numPr>
          <w:ilvl w:val="0"/>
          <w:numId w:val="71"/>
        </w:numPr>
        <w:rPr>
          <w:rFonts w:ascii="Arial" w:cs="Arial" w:eastAsia="Arial" w:hAnsi="Arial"/>
          <w:sz w:val="25"/>
          <w:szCs w:val="25"/>
          <w:color w:val="auto"/>
          <w:vertAlign w:val="superscript"/>
        </w:rPr>
      </w:pPr>
      <w:r>
        <w:rPr>
          <w:rFonts w:ascii="Arial" w:cs="Arial" w:eastAsia="Arial" w:hAnsi="Arial"/>
          <w:sz w:val="18"/>
          <w:szCs w:val="18"/>
          <w:color w:val="auto"/>
        </w:rPr>
        <w:t>In conjunction with the early redemptions of these senior notes, we recognized a loss of approximately $40 million, recorded to “Other income/(expense), net” in our Consolidated Statement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Unitholders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Our available cash also includes cash on hand resulting from borrowings made after the end of the quarter.</w:t>
      </w:r>
    </w:p>
    <w:p>
      <w:pPr>
        <w:spacing w:after="0" w:line="16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See Note 12 to our Consolidated Financial Statements for details of distributions paid during the three years ended December 31, 2018. Also, see Item 5. “Market for Registrant’s Common Units, Related Unitholder Matters and Issuer Purchases of Equity Securities—Cash Distribution Policy” for additional discussion regarding distributions.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Distributions to our Series A preferred unitholders. </w:t>
      </w:r>
      <w:r>
        <w:rPr>
          <w:rFonts w:ascii="Arial" w:cs="Arial" w:eastAsia="Arial" w:hAnsi="Arial"/>
          <w:sz w:val="18"/>
          <w:szCs w:val="18"/>
          <w:color w:val="auto"/>
        </w:rPr>
        <w:t>Holders of our Series A preferred units are entitled to receive quarterly distributions,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anti-dilution adjustments, of $0.525 per unit ($2.10 per unit annualized), which commenced with the quarter ending March 31, 2016. With respect to each quarter ending on or prior to December 31, 2017, we elected to pay distributions on our Series A preferred units in additional Series A preferred units. Beginning with the distribution with respect to the quarter ended March 31, 2018, distributions on our Series A preferred units are paid in cash. Subject to certain limitations, following January 28, 2021, the holders of our Series A preferred units may make a one-time election to reset the distribution rate. See Note 12 to our Consolidated Financial Statements for additional information.</w:t>
      </w:r>
    </w:p>
    <w:p>
      <w:pPr>
        <w:spacing w:after="0" w:line="19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 xml:space="preserve">Distributions to our Series B preferred unitholders. </w:t>
      </w:r>
      <w:r>
        <w:rPr>
          <w:rFonts w:ascii="Arial" w:cs="Arial" w:eastAsia="Arial" w:hAnsi="Arial"/>
          <w:sz w:val="18"/>
          <w:szCs w:val="18"/>
          <w:color w:val="auto"/>
        </w:rPr>
        <w:t>Holders of our Series B preferred units are entitled to receive, when, as and if declared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out of legally available funds for such purpose, cumulative cash distributions, as applicable. Through and including November 15, 2022, holders are entitled to a distribution equal to $61.25 per unit per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payable semiannually in arrears on the 15th day of May and November. See Note 12 to our Consolidated Financial Statements for further discussion of our Series B preferred units, including distribution rates and payment dates after November 15, 2022.</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Distributions to our common unitholders. </w:t>
      </w:r>
      <w:r>
        <w:rPr>
          <w:rFonts w:ascii="Arial" w:cs="Arial" w:eastAsia="Arial" w:hAnsi="Arial"/>
          <w:sz w:val="18"/>
          <w:szCs w:val="18"/>
          <w:color w:val="auto"/>
        </w:rPr>
        <w:t>On February 14, 2019, we paid a quarterly distribution of $0.30 per common unit ($1.20 per unit on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annualized basis). The total distribution of $218 million was paid to unitholders of record as of January 31, 2019, with respect to the quarter ending December 31, 2018.</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18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December 31, 2018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2024 and</w:t>
            </w:r>
          </w:p>
        </w:tc>
        <w:tc>
          <w:tcPr>
            <w:tcW w:w="220" w:type="dxa"/>
            <w:vAlign w:val="bottom"/>
          </w:tcPr>
          <w:p>
            <w:pPr>
              <w:spacing w:after="0"/>
              <w:rPr>
                <w:sz w:val="14"/>
                <w:szCs w:val="14"/>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Long-term debt and related interest payments</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918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949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1,079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1,599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8,593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14,016</w:t>
            </w:r>
          </w:p>
        </w:tc>
        <w:tc>
          <w:tcPr>
            <w:tcW w:w="0" w:type="dxa"/>
            <w:vAlign w:val="bottom"/>
          </w:tcPr>
          <w:p>
            <w:pPr>
              <w:spacing w:after="0"/>
              <w:rPr>
                <w:sz w:val="1"/>
                <w:szCs w:val="1"/>
                <w:color w:val="auto"/>
              </w:rPr>
            </w:pPr>
          </w:p>
        </w:tc>
      </w:tr>
      <w:tr>
        <w:trPr>
          <w:trHeight w:val="1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8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w w:val="93"/>
              </w:rPr>
              <w:t xml:space="preserve">Leases, rights-of-way easements and other </w:t>
            </w:r>
            <w:r>
              <w:rPr>
                <w:rFonts w:ascii="Arial" w:cs="Arial" w:eastAsia="Arial" w:hAnsi="Arial"/>
                <w:sz w:val="25"/>
                <w:szCs w:val="25"/>
                <w:color w:val="auto"/>
                <w:w w:val="93"/>
                <w:vertAlign w:val="superscript"/>
              </w:rPr>
              <w:t>(2)</w:t>
            </w:r>
          </w:p>
        </w:tc>
        <w:tc>
          <w:tcPr>
            <w:tcW w:w="24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9,279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16,547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7,231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5,262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4,279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3,931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9,082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34,735</w:t>
            </w:r>
          </w:p>
        </w:tc>
        <w:tc>
          <w:tcPr>
            <w:tcW w:w="0" w:type="dxa"/>
            <w:vAlign w:val="bottom"/>
          </w:tcPr>
          <w:p>
            <w:pPr>
              <w:spacing w:after="0"/>
              <w:rPr>
                <w:sz w:val="1"/>
                <w:szCs w:val="1"/>
                <w:color w:val="auto"/>
              </w:rPr>
            </w:pPr>
          </w:p>
        </w:tc>
      </w:tr>
      <w:tr>
        <w:trPr>
          <w:trHeight w:val="257"/>
        </w:trPr>
        <w:tc>
          <w:tcPr>
            <w:tcW w:w="354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8,944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5,588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5,721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18,361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51,282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5044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60" w:right="280" w:hanging="652"/>
        <w:spacing w:after="0" w:line="271" w:lineRule="auto"/>
        <w:tabs>
          <w:tab w:leader="none" w:pos="660" w:val="left"/>
        </w:tabs>
        <w:numPr>
          <w:ilvl w:val="0"/>
          <w:numId w:val="72"/>
        </w:numPr>
        <w:rPr>
          <w:rFonts w:ascii="Arial" w:cs="Arial" w:eastAsia="Arial" w:hAnsi="Arial"/>
          <w:sz w:val="22"/>
          <w:szCs w:val="22"/>
          <w:color w:val="auto"/>
          <w:vertAlign w:val="superscript"/>
        </w:rPr>
      </w:pPr>
      <w:r>
        <w:rPr>
          <w:rFonts w:ascii="Arial" w:cs="Arial" w:eastAsia="Arial" w:hAnsi="Arial"/>
          <w:sz w:val="16"/>
          <w:szCs w:val="16"/>
          <w:color w:val="auto"/>
        </w:rPr>
        <w:t>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agreements or commercial paper program) in the amounts above. For additional information regarding our debt obligations, see Note 11 to our Consolidated Financial Statements.</w:t>
      </w:r>
    </w:p>
    <w:p>
      <w:pPr>
        <w:spacing w:after="0" w:line="71" w:lineRule="exact"/>
        <w:rPr>
          <w:rFonts w:ascii="Arial" w:cs="Arial" w:eastAsia="Arial" w:hAnsi="Arial"/>
          <w:sz w:val="22"/>
          <w:szCs w:val="22"/>
          <w:color w:val="auto"/>
          <w:vertAlign w:val="superscript"/>
        </w:rPr>
      </w:pPr>
    </w:p>
    <w:p>
      <w:pPr>
        <w:ind w:left="660" w:right="460" w:hanging="652"/>
        <w:spacing w:after="0" w:line="216" w:lineRule="auto"/>
        <w:tabs>
          <w:tab w:leader="none" w:pos="660" w:val="left"/>
        </w:tabs>
        <w:numPr>
          <w:ilvl w:val="0"/>
          <w:numId w:val="72"/>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railcars, (ii) land and surface rentals, (iii) office buildings, (iv) pipeline assets and (v) vehicles and trailers. Includes operating and capital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360" w:hanging="652"/>
        <w:spacing w:after="0" w:line="226" w:lineRule="auto"/>
        <w:tabs>
          <w:tab w:leader="none" w:pos="660" w:val="left"/>
        </w:tabs>
        <w:numPr>
          <w:ilvl w:val="0"/>
          <w:numId w:val="72"/>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$750 million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right="40"/>
        <w:spacing w:after="0" w:line="311" w:lineRule="auto"/>
        <w:rPr>
          <w:sz w:val="20"/>
          <w:szCs w:val="20"/>
          <w:color w:val="auto"/>
        </w:rPr>
      </w:pPr>
      <w:r>
        <w:rPr>
          <w:rFonts w:ascii="Arial" w:cs="Arial" w:eastAsia="Arial" w:hAnsi="Arial"/>
          <w:sz w:val="18"/>
          <w:szCs w:val="18"/>
          <w:color w:val="auto"/>
        </w:rPr>
        <w:t>associated with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46" w:lineRule="exact"/>
        <w:rPr>
          <w:sz w:val="20"/>
          <w:szCs w:val="20"/>
          <w:color w:val="auto"/>
        </w:rPr>
      </w:pPr>
    </w:p>
    <w:p>
      <w:pPr>
        <w:ind w:left="660" w:right="80" w:hanging="652"/>
        <w:spacing w:after="0" w:line="238" w:lineRule="auto"/>
        <w:tabs>
          <w:tab w:leader="none" w:pos="660" w:val="left"/>
        </w:tabs>
        <w:numPr>
          <w:ilvl w:val="0"/>
          <w:numId w:val="73"/>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December 2018.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2018 and 2017, we had outstanding letters of credit of approximately $184 million and $166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None of these entities are borrowers under credit facilities, and we are neither a co-borrower nor a guarantor under any facilities of such entities. We may elect at any time to make additional capital contributions to any of these entities. The following table sets forth selected information regarding these entities as of December 31, 2018 (unaudited, dollars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Our</w:t>
            </w: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Total Cash</w:t>
            </w:r>
          </w:p>
        </w:tc>
        <w:tc>
          <w:tcPr>
            <w:tcW w:w="22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Entity</w:t>
            </w:r>
          </w:p>
        </w:tc>
        <w:tc>
          <w:tcPr>
            <w:tcW w:w="120" w:type="dxa"/>
            <w:vAlign w:val="bottom"/>
            <w:vMerge w:val="restart"/>
          </w:tcPr>
          <w:p>
            <w:pPr>
              <w:spacing w:after="0"/>
              <w:rPr>
                <w:sz w:val="12"/>
                <w:szCs w:val="12"/>
                <w:color w:val="auto"/>
              </w:rPr>
            </w:pPr>
          </w:p>
        </w:tc>
        <w:tc>
          <w:tcPr>
            <w:tcW w:w="3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0" w:type="dxa"/>
            <w:vAlign w:val="bottom"/>
            <w:vMerge w:val="restart"/>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Ownership</w:t>
            </w:r>
          </w:p>
        </w:tc>
        <w:tc>
          <w:tcPr>
            <w:tcW w:w="220" w:type="dxa"/>
            <w:vAlign w:val="bottom"/>
          </w:tcPr>
          <w:p>
            <w:pPr>
              <w:spacing w:after="0"/>
              <w:rPr>
                <w:sz w:val="12"/>
                <w:szCs w:val="12"/>
                <w:color w:val="auto"/>
              </w:rPr>
            </w:pP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Entity</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220" w:type="dxa"/>
            <w:vAlign w:val="bottom"/>
          </w:tcPr>
          <w:p>
            <w:pPr>
              <w:spacing w:after="0"/>
              <w:rPr>
                <w:sz w:val="12"/>
                <w:szCs w:val="12"/>
                <w:color w:val="auto"/>
              </w:rPr>
            </w:pPr>
          </w:p>
        </w:tc>
        <w:tc>
          <w:tcPr>
            <w:tcW w:w="8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Entity</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7"/>
              </w:rPr>
              <w:t>Cash</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Advantage Pipeline, L.L.C.</w:t>
            </w:r>
          </w:p>
        </w:tc>
        <w:tc>
          <w:tcPr>
            <w:tcW w:w="3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BridgeTex Pipeline Company, LLC</w:t>
            </w:r>
          </w:p>
        </w:tc>
        <w:tc>
          <w:tcPr>
            <w:tcW w:w="3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Cactus II Pipeline LLC</w:t>
            </w:r>
          </w:p>
        </w:tc>
        <w:tc>
          <w:tcPr>
            <w:tcW w:w="322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Caddo Pipeline LLC</w:t>
            </w:r>
          </w:p>
        </w:tc>
        <w:tc>
          <w:tcPr>
            <w:tcW w:w="322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Cheyenne Pipeline LLC</w:t>
            </w:r>
          </w:p>
        </w:tc>
        <w:tc>
          <w:tcPr>
            <w:tcW w:w="322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Diamond Pipeline LLC</w:t>
            </w:r>
          </w:p>
        </w:tc>
        <w:tc>
          <w:tcPr>
            <w:tcW w:w="322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Eagle Ford Pipeline LLC</w:t>
            </w:r>
          </w:p>
        </w:tc>
        <w:tc>
          <w:tcPr>
            <w:tcW w:w="322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Eagle Ford Terminals Corpus Christi LLC</w:t>
            </w:r>
          </w:p>
        </w:tc>
        <w:tc>
          <w:tcPr>
            <w:tcW w:w="3220" w:type="dxa"/>
            <w:vAlign w:val="bottom"/>
            <w:gridSpan w:val="2"/>
          </w:tcPr>
          <w:p>
            <w:pPr>
              <w:jc w:val="center"/>
              <w:ind w:right="100"/>
              <w:spacing w:after="0" w:line="270"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5"/>
                <w:szCs w:val="25"/>
                <w:color w:val="auto"/>
                <w:w w:val="90"/>
                <w:vertAlign w:val="superscript"/>
              </w:rPr>
              <w:t>(1)</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Midway Pipeline LLC</w:t>
            </w:r>
          </w:p>
        </w:tc>
        <w:tc>
          <w:tcPr>
            <w:tcW w:w="322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Saddlehorn Pipeline Company, LLC</w:t>
            </w:r>
          </w:p>
        </w:tc>
        <w:tc>
          <w:tcPr>
            <w:tcW w:w="3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Settoon Towing, LLC</w:t>
            </w:r>
          </w:p>
        </w:tc>
        <w:tc>
          <w:tcPr>
            <w:tcW w:w="3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Barge Transportation Services</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STACK Pipeline LLC</w:t>
            </w:r>
          </w:p>
        </w:tc>
        <w:tc>
          <w:tcPr>
            <w:tcW w:w="322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White Cliffs Pipeline, L.L.C.</w:t>
            </w:r>
          </w:p>
        </w:tc>
        <w:tc>
          <w:tcPr>
            <w:tcW w:w="3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74"/>
        </w:numPr>
        <w:rPr>
          <w:rFonts w:ascii="Arial" w:cs="Arial" w:eastAsia="Arial" w:hAnsi="Arial"/>
          <w:sz w:val="25"/>
          <w:szCs w:val="25"/>
          <w:color w:val="auto"/>
          <w:vertAlign w:val="superscript"/>
        </w:rPr>
      </w:pPr>
      <w:r>
        <w:rPr>
          <w:rFonts w:ascii="Arial" w:cs="Arial" w:eastAsia="Arial" w:hAnsi="Arial"/>
          <w:sz w:val="18"/>
          <w:szCs w:val="18"/>
          <w:color w:val="auto"/>
        </w:rPr>
        <w:t>We serve as operator of the pipeline.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117"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3"/>
          <w:szCs w:val="13"/>
          <w:i w:val="1"/>
          <w:iCs w:val="1"/>
          <w:color w:val="auto"/>
        </w:rPr>
      </w:pPr>
      <w:r>
        <w:rPr>
          <w:rFonts w:ascii="Arial" w:cs="Arial" w:eastAsia="Arial" w:hAnsi="Arial"/>
          <w:sz w:val="18"/>
          <w:szCs w:val="18"/>
          <w:i w:val="1"/>
          <w:iCs w:val="1"/>
          <w:u w:val="single" w:color="auto"/>
          <w:color w:val="auto"/>
        </w:rPr>
        <w:t>Crude oil</w:t>
      </w:r>
    </w:p>
    <w:p>
      <w:pPr>
        <w:spacing w:after="0" w:line="117" w:lineRule="exact"/>
        <w:rPr>
          <w:rFonts w:ascii="Arial" w:cs="Arial" w:eastAsia="Arial" w:hAnsi="Arial"/>
          <w:sz w:val="13"/>
          <w:szCs w:val="13"/>
          <w:i w:val="1"/>
          <w:iCs w:val="1"/>
          <w:color w:val="auto"/>
        </w:rPr>
      </w:pPr>
    </w:p>
    <w:p>
      <w:pPr>
        <w:ind w:left="980" w:right="580"/>
        <w:spacing w:after="0" w:line="286" w:lineRule="auto"/>
        <w:rPr>
          <w:rFonts w:ascii="Arial" w:cs="Arial" w:eastAsia="Arial" w:hAnsi="Arial"/>
          <w:sz w:val="13"/>
          <w:szCs w:val="13"/>
          <w:i w:val="1"/>
          <w:iCs w:val="1"/>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futures, forwards, swaps and options.</w:t>
      </w:r>
    </w:p>
    <w:p>
      <w:pPr>
        <w:spacing w:after="0" w:line="57" w:lineRule="exact"/>
        <w:rPr>
          <w:rFonts w:ascii="Arial" w:cs="Arial" w:eastAsia="Arial" w:hAnsi="Arial"/>
          <w:sz w:val="13"/>
          <w:szCs w:val="13"/>
          <w:i w:val="1"/>
          <w:iCs w:val="1"/>
          <w:color w:val="auto"/>
        </w:rPr>
      </w:pPr>
    </w:p>
    <w:p>
      <w:pPr>
        <w:ind w:left="980" w:hanging="324"/>
        <w:spacing w:after="0"/>
        <w:tabs>
          <w:tab w:leader="none" w:pos="980" w:val="left"/>
        </w:tabs>
        <w:numPr>
          <w:ilvl w:val="0"/>
          <w:numId w:val="75"/>
        </w:numPr>
        <w:rPr>
          <w:rFonts w:ascii="Arial" w:cs="Arial" w:eastAsia="Arial" w:hAnsi="Arial"/>
          <w:sz w:val="13"/>
          <w:szCs w:val="13"/>
          <w:color w:val="auto"/>
        </w:rPr>
      </w:pPr>
      <w:r>
        <w:rPr>
          <w:rFonts w:ascii="Arial" w:cs="Arial" w:eastAsia="Arial" w:hAnsi="Arial"/>
          <w:sz w:val="18"/>
          <w:szCs w:val="18"/>
          <w:i w:val="1"/>
          <w:iCs w:val="1"/>
          <w:u w:val="single" w:color="auto"/>
          <w:color w:val="auto"/>
        </w:rPr>
        <w:t>Natural gas</w:t>
      </w:r>
    </w:p>
    <w:p>
      <w:pPr>
        <w:spacing w:after="0" w:line="117" w:lineRule="exact"/>
        <w:rPr>
          <w:rFonts w:ascii="Arial" w:cs="Arial" w:eastAsia="Arial" w:hAnsi="Arial"/>
          <w:sz w:val="13"/>
          <w:szCs w:val="13"/>
          <w:color w:val="auto"/>
        </w:rPr>
      </w:pPr>
    </w:p>
    <w:p>
      <w:pPr>
        <w:ind w:left="980" w:right="220"/>
        <w:spacing w:after="0" w:line="264" w:lineRule="auto"/>
        <w:rPr>
          <w:rFonts w:ascii="Arial" w:cs="Arial" w:eastAsia="Arial" w:hAnsi="Arial"/>
          <w:sz w:val="13"/>
          <w:szCs w:val="13"/>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73" w:lineRule="exact"/>
        <w:rPr>
          <w:rFonts w:ascii="Arial" w:cs="Arial" w:eastAsia="Arial" w:hAnsi="Arial"/>
          <w:sz w:val="13"/>
          <w:szCs w:val="13"/>
          <w:color w:val="auto"/>
        </w:rPr>
      </w:pPr>
    </w:p>
    <w:p>
      <w:pPr>
        <w:ind w:left="980" w:hanging="324"/>
        <w:spacing w:after="0"/>
        <w:tabs>
          <w:tab w:leader="none" w:pos="980" w:val="left"/>
        </w:tabs>
        <w:numPr>
          <w:ilvl w:val="0"/>
          <w:numId w:val="75"/>
        </w:numPr>
        <w:rPr>
          <w:rFonts w:ascii="Arial" w:cs="Arial" w:eastAsia="Arial" w:hAnsi="Arial"/>
          <w:sz w:val="13"/>
          <w:szCs w:val="13"/>
          <w:color w:val="auto"/>
        </w:rPr>
      </w:pPr>
      <w:r>
        <w:rPr>
          <w:rFonts w:ascii="Arial" w:cs="Arial" w:eastAsia="Arial" w:hAnsi="Arial"/>
          <w:sz w:val="18"/>
          <w:szCs w:val="18"/>
          <w:i w:val="1"/>
          <w:iCs w:val="1"/>
          <w:u w:val="single" w:color="auto"/>
          <w:color w:val="auto"/>
        </w:rPr>
        <w:t>NGL and other</w:t>
      </w:r>
    </w:p>
    <w:p>
      <w:pPr>
        <w:spacing w:after="0" w:line="117" w:lineRule="exact"/>
        <w:rPr>
          <w:rFonts w:ascii="Arial" w:cs="Arial" w:eastAsia="Arial" w:hAnsi="Arial"/>
          <w:sz w:val="13"/>
          <w:szCs w:val="13"/>
          <w:color w:val="auto"/>
        </w:rPr>
      </w:pPr>
    </w:p>
    <w:p>
      <w:pPr>
        <w:ind w:left="980" w:right="40"/>
        <w:spacing w:after="0" w:line="264" w:lineRule="auto"/>
        <w:rPr>
          <w:rFonts w:ascii="Arial" w:cs="Arial" w:eastAsia="Arial" w:hAnsi="Arial"/>
          <w:sz w:val="13"/>
          <w:szCs w:val="13"/>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 to our Consolidated Financial Statements for further discussion regarding our hedging strategies and objectives.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2018 that would be expected from a 10% price increase or decrease is shown in the table below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188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1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December 31, 2018, approximately $200 million, was subject to interest rate re-sets of approximately one month. The average interest rate on variable rate debt that was outstanding during the year ended December 31, 2018 was 3.0%, based upon rates in effect during the year. The fair value of our interest rate derivatives was a liability of $7 million as of December 31, 2018. A 10% increase in the forward LIBOR curve as of December 31, 2018 would have resulted in an increase of $22 million to the fair value of our interest rate derivatives. A 10% decrease in the forward LIBOR curve as of December 31, 2018 would have resulted in a decrease of $22 million to the fair value of our interest rate derivatives. See Note 13 to our Consolidated Financial Statements for a discussion of our interest rate risk hedging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$9 million as of December 31, 2018. A 10% increase in the exchange rate (USD-to-CAD) would have resulted in a decrease of $21 million to the fair value of our foreign currency derivatives. A 10% decrease in the exchange rate (USD-to-CAD) would have resulted in an increase of $21 million to the fair value of our foreign currency derivatives. See Note 13 to our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Preferred Distribution Rate Reset Option of our Series A preferred units is an embedded derivative that must be bifurcated from the related host contract, our partnership agreement, and recorded at fair value in our Consolidated Balance Sheets. The valuation model utilized for this embedded derivative contains inputs including our common unit price, ten-year U.S. treasury rates, default probabilities and timing estimates to ultimately calculate the fair value of our Series A preferred units with and without the Preferred Distribution Rate Reset Option. The fair value of this embedded derivative was a liability of $36 million as of December 31, 2018. A 10% increase or decrease in the fair value would have an impact of $4 million. See Note 13 to our Consolidated Financial Statements for a discussion of embedded derivatives.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2018, the end of the period covered by this report, and, based on such evaluation, our Chief Executive Officer and Chief Financial Officer have concluded that our DCP is effective.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2018. See “Management’s Report on Internal Control Over Financial Reporting” on page F-2 of our Consolidated Financial Statements.</w:t>
      </w:r>
    </w:p>
    <w:p>
      <w:pPr>
        <w:spacing w:after="0" w:line="178"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Our independent registered public accounting firm, PricewaterhouseCoopers LLP, assessed the effectiveness of our internal control over financial reporting, as stated in the firm’s report. See “</w:t>
      </w:r>
      <w:r>
        <w:rPr>
          <w:rFonts w:ascii="Arial" w:cs="Arial" w:eastAsia="Arial" w:hAnsi="Arial"/>
          <w:sz w:val="15"/>
          <w:szCs w:val="15"/>
          <w:color w:val="auto"/>
        </w:rPr>
        <w:t>Report of Independent Registered Public Accounting Firm</w:t>
      </w:r>
      <w:r>
        <w:rPr>
          <w:rFonts w:ascii="Arial" w:cs="Arial" w:eastAsia="Arial" w:hAnsi="Arial"/>
          <w:sz w:val="16"/>
          <w:szCs w:val="16"/>
          <w:color w:val="auto"/>
        </w:rPr>
        <w:t>” on page F-3 of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2018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2018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125"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2019 Annual Meeting, which will be filed with the SEC within 120 days after the end of the fiscal year ended December 31, 2018, and is incorporated herein by reference thereto.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of filing this report, the following individuals were serving as our executive officers and/or directors: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Occupation or Employment</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Willie Chiang </w:t>
            </w:r>
            <w:r>
              <w:rPr>
                <w:rFonts w:ascii="Arial" w:cs="Arial" w:eastAsia="Arial" w:hAnsi="Arial"/>
                <w:sz w:val="25"/>
                <w:szCs w:val="25"/>
                <w:color w:val="auto"/>
                <w:vertAlign w:val="superscript"/>
              </w:rPr>
              <w:t>(1)(2)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Harry N. Pefanis </w:t>
            </w:r>
            <w:r>
              <w:rPr>
                <w:rFonts w:ascii="Arial" w:cs="Arial" w:eastAsia="Arial" w:hAnsi="Arial"/>
                <w:sz w:val="25"/>
                <w:szCs w:val="25"/>
                <w:color w:val="auto"/>
                <w:vertAlign w:val="superscript"/>
              </w:rPr>
              <w:t>(1)(2)</w:t>
            </w:r>
          </w:p>
        </w:tc>
        <w:tc>
          <w:tcPr>
            <w:tcW w:w="8780" w:type="dxa"/>
            <w:vAlign w:val="bottom"/>
          </w:tcPr>
          <w:p>
            <w:pPr>
              <w:ind w:left="20"/>
              <w:spacing w:after="0"/>
              <w:rPr>
                <w:sz w:val="20"/>
                <w:szCs w:val="20"/>
                <w:color w:val="auto"/>
              </w:rPr>
            </w:pPr>
            <w:r>
              <w:rPr>
                <w:rFonts w:ascii="Arial" w:cs="Arial" w:eastAsia="Arial" w:hAnsi="Arial"/>
                <w:sz w:val="18"/>
                <w:szCs w:val="18"/>
                <w:color w:val="auto"/>
              </w:rPr>
              <w:t>President and Chief Commercial Officer</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Chris R. Chandler* </w:t>
            </w:r>
            <w:r>
              <w:rPr>
                <w:rFonts w:ascii="Arial" w:cs="Arial" w:eastAsia="Arial" w:hAnsi="Arial"/>
                <w:sz w:val="25"/>
                <w:szCs w:val="25"/>
                <w:color w:val="auto"/>
                <w:vertAlign w:val="superscript"/>
              </w:rPr>
              <w:t>(1)</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Al Swanson </w:t>
            </w:r>
            <w:r>
              <w:rPr>
                <w:rFonts w:ascii="Arial" w:cs="Arial" w:eastAsia="Arial" w:hAnsi="Arial"/>
                <w:sz w:val="25"/>
                <w:szCs w:val="25"/>
                <w:color w:val="auto"/>
                <w:vertAlign w:val="superscript"/>
              </w:rPr>
              <w:t>(1)</w:t>
            </w:r>
          </w:p>
        </w:tc>
        <w:tc>
          <w:tcPr>
            <w:tcW w:w="8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Jeremy L. Goebel* </w:t>
            </w:r>
            <w:r>
              <w:rPr>
                <w:rFonts w:ascii="Arial" w:cs="Arial" w:eastAsia="Arial" w:hAnsi="Arial"/>
                <w:sz w:val="25"/>
                <w:szCs w:val="25"/>
                <w:color w:val="auto"/>
                <w:vertAlign w:val="superscript"/>
              </w:rPr>
              <w:t>(1)</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 Commercial</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Richard K. McGee </w:t>
            </w:r>
            <w:r>
              <w:rPr>
                <w:rFonts w:ascii="Arial" w:cs="Arial" w:eastAsia="Arial" w:hAnsi="Arial"/>
                <w:sz w:val="25"/>
                <w:szCs w:val="25"/>
                <w:color w:val="auto"/>
                <w:vertAlign w:val="superscript"/>
              </w:rPr>
              <w:t>(1)</w:t>
            </w:r>
          </w:p>
        </w:tc>
        <w:tc>
          <w:tcPr>
            <w:tcW w:w="878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Chris Herbold </w:t>
            </w:r>
            <w:r>
              <w:rPr>
                <w:rFonts w:ascii="Arial" w:cs="Arial" w:eastAsia="Arial" w:hAnsi="Arial"/>
                <w:sz w:val="25"/>
                <w:szCs w:val="25"/>
                <w:color w:val="auto"/>
                <w:vertAlign w:val="superscript"/>
              </w:rPr>
              <w:t>(1)</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Greg L. Armstrong </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Oscar K. Brown </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Senior Vice President, Strategy, Business Development and Integrated Supply, Occidental Petroleum Corporation</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Victor Burk </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Managing Director, Alvarez and Marsal</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Everardo Goyanes </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Founder, Ex Cathedra LLC</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Gary R. Petersen </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Managing Partner, EnCap Investments L.P.</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Alexandra D. Pruner </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Advisor, Perella Weinberg Partners</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John T. Raymond </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Managing Partner and Chief Executive Officer, The Energy &amp; Minerals Group</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Bobby S. Shackouls </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Chairman and CEO, Burlington Resources Inc.</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Robert V. Sinnott </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Co-Chairman, Kayne Anderson Capital Advisors, L.P.</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 Taft Symonds </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Symonds Investment Company, Inc.</w:t>
            </w:r>
          </w:p>
        </w:tc>
      </w:tr>
      <w:tr>
        <w:trPr>
          <w:trHeight w:val="341"/>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 xml:space="preserve">Christopher M. Temple </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President, DelTex Capital LLC</w:t>
            </w:r>
          </w:p>
        </w:tc>
      </w:tr>
    </w:tbl>
    <w:p>
      <w:pPr>
        <w:spacing w:after="0" w:line="184" w:lineRule="exact"/>
        <w:rPr>
          <w:sz w:val="20"/>
          <w:szCs w:val="20"/>
          <w:color w:val="auto"/>
        </w:rPr>
      </w:pPr>
    </w:p>
    <w:p>
      <w:pPr>
        <w:ind w:left="740" w:hanging="651"/>
        <w:spacing w:after="0"/>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Effective March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323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740" w:hanging="651"/>
        <w:spacing w:after="0" w:line="199" w:lineRule="auto"/>
        <w:tabs>
          <w:tab w:leader="none" w:pos="740" w:val="left"/>
        </w:tabs>
        <w:numPr>
          <w:ilvl w:val="0"/>
          <w:numId w:val="77"/>
        </w:numPr>
        <w:rPr>
          <w:rFonts w:ascii="Arial" w:cs="Arial" w:eastAsia="Arial" w:hAnsi="Arial"/>
          <w:sz w:val="25"/>
          <w:szCs w:val="25"/>
          <w:color w:val="auto"/>
          <w:vertAlign w:val="superscript"/>
        </w:rPr>
      </w:pPr>
      <w:r>
        <w:rPr>
          <w:rFonts w:ascii="Arial" w:cs="Arial" w:eastAsia="Arial" w:hAnsi="Arial"/>
          <w:sz w:val="18"/>
          <w:szCs w:val="18"/>
          <w:color w:val="auto"/>
        </w:rPr>
        <w:t>Executive officer (for purposes of Item 401(b) of Regulation S-K)</w:t>
      </w:r>
    </w:p>
    <w:p>
      <w:pPr>
        <w:spacing w:after="0" w:line="2" w:lineRule="exact"/>
        <w:rPr>
          <w:rFonts w:ascii="Arial" w:cs="Arial" w:eastAsia="Arial" w:hAnsi="Arial"/>
          <w:sz w:val="25"/>
          <w:szCs w:val="25"/>
          <w:color w:val="auto"/>
          <w:vertAlign w:val="superscript"/>
        </w:rPr>
      </w:pPr>
    </w:p>
    <w:p>
      <w:pPr>
        <w:ind w:left="740" w:hanging="651"/>
        <w:spacing w:after="0" w:line="186" w:lineRule="auto"/>
        <w:tabs>
          <w:tab w:leader="none" w:pos="740" w:val="left"/>
        </w:tabs>
        <w:numPr>
          <w:ilvl w:val="0"/>
          <w:numId w:val="77"/>
        </w:numPr>
        <w:rPr>
          <w:rFonts w:ascii="Arial" w:cs="Arial" w:eastAsia="Arial" w:hAnsi="Arial"/>
          <w:sz w:val="24"/>
          <w:szCs w:val="24"/>
          <w:color w:val="auto"/>
          <w:vertAlign w:val="superscript"/>
        </w:rPr>
      </w:pPr>
      <w:r>
        <w:rPr>
          <w:rFonts w:ascii="Arial" w:cs="Arial" w:eastAsia="Arial" w:hAnsi="Arial"/>
          <w:sz w:val="17"/>
          <w:szCs w:val="17"/>
          <w:color w:val="auto"/>
        </w:rPr>
        <w:t>Director</w:t>
      </w:r>
    </w:p>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A complete list of our officers, including the executive officers listed above, is available on our website at </w:t>
      </w:r>
      <w:r>
        <w:rPr>
          <w:rFonts w:ascii="Arial" w:cs="Arial" w:eastAsia="Arial" w:hAnsi="Arial"/>
          <w:sz w:val="18"/>
          <w:szCs w:val="18"/>
          <w:i w:val="1"/>
          <w:iCs w:val="1"/>
          <w:color w:val="auto"/>
        </w:rPr>
        <w:t>www.plainsallamerican.com</w:t>
      </w:r>
      <w:r>
        <w:rPr>
          <w:rFonts w:ascii="Arial" w:cs="Arial" w:eastAsia="Arial" w:hAnsi="Arial"/>
          <w:sz w:val="18"/>
          <w:szCs w:val="18"/>
          <w:color w:val="auto"/>
        </w:rPr>
        <w:t xml:space="preserve"> under Investor Relations - Company Information -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2019 Annual Meeting, which will be filed with the SEC within 120 days after the end of the fiscal year ended December 31, 2018,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Unitholder Matters</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2019 Annual Meeting, which will be filed with the SEC within 120 days after the end of the fiscal year ended December 31, 2018, and is incorporated herein by reference thereto.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2019 Annual Meeting, which will be filed with the SEC within 120 days after the end of the fiscal year ended December 31, 2018,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2019 Annual Meeting, which will be filed with the SEC within 120 days after the end of the fiscal year ended December 31, 2018, and is incorporated herein by reference thereto.</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125" w:right="2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600" w:hanging="268"/>
        <w:spacing w:after="0"/>
        <w:tabs>
          <w:tab w:leader="none" w:pos="6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Financial Statements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set forth on Page F-1.</w:t>
      </w:r>
    </w:p>
    <w:p>
      <w:pPr>
        <w:spacing w:after="0" w:line="225" w:lineRule="exact"/>
        <w:rPr>
          <w:sz w:val="20"/>
          <w:szCs w:val="20"/>
          <w:color w:val="auto"/>
        </w:rPr>
      </w:pPr>
    </w:p>
    <w:p>
      <w:pPr>
        <w:ind w:left="1040" w:hanging="384"/>
        <w:spacing w:after="0"/>
        <w:tabs>
          <w:tab w:leader="none" w:pos="1040" w:val="left"/>
        </w:tabs>
        <w:numPr>
          <w:ilvl w:val="0"/>
          <w:numId w:val="79"/>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70" w:lineRule="exact"/>
        <w:rPr>
          <w:sz w:val="20"/>
          <w:szCs w:val="20"/>
          <w:color w:val="auto"/>
        </w:rPr>
      </w:pPr>
    </w:p>
    <w:p>
      <w:pPr>
        <w:ind w:left="1040" w:hanging="384"/>
        <w:spacing w:after="0"/>
        <w:tabs>
          <w:tab w:leader="none" w:pos="1040" w:val="left"/>
        </w:tabs>
        <w:numPr>
          <w:ilvl w:val="0"/>
          <w:numId w:val="80"/>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ind w:left="140"/>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40" w:type="dxa"/>
            <w:vAlign w:val="bottom"/>
            <w:gridSpan w:val="18"/>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2.1*</w:t>
            </w:r>
          </w:p>
        </w:tc>
        <w:tc>
          <w:tcPr>
            <w:tcW w:w="560" w:type="dxa"/>
            <w:vAlign w:val="bottom"/>
          </w:tcPr>
          <w:p>
            <w:pPr>
              <w:ind w:left="140"/>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17"/>
                <w:szCs w:val="17"/>
                <w:color w:val="auto"/>
              </w:rPr>
            </w:pPr>
          </w:p>
        </w:tc>
        <w:tc>
          <w:tcPr>
            <w:tcW w:w="9660" w:type="dxa"/>
            <w:vAlign w:val="bottom"/>
            <w:tcBorders>
              <w:top w:val="single" w:sz="8" w:color="auto"/>
            </w:tcBorders>
            <w:gridSpan w:val="21"/>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Share Purchase Agreement dated December 1, 2011 by and among Amoco Canada International Holdings B.V. and Plains Midstream</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Canada ULC (the schedules and exhibits have been omitted pursuant to Item 601(b)(2) of Regulation S-K) (incorporated by reference</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to Exhibit 2.1 to our Annual Report on Form 10-K for the year ended December 31, 2011).</w:t>
              </w:r>
            </w:hyperlink>
          </w:p>
        </w:tc>
        <w:tc>
          <w:tcPr>
            <w:tcW w:w="3120" w:type="dxa"/>
            <w:vAlign w:val="bottom"/>
            <w:gridSpan w:val="17"/>
          </w:tcPr>
          <w:p>
            <w:pPr>
              <w:spacing w:after="0"/>
              <w:rPr>
                <w:sz w:val="17"/>
                <w:szCs w:val="17"/>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10260" w:type="dxa"/>
            <w:vAlign w:val="bottom"/>
            <w:gridSpan w:val="23"/>
          </w:tcPr>
          <w:p>
            <w:pPr>
              <w:ind w:left="1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69">
              <w:r>
                <w:rPr>
                  <w:rFonts w:ascii="Arial" w:cs="Arial" w:eastAsia="Arial" w:hAnsi="Arial"/>
                  <w:sz w:val="18"/>
                  <w:szCs w:val="18"/>
                  <w:color w:val="0000FF"/>
                  <w:w w:val="96"/>
                </w:rPr>
                <w:t>Agreement and Plan of Merger dated as of October 21, 2013, by and among Plains All American Pipeline, L.P., PAA Acquisition</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Company LLC, PAA Natural Gas Storage, L.P. and PNGS GP LLC (incorporated by reference to Exhibit 2.1 to our Current Report</w:t>
              </w:r>
            </w:hyperlink>
          </w:p>
        </w:tc>
        <w:tc>
          <w:tcPr>
            <w:tcW w:w="22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21"/>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on Form 8-K filed October 24, 2013).</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rPr>
              <w:t>2.3**</w:t>
            </w:r>
          </w:p>
        </w:tc>
        <w:tc>
          <w:tcPr>
            <w:tcW w:w="10260" w:type="dxa"/>
            <w:vAlign w:val="bottom"/>
            <w:gridSpan w:val="23"/>
          </w:tcPr>
          <w:p>
            <w:pPr>
              <w:ind w:left="14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0">
              <w:r>
                <w:rPr>
                  <w:rFonts w:ascii="Arial" w:cs="Arial" w:eastAsia="Arial" w:hAnsi="Arial"/>
                  <w:sz w:val="18"/>
                  <w:szCs w:val="18"/>
                  <w:color w:val="0000FF"/>
                  <w:w w:val="97"/>
                </w:rPr>
                <w:t>Simplification Agreement dated as of July 11, 2016, by and among PAA GP Holdings LLC, Plains GP Holdings, L.P., Plains All</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American GP LLC, Plains AAP, L.P., PAA GP LLC and Plains All American Pipeline, L.P. (incorporated by reference to Exhibit 2.1</w:t>
              </w:r>
            </w:hyperlink>
          </w:p>
        </w:tc>
        <w:tc>
          <w:tcPr>
            <w:tcW w:w="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21"/>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to our Current Report on Form 8-K filed July 14, 2016).</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rPr>
              <w:t>2.4**</w:t>
            </w:r>
          </w:p>
        </w:tc>
        <w:tc>
          <w:tcPr>
            <w:tcW w:w="10260" w:type="dxa"/>
            <w:vAlign w:val="bottom"/>
            <w:gridSpan w:val="23"/>
          </w:tcPr>
          <w:p>
            <w:pPr>
              <w:ind w:left="1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1">
              <w:r>
                <w:rPr>
                  <w:rFonts w:ascii="Arial" w:cs="Arial" w:eastAsia="Arial" w:hAnsi="Arial"/>
                  <w:sz w:val="18"/>
                  <w:szCs w:val="18"/>
                  <w:color w:val="0000FF"/>
                  <w:w w:val="94"/>
                </w:rPr>
                <w:t>Securities Purchase Agreement dated as of January 19, 2017 by and between COG Operating LLC, as seller, and Plains Pipeline,</w:t>
              </w:r>
            </w:hyperlink>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L.P., as purchaser (the schedules and exhibits have been omitted pursuant to Item 601(b)(2) of Regulation S-K) (incorporated by</w:t>
              </w:r>
            </w:hyperlink>
          </w:p>
        </w:tc>
        <w:tc>
          <w:tcPr>
            <w:tcW w:w="60" w:type="dxa"/>
            <w:vAlign w:val="bottom"/>
            <w:tcBorders>
              <w:top w:val="single" w:sz="8" w:color="0000FF"/>
            </w:tcBorders>
          </w:tcPr>
          <w:p>
            <w:pPr>
              <w:spacing w:after="0"/>
              <w:rPr>
                <w:sz w:val="17"/>
                <w:szCs w:val="17"/>
                <w:color w:val="auto"/>
              </w:rPr>
            </w:pPr>
          </w:p>
        </w:tc>
        <w:tc>
          <w:tcPr>
            <w:tcW w:w="36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21"/>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reference to Exhibit 2.1 to our Quarterly Report on Form 10-Q for the quarter ended March 31, 2017).</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8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rPr>
              <w:t>2.5**</w:t>
            </w:r>
          </w:p>
        </w:tc>
        <w:tc>
          <w:tcPr>
            <w:tcW w:w="10260" w:type="dxa"/>
            <w:vAlign w:val="bottom"/>
            <w:gridSpan w:val="23"/>
          </w:tcPr>
          <w:p>
            <w:pPr>
              <w:ind w:left="14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72">
              <w:r>
                <w:rPr>
                  <w:rFonts w:ascii="Arial" w:cs="Arial" w:eastAsia="Arial" w:hAnsi="Arial"/>
                  <w:sz w:val="18"/>
                  <w:szCs w:val="18"/>
                  <w:color w:val="0000FF"/>
                  <w:w w:val="91"/>
                </w:rPr>
                <w:t>Securities Purchase Agreement dated as of January 19, 2017 by and between Frontier Midstream Solutions, LLC, as seller, and Plains</w:t>
              </w:r>
            </w:hyperlink>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Pipeline, L.P., as purchaser (the schedules and exhibits have been omitted pursuant to Item 601(b)(2) of Regulation S-K)</w:t>
              </w:r>
            </w:hyperlink>
          </w:p>
        </w:tc>
        <w:tc>
          <w:tcPr>
            <w:tcW w:w="940" w:type="dxa"/>
            <w:vAlign w:val="bottom"/>
            <w:tcBorders>
              <w:top w:val="single" w:sz="8" w:color="0000FF"/>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21"/>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(incorporated by reference to Exhibit 2.2 to our Quarterly Report on Form 10-Q for the quarter ended March 31, 2017).</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40" w:type="dxa"/>
            <w:vAlign w:val="bottom"/>
            <w:gridSpan w:val="5"/>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260" w:type="dxa"/>
            <w:vAlign w:val="bottom"/>
            <w:gridSpan w:val="23"/>
          </w:tcPr>
          <w:p>
            <w:pPr>
              <w:ind w:left="1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3">
              <w:r>
                <w:rPr>
                  <w:rFonts w:ascii="Arial" w:cs="Arial" w:eastAsia="Arial" w:hAnsi="Arial"/>
                  <w:sz w:val="18"/>
                  <w:szCs w:val="18"/>
                  <w:color w:val="0000FF"/>
                  <w:w w:val="96"/>
                </w:rPr>
                <w:t>Seventh Amended and Restated Agreement of Limited Partnership of Plains All American Pipeline, L.P. dated as of October 10,</w:t>
              </w:r>
            </w:hyperlink>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2017 (incorporated by reference to Exhibit 3.1 to our Current Report on Form 8-K filed October 12, 2017).</w:t>
              </w:r>
            </w:hyperlink>
          </w:p>
        </w:tc>
        <w:tc>
          <w:tcPr>
            <w:tcW w:w="1540" w:type="dxa"/>
            <w:vAlign w:val="bottom"/>
            <w:tcBorders>
              <w:top w:val="single" w:sz="8" w:color="0000FF"/>
            </w:tcBorders>
            <w:gridSpan w:val="8"/>
          </w:tcPr>
          <w:p>
            <w:pPr>
              <w:spacing w:after="0"/>
              <w:rPr>
                <w:sz w:val="17"/>
                <w:szCs w:val="17"/>
                <w:color w:val="auto"/>
              </w:rPr>
            </w:pPr>
          </w:p>
        </w:tc>
        <w:tc>
          <w:tcPr>
            <w:tcW w:w="420" w:type="dxa"/>
            <w:vAlign w:val="bottom"/>
            <w:gridSpan w:val="7"/>
          </w:tcPr>
          <w:p>
            <w:pPr>
              <w:spacing w:after="0"/>
              <w:rPr>
                <w:sz w:val="17"/>
                <w:szCs w:val="17"/>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260" w:type="dxa"/>
            <w:vAlign w:val="bottom"/>
            <w:gridSpan w:val="23"/>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74">
              <w:r>
                <w:rPr>
                  <w:rFonts w:ascii="Arial" w:cs="Arial" w:eastAsia="Arial" w:hAnsi="Arial"/>
                  <w:sz w:val="18"/>
                  <w:szCs w:val="18"/>
                  <w:color w:val="0000FF"/>
                  <w:w w:val="93"/>
                </w:rPr>
                <w:t>Third Amended and Restated Agreement of Limited Partnership of Plains Marketing, L.P. dated as of April 1, 2004 (incorporated by</w:t>
              </w:r>
            </w:hyperlink>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reference to Exhibit 3.2 to our Quarterly Report on Form 10-Q for the quarter ended March 31, 2004).</w:t>
              </w:r>
            </w:hyperlink>
          </w:p>
        </w:tc>
        <w:tc>
          <w:tcPr>
            <w:tcW w:w="120" w:type="dxa"/>
            <w:vAlign w:val="bottom"/>
            <w:gridSpan w:val="4"/>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80" w:type="dxa"/>
            <w:vAlign w:val="bottom"/>
            <w:gridSpan w:val="4"/>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0260" w:type="dxa"/>
            <w:vAlign w:val="bottom"/>
            <w:gridSpan w:val="23"/>
          </w:tcPr>
          <w:p>
            <w:pPr>
              <w:ind w:left="14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75">
              <w:r>
                <w:rPr>
                  <w:rFonts w:ascii="Arial" w:cs="Arial" w:eastAsia="Arial" w:hAnsi="Arial"/>
                  <w:sz w:val="18"/>
                  <w:szCs w:val="18"/>
                  <w:color w:val="0000FF"/>
                  <w:w w:val="98"/>
                </w:rPr>
                <w:t>Amendment No. 1 dated December 31, 2010 to the Third Amended and Restated Agreement of Limited Partnership of Plains</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160" w:type="dxa"/>
            <w:vAlign w:val="bottom"/>
            <w:gridSpan w:val="7"/>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Marketing, L.P. (incorporated by reference to Exhibit 3.9 to our Annual Report on Form 10-K for the year ended December 31,</w:t>
              </w:r>
            </w:hyperlink>
          </w:p>
        </w:tc>
        <w:tc>
          <w:tcPr>
            <w:tcW w:w="50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60" w:type="dxa"/>
            <w:vAlign w:val="bottom"/>
            <w:gridSpan w:val="3"/>
          </w:tcPr>
          <w:p>
            <w:pPr>
              <w:ind w:left="600"/>
              <w:spacing w:after="0" w:line="196" w:lineRule="exact"/>
              <w:rPr>
                <w:rFonts w:ascii="Arial" w:cs="Arial" w:eastAsia="Arial" w:hAnsi="Arial"/>
                <w:sz w:val="18"/>
                <w:szCs w:val="18"/>
                <w:color w:val="0000FF"/>
                <w:w w:val="86"/>
              </w:rPr>
            </w:pPr>
            <w:hyperlink r:id="rId75">
              <w:r>
                <w:rPr>
                  <w:rFonts w:ascii="Arial" w:cs="Arial" w:eastAsia="Arial" w:hAnsi="Arial"/>
                  <w:sz w:val="18"/>
                  <w:szCs w:val="18"/>
                  <w:color w:val="0000FF"/>
                  <w:w w:val="86"/>
                </w:rPr>
                <w:t>2010).</w:t>
              </w:r>
            </w:hyperlink>
          </w:p>
        </w:tc>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1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0260" w:type="dxa"/>
            <w:vAlign w:val="bottom"/>
            <w:gridSpan w:val="23"/>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76">
              <w:r>
                <w:rPr>
                  <w:rFonts w:ascii="Arial" w:cs="Arial" w:eastAsia="Arial" w:hAnsi="Arial"/>
                  <w:sz w:val="18"/>
                  <w:szCs w:val="18"/>
                  <w:color w:val="0000FF"/>
                </w:rPr>
                <w:t>Amendment No. 2 dated January 1, 2011 to the Third Amended and Restated Agreement of Limited Partnership of Plains</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20" w:type="dxa"/>
            <w:vAlign w:val="bottom"/>
            <w:gridSpan w:val="8"/>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21"/>
          </w:tcPr>
          <w:p>
            <w:pPr>
              <w:spacing w:after="0" w:line="196" w:lineRule="exact"/>
              <w:rPr>
                <w:rFonts w:ascii="Arial" w:cs="Arial" w:eastAsia="Arial" w:hAnsi="Arial"/>
                <w:sz w:val="18"/>
                <w:szCs w:val="18"/>
                <w:color w:val="0000FF"/>
                <w:w w:val="95"/>
              </w:rPr>
            </w:pPr>
            <w:hyperlink r:id="rId76">
              <w:r>
                <w:rPr>
                  <w:rFonts w:ascii="Arial" w:cs="Arial" w:eastAsia="Arial" w:hAnsi="Arial"/>
                  <w:sz w:val="18"/>
                  <w:szCs w:val="18"/>
                  <w:color w:val="0000FF"/>
                  <w:w w:val="95"/>
                </w:rPr>
                <w:t>Marketing, L.P. (incorporated by reference to Exhibit 3.10 to our Annual Report on Form 10-K for the year ended December 31,</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60" w:type="dxa"/>
            <w:vAlign w:val="bottom"/>
            <w:gridSpan w:val="3"/>
          </w:tcPr>
          <w:p>
            <w:pPr>
              <w:ind w:left="600"/>
              <w:spacing w:after="0" w:line="196" w:lineRule="exact"/>
              <w:rPr>
                <w:rFonts w:ascii="Arial" w:cs="Arial" w:eastAsia="Arial" w:hAnsi="Arial"/>
                <w:sz w:val="18"/>
                <w:szCs w:val="18"/>
                <w:color w:val="0000FF"/>
                <w:w w:val="86"/>
              </w:rPr>
            </w:pPr>
            <w:hyperlink r:id="rId76">
              <w:r>
                <w:rPr>
                  <w:rFonts w:ascii="Arial" w:cs="Arial" w:eastAsia="Arial" w:hAnsi="Arial"/>
                  <w:sz w:val="18"/>
                  <w:szCs w:val="18"/>
                  <w:color w:val="0000FF"/>
                  <w:w w:val="86"/>
                </w:rPr>
                <w:t>2010).</w:t>
              </w:r>
            </w:hyperlink>
          </w:p>
        </w:tc>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1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0260" w:type="dxa"/>
            <w:vAlign w:val="bottom"/>
            <w:gridSpan w:val="23"/>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77">
              <w:r>
                <w:rPr>
                  <w:rFonts w:ascii="Arial" w:cs="Arial" w:eastAsia="Arial" w:hAnsi="Arial"/>
                  <w:sz w:val="18"/>
                  <w:szCs w:val="18"/>
                  <w:color w:val="0000FF"/>
                </w:rPr>
                <w:t>Amendment No. 3 dated June 30, 2011 to the Third Amended and Restated Agreement of Limited Partnership of Plains</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20" w:type="dxa"/>
            <w:vAlign w:val="bottom"/>
            <w:gridSpan w:val="8"/>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Marketing, L.P. (incorporated by reference to Exhibit 3.7 to our Annual Report on Form 10-K for the year ended December 31,</w:t>
              </w:r>
            </w:hyperlink>
          </w:p>
        </w:tc>
        <w:tc>
          <w:tcPr>
            <w:tcW w:w="50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60" w:type="dxa"/>
            <w:vAlign w:val="bottom"/>
            <w:gridSpan w:val="3"/>
          </w:tcPr>
          <w:p>
            <w:pPr>
              <w:ind w:left="600"/>
              <w:spacing w:after="0" w:line="196" w:lineRule="exact"/>
              <w:rPr>
                <w:rFonts w:ascii="Arial" w:cs="Arial" w:eastAsia="Arial" w:hAnsi="Arial"/>
                <w:sz w:val="18"/>
                <w:szCs w:val="18"/>
                <w:color w:val="0000FF"/>
                <w:w w:val="86"/>
              </w:rPr>
            </w:pPr>
            <w:hyperlink r:id="rId77">
              <w:r>
                <w:rPr>
                  <w:rFonts w:ascii="Arial" w:cs="Arial" w:eastAsia="Arial" w:hAnsi="Arial"/>
                  <w:sz w:val="18"/>
                  <w:szCs w:val="18"/>
                  <w:color w:val="0000FF"/>
                  <w:w w:val="86"/>
                </w:rPr>
                <w:t>2013).</w:t>
              </w:r>
            </w:hyperlink>
          </w:p>
        </w:tc>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30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0260" w:type="dxa"/>
            <w:vAlign w:val="bottom"/>
            <w:gridSpan w:val="23"/>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78">
              <w:r>
                <w:rPr>
                  <w:rFonts w:ascii="Arial" w:cs="Arial" w:eastAsia="Arial" w:hAnsi="Arial"/>
                  <w:sz w:val="18"/>
                  <w:szCs w:val="18"/>
                  <w:color w:val="0000FF"/>
                </w:rPr>
                <w:t>Amendment No. 4 dated January 1, 2013 to the Third Amended and Restated Agreement of Limited Partnership of Plains</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760" w:type="dxa"/>
            <w:vAlign w:val="bottom"/>
            <w:gridSpan w:val="10"/>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21"/>
          </w:tcPr>
          <w:p>
            <w:pPr>
              <w:spacing w:after="0" w:line="196" w:lineRule="exact"/>
              <w:rPr>
                <w:rFonts w:ascii="Arial" w:cs="Arial" w:eastAsia="Arial" w:hAnsi="Arial"/>
                <w:sz w:val="18"/>
                <w:szCs w:val="18"/>
                <w:color w:val="0000FF"/>
                <w:w w:val="96"/>
              </w:rPr>
            </w:pPr>
            <w:hyperlink r:id="rId78">
              <w:r>
                <w:rPr>
                  <w:rFonts w:ascii="Arial" w:cs="Arial" w:eastAsia="Arial" w:hAnsi="Arial"/>
                  <w:sz w:val="18"/>
                  <w:szCs w:val="18"/>
                  <w:color w:val="0000FF"/>
                  <w:w w:val="96"/>
                </w:rPr>
                <w:t>Marketing, L.P (incorporated by reference to Exhibit 3.8 to our Annual Report on Form 10-K for the year ended December 31,</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60" w:type="dxa"/>
            <w:vAlign w:val="bottom"/>
            <w:gridSpan w:val="3"/>
          </w:tcPr>
          <w:p>
            <w:pPr>
              <w:ind w:left="600"/>
              <w:spacing w:after="0" w:line="196" w:lineRule="exact"/>
              <w:rPr>
                <w:rFonts w:ascii="Arial" w:cs="Arial" w:eastAsia="Arial" w:hAnsi="Arial"/>
                <w:sz w:val="18"/>
                <w:szCs w:val="18"/>
                <w:color w:val="0000FF"/>
                <w:w w:val="86"/>
              </w:rPr>
            </w:pPr>
            <w:hyperlink r:id="rId78">
              <w:r>
                <w:rPr>
                  <w:rFonts w:ascii="Arial" w:cs="Arial" w:eastAsia="Arial" w:hAnsi="Arial"/>
                  <w:sz w:val="18"/>
                  <w:szCs w:val="18"/>
                  <w:color w:val="0000FF"/>
                  <w:w w:val="86"/>
                </w:rPr>
                <w:t>2013).</w:t>
              </w:r>
            </w:hyperlink>
          </w:p>
        </w:tc>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125" w:right="2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95"/>
              </w:rPr>
              <w:t>3.7</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9">
              <w:r>
                <w:rPr>
                  <w:rFonts w:ascii="Arial" w:cs="Arial" w:eastAsia="Arial" w:hAnsi="Arial"/>
                  <w:sz w:val="18"/>
                  <w:szCs w:val="18"/>
                  <w:color w:val="0000FF"/>
                  <w:w w:val="94"/>
                </w:rPr>
                <w:t>Third Amended and Restated Agreement of Limited Partnership of Plains Pipeline, L.P. dated as of April 1, 2004 (incorporated by</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8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reference to Exhibit 3.3 to our Quarterly Report on Form 10-Q for the quarter ended March 31, 2004).</w:t>
              </w:r>
            </w:hyperlink>
          </w:p>
        </w:tc>
        <w:tc>
          <w:tcPr>
            <w:tcW w:w="200" w:type="dxa"/>
            <w:vAlign w:val="bottom"/>
            <w:gridSpan w:val="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3.8</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0">
              <w:r>
                <w:rPr>
                  <w:rFonts w:ascii="Arial" w:cs="Arial" w:eastAsia="Arial" w:hAnsi="Arial"/>
                  <w:sz w:val="18"/>
                  <w:szCs w:val="18"/>
                  <w:color w:val="0000FF"/>
                  <w:w w:val="93"/>
                </w:rPr>
                <w:t>Amendment No. 1 dated January 1, 2013 to the Third Amended and Restated Agreement of Limited Partnership of Plains Pipeline,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L.P. (incorporated by reference to Exhibit 3.10 to our Annual Report on Form 10-K for the year ended December 31, 2013).</w:t>
              </w:r>
            </w:hyperlink>
          </w:p>
        </w:tc>
        <w:tc>
          <w:tcPr>
            <w:tcW w:w="540" w:type="dxa"/>
            <w:vAlign w:val="bottom"/>
            <w:tcBorders>
              <w:top w:val="single" w:sz="8" w:color="0000FF"/>
            </w:tcBorders>
            <w:gridSpan w:val="14"/>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3.9</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81">
              <w:r>
                <w:rPr>
                  <w:rFonts w:ascii="Arial" w:cs="Arial" w:eastAsia="Arial" w:hAnsi="Arial"/>
                  <w:sz w:val="18"/>
                  <w:szCs w:val="18"/>
                  <w:color w:val="0000FF"/>
                  <w:w w:val="94"/>
                </w:rPr>
                <w:t>Seventh Amended and Restated Limited Liability Company Agreement of Plains All American GP LLC dated November 15, 2016</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(incorporated by reference to Exhibit 3.3 to our Current Report on Form 8-K filed November 21, 2016).</w:t>
              </w:r>
            </w:hyperlink>
          </w:p>
        </w:tc>
        <w:tc>
          <w:tcPr>
            <w:tcW w:w="1960" w:type="dxa"/>
            <w:vAlign w:val="bottom"/>
            <w:tcBorders>
              <w:top w:val="single" w:sz="8" w:color="0000FF"/>
            </w:tcBorders>
            <w:gridSpan w:val="20"/>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3.10</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82">
              <w:r>
                <w:rPr>
                  <w:rFonts w:ascii="Arial" w:cs="Arial" w:eastAsia="Arial" w:hAnsi="Arial"/>
                  <w:sz w:val="18"/>
                  <w:szCs w:val="18"/>
                  <w:color w:val="0000FF"/>
                  <w:w w:val="96"/>
                </w:rPr>
                <w:t>Eighth Amended and Restated Limited Partnership Agreement of Plains AAP, L.P. dated November 15, 2016 (incorporated by</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reference to Exhibit 3.4 to our Current Report on Form 8-K filed November 21, 2016).</w:t>
              </w:r>
            </w:hyperlink>
          </w:p>
        </w:tc>
        <w:tc>
          <w:tcPr>
            <w:tcW w:w="2880" w:type="dxa"/>
            <w:vAlign w:val="bottom"/>
            <w:tcBorders>
              <w:top w:val="single" w:sz="8" w:color="0000FF"/>
            </w:tcBorders>
            <w:gridSpan w:val="15"/>
          </w:tcPr>
          <w:p>
            <w:pPr>
              <w:spacing w:after="0"/>
              <w:rPr>
                <w:sz w:val="17"/>
                <w:szCs w:val="17"/>
                <w:color w:val="auto"/>
              </w:rPr>
            </w:pPr>
          </w:p>
        </w:tc>
        <w:tc>
          <w:tcPr>
            <w:tcW w:w="480" w:type="dxa"/>
            <w:vAlign w:val="bottom"/>
            <w:gridSpan w:val="13"/>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3.11</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3">
              <w:r>
                <w:rPr>
                  <w:rFonts w:ascii="Arial" w:cs="Arial" w:eastAsia="Arial" w:hAnsi="Arial"/>
                  <w:sz w:val="18"/>
                  <w:szCs w:val="18"/>
                  <w:color w:val="0000FF"/>
                  <w:w w:val="93"/>
                </w:rPr>
                <w:t>Amendment No. 1 dated September 26, 2018 to the Eighth Amended and Restated Limited Partnership Agreement of Plains AAP,</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6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L.P. (incorporated by reference to Exhibit 3.1 to our Current Report on Form 8-K filed October 2, 2018).</w:t>
              </w:r>
            </w:hyperlink>
          </w:p>
        </w:tc>
        <w:tc>
          <w:tcPr>
            <w:tcW w:w="22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3.12</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84">
              <w:r>
                <w:rPr>
                  <w:rFonts w:ascii="Arial" w:cs="Arial" w:eastAsia="Arial" w:hAnsi="Arial"/>
                  <w:sz w:val="18"/>
                  <w:szCs w:val="18"/>
                  <w:color w:val="0000FF"/>
                  <w:w w:val="94"/>
                </w:rPr>
                <w:t>Certificate of Incorporation of PAA Finance Corp. (f/k/a Pacific Energy Finance Corporation, successor-by-merger to PAA Finance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8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Corp.) (incorporated by reference to Exhibit 3.10 to our Annual Report on Form 10-K for the year ended December 31, 2006).</w:t>
              </w:r>
            </w:hyperlink>
          </w:p>
        </w:tc>
        <w:tc>
          <w:tcPr>
            <w:tcW w:w="360" w:type="dxa"/>
            <w:vAlign w:val="bottom"/>
            <w:tcBorders>
              <w:top w:val="single" w:sz="8" w:color="0000FF"/>
            </w:tcBorders>
            <w:gridSpan w:val="11"/>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3.13</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5">
              <w:r>
                <w:rPr>
                  <w:rFonts w:ascii="Arial" w:cs="Arial" w:eastAsia="Arial" w:hAnsi="Arial"/>
                  <w:sz w:val="18"/>
                  <w:szCs w:val="18"/>
                  <w:color w:val="0000FF"/>
                  <w:w w:val="93"/>
                </w:rPr>
                <w:t>Bylaws of PAA Finance Corp. (f/k/a Pacific Energy Finance Corporation, successor-by-merger to PAA Finance Corp.) (incorporated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2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by reference to Exhibit 3.11 to our Annual Report on Form 10-K for the year ended December 31, 2006).</w:t>
              </w:r>
            </w:hyperlink>
          </w:p>
        </w:tc>
        <w:tc>
          <w:tcPr>
            <w:tcW w:w="6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3.14</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86">
              <w:r>
                <w:rPr>
                  <w:rFonts w:ascii="Arial" w:cs="Arial" w:eastAsia="Arial" w:hAnsi="Arial"/>
                  <w:sz w:val="18"/>
                  <w:szCs w:val="18"/>
                  <w:color w:val="0000FF"/>
                  <w:w w:val="95"/>
                </w:rPr>
                <w:t>Limited Liability Company Agreement of PAA GP LLC dated December 28, 2007 (incorporated by reference to Exhibit 3.3 to our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8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Current Report on Form 8-K filed January 4, 2008).</w:t>
              </w:r>
            </w:hyperlink>
          </w:p>
        </w:tc>
        <w:tc>
          <w:tcPr>
            <w:tcW w:w="200" w:type="dxa"/>
            <w:vAlign w:val="bottom"/>
            <w:gridSpan w:val="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3.15</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87">
              <w:r>
                <w:rPr>
                  <w:rFonts w:ascii="Arial" w:cs="Arial" w:eastAsia="Arial" w:hAnsi="Arial"/>
                  <w:sz w:val="18"/>
                  <w:szCs w:val="18"/>
                  <w:color w:val="0000FF"/>
                  <w:w w:val="97"/>
                </w:rPr>
                <w:t>Certificate of Limited Partnership of Plains GP Holdings, L.P. (incorporated by reference to Exhibit 3.1 to PAGP’s Registration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1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Statement on Form S-1 (333-190227) filed July 29, 2013).</w:t>
              </w:r>
            </w:hyperlink>
          </w:p>
        </w:tc>
        <w:tc>
          <w:tcPr>
            <w:tcW w:w="4960" w:type="dxa"/>
            <w:vAlign w:val="bottom"/>
            <w:tcBorders>
              <w:top w:val="single" w:sz="8" w:color="0000FF"/>
            </w:tcBorders>
            <w:gridSpan w:val="18"/>
          </w:tcPr>
          <w:p>
            <w:pPr>
              <w:spacing w:after="0"/>
              <w:rPr>
                <w:sz w:val="17"/>
                <w:szCs w:val="17"/>
                <w:color w:val="auto"/>
              </w:rPr>
            </w:pPr>
          </w:p>
        </w:tc>
        <w:tc>
          <w:tcPr>
            <w:tcW w:w="440" w:type="dxa"/>
            <w:vAlign w:val="bottom"/>
            <w:gridSpan w:val="11"/>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3.16</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88">
              <w:r>
                <w:rPr>
                  <w:rFonts w:ascii="Arial" w:cs="Arial" w:eastAsia="Arial" w:hAnsi="Arial"/>
                  <w:sz w:val="18"/>
                  <w:szCs w:val="18"/>
                  <w:color w:val="0000FF"/>
                  <w:w w:val="96"/>
                </w:rPr>
                <w:t>Second Amended and Restated Agreement of Limited Partnership of Plains GP Holdings, L.P. dated as of November 15, 2016</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7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(incorporated by reference to Exhibit 3.2 to PAGP’s Current Report on Form 8-K filed November 21, 2016).</w:t>
              </w:r>
            </w:hyperlink>
          </w:p>
        </w:tc>
        <w:tc>
          <w:tcPr>
            <w:tcW w:w="1280" w:type="dxa"/>
            <w:vAlign w:val="bottom"/>
            <w:tcBorders>
              <w:top w:val="single" w:sz="8" w:color="0000FF"/>
            </w:tcBorders>
            <w:gridSpan w:val="6"/>
          </w:tcPr>
          <w:p>
            <w:pPr>
              <w:spacing w:after="0"/>
              <w:rPr>
                <w:sz w:val="17"/>
                <w:szCs w:val="17"/>
                <w:color w:val="auto"/>
              </w:rPr>
            </w:pPr>
          </w:p>
        </w:tc>
        <w:tc>
          <w:tcPr>
            <w:tcW w:w="520" w:type="dxa"/>
            <w:vAlign w:val="bottom"/>
            <w:gridSpan w:val="15"/>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3.17</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89">
              <w:r>
                <w:rPr>
                  <w:rFonts w:ascii="Arial" w:cs="Arial" w:eastAsia="Arial" w:hAnsi="Arial"/>
                  <w:sz w:val="18"/>
                  <w:szCs w:val="18"/>
                  <w:color w:val="0000FF"/>
                  <w:w w:val="95"/>
                </w:rPr>
                <w:t>Certificate of Formation of PAA GP Holdings LLC (incorporated by reference to Exhibit 3.3 to PAGP’s Registration Statement on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Form S-1 (333-190227) filed July 29, 2013).</w:t>
              </w:r>
            </w:hyperlink>
          </w:p>
        </w:tc>
        <w:tc>
          <w:tcPr>
            <w:tcW w:w="6160" w:type="dxa"/>
            <w:vAlign w:val="bottom"/>
            <w:tcBorders>
              <w:top w:val="single" w:sz="8" w:color="0000FF"/>
            </w:tcBorders>
            <w:gridSpan w:val="25"/>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3.18</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90">
              <w:r>
                <w:rPr>
                  <w:rFonts w:ascii="Arial" w:cs="Arial" w:eastAsia="Arial" w:hAnsi="Arial"/>
                  <w:sz w:val="18"/>
                  <w:szCs w:val="18"/>
                  <w:color w:val="0000FF"/>
                  <w:w w:val="98"/>
                </w:rPr>
                <w:t>Third Amended and Restated Limited Liability Company Agreement of PAA GP Holdings LLC dated as of February 16, 2017</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(incorporated by reference to Exhibit 3.1 to our Current Report on Form 8-K filed February 21, 2017).</w:t>
              </w:r>
            </w:hyperlink>
          </w:p>
        </w:tc>
        <w:tc>
          <w:tcPr>
            <w:tcW w:w="480" w:type="dxa"/>
            <w:vAlign w:val="bottom"/>
            <w:gridSpan w:val="1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50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3.19</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91">
              <w:r>
                <w:rPr>
                  <w:rFonts w:ascii="Arial" w:cs="Arial" w:eastAsia="Arial" w:hAnsi="Arial"/>
                  <w:sz w:val="18"/>
                  <w:szCs w:val="18"/>
                  <w:color w:val="0000FF"/>
                  <w:w w:val="95"/>
                </w:rPr>
                <w:t>Amendment No. 1 dated October 1, 2018 to the Third Amended and Restated Limited Liability Company Agreement of PAA GP</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Holdings LLC (incorporated by reference to Exhibit 3.1 to our Current Report on Form 8-K filed August 20, 2018).</w:t>
              </w:r>
            </w:hyperlink>
          </w:p>
        </w:tc>
        <w:tc>
          <w:tcPr>
            <w:tcW w:w="30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500" w:type="dxa"/>
            <w:vAlign w:val="bottom"/>
            <w:gridSpan w:val="5"/>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3.20</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92">
              <w:r>
                <w:rPr>
                  <w:rFonts w:ascii="Arial" w:cs="Arial" w:eastAsia="Arial" w:hAnsi="Arial"/>
                  <w:sz w:val="18"/>
                  <w:szCs w:val="18"/>
                  <w:color w:val="0000FF"/>
                  <w:w w:val="93"/>
                </w:rPr>
                <w:t>Amendment No. 2 dated December 10, 2018 to the Third Amended and Restated Limited Liability Company Agreement of PAA GP</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5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Holdings LLC (incorporated by reference to Exhibit 3.1 to our Current Report on Form 8-K filed December 11, 2018).</w:t>
              </w:r>
            </w:hyperlink>
          </w:p>
        </w:tc>
        <w:tc>
          <w:tcPr>
            <w:tcW w:w="1020" w:type="dxa"/>
            <w:vAlign w:val="bottom"/>
            <w:tcBorders>
              <w:top w:val="single" w:sz="8" w:color="0000FF"/>
            </w:tcBorders>
            <w:gridSpan w:val="17"/>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4.1</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93">
              <w:r>
                <w:rPr>
                  <w:rFonts w:ascii="Arial" w:cs="Arial" w:eastAsia="Arial" w:hAnsi="Arial"/>
                  <w:sz w:val="18"/>
                  <w:szCs w:val="18"/>
                  <w:color w:val="0000FF"/>
                  <w:w w:val="94"/>
                </w:rPr>
                <w:t>Indenture dated September 25, 2002 among Plains All American Pipeline, L.P., PAA Finance Corp. and Wachovia Bank, National</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Association, as trustee (incorporated by reference to Exhibit 4.1 to our Quarterly Report on Form 10-Q for the quarter ended</w:t>
              </w:r>
            </w:hyperlink>
          </w:p>
        </w:tc>
        <w:tc>
          <w:tcPr>
            <w:tcW w:w="400" w:type="dxa"/>
            <w:vAlign w:val="bottom"/>
            <w:tcBorders>
              <w:top w:val="single" w:sz="8" w:color="0000FF"/>
            </w:tcBorders>
            <w:gridSpan w:val="9"/>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93">
              <w:r>
                <w:rPr>
                  <w:rFonts w:ascii="Arial" w:cs="Arial" w:eastAsia="Arial" w:hAnsi="Arial"/>
                  <w:sz w:val="18"/>
                  <w:szCs w:val="18"/>
                  <w:color w:val="0000FF"/>
                  <w:w w:val="86"/>
                </w:rPr>
                <w:t>September 30, 2002).</w:t>
              </w:r>
            </w:hyperlink>
          </w:p>
        </w:tc>
        <w:tc>
          <w:tcPr>
            <w:tcW w:w="8060" w:type="dxa"/>
            <w:vAlign w:val="bottom"/>
            <w:gridSpan w:val="32"/>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4.2</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94">
              <w:r>
                <w:rPr>
                  <w:rFonts w:ascii="Arial" w:cs="Arial" w:eastAsia="Arial" w:hAnsi="Arial"/>
                  <w:sz w:val="18"/>
                  <w:szCs w:val="18"/>
                  <w:color w:val="0000FF"/>
                  <w:w w:val="91"/>
                </w:rPr>
                <w:t>Sixth Supplemental Indenture (Series A and Series B 6.70% Senior Notes due 2036) dated May 12, 2006 among Plains All American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tcBorders>
              <w:top w:val="single" w:sz="8" w:color="0000FF"/>
            </w:tcBorders>
            <w:gridSpan w:val="33"/>
          </w:tcPr>
          <w:p>
            <w:pPr>
              <w:spacing w:after="0" w:line="196"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Pipeline, L.P., PAA Finance Corp., the Subsidiary Guarantors named therein and Wachovia Bank, National Association, as trustee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(incorporated by reference to Exhibit 4.1 to our Current Report on Form 8-K filed May 12, 2006).</w:t>
              </w:r>
            </w:hyperlink>
          </w:p>
        </w:tc>
        <w:tc>
          <w:tcPr>
            <w:tcW w:w="260" w:type="dxa"/>
            <w:vAlign w:val="bottom"/>
            <w:gridSpan w:val="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7020" w:type="dxa"/>
            <w:vAlign w:val="bottom"/>
            <w:gridSpan w:val="6"/>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4.3</w:t>
            </w: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95">
              <w:r>
                <w:rPr>
                  <w:rFonts w:ascii="Arial" w:cs="Arial" w:eastAsia="Arial" w:hAnsi="Arial"/>
                  <w:sz w:val="18"/>
                  <w:szCs w:val="18"/>
                  <w:color w:val="0000FF"/>
                  <w:w w:val="95"/>
                </w:rPr>
                <w:t>Tenth Supplemental Indenture (Series A and Series B 6.650% Senior Notes due 2037) dated October 30, 2006 among Plains All</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American Pipeline, L.P., PAA Finance Corp., the Subsidiary Guarantors named therein and U.S. Bank National Association, as</w:t>
              </w:r>
            </w:hyperlink>
          </w:p>
        </w:tc>
        <w:tc>
          <w:tcPr>
            <w:tcW w:w="80" w:type="dxa"/>
            <w:vAlign w:val="bottom"/>
            <w:tcBorders>
              <w:top w:val="single" w:sz="8" w:color="0000FF"/>
            </w:tcBorders>
            <w:gridSpan w:val="2"/>
          </w:tcPr>
          <w:p>
            <w:pPr>
              <w:spacing w:after="0"/>
              <w:rPr>
                <w:sz w:val="17"/>
                <w:szCs w:val="17"/>
                <w:color w:val="auto"/>
              </w:rPr>
            </w:pPr>
          </w:p>
        </w:tc>
        <w:tc>
          <w:tcPr>
            <w:tcW w:w="38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gridSpan w:val="33"/>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trustee (incorporated by reference to Exhibit 4.2 to our Current Report on Form 8-K filed October 30, 2006).</w:t>
              </w:r>
            </w:hyperlink>
          </w:p>
        </w:tc>
      </w:tr>
      <w:tr>
        <w:trPr>
          <w:trHeight w:val="669"/>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80" w:type="dxa"/>
            <w:vAlign w:val="bottom"/>
            <w:tcBorders>
              <w:top w:val="single" w:sz="8" w:color="0000FF"/>
            </w:tcBorders>
            <w:gridSpan w:val="4"/>
          </w:tcPr>
          <w:p>
            <w:pPr>
              <w:jc w:val="right"/>
              <w:ind w:right="120"/>
              <w:spacing w:after="0"/>
              <w:rPr>
                <w:sz w:val="20"/>
                <w:szCs w:val="20"/>
                <w:color w:val="auto"/>
              </w:rPr>
            </w:pPr>
            <w:r>
              <w:rPr>
                <w:rFonts w:ascii="Arial" w:cs="Arial" w:eastAsia="Arial" w:hAnsi="Arial"/>
                <w:sz w:val="18"/>
                <w:szCs w:val="18"/>
                <w:color w:val="auto"/>
              </w:rPr>
              <w:t>113</w:t>
            </w:r>
          </w:p>
        </w:tc>
        <w:tc>
          <w:tcPr>
            <w:tcW w:w="20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95"/>
              </w:rPr>
              <w:t>4.4</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96">
              <w:r>
                <w:rPr>
                  <w:rFonts w:ascii="Arial" w:cs="Arial" w:eastAsia="Arial" w:hAnsi="Arial"/>
                  <w:sz w:val="18"/>
                  <w:szCs w:val="18"/>
                  <w:color w:val="0000FF"/>
                  <w:w w:val="92"/>
                </w:rPr>
                <w:t>Seventeenth Supplemental Indenture (5.75% Senior Notes due 2020) dated September 4, 2009 among Plains All American Pipeline,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96">
              <w:r>
                <w:rPr>
                  <w:rFonts w:ascii="Arial" w:cs="Arial" w:eastAsia="Arial" w:hAnsi="Arial"/>
                  <w:sz w:val="18"/>
                  <w:szCs w:val="18"/>
                  <w:color w:val="0000FF"/>
                  <w:w w:val="90"/>
                </w:rPr>
                <w:t>L.P., PAA Finance Corp., the Subsidiary Guarantors named therein and U.S. Bank National Association, as trustee (incorporated by</w:t>
              </w:r>
            </w:hyperlink>
          </w:p>
        </w:tc>
        <w:tc>
          <w:tcPr>
            <w:tcW w:w="60" w:type="dxa"/>
            <w:vAlign w:val="bottom"/>
            <w:tcBorders>
              <w:top w:val="single" w:sz="8" w:color="0000FF"/>
            </w:tcBorders>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reference to Exhibit 4.1 to our Current Report on Form 8-K filed September 4, 2009).</w:t>
              </w:r>
            </w:hyperlink>
          </w:p>
        </w:tc>
        <w:tc>
          <w:tcPr>
            <w:tcW w:w="3460" w:type="dxa"/>
            <w:vAlign w:val="bottom"/>
            <w:gridSpan w:val="13"/>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4.5</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97">
              <w:r>
                <w:rPr>
                  <w:rFonts w:ascii="Arial" w:cs="Arial" w:eastAsia="Arial" w:hAnsi="Arial"/>
                  <w:sz w:val="18"/>
                  <w:szCs w:val="18"/>
                  <w:color w:val="0000FF"/>
                  <w:w w:val="94"/>
                </w:rPr>
                <w:t>Nineteenth Supplemental Indenture (5.00% Senior Notes due 2021) dated January 14, 2011 among Plains All American Pipeline,</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6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97">
              <w:r>
                <w:rPr>
                  <w:rFonts w:ascii="Arial" w:cs="Arial" w:eastAsia="Arial" w:hAnsi="Arial"/>
                  <w:sz w:val="18"/>
                  <w:szCs w:val="18"/>
                  <w:color w:val="0000FF"/>
                  <w:w w:val="90"/>
                </w:rPr>
                <w:t>L.P., PAA Finance Corp., the Subsidiary Guarantors named therein and U.S. Bank National Association, as trustee (incorporated by</w:t>
              </w:r>
            </w:hyperlink>
          </w:p>
        </w:tc>
        <w:tc>
          <w:tcPr>
            <w:tcW w:w="14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0" w:type="dxa"/>
            <w:vAlign w:val="bottom"/>
            <w:gridSpan w:val="24"/>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reference to Exhibit 4.1 to our Current Report on Form 8-K filed January 11, 2011).</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4.6</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98">
              <w:r>
                <w:rPr>
                  <w:rFonts w:ascii="Arial" w:cs="Arial" w:eastAsia="Arial" w:hAnsi="Arial"/>
                  <w:sz w:val="18"/>
                  <w:szCs w:val="18"/>
                  <w:color w:val="0000FF"/>
                  <w:w w:val="93"/>
                </w:rPr>
                <w:t>Twentieth Supplemental Indenture (3.65% Senior Notes due 2022) dated March 22, 2012 among Plains All American Pipeline, L.P.,</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PAA Finance Corp. and U.S. Bank National Association, as trustee (incorporated by reference to Exhibit 4.1 to our Current Report on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6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Form 8-K filed March 26, 2012).</w:t>
              </w:r>
            </w:hyperlink>
          </w:p>
        </w:tc>
        <w:tc>
          <w:tcPr>
            <w:tcW w:w="7240" w:type="dxa"/>
            <w:vAlign w:val="bottom"/>
            <w:gridSpan w:val="23"/>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4.7</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99">
              <w:r>
                <w:rPr>
                  <w:rFonts w:ascii="Arial" w:cs="Arial" w:eastAsia="Arial" w:hAnsi="Arial"/>
                  <w:sz w:val="18"/>
                  <w:szCs w:val="18"/>
                  <w:color w:val="0000FF"/>
                  <w:w w:val="94"/>
                </w:rPr>
                <w:t>Twenty-First Supplemental Indenture (5.15% Senior Notes due 2042) dated March 22, 2012 among Plains All American Pipeline,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L.P., PAA Finance Corp. and U.S. Bank National Association, as trustee (incorporated by reference to Exhibit 4.3 to our Current</w:t>
              </w:r>
            </w:hyperlink>
          </w:p>
        </w:tc>
        <w:tc>
          <w:tcPr>
            <w:tcW w:w="120" w:type="dxa"/>
            <w:vAlign w:val="bottom"/>
            <w:tcBorders>
              <w:top w:val="single" w:sz="8" w:color="0000FF"/>
            </w:tcBorders>
            <w:gridSpan w:val="2"/>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2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Report on Form 8-K filed March 26, 2012).</w:t>
              </w:r>
            </w:hyperlink>
          </w:p>
        </w:tc>
        <w:tc>
          <w:tcPr>
            <w:tcW w:w="6480" w:type="dxa"/>
            <w:vAlign w:val="bottom"/>
            <w:gridSpan w:val="22"/>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4.8</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00">
              <w:r>
                <w:rPr>
                  <w:rFonts w:ascii="Arial" w:cs="Arial" w:eastAsia="Arial" w:hAnsi="Arial"/>
                  <w:sz w:val="18"/>
                  <w:szCs w:val="18"/>
                  <w:color w:val="0000FF"/>
                  <w:w w:val="97"/>
                </w:rPr>
                <w:t>Twenty-Second Supplemental Indenture (2.85% Senior Notes due 2023) dated December 10, 2012, by and among Plains All</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American Pipeline, L.P., PAA Finance Corp. and U.S. Bank National Association, as trustee (incorporated by reference to Exhibit 4.1</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to our Current Report on Form 8-K filed December 12, 2012).</w:t>
              </w:r>
            </w:hyperlink>
          </w:p>
        </w:tc>
        <w:tc>
          <w:tcPr>
            <w:tcW w:w="5140" w:type="dxa"/>
            <w:vAlign w:val="bottom"/>
            <w:gridSpan w:val="15"/>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4.9</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1">
              <w:r>
                <w:rPr>
                  <w:rFonts w:ascii="Arial" w:cs="Arial" w:eastAsia="Arial" w:hAnsi="Arial"/>
                  <w:sz w:val="18"/>
                  <w:szCs w:val="18"/>
                  <w:color w:val="0000FF"/>
                  <w:w w:val="92"/>
                </w:rPr>
                <w:t>Twenty-Third Supplemental Indenture (4.30% Senior Notes due 2043) dated December 10, 2012, by and among Plains All American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tcBorders>
              <w:top w:val="single" w:sz="8" w:color="0000FF"/>
            </w:tcBorders>
            <w:gridSpan w:val="23"/>
          </w:tcPr>
          <w:p>
            <w:pPr>
              <w:spacing w:after="0" w:line="196" w:lineRule="exact"/>
              <w:rPr>
                <w:rFonts w:ascii="Arial" w:cs="Arial" w:eastAsia="Arial" w:hAnsi="Arial"/>
                <w:sz w:val="18"/>
                <w:szCs w:val="18"/>
                <w:color w:val="0000FF"/>
                <w:w w:val="93"/>
              </w:rPr>
            </w:pPr>
            <w:hyperlink r:id="rId101">
              <w:r>
                <w:rPr>
                  <w:rFonts w:ascii="Arial" w:cs="Arial" w:eastAsia="Arial" w:hAnsi="Arial"/>
                  <w:sz w:val="18"/>
                  <w:szCs w:val="18"/>
                  <w:color w:val="0000FF"/>
                  <w:w w:val="93"/>
                </w:rPr>
                <w:t>Pipeline, L.P., PAA Finance Corp. and U.S. Bank National Association, as trustee (incorporated by reference to Exhibit 4.3 to our</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Current Report on Form 8-K filed December 12, 2012).</w:t>
              </w:r>
            </w:hyperlink>
          </w:p>
        </w:tc>
        <w:tc>
          <w:tcPr>
            <w:tcW w:w="5300" w:type="dxa"/>
            <w:vAlign w:val="bottom"/>
            <w:tcBorders>
              <w:top w:val="single" w:sz="8" w:color="0000FF"/>
            </w:tcBorders>
            <w:gridSpan w:val="10"/>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4.10</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02">
              <w:r>
                <w:rPr>
                  <w:rFonts w:ascii="Arial" w:cs="Arial" w:eastAsia="Arial" w:hAnsi="Arial"/>
                  <w:sz w:val="18"/>
                  <w:szCs w:val="18"/>
                  <w:color w:val="0000FF"/>
                  <w:w w:val="93"/>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40" w:type="dxa"/>
            <w:vAlign w:val="bottom"/>
            <w:tcBorders>
              <w:top w:val="single" w:sz="8" w:color="0000FF"/>
            </w:tcBorders>
            <w:gridSpan w:val="19"/>
          </w:tcPr>
          <w:p>
            <w:pPr>
              <w:spacing w:after="0" w:line="19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16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Current Report on Form 8-K filed August 15, 2013).</w:t>
              </w:r>
            </w:hyperlink>
          </w:p>
        </w:tc>
        <w:tc>
          <w:tcPr>
            <w:tcW w:w="5540" w:type="dxa"/>
            <w:vAlign w:val="bottom"/>
            <w:tcBorders>
              <w:top w:val="single" w:sz="8" w:color="0000FF"/>
            </w:tcBorders>
            <w:gridSpan w:val="12"/>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4.11</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03">
              <w:r>
                <w:rPr>
                  <w:rFonts w:ascii="Arial" w:cs="Arial" w:eastAsia="Arial" w:hAnsi="Arial"/>
                  <w:sz w:val="18"/>
                  <w:szCs w:val="18"/>
                  <w:color w:val="0000FF"/>
                  <w:w w:val="97"/>
                </w:rPr>
                <w:t>Twenty-Fifth Supplemental Indenture (4.70% Senior Notes due 2044) dated April 23, 2014, by and among Plains All American</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0" w:type="dxa"/>
            <w:vAlign w:val="bottom"/>
            <w:gridSpan w:val="24"/>
          </w:tcPr>
          <w:p>
            <w:pPr>
              <w:spacing w:after="0" w:line="196" w:lineRule="exact"/>
              <w:rPr>
                <w:rFonts w:ascii="Arial" w:cs="Arial" w:eastAsia="Arial" w:hAnsi="Arial"/>
                <w:sz w:val="18"/>
                <w:szCs w:val="18"/>
                <w:color w:val="0000FF"/>
                <w:w w:val="93"/>
              </w:rPr>
            </w:pPr>
            <w:hyperlink r:id="rId103">
              <w:r>
                <w:rPr>
                  <w:rFonts w:ascii="Arial" w:cs="Arial" w:eastAsia="Arial" w:hAnsi="Arial"/>
                  <w:sz w:val="18"/>
                  <w:szCs w:val="18"/>
                  <w:color w:val="0000FF"/>
                  <w:w w:val="93"/>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103">
              <w:r>
                <w:rPr>
                  <w:rFonts w:ascii="Arial" w:cs="Arial" w:eastAsia="Arial" w:hAnsi="Arial"/>
                  <w:sz w:val="18"/>
                  <w:szCs w:val="18"/>
                  <w:color w:val="0000FF"/>
                  <w:w w:val="92"/>
                </w:rPr>
                <w:t>Current Report on Form 8-K filed April 29, 2014).</w:t>
              </w:r>
            </w:hyperlink>
          </w:p>
        </w:tc>
        <w:tc>
          <w:tcPr>
            <w:tcW w:w="5680" w:type="dxa"/>
            <w:vAlign w:val="bottom"/>
            <w:tcBorders>
              <w:top w:val="single" w:sz="8" w:color="0000FF"/>
            </w:tcBorders>
            <w:gridSpan w:val="13"/>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4.12</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4">
              <w:r>
                <w:rPr>
                  <w:rFonts w:ascii="Arial" w:cs="Arial" w:eastAsia="Arial" w:hAnsi="Arial"/>
                  <w:sz w:val="18"/>
                  <w:szCs w:val="18"/>
                  <w:color w:val="0000FF"/>
                  <w:w w:val="92"/>
                </w:rPr>
                <w:t>Twenty-Sixth Supplemental Indenture (3.60% Senior Notes due 2024) dated September 9, 2014, by and among Plains All American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20" w:type="dxa"/>
            <w:vAlign w:val="bottom"/>
            <w:tcBorders>
              <w:top w:val="single" w:sz="8" w:color="0000FF"/>
            </w:tcBorders>
            <w:gridSpan w:val="21"/>
          </w:tcPr>
          <w:p>
            <w:pPr>
              <w:spacing w:after="0" w:line="19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Pipeline, L.P., PAA Finance Corp. and U.S. Bank National Association, as trustee (incorporated by reference to Exhibit 4.1 to our</w:t>
              </w:r>
            </w:hyperlink>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Current Report on Form 8-K filed September 11, 2014).</w:t>
              </w:r>
            </w:hyperlink>
          </w:p>
        </w:tc>
        <w:tc>
          <w:tcPr>
            <w:tcW w:w="5280" w:type="dxa"/>
            <w:vAlign w:val="bottom"/>
            <w:tcBorders>
              <w:top w:val="single" w:sz="8" w:color="0000FF"/>
            </w:tcBorders>
            <w:gridSpan w:val="9"/>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4.13</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05">
              <w:r>
                <w:rPr>
                  <w:rFonts w:ascii="Arial" w:cs="Arial" w:eastAsia="Arial" w:hAnsi="Arial"/>
                  <w:sz w:val="18"/>
                  <w:szCs w:val="18"/>
                  <w:color w:val="0000FF"/>
                  <w:w w:val="98"/>
                </w:rPr>
                <w:t>Twenty-Seventh Supplemental Indenture (2.60% Senior Notes due 2019) dated December 9, 2014, by and among Plains All</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American Pipeline, L.P., PAA Finance Corp. and U.S. Bank National Association, as trustee (incorporated by reference to Exhibit 4.1</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0" w:type="dxa"/>
            <w:vAlign w:val="bottom"/>
            <w:gridSpan w:val="24"/>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to our Current Report on Form 8-K filed December 11, 2014).</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4.14</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6">
              <w:r>
                <w:rPr>
                  <w:rFonts w:ascii="Arial" w:cs="Arial" w:eastAsia="Arial" w:hAnsi="Arial"/>
                  <w:sz w:val="18"/>
                  <w:szCs w:val="18"/>
                  <w:color w:val="0000FF"/>
                  <w:w w:val="92"/>
                </w:rPr>
                <w:t>Twenty-Eighth Supplemental Indenture (4.90% Senior Notes due 2045) dated December 9, 2014, by and among Plains All American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tcBorders>
              <w:top w:val="single" w:sz="8" w:color="0000FF"/>
            </w:tcBorders>
            <w:gridSpan w:val="22"/>
          </w:tcPr>
          <w:p>
            <w:pPr>
              <w:spacing w:after="0" w:line="196" w:lineRule="exact"/>
              <w:rPr>
                <w:rFonts w:ascii="Arial" w:cs="Arial" w:eastAsia="Arial" w:hAnsi="Arial"/>
                <w:sz w:val="18"/>
                <w:szCs w:val="18"/>
                <w:color w:val="0000FF"/>
                <w:w w:val="93"/>
              </w:rPr>
            </w:pPr>
            <w:hyperlink r:id="rId106">
              <w:r>
                <w:rPr>
                  <w:rFonts w:ascii="Arial" w:cs="Arial" w:eastAsia="Arial" w:hAnsi="Arial"/>
                  <w:sz w:val="18"/>
                  <w:szCs w:val="18"/>
                  <w:color w:val="0000FF"/>
                  <w:w w:val="93"/>
                </w:rPr>
                <w:t>Pipeline, L.P., PAA Finance Corp. and U.S. Bank National Association, as trustee (incorporated by reference to Exhibit 4.3 to our</w:t>
              </w:r>
            </w:hyperlink>
          </w:p>
        </w:tc>
        <w:tc>
          <w:tcPr>
            <w:tcW w:w="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Current Report on Form 8-K filed December 11, 2014).</w:t>
              </w:r>
            </w:hyperlink>
          </w:p>
        </w:tc>
        <w:tc>
          <w:tcPr>
            <w:tcW w:w="5320" w:type="dxa"/>
            <w:vAlign w:val="bottom"/>
            <w:tcBorders>
              <w:top w:val="single" w:sz="8" w:color="0000FF"/>
            </w:tcBorders>
            <w:gridSpan w:val="11"/>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4.15</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07">
              <w:r>
                <w:rPr>
                  <w:rFonts w:ascii="Arial" w:cs="Arial" w:eastAsia="Arial" w:hAnsi="Arial"/>
                  <w:sz w:val="18"/>
                  <w:szCs w:val="18"/>
                  <w:color w:val="0000FF"/>
                  <w:w w:val="94"/>
                </w:rPr>
                <w:t>Twenty-Ninth Supplemental Indenture (4.65% Senior Notes due 2025) dated August 24, 2015, by and among Plains All American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60" w:type="dxa"/>
            <w:vAlign w:val="bottom"/>
            <w:tcBorders>
              <w:top w:val="single" w:sz="8" w:color="0000FF"/>
            </w:tcBorders>
            <w:gridSpan w:val="18"/>
          </w:tcPr>
          <w:p>
            <w:pPr>
              <w:spacing w:after="0" w:line="19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24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Current Report on Form 8-K filed August 26, 2015).</w:t>
              </w:r>
            </w:hyperlink>
          </w:p>
        </w:tc>
        <w:tc>
          <w:tcPr>
            <w:tcW w:w="5540" w:type="dxa"/>
            <w:vAlign w:val="bottom"/>
            <w:tcBorders>
              <w:top w:val="single" w:sz="8" w:color="0000FF"/>
            </w:tcBorders>
            <w:gridSpan w:val="12"/>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4.16</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08">
              <w:r>
                <w:rPr>
                  <w:rFonts w:ascii="Arial" w:cs="Arial" w:eastAsia="Arial" w:hAnsi="Arial"/>
                  <w:sz w:val="18"/>
                  <w:szCs w:val="18"/>
                  <w:color w:val="0000FF"/>
                  <w:w w:val="95"/>
                </w:rPr>
                <w:t>Thirtieth Supplemental Indenture (4.50% Senior Notes due 2026) dated November 22, 2016, by and among Plains All American</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4100" w:type="dxa"/>
            <w:vAlign w:val="bottom"/>
            <w:gridSpan w:val="6"/>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0" w:type="dxa"/>
            <w:vAlign w:val="bottom"/>
            <w:gridSpan w:val="24"/>
          </w:tcPr>
          <w:p>
            <w:pPr>
              <w:spacing w:after="0" w:line="196" w:lineRule="exact"/>
              <w:rPr>
                <w:rFonts w:ascii="Arial" w:cs="Arial" w:eastAsia="Arial" w:hAnsi="Arial"/>
                <w:sz w:val="18"/>
                <w:szCs w:val="18"/>
                <w:color w:val="0000FF"/>
                <w:w w:val="93"/>
              </w:rPr>
            </w:pPr>
            <w:hyperlink r:id="rId108">
              <w:r>
                <w:rPr>
                  <w:rFonts w:ascii="Arial" w:cs="Arial" w:eastAsia="Arial" w:hAnsi="Arial"/>
                  <w:sz w:val="18"/>
                  <w:szCs w:val="18"/>
                  <w:color w:val="0000FF"/>
                  <w:w w:val="93"/>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Current Report on Form 8-K filed November 29, 2016).</w:t>
              </w:r>
            </w:hyperlink>
          </w:p>
        </w:tc>
        <w:tc>
          <w:tcPr>
            <w:tcW w:w="5300" w:type="dxa"/>
            <w:vAlign w:val="bottom"/>
            <w:tcBorders>
              <w:top w:val="single" w:sz="8" w:color="0000FF"/>
            </w:tcBorders>
            <w:gridSpan w:val="10"/>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4.17</w:t>
            </w:r>
          </w:p>
        </w:tc>
        <w:tc>
          <w:tcPr>
            <w:tcW w:w="20" w:type="dxa"/>
            <w:vAlign w:val="bottom"/>
          </w:tcPr>
          <w:p>
            <w:pPr>
              <w:spacing w:after="0"/>
              <w:rPr>
                <w:sz w:val="24"/>
                <w:szCs w:val="24"/>
                <w:color w:val="auto"/>
              </w:rPr>
            </w:pPr>
          </w:p>
        </w:tc>
        <w:tc>
          <w:tcPr>
            <w:tcW w:w="10080" w:type="dxa"/>
            <w:vAlign w:val="bottom"/>
            <w:gridSpan w:val="25"/>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9">
              <w:r>
                <w:rPr>
                  <w:rFonts w:ascii="Arial" w:cs="Arial" w:eastAsia="Arial" w:hAnsi="Arial"/>
                  <w:sz w:val="18"/>
                  <w:szCs w:val="18"/>
                  <w:color w:val="0000FF"/>
                  <w:w w:val="92"/>
                </w:rPr>
                <w:t>Registration Rights Agreement dated September 3, 2009 by and between Plains All American Pipeline, L.P. and Vulcan Gas Storage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LLC (incorporated by reference to Exhibit 4.1 to our Registration Statement on Form S-3, File No. 333-162477).</w:t>
              </w:r>
            </w:hyperlink>
          </w:p>
        </w:tc>
        <w:tc>
          <w:tcPr>
            <w:tcW w:w="80" w:type="dxa"/>
            <w:vAlign w:val="bottom"/>
            <w:gridSpan w:val="3"/>
          </w:tcPr>
          <w:p>
            <w:pPr>
              <w:spacing w:after="0"/>
              <w:rPr>
                <w:sz w:val="17"/>
                <w:szCs w:val="17"/>
                <w:color w:val="auto"/>
              </w:rPr>
            </w:pPr>
          </w:p>
        </w:tc>
      </w:tr>
      <w:tr>
        <w:trPr>
          <w:trHeight w:val="669"/>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40" w:type="dxa"/>
            <w:vAlign w:val="bottom"/>
            <w:tcBorders>
              <w:top w:val="single" w:sz="8" w:color="0000FF"/>
            </w:tcBorders>
            <w:gridSpan w:val="8"/>
          </w:tcPr>
          <w:p>
            <w:pPr>
              <w:jc w:val="right"/>
              <w:ind w:right="380"/>
              <w:spacing w:after="0"/>
              <w:rPr>
                <w:sz w:val="20"/>
                <w:szCs w:val="20"/>
                <w:color w:val="auto"/>
              </w:rPr>
            </w:pPr>
            <w:r>
              <w:rPr>
                <w:rFonts w:ascii="Arial" w:cs="Arial" w:eastAsia="Arial" w:hAnsi="Arial"/>
                <w:sz w:val="18"/>
                <w:szCs w:val="18"/>
                <w:color w:val="auto"/>
              </w:rPr>
              <w:t>114</w:t>
            </w:r>
          </w:p>
        </w:tc>
        <w:tc>
          <w:tcPr>
            <w:tcW w:w="2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96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108" w:right="27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91"/>
              </w:rPr>
              <w:t>4.18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2"/>
          </w:tcPr>
          <w:p>
            <w:pPr>
              <w:spacing w:after="0"/>
              <w:rPr>
                <w:rFonts w:ascii="Arial" w:cs="Arial" w:eastAsia="Arial" w:hAnsi="Arial"/>
                <w:sz w:val="18"/>
                <w:szCs w:val="18"/>
                <w:color w:val="0000FF"/>
                <w:w w:val="92"/>
              </w:rPr>
            </w:pPr>
            <w:hyperlink r:id="rId110">
              <w:r>
                <w:rPr>
                  <w:rFonts w:ascii="Arial" w:cs="Arial" w:eastAsia="Arial" w:hAnsi="Arial"/>
                  <w:sz w:val="18"/>
                  <w:szCs w:val="18"/>
                  <w:color w:val="0000FF"/>
                  <w:w w:val="92"/>
                </w:rPr>
                <w:t>Registration Rights Agreement dated as of January 28, 2016 among Plains All American Pipeline, L.P. and the Purchasers named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therein (incorporated by reference to Exhibit 4.1 to our Current Report on Form 8-K filed February 2, 2016).</w:t>
              </w:r>
            </w:hyperlink>
          </w:p>
        </w:tc>
        <w:tc>
          <w:tcPr>
            <w:tcW w:w="1480" w:type="dxa"/>
            <w:vAlign w:val="bottom"/>
            <w:tcBorders>
              <w:top w:val="single" w:sz="8" w:color="0000FF"/>
            </w:tcBorders>
            <w:gridSpan w:val="12"/>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4.19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420" w:type="dxa"/>
            <w:vAlign w:val="bottom"/>
            <w:tcBorders>
              <w:bottom w:val="single" w:sz="8" w:color="0000FF"/>
            </w:tcBorders>
            <w:gridSpan w:val="24"/>
          </w:tcPr>
          <w:p>
            <w:pPr>
              <w:spacing w:after="0"/>
              <w:rPr>
                <w:rFonts w:ascii="Arial" w:cs="Arial" w:eastAsia="Arial" w:hAnsi="Arial"/>
                <w:sz w:val="18"/>
                <w:szCs w:val="18"/>
                <w:color w:val="0000FF"/>
                <w:w w:val="90"/>
              </w:rPr>
            </w:pPr>
            <w:hyperlink r:id="rId111">
              <w:r>
                <w:rPr>
                  <w:rFonts w:ascii="Arial" w:cs="Arial" w:eastAsia="Arial" w:hAnsi="Arial"/>
                  <w:sz w:val="18"/>
                  <w:szCs w:val="18"/>
                  <w:color w:val="0000FF"/>
                  <w:w w:val="90"/>
                </w:rPr>
                <w:t>Registration Rights Agreement by and among Plains All American Pipeline, L.P. and the Holders defined therein, dated November</w:t>
              </w:r>
            </w:hyperlink>
          </w:p>
        </w:tc>
        <w:tc>
          <w:tcPr>
            <w:tcW w:w="20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15, 2016 (incorporated by reference to Exhibit 10.4 to our Current Report on Form 8-K filed November 21, 2016).</w:t>
              </w:r>
            </w:hyperlink>
          </w:p>
        </w:tc>
        <w:tc>
          <w:tcPr>
            <w:tcW w:w="1380" w:type="dxa"/>
            <w:vAlign w:val="bottom"/>
            <w:gridSpan w:val="21"/>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560" w:type="dxa"/>
            <w:vAlign w:val="bottom"/>
            <w:tcBorders>
              <w:bottom w:val="single" w:sz="8" w:color="0000FF"/>
            </w:tcBorders>
            <w:gridSpan w:val="29"/>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Credit Agreement dated as of August 19, 2011 among Plains All American Pipeline, L.P., as Borrower; certain subsidiaries of Plains</w:t>
              </w:r>
            </w:hyperlink>
          </w:p>
        </w:tc>
        <w:tc>
          <w:tcPr>
            <w:tcW w:w="6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32"/>
          </w:tcPr>
          <w:p>
            <w:pPr>
              <w:spacing w:after="0" w:line="196" w:lineRule="exact"/>
              <w:rPr>
                <w:rFonts w:ascii="Arial" w:cs="Arial" w:eastAsia="Arial" w:hAnsi="Arial"/>
                <w:sz w:val="18"/>
                <w:szCs w:val="18"/>
                <w:color w:val="0000FF"/>
                <w:w w:val="95"/>
              </w:rPr>
            </w:pPr>
            <w:hyperlink r:id="rId112">
              <w:r>
                <w:rPr>
                  <w:rFonts w:ascii="Arial" w:cs="Arial" w:eastAsia="Arial" w:hAnsi="Arial"/>
                  <w:sz w:val="18"/>
                  <w:szCs w:val="18"/>
                  <w:color w:val="0000FF"/>
                  <w:w w:val="95"/>
                </w:rPr>
                <w:t>All American Pipeline, L.P. from time to time party thereto, as Designated Borrowers; Bank of America, N.A., as Administrative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tcBorders>
              <w:top w:val="single" w:sz="8" w:color="0000FF"/>
            </w:tcBorders>
            <w:gridSpan w:val="20"/>
          </w:tcPr>
          <w:p>
            <w:pPr>
              <w:spacing w:after="0" w:line="196"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Agent; and the other Lenders party thereto (incorporated by reference to Exhibit 10.1 to our Current Report on Form 8-K filed</w:t>
              </w:r>
            </w:hyperlink>
          </w:p>
        </w:tc>
        <w:tc>
          <w:tcPr>
            <w:tcW w:w="34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August 25, 2011).</w:t>
              </w:r>
            </w:hyperlink>
          </w:p>
        </w:tc>
        <w:tc>
          <w:tcPr>
            <w:tcW w:w="540" w:type="dxa"/>
            <w:vAlign w:val="bottom"/>
            <w:gridSpan w:val="1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10.2</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2"/>
          </w:tcPr>
          <w:p>
            <w:pPr>
              <w:spacing w:after="0"/>
              <w:rPr>
                <w:rFonts w:ascii="Arial" w:cs="Arial" w:eastAsia="Arial" w:hAnsi="Arial"/>
                <w:sz w:val="18"/>
                <w:szCs w:val="18"/>
                <w:color w:val="0000FF"/>
                <w:w w:val="93"/>
              </w:rPr>
            </w:pPr>
            <w:hyperlink r:id="rId113">
              <w:r>
                <w:rPr>
                  <w:rFonts w:ascii="Arial" w:cs="Arial" w:eastAsia="Arial" w:hAnsi="Arial"/>
                  <w:sz w:val="18"/>
                  <w:szCs w:val="18"/>
                  <w:color w:val="0000FF"/>
                  <w:w w:val="93"/>
                </w:rPr>
                <w:t>First Amendment to Credit Agreement dated as of June 27, 2012, among Plains All American Pipeline, L.P. and Plains Midstream</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Canada ULC, as Borrowers; Bank of America, N.A., as Administrative Agent, Swing Line Lender and L/C Issuer; Wells Fargo Bank,</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4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National Association, as an L/C Issuer; and the other Lenders party thereto (incorporated by reference to Exhibit 10.2 to our Current</w:t>
              </w:r>
            </w:hyperlink>
          </w:p>
        </w:tc>
        <w:tc>
          <w:tcPr>
            <w:tcW w:w="8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Report on Form 8-K filed July 3, 2012).</w:t>
              </w:r>
            </w:hyperlink>
          </w:p>
        </w:tc>
        <w:tc>
          <w:tcPr>
            <w:tcW w:w="6740" w:type="dxa"/>
            <w:vAlign w:val="bottom"/>
            <w:gridSpan w:val="27"/>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10.3</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940" w:type="dxa"/>
            <w:vAlign w:val="bottom"/>
            <w:tcBorders>
              <w:bottom w:val="single" w:sz="8" w:color="0000FF"/>
            </w:tcBorders>
            <w:gridSpan w:val="13"/>
          </w:tcPr>
          <w:p>
            <w:pPr>
              <w:spacing w:after="0"/>
              <w:rPr>
                <w:rFonts w:ascii="Arial" w:cs="Arial" w:eastAsia="Arial" w:hAnsi="Arial"/>
                <w:sz w:val="18"/>
                <w:szCs w:val="18"/>
                <w:color w:val="0000FF"/>
                <w:w w:val="90"/>
              </w:rPr>
            </w:pPr>
            <w:hyperlink r:id="rId114">
              <w:r>
                <w:rPr>
                  <w:rFonts w:ascii="Arial" w:cs="Arial" w:eastAsia="Arial" w:hAnsi="Arial"/>
                  <w:sz w:val="18"/>
                  <w:szCs w:val="18"/>
                  <w:color w:val="0000FF"/>
                  <w:w w:val="90"/>
                </w:rPr>
                <w:t>Second Amendment to Credit Agreement dated as of August 16, 2013, among Plains All American Pipeline, L.P. and Plains</w:t>
              </w:r>
            </w:hyperlink>
          </w:p>
        </w:tc>
        <w:tc>
          <w:tcPr>
            <w:tcW w:w="680" w:type="dxa"/>
            <w:vAlign w:val="bottom"/>
            <w:gridSpan w:val="1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20" w:type="dxa"/>
            <w:vAlign w:val="bottom"/>
            <w:tcBorders>
              <w:bottom w:val="single" w:sz="8" w:color="0000FF"/>
            </w:tcBorders>
            <w:gridSpan w:val="27"/>
          </w:tcPr>
          <w:p>
            <w:pPr>
              <w:spacing w:after="0" w:line="196" w:lineRule="exact"/>
              <w:rPr>
                <w:rFonts w:ascii="Arial" w:cs="Arial" w:eastAsia="Arial" w:hAnsi="Arial"/>
                <w:sz w:val="18"/>
                <w:szCs w:val="18"/>
                <w:color w:val="0000FF"/>
                <w:w w:val="92"/>
              </w:rPr>
            </w:pPr>
            <w:hyperlink r:id="rId114">
              <w:r>
                <w:rPr>
                  <w:rFonts w:ascii="Arial" w:cs="Arial" w:eastAsia="Arial" w:hAnsi="Arial"/>
                  <w:sz w:val="18"/>
                  <w:szCs w:val="18"/>
                  <w:color w:val="0000FF"/>
                  <w:w w:val="92"/>
                </w:rPr>
                <w:t>Midstream Canada ULC, as Borrowers; Bank of America, N.A., as Administrative Agent, Swing Line Lender and L/C Issuer; Wells</w:t>
              </w:r>
            </w:hyperlink>
          </w:p>
        </w:tc>
        <w:tc>
          <w:tcPr>
            <w:tcW w:w="10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32"/>
          </w:tcPr>
          <w:p>
            <w:pPr>
              <w:spacing w:after="0" w:line="19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Fargo Bank, National Association, as an L/C Issuer; and the other Lenders party thereto (incorporated by reference to Exhibit 10.2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6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our Current Report on Form 8-K filed August 20, 2013).</w:t>
              </w:r>
            </w:hyperlink>
          </w:p>
        </w:tc>
        <w:tc>
          <w:tcPr>
            <w:tcW w:w="6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10.4</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tcBorders>
              <w:bottom w:val="single" w:sz="8" w:color="0000FF"/>
            </w:tcBorders>
            <w:gridSpan w:val="32"/>
          </w:tcPr>
          <w:p>
            <w:pPr>
              <w:spacing w:after="0"/>
              <w:rPr>
                <w:rFonts w:ascii="Arial" w:cs="Arial" w:eastAsia="Arial" w:hAnsi="Arial"/>
                <w:sz w:val="18"/>
                <w:szCs w:val="18"/>
                <w:color w:val="0000FF"/>
                <w:w w:val="91"/>
              </w:rPr>
            </w:pPr>
            <w:hyperlink r:id="rId115">
              <w:r>
                <w:rPr>
                  <w:rFonts w:ascii="Arial" w:cs="Arial" w:eastAsia="Arial" w:hAnsi="Arial"/>
                  <w:sz w:val="18"/>
                  <w:szCs w:val="18"/>
                  <w:color w:val="0000FF"/>
                  <w:w w:val="91"/>
                </w:rPr>
                <w:t>Third Amendment to Credit Agreement dated as of August 11, 2016, among Plains All American Pipeline, L.P. and Plains Midstream</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Canada ULC, as Borrowers; Bank of America, N.A., as Administrative Agent, Swing Line Lender and L/C Issuer; Wells Fargo Bank,</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4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115">
              <w:r>
                <w:rPr>
                  <w:rFonts w:ascii="Arial" w:cs="Arial" w:eastAsia="Arial" w:hAnsi="Arial"/>
                  <w:sz w:val="18"/>
                  <w:szCs w:val="18"/>
                  <w:color w:val="0000FF"/>
                  <w:w w:val="90"/>
                </w:rPr>
                <w:t>National Association, as an L/C Issuer; and the other Lenders party thereto (incorporated by reference to Exhibit 10.1 to our Current</w:t>
              </w:r>
            </w:hyperlink>
          </w:p>
        </w:tc>
        <w:tc>
          <w:tcPr>
            <w:tcW w:w="8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32"/>
          </w:tcPr>
          <w:p>
            <w:pPr>
              <w:spacing w:after="0" w:line="196" w:lineRule="exact"/>
              <w:rPr>
                <w:rFonts w:ascii="Arial" w:cs="Arial" w:eastAsia="Arial" w:hAnsi="Arial"/>
                <w:sz w:val="18"/>
                <w:szCs w:val="18"/>
                <w:color w:val="0000FF"/>
              </w:rPr>
            </w:pPr>
            <w:hyperlink r:id="rId115">
              <w:r>
                <w:rPr>
                  <w:rFonts w:ascii="Arial" w:cs="Arial" w:eastAsia="Arial" w:hAnsi="Arial"/>
                  <w:sz w:val="18"/>
                  <w:szCs w:val="18"/>
                  <w:color w:val="0000FF"/>
                </w:rPr>
                <w:t>Report on Form 8-K filed August 17, 2016).</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10.5</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2"/>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Third Amended and Restated Credit Agreement dated as of August 19, 2011 by and among Plains Marketing, L.P., as Borrower,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20" w:type="dxa"/>
            <w:vAlign w:val="bottom"/>
            <w:tcBorders>
              <w:top w:val="single" w:sz="8" w:color="0000FF"/>
            </w:tcBorders>
            <w:gridSpan w:val="19"/>
          </w:tcPr>
          <w:p>
            <w:pPr>
              <w:spacing w:after="0" w:line="19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Plains All American Pipeline, L.P., as Guarantor, Bank of America, N.A., as Administrative Agent, and the other Lenders party</w:t>
              </w:r>
            </w:hyperlink>
          </w:p>
        </w:tc>
        <w:tc>
          <w:tcPr>
            <w:tcW w:w="40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thereto (incorporated by reference to Exhibit 10.2 to our Current Report on Form 8-K filed August 25, 2011).</w:t>
              </w:r>
            </w:hyperlink>
          </w:p>
        </w:tc>
        <w:tc>
          <w:tcPr>
            <w:tcW w:w="460" w:type="dxa"/>
            <w:vAlign w:val="bottom"/>
            <w:gridSpan w:val="1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10.6</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2"/>
          </w:tcPr>
          <w:p>
            <w:pPr>
              <w:spacing w:after="0"/>
              <w:rPr>
                <w:rFonts w:ascii="Arial" w:cs="Arial" w:eastAsia="Arial" w:hAnsi="Arial"/>
                <w:sz w:val="18"/>
                <w:szCs w:val="18"/>
                <w:color w:val="0000FF"/>
                <w:w w:val="92"/>
              </w:rPr>
            </w:pPr>
            <w:hyperlink r:id="rId117">
              <w:r>
                <w:rPr>
                  <w:rFonts w:ascii="Arial" w:cs="Arial" w:eastAsia="Arial" w:hAnsi="Arial"/>
                  <w:sz w:val="18"/>
                  <w:szCs w:val="18"/>
                  <w:color w:val="0000FF"/>
                  <w:w w:val="92"/>
                </w:rPr>
                <w:t>First Amendment to Third Amended and Restated Credit Agreement dated as of June 27, 2012, among Plains Marketing, L.P. and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60" w:type="dxa"/>
            <w:vAlign w:val="bottom"/>
            <w:tcBorders>
              <w:top w:val="single" w:sz="8" w:color="0000FF"/>
            </w:tcBorders>
            <w:gridSpan w:val="22"/>
          </w:tcPr>
          <w:p>
            <w:pPr>
              <w:spacing w:after="0" w:line="196" w:lineRule="exact"/>
              <w:rPr>
                <w:rFonts w:ascii="Arial" w:cs="Arial" w:eastAsia="Arial" w:hAnsi="Arial"/>
                <w:sz w:val="18"/>
                <w:szCs w:val="18"/>
                <w:color w:val="0000FF"/>
                <w:w w:val="96"/>
              </w:rPr>
            </w:pPr>
            <w:hyperlink r:id="rId117">
              <w:r>
                <w:rPr>
                  <w:rFonts w:ascii="Arial" w:cs="Arial" w:eastAsia="Arial" w:hAnsi="Arial"/>
                  <w:sz w:val="18"/>
                  <w:szCs w:val="18"/>
                  <w:color w:val="0000FF"/>
                  <w:w w:val="96"/>
                </w:rPr>
                <w:t>Plains Midstream Canada ULC, as Borrowers; Plains All American Pipeline, L.P., as Guarantor; Bank of America, N.A., as</w:t>
              </w:r>
            </w:hyperlink>
          </w:p>
        </w:tc>
        <w:tc>
          <w:tcPr>
            <w:tcW w:w="260" w:type="dxa"/>
            <w:vAlign w:val="bottom"/>
            <w:gridSpan w:val="10"/>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8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Administrative Agent, Swing Line Lender and L/C Issuer; and the other Lenders and L/C Issuers party thereto (incorporated by</w:t>
              </w:r>
            </w:hyperlink>
          </w:p>
        </w:tc>
        <w:tc>
          <w:tcPr>
            <w:tcW w:w="44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7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reference to Exhibit 10.1 to our Current Report on Form 8-K filed July 3, 2012).</w:t>
              </w:r>
            </w:hyperlink>
          </w:p>
        </w:tc>
        <w:tc>
          <w:tcPr>
            <w:tcW w:w="3840" w:type="dxa"/>
            <w:vAlign w:val="bottom"/>
            <w:gridSpan w:val="24"/>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10.7</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6"/>
          </w:tcPr>
          <w:p>
            <w:pPr>
              <w:spacing w:after="0"/>
              <w:rPr>
                <w:rFonts w:ascii="Arial" w:cs="Arial" w:eastAsia="Arial" w:hAnsi="Arial"/>
                <w:sz w:val="18"/>
                <w:szCs w:val="18"/>
                <w:color w:val="0000FF"/>
                <w:w w:val="90"/>
              </w:rPr>
            </w:pPr>
            <w:hyperlink r:id="rId118">
              <w:r>
                <w:rPr>
                  <w:rFonts w:ascii="Arial" w:cs="Arial" w:eastAsia="Arial" w:hAnsi="Arial"/>
                  <w:sz w:val="18"/>
                  <w:szCs w:val="18"/>
                  <w:color w:val="0000FF"/>
                  <w:w w:val="90"/>
                </w:rPr>
                <w:t>Second Amendment to Third Amended and Restated Credit Agreement dated as of August 16, 2013, among Plains Marketing, L.P.</w:t>
              </w:r>
            </w:hyperlink>
          </w:p>
        </w:tc>
        <w:tc>
          <w:tcPr>
            <w:tcW w:w="16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and Plains Midstream Canada ULC, as Borrowers; Plains All American Pipeline, L.P., as Guarantor; Bank of America, N.A., as</w:t>
              </w:r>
            </w:hyperlink>
          </w:p>
        </w:tc>
        <w:tc>
          <w:tcPr>
            <w:tcW w:w="42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4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Administrative Agent, Swing Line Lender and L/C Issuer; Wells Fargo Bank, National Association, as an L/C Issuer; and the other</w:t>
              </w:r>
            </w:hyperlink>
          </w:p>
        </w:tc>
        <w:tc>
          <w:tcPr>
            <w:tcW w:w="18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32"/>
          </w:tcPr>
          <w:p>
            <w:pPr>
              <w:spacing w:after="0" w:line="19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Lenders and L/C Issuers party thereto (incorporated by reference to Exhibit 10.1 to our Current Report on Form 8-K filed August 20,</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2013).</w:t>
              </w:r>
            </w:hyperlink>
          </w:p>
        </w:tc>
        <w:tc>
          <w:tcPr>
            <w:tcW w:w="80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2"/>
          </w:tcPr>
          <w:p>
            <w:pPr>
              <w:spacing w:after="0"/>
              <w:rPr>
                <w:rFonts w:ascii="Arial" w:cs="Arial" w:eastAsia="Arial" w:hAnsi="Arial"/>
                <w:sz w:val="18"/>
                <w:szCs w:val="18"/>
                <w:color w:val="0000FF"/>
                <w:w w:val="90"/>
              </w:rPr>
            </w:pPr>
            <w:hyperlink r:id="rId119">
              <w:r>
                <w:rPr>
                  <w:rFonts w:ascii="Arial" w:cs="Arial" w:eastAsia="Arial" w:hAnsi="Arial"/>
                  <w:sz w:val="18"/>
                  <w:szCs w:val="18"/>
                  <w:color w:val="0000FF"/>
                  <w:w w:val="90"/>
                </w:rPr>
                <w:t>Third Amendment to Third Amended and Restated Credit Agreement dated as of August 11, 2016, among Plains Marketing, L.P. and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tcBorders>
              <w:top w:val="single" w:sz="8" w:color="0000FF"/>
            </w:tcBorders>
            <w:gridSpan w:val="31"/>
          </w:tcPr>
          <w:p>
            <w:pPr>
              <w:spacing w:after="0" w:line="196" w:lineRule="exact"/>
              <w:rPr>
                <w:rFonts w:ascii="Arial" w:cs="Arial" w:eastAsia="Arial" w:hAnsi="Arial"/>
                <w:sz w:val="18"/>
                <w:szCs w:val="18"/>
                <w:color w:val="0000FF"/>
                <w:w w:val="98"/>
              </w:rPr>
            </w:pPr>
            <w:hyperlink r:id="rId119">
              <w:r>
                <w:rPr>
                  <w:rFonts w:ascii="Arial" w:cs="Arial" w:eastAsia="Arial" w:hAnsi="Arial"/>
                  <w:sz w:val="18"/>
                  <w:szCs w:val="18"/>
                  <w:color w:val="0000FF"/>
                  <w:w w:val="98"/>
                </w:rPr>
                <w:t>Plains Midstream Canada ULC, as Borrowers; Plains All American Pipeline, L.P., as Guarantor; Bank of America, N.A., as</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6320" w:type="dxa"/>
            <w:vAlign w:val="bottom"/>
            <w:gridSpan w:val="8"/>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4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Administrative Agent, Swing Line Lender and L/C Issuer; Wells Fargo Bank, National Association, as an L/C Issuer; and the other</w:t>
              </w:r>
            </w:hyperlink>
          </w:p>
        </w:tc>
        <w:tc>
          <w:tcPr>
            <w:tcW w:w="18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32"/>
          </w:tcPr>
          <w:p>
            <w:pPr>
              <w:spacing w:after="0" w:line="19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Lenders and L/C Issuers party thereto (incorporated by reference to Exhibit 10.3 to our Current Report on Form 8-K filed August 17,</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2016).</w:t>
              </w:r>
            </w:hyperlink>
          </w:p>
        </w:tc>
        <w:tc>
          <w:tcPr>
            <w:tcW w:w="80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2"/>
          </w:tcPr>
          <w:p>
            <w:pPr>
              <w:spacing w:after="0"/>
              <w:rPr>
                <w:rFonts w:ascii="Arial" w:cs="Arial" w:eastAsia="Arial" w:hAnsi="Arial"/>
                <w:sz w:val="18"/>
                <w:szCs w:val="18"/>
                <w:color w:val="0000FF"/>
                <w:w w:val="92"/>
              </w:rPr>
            </w:pPr>
            <w:hyperlink r:id="rId120">
              <w:r>
                <w:rPr>
                  <w:rFonts w:ascii="Arial" w:cs="Arial" w:eastAsia="Arial" w:hAnsi="Arial"/>
                  <w:sz w:val="18"/>
                  <w:szCs w:val="18"/>
                  <w:color w:val="0000FF"/>
                  <w:w w:val="92"/>
                </w:rPr>
                <w:t>Fourth Amendment to Third Amended and Restated Credit Agreement dated as of August 16, 2017, among Plains Marketing, L.P.</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and Plains Midstream Canada ULC, as Borrowers; Plains All American Pipeline, L.P., as Guarantor; Bank of America, N.A., as</w:t>
              </w:r>
            </w:hyperlink>
          </w:p>
        </w:tc>
        <w:tc>
          <w:tcPr>
            <w:tcW w:w="180" w:type="dxa"/>
            <w:vAlign w:val="bottom"/>
            <w:tcBorders>
              <w:top w:val="single" w:sz="8" w:color="0000FF"/>
            </w:tcBorders>
            <w:gridSpan w:val="5"/>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32"/>
          </w:tcPr>
          <w:p>
            <w:pPr>
              <w:spacing w:after="0" w:line="196" w:lineRule="exact"/>
              <w:rPr>
                <w:rFonts w:ascii="Arial" w:cs="Arial" w:eastAsia="Arial" w:hAnsi="Arial"/>
                <w:sz w:val="18"/>
                <w:szCs w:val="18"/>
                <w:color w:val="0000FF"/>
                <w:w w:val="93"/>
              </w:rPr>
            </w:pPr>
            <w:hyperlink r:id="rId120">
              <w:r>
                <w:rPr>
                  <w:rFonts w:ascii="Arial" w:cs="Arial" w:eastAsia="Arial" w:hAnsi="Arial"/>
                  <w:sz w:val="18"/>
                  <w:szCs w:val="18"/>
                  <w:color w:val="0000FF"/>
                  <w:w w:val="93"/>
                </w:rPr>
                <w:t>Administrative Agent, Swing Line Lender and L/C Issuer; Wells Fargo Bank, National Association, as an L/C Issuer; and the other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Lenders and L/C Issuers party thereto (incorporated by reference to Exhibit 10.6 to our Quarterly Report on Form 10-Q for the</w:t>
              </w:r>
            </w:hyperlink>
          </w:p>
        </w:tc>
        <w:tc>
          <w:tcPr>
            <w:tcW w:w="300" w:type="dxa"/>
            <w:vAlign w:val="bottom"/>
            <w:tcBorders>
              <w:top w:val="single" w:sz="8" w:color="0000FF"/>
            </w:tcBorders>
            <w:gridSpan w:val="9"/>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32"/>
          </w:tcPr>
          <w:p>
            <w:pPr>
              <w:spacing w:after="0" w:line="196" w:lineRule="exact"/>
              <w:rPr>
                <w:rFonts w:ascii="Arial" w:cs="Arial" w:eastAsia="Arial" w:hAnsi="Arial"/>
                <w:sz w:val="18"/>
                <w:szCs w:val="18"/>
                <w:color w:val="0000FF"/>
              </w:rPr>
            </w:pPr>
            <w:hyperlink r:id="rId120">
              <w:r>
                <w:rPr>
                  <w:rFonts w:ascii="Arial" w:cs="Arial" w:eastAsia="Arial" w:hAnsi="Arial"/>
                  <w:sz w:val="18"/>
                  <w:szCs w:val="18"/>
                  <w:color w:val="0000FF"/>
                </w:rPr>
                <w:t>quarter ended September 30, 2017).</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7000" w:type="dxa"/>
            <w:vAlign w:val="bottom"/>
            <w:gridSpan w:val="2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tcBorders>
              <w:bottom w:val="single" w:sz="8" w:color="0000FF"/>
            </w:tcBorders>
            <w:gridSpan w:val="32"/>
          </w:tcPr>
          <w:p>
            <w:pPr>
              <w:spacing w:after="0"/>
              <w:rPr>
                <w:rFonts w:ascii="Arial" w:cs="Arial" w:eastAsia="Arial" w:hAnsi="Arial"/>
                <w:sz w:val="18"/>
                <w:szCs w:val="18"/>
                <w:color w:val="0000FF"/>
                <w:w w:val="90"/>
              </w:rPr>
            </w:pPr>
            <w:hyperlink r:id="rId121">
              <w:r>
                <w:rPr>
                  <w:rFonts w:ascii="Arial" w:cs="Arial" w:eastAsia="Arial" w:hAnsi="Arial"/>
                  <w:sz w:val="18"/>
                  <w:szCs w:val="18"/>
                  <w:color w:val="0000FF"/>
                  <w:w w:val="90"/>
                </w:rPr>
                <w:t>Contribution, Conveyance and Assumption Agreement among Plains All American Pipeline, L.P. and certain other parties dated as of</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32"/>
          </w:tcPr>
          <w:p>
            <w:pPr>
              <w:spacing w:after="0" w:line="19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November 23, 1998 (incorporated by reference to Exhibit 10.3 to our Annual Report on Form 10-K for the year ended December 31,</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21">
              <w:r>
                <w:rPr>
                  <w:rFonts w:ascii="Arial" w:cs="Arial" w:eastAsia="Arial" w:hAnsi="Arial"/>
                  <w:sz w:val="18"/>
                  <w:szCs w:val="18"/>
                  <w:color w:val="0000FF"/>
                  <w:w w:val="86"/>
                </w:rPr>
                <w:t>1998).</w:t>
              </w:r>
            </w:hyperlink>
          </w:p>
        </w:tc>
        <w:tc>
          <w:tcPr>
            <w:tcW w:w="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9"/>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80" w:type="dxa"/>
            <w:vAlign w:val="bottom"/>
            <w:gridSpan w:val="8"/>
          </w:tcPr>
          <w:p>
            <w:pPr>
              <w:ind w:left="3820"/>
              <w:spacing w:after="0"/>
              <w:rPr>
                <w:sz w:val="20"/>
                <w:szCs w:val="20"/>
                <w:color w:val="auto"/>
              </w:rPr>
            </w:pPr>
            <w:r>
              <w:rPr>
                <w:rFonts w:ascii="Arial" w:cs="Arial" w:eastAsia="Arial" w:hAnsi="Arial"/>
                <w:sz w:val="18"/>
                <w:szCs w:val="18"/>
                <w:color w:val="auto"/>
              </w:rPr>
              <w:t>115</w:t>
            </w: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108" w:right="27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88"/>
              </w:rPr>
              <w:t>10.11</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21">
              <w:r>
                <w:rPr>
                  <w:rFonts w:ascii="Arial" w:cs="Arial" w:eastAsia="Arial" w:hAnsi="Arial"/>
                  <w:sz w:val="18"/>
                  <w:szCs w:val="18"/>
                  <w:color w:val="0000FF"/>
                  <w:w w:val="98"/>
                </w:rPr>
                <w:t>First Amendment to Contribution, Conveyance and Assumption Agreement dated as of December 15, 1998 (incorporated by</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reference to Exhibit 10.13 to our Annual Report on Form 10-K for the year ended December 31, 1998).</w:t>
              </w:r>
            </w:hyperlink>
          </w:p>
        </w:tc>
        <w:tc>
          <w:tcPr>
            <w:tcW w:w="1540" w:type="dxa"/>
            <w:vAlign w:val="bottom"/>
            <w:tcBorders>
              <w:top w:val="single" w:sz="8" w:color="0000FF"/>
            </w:tcBorders>
            <w:gridSpan w:val="7"/>
          </w:tcPr>
          <w:p>
            <w:pPr>
              <w:spacing w:after="0"/>
              <w:rPr>
                <w:sz w:val="17"/>
                <w:szCs w:val="17"/>
                <w:color w:val="auto"/>
              </w:rPr>
            </w:pPr>
          </w:p>
        </w:tc>
        <w:tc>
          <w:tcPr>
            <w:tcW w:w="620" w:type="dxa"/>
            <w:vAlign w:val="bottom"/>
            <w:gridSpan w:val="12"/>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10.12</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2">
              <w:r>
                <w:rPr>
                  <w:rFonts w:ascii="Arial" w:cs="Arial" w:eastAsia="Arial" w:hAnsi="Arial"/>
                  <w:sz w:val="18"/>
                  <w:szCs w:val="18"/>
                  <w:color w:val="0000FF"/>
                  <w:w w:val="93"/>
                </w:rPr>
                <w:t>Contribution, Assignment and Amendment Agreement dated as of June 27, 2001, among Plains All American Pipeline, L.P., Plains</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40" w:type="dxa"/>
            <w:vAlign w:val="bottom"/>
            <w:tcBorders>
              <w:top w:val="single" w:sz="8" w:color="0000FF"/>
            </w:tcBorders>
            <w:gridSpan w:val="24"/>
          </w:tcPr>
          <w:p>
            <w:pPr>
              <w:spacing w:after="0" w:line="196" w:lineRule="exact"/>
              <w:rPr>
                <w:rFonts w:ascii="Arial" w:cs="Arial" w:eastAsia="Arial" w:hAnsi="Arial"/>
                <w:sz w:val="18"/>
                <w:szCs w:val="18"/>
                <w:color w:val="0000FF"/>
                <w:w w:val="98"/>
              </w:rPr>
            </w:pPr>
            <w:hyperlink r:id="rId122">
              <w:r>
                <w:rPr>
                  <w:rFonts w:ascii="Arial" w:cs="Arial" w:eastAsia="Arial" w:hAnsi="Arial"/>
                  <w:sz w:val="18"/>
                  <w:szCs w:val="18"/>
                  <w:color w:val="0000FF"/>
                  <w:w w:val="98"/>
                </w:rPr>
                <w:t>Marketing, L.P., All American Pipeline, L.P., Plains AAP, L.P., Plains All American GP LLC and Plains Marketing GP Inc.</w:t>
              </w:r>
            </w:hyperlink>
          </w:p>
        </w:tc>
        <w:tc>
          <w:tcPr>
            <w:tcW w:w="14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1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(incorporated by reference to Exhibit 10.1 to our Current Report on Form 8-K filed June 27, 2001).</w:t>
              </w:r>
            </w:hyperlink>
          </w:p>
        </w:tc>
        <w:tc>
          <w:tcPr>
            <w:tcW w:w="1720" w:type="dxa"/>
            <w:vAlign w:val="bottom"/>
            <w:tcBorders>
              <w:top w:val="single" w:sz="8" w:color="0000FF"/>
            </w:tcBorders>
            <w:gridSpan w:val="7"/>
          </w:tcPr>
          <w:p>
            <w:pPr>
              <w:spacing w:after="0"/>
              <w:rPr>
                <w:sz w:val="17"/>
                <w:szCs w:val="17"/>
                <w:color w:val="auto"/>
              </w:rPr>
            </w:pPr>
          </w:p>
        </w:tc>
        <w:tc>
          <w:tcPr>
            <w:tcW w:w="740" w:type="dxa"/>
            <w:vAlign w:val="bottom"/>
            <w:gridSpan w:val="14"/>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10.13</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3">
              <w:r>
                <w:rPr>
                  <w:rFonts w:ascii="Arial" w:cs="Arial" w:eastAsia="Arial" w:hAnsi="Arial"/>
                  <w:sz w:val="18"/>
                  <w:szCs w:val="18"/>
                  <w:color w:val="0000FF"/>
                  <w:w w:val="93"/>
                </w:rPr>
                <w:t>Contribution, Assignment and Amendment Agreement dated as of June 8, 2001, among Plains All American Inc., Plains AAP, L.P.</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and Plains All American GP LLC (incorporated by reference to Exhibit 10.1 to our Current Report on Form 8-K filed June 11, 2001).</w:t>
              </w:r>
            </w:hyperlink>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10.14</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24">
              <w:r>
                <w:rPr>
                  <w:rFonts w:ascii="Arial" w:cs="Arial" w:eastAsia="Arial" w:hAnsi="Arial"/>
                  <w:sz w:val="18"/>
                  <w:szCs w:val="18"/>
                  <w:color w:val="0000FF"/>
                </w:rPr>
                <w:t>Separation Agreement dated as of June 8, 2001 among Plains Resources Inc., Plains All American Inc., Plains All</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American GP LLC, Plains AAP, L.P. and Plains All American Pipeline, L.P. (incorporated by reference to Exhibit 10.2 to our Current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gridSpan w:val="29"/>
          </w:tcPr>
          <w:p>
            <w:pPr>
              <w:spacing w:after="0" w:line="196" w:lineRule="exact"/>
              <w:rPr>
                <w:rFonts w:ascii="Arial" w:cs="Arial" w:eastAsia="Arial" w:hAnsi="Arial"/>
                <w:sz w:val="18"/>
                <w:szCs w:val="18"/>
                <w:color w:val="0000FF"/>
              </w:rPr>
            </w:pPr>
            <w:hyperlink r:id="rId124">
              <w:r>
                <w:rPr>
                  <w:rFonts w:ascii="Arial" w:cs="Arial" w:eastAsia="Arial" w:hAnsi="Arial"/>
                  <w:sz w:val="18"/>
                  <w:szCs w:val="18"/>
                  <w:color w:val="0000FF"/>
                </w:rPr>
                <w:t>Report on Form 8-K filed June 11, 2001).</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25">
              <w:r>
                <w:rPr>
                  <w:rFonts w:ascii="Arial" w:cs="Arial" w:eastAsia="Arial" w:hAnsi="Arial"/>
                  <w:sz w:val="18"/>
                  <w:szCs w:val="18"/>
                  <w:color w:val="0000FF"/>
                  <w:w w:val="91"/>
                </w:rPr>
                <w:t>Pension and Employee Benefits Assumption and Transition Agreement dated as of June 8, 2001 among Plains Resources Inc., Plains</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tcBorders>
              <w:top w:val="single" w:sz="8" w:color="0000FF"/>
            </w:tcBorders>
            <w:gridSpan w:val="28"/>
          </w:tcPr>
          <w:p>
            <w:pPr>
              <w:spacing w:after="0" w:line="196" w:lineRule="exact"/>
              <w:rPr>
                <w:rFonts w:ascii="Arial" w:cs="Arial" w:eastAsia="Arial" w:hAnsi="Arial"/>
                <w:sz w:val="18"/>
                <w:szCs w:val="18"/>
                <w:color w:val="0000FF"/>
                <w:w w:val="94"/>
              </w:rPr>
            </w:pPr>
            <w:hyperlink r:id="rId125">
              <w:r>
                <w:rPr>
                  <w:rFonts w:ascii="Arial" w:cs="Arial" w:eastAsia="Arial" w:hAnsi="Arial"/>
                  <w:sz w:val="18"/>
                  <w:szCs w:val="18"/>
                  <w:color w:val="0000FF"/>
                  <w:w w:val="94"/>
                </w:rPr>
                <w:t>All American Inc. and Plains All American GP LLC (incorporated by reference to Exhibit 10.3 to our Current Report on Form 8-K</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125">
              <w:r>
                <w:rPr>
                  <w:rFonts w:ascii="Arial" w:cs="Arial" w:eastAsia="Arial" w:hAnsi="Arial"/>
                  <w:sz w:val="18"/>
                  <w:szCs w:val="18"/>
                  <w:color w:val="0000FF"/>
                </w:rPr>
                <w:t>filed June 11, 2001).</w:t>
              </w:r>
            </w:hyperlink>
          </w:p>
        </w:tc>
        <w:tc>
          <w:tcPr>
            <w:tcW w:w="16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10.16</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26">
              <w:r>
                <w:rPr>
                  <w:rFonts w:ascii="Arial" w:cs="Arial" w:eastAsia="Arial" w:hAnsi="Arial"/>
                  <w:sz w:val="18"/>
                  <w:szCs w:val="18"/>
                  <w:color w:val="0000FF"/>
                </w:rPr>
                <w:t>Contribution and Assumption Agreement dated December 28, 2007, by and between Plains AAP, L.P. and PAA GP LLC</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(incorporated by reference to Exhibit 10.2 to our Current Report on Form 8-K filed January 4, 2008).</w:t>
              </w:r>
            </w:hyperlink>
          </w:p>
        </w:tc>
        <w:tc>
          <w:tcPr>
            <w:tcW w:w="1380" w:type="dxa"/>
            <w:vAlign w:val="bottom"/>
            <w:tcBorders>
              <w:top w:val="single" w:sz="8" w:color="0000FF"/>
            </w:tcBorders>
            <w:gridSpan w:val="4"/>
          </w:tcPr>
          <w:p>
            <w:pPr>
              <w:spacing w:after="0"/>
              <w:rPr>
                <w:sz w:val="17"/>
                <w:szCs w:val="17"/>
                <w:color w:val="auto"/>
              </w:rPr>
            </w:pPr>
          </w:p>
        </w:tc>
        <w:tc>
          <w:tcPr>
            <w:tcW w:w="940" w:type="dxa"/>
            <w:vAlign w:val="bottom"/>
            <w:gridSpan w:val="16"/>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10.17</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27">
              <w:r>
                <w:rPr>
                  <w:rFonts w:ascii="Arial" w:cs="Arial" w:eastAsia="Arial" w:hAnsi="Arial"/>
                  <w:sz w:val="18"/>
                  <w:szCs w:val="18"/>
                  <w:color w:val="0000FF"/>
                  <w:w w:val="91"/>
                </w:rPr>
                <w:t>Asset Purchase and Sale Agreement dated February 28, 2001 between Murphy Oil Company Ltd. and Plains Marketing Canada, L.P.</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1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(incorporated by reference to Exhibit 99.1 to our Current Report on Form 8-K filed May 10, 2001).</w:t>
              </w:r>
            </w:hyperlink>
          </w:p>
        </w:tc>
        <w:tc>
          <w:tcPr>
            <w:tcW w:w="2420" w:type="dxa"/>
            <w:vAlign w:val="bottom"/>
            <w:tcBorders>
              <w:top w:val="single" w:sz="8" w:color="0000FF"/>
            </w:tcBorders>
            <w:gridSpan w:val="1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10.18</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28">
              <w:r>
                <w:rPr>
                  <w:rFonts w:ascii="Arial" w:cs="Arial" w:eastAsia="Arial" w:hAnsi="Arial"/>
                  <w:sz w:val="18"/>
                  <w:szCs w:val="18"/>
                  <w:color w:val="0000FF"/>
                  <w:w w:val="92"/>
                </w:rPr>
                <w:t>Transportation Agreement dated July 30, 1993, between All American Pipeline Company and Exxon Company, U.S.A. (incorporated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5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by reference to Exhibit 10.9 to our Registration Statement on Form S-1 filed September 23, 1998, File No. 333-64107).</w:t>
              </w:r>
            </w:hyperlink>
          </w:p>
        </w:tc>
        <w:tc>
          <w:tcPr>
            <w:tcW w:w="1000" w:type="dxa"/>
            <w:vAlign w:val="bottom"/>
            <w:tcBorders>
              <w:top w:val="single" w:sz="8" w:color="0000FF"/>
            </w:tcBorders>
            <w:gridSpan w:val="17"/>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10.19</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8">
              <w:r>
                <w:rPr>
                  <w:rFonts w:ascii="Arial" w:cs="Arial" w:eastAsia="Arial" w:hAnsi="Arial"/>
                  <w:sz w:val="18"/>
                  <w:szCs w:val="18"/>
                  <w:color w:val="0000FF"/>
                  <w:w w:val="93"/>
                </w:rPr>
                <w:t>Transportation Agreement dated August 2, 1993, among All American Pipeline Company, Texaco Trading and Transportation Inc.,</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14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Chevron U.S.A. and Sun Operating Limited Partnership (incorporated by reference to Exhibit 10.10 to our Registration Statement on</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gridSpan w:val="29"/>
          </w:tcPr>
          <w:p>
            <w:pPr>
              <w:spacing w:after="0" w:line="196" w:lineRule="exact"/>
              <w:rPr>
                <w:rFonts w:ascii="Arial" w:cs="Arial" w:eastAsia="Arial" w:hAnsi="Arial"/>
                <w:sz w:val="18"/>
                <w:szCs w:val="18"/>
                <w:color w:val="0000FF"/>
              </w:rPr>
            </w:pPr>
            <w:hyperlink r:id="rId128">
              <w:r>
                <w:rPr>
                  <w:rFonts w:ascii="Arial" w:cs="Arial" w:eastAsia="Arial" w:hAnsi="Arial"/>
                  <w:sz w:val="18"/>
                  <w:szCs w:val="18"/>
                  <w:color w:val="0000FF"/>
                </w:rPr>
                <w:t>Form S-1 filed September 23, 1998, File No. 333-64107).</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10.20</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21">
              <w:r>
                <w:rPr>
                  <w:rFonts w:ascii="Arial" w:cs="Arial" w:eastAsia="Arial" w:hAnsi="Arial"/>
                  <w:sz w:val="18"/>
                  <w:szCs w:val="18"/>
                  <w:color w:val="0000FF"/>
                  <w:w w:val="95"/>
                </w:rPr>
                <w:t>Agreement for Purchase and Sale of Membership Interest in Scurlock Permian LLC between Marathon Ashland LLC and Plains</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14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6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Marketing, L.P. dated as of March 17, 1999 (incorporated by reference to Exhibit 10.16 to our Annual Report on Form 10-K for the</w:t>
              </w:r>
            </w:hyperlink>
          </w:p>
        </w:tc>
        <w:tc>
          <w:tcPr>
            <w:tcW w:w="12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20" w:type="dxa"/>
            <w:vAlign w:val="bottom"/>
            <w:tcBorders>
              <w:bottom w:val="single" w:sz="8" w:color="0000FF"/>
            </w:tcBorders>
            <w:gridSpan w:val="3"/>
          </w:tcPr>
          <w:p>
            <w:pPr>
              <w:spacing w:after="0" w:line="196" w:lineRule="exact"/>
              <w:rPr>
                <w:rFonts w:ascii="Arial" w:cs="Arial" w:eastAsia="Arial" w:hAnsi="Arial"/>
                <w:sz w:val="18"/>
                <w:szCs w:val="18"/>
                <w:color w:val="0000FF"/>
                <w:w w:val="87"/>
              </w:rPr>
            </w:pPr>
            <w:hyperlink r:id="rId121">
              <w:r>
                <w:rPr>
                  <w:rFonts w:ascii="Arial" w:cs="Arial" w:eastAsia="Arial" w:hAnsi="Arial"/>
                  <w:sz w:val="18"/>
                  <w:szCs w:val="18"/>
                  <w:color w:val="0000FF"/>
                  <w:w w:val="87"/>
                </w:rPr>
                <w:t>year ended December 31, 1998).</w:t>
              </w:r>
            </w:hyperlink>
          </w:p>
        </w:tc>
        <w:tc>
          <w:tcPr>
            <w:tcW w:w="7260" w:type="dxa"/>
            <w:vAlign w:val="bottom"/>
            <w:gridSpan w:val="26"/>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10.21</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29">
              <w:r>
                <w:rPr>
                  <w:rFonts w:ascii="Arial" w:cs="Arial" w:eastAsia="Arial" w:hAnsi="Arial"/>
                  <w:sz w:val="18"/>
                  <w:szCs w:val="18"/>
                  <w:color w:val="0000FF"/>
                  <w:w w:val="92"/>
                </w:rPr>
                <w:t>Membership Interest Purchase Agreement by and between Sempra Energy Trading Corporation and PAA/Vulcan Gas Storage, LLC</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4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dated August 19, 2005 (incorporated by reference to Exhibit 1.2 to our Current Report on Form 8-K filed September 19, 2005).</w:t>
              </w:r>
            </w:hyperlink>
          </w:p>
        </w:tc>
        <w:tc>
          <w:tcPr>
            <w:tcW w:w="320" w:type="dxa"/>
            <w:vAlign w:val="bottom"/>
            <w:tcBorders>
              <w:top w:val="single" w:sz="8" w:color="0000FF"/>
            </w:tcBorders>
            <w:gridSpan w:val="5"/>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10.22</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30">
              <w:r>
                <w:rPr>
                  <w:rFonts w:ascii="Arial" w:cs="Arial" w:eastAsia="Arial" w:hAnsi="Arial"/>
                  <w:sz w:val="18"/>
                  <w:szCs w:val="18"/>
                  <w:color w:val="0000FF"/>
                  <w:w w:val="98"/>
                </w:rPr>
                <w:t>Contribution Agreement dated as of April 29, 2010 by and among PAA Natural Gas Storage, L.P., PNGS GP LLC, Plains All</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8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American Pipeline, L.P., PAA Natural Gas Storage, LLC, PAA/Vulcan Gas Storage, LLC, Plains Marketing, L.P. and Plains</w:t>
              </w:r>
            </w:hyperlink>
          </w:p>
        </w:tc>
        <w:tc>
          <w:tcPr>
            <w:tcW w:w="120" w:type="dxa"/>
            <w:vAlign w:val="bottom"/>
            <w:tcBorders>
              <w:top w:val="single" w:sz="8" w:color="0000FF"/>
            </w:tcBorders>
            <w:gridSpan w:val="2"/>
          </w:tcPr>
          <w:p>
            <w:pPr>
              <w:spacing w:after="0"/>
              <w:rPr>
                <w:sz w:val="17"/>
                <w:szCs w:val="17"/>
                <w:color w:val="auto"/>
              </w:rPr>
            </w:pPr>
          </w:p>
        </w:tc>
        <w:tc>
          <w:tcPr>
            <w:tcW w:w="58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6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Marketing GP Inc. (incorporated by reference to Exhibit 10.1 to PNG’s Current Report on Form 8-K filed May 4, 2010).</w:t>
              </w:r>
            </w:hyperlink>
          </w:p>
        </w:tc>
        <w:tc>
          <w:tcPr>
            <w:tcW w:w="920" w:type="dxa"/>
            <w:vAlign w:val="bottom"/>
            <w:gridSpan w:val="15"/>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10.23</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31">
              <w:r>
                <w:rPr>
                  <w:rFonts w:ascii="Arial" w:cs="Arial" w:eastAsia="Arial" w:hAnsi="Arial"/>
                  <w:sz w:val="18"/>
                  <w:szCs w:val="18"/>
                  <w:color w:val="0000FF"/>
                  <w:w w:val="93"/>
                </w:rPr>
                <w:t>Omnibus Agreement dated May 5, 2010 by and among Plains All American GP LLC, Plains All American Pipeline, L.P., PNGS GP</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2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LLC and PAA Natural Gas Storage, L.P. (incorporated by reference to Exhibit 10.1 to PNG’s Current Report on Form 8-K filed</w:t>
              </w:r>
            </w:hyperlink>
          </w:p>
        </w:tc>
        <w:tc>
          <w:tcPr>
            <w:tcW w:w="280" w:type="dxa"/>
            <w:vAlign w:val="bottom"/>
            <w:tcBorders>
              <w:top w:val="single" w:sz="8" w:color="0000FF"/>
            </w:tcBorders>
            <w:gridSpan w:val="5"/>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31">
              <w:r>
                <w:rPr>
                  <w:rFonts w:ascii="Arial" w:cs="Arial" w:eastAsia="Arial" w:hAnsi="Arial"/>
                  <w:sz w:val="18"/>
                  <w:szCs w:val="18"/>
                  <w:color w:val="0000FF"/>
                  <w:w w:val="88"/>
                </w:rPr>
                <w:t>May 11, 2010).</w:t>
              </w:r>
            </w:hyperlink>
          </w:p>
        </w:tc>
        <w:tc>
          <w:tcPr>
            <w:tcW w:w="8500" w:type="dxa"/>
            <w:vAlign w:val="bottom"/>
            <w:gridSpan w:val="28"/>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10.24</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32">
              <w:r>
                <w:rPr>
                  <w:rFonts w:ascii="Arial" w:cs="Arial" w:eastAsia="Arial" w:hAnsi="Arial"/>
                  <w:sz w:val="18"/>
                  <w:szCs w:val="18"/>
                  <w:color w:val="0000FF"/>
                  <w:w w:val="95"/>
                </w:rPr>
                <w:t>Omnibus Agreement by and among PAA GP Holdings LLC, Plains GP Holdings, L.P., Plains All American GP LLC, Plains AAP,</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4280" w:type="dxa"/>
            <w:vAlign w:val="bottom"/>
            <w:gridSpan w:val="6"/>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0" w:type="dxa"/>
            <w:vAlign w:val="bottom"/>
            <w:gridSpan w:val="1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4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L.P., PAA GP LLC, and Plains All American Pipeline, L.P., dated November 15, 2016 (incorporated by reference to Exhibit 10.1 to</w:t>
              </w:r>
            </w:hyperlink>
          </w:p>
        </w:tc>
        <w:tc>
          <w:tcPr>
            <w:tcW w:w="14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gridSpan w:val="29"/>
          </w:tcPr>
          <w:p>
            <w:pPr>
              <w:spacing w:after="0" w:line="196" w:lineRule="exact"/>
              <w:rPr>
                <w:rFonts w:ascii="Arial" w:cs="Arial" w:eastAsia="Arial" w:hAnsi="Arial"/>
                <w:sz w:val="18"/>
                <w:szCs w:val="18"/>
                <w:color w:val="0000FF"/>
              </w:rPr>
            </w:pPr>
            <w:hyperlink r:id="rId132">
              <w:r>
                <w:rPr>
                  <w:rFonts w:ascii="Arial" w:cs="Arial" w:eastAsia="Arial" w:hAnsi="Arial"/>
                  <w:sz w:val="18"/>
                  <w:szCs w:val="18"/>
                  <w:color w:val="0000FF"/>
                </w:rPr>
                <w:t>our Current Report on Form 8-K filed November 21, 2016).</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4280" w:type="dxa"/>
            <w:vAlign w:val="bottom"/>
            <w:gridSpan w:val="6"/>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0" w:type="dxa"/>
            <w:vAlign w:val="bottom"/>
            <w:gridSpan w:val="12"/>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10.25</w:t>
            </w:r>
          </w:p>
        </w:tc>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33">
              <w:r>
                <w:rPr>
                  <w:rFonts w:ascii="Arial" w:cs="Arial" w:eastAsia="Arial" w:hAnsi="Arial"/>
                  <w:sz w:val="18"/>
                  <w:szCs w:val="18"/>
                  <w:color w:val="0000FF"/>
                  <w:w w:val="97"/>
                </w:rPr>
                <w:t>Amended and Restated Administrative Agreement by and among PAA GP Holdings LLC, Plains GP Holdings, L.P., Plains All</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6520" w:type="dxa"/>
            <w:vAlign w:val="bottom"/>
            <w:gridSpan w:val="7"/>
            <w:shd w:val="clear" w:color="auto" w:fill="0000FF"/>
          </w:tcPr>
          <w:p>
            <w:pPr>
              <w:spacing w:after="0" w:line="20" w:lineRule="exact"/>
              <w:rPr>
                <w:sz w:val="1"/>
                <w:szCs w:val="1"/>
                <w:color w:val="auto"/>
              </w:rPr>
            </w:pPr>
          </w:p>
        </w:tc>
        <w:tc>
          <w:tcPr>
            <w:tcW w:w="2600" w:type="dxa"/>
            <w:vAlign w:val="bottom"/>
            <w:gridSpan w:val="12"/>
            <w:shd w:val="clear" w:color="auto" w:fill="0000FF"/>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gridSpan w:val="29"/>
          </w:tcPr>
          <w:p>
            <w:pPr>
              <w:spacing w:after="0" w:line="19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American GP LLC, Plains AAP, L.P., PAA GP LLC, and Plains All American Pipeline, L.P., dated November 15, 2016 (incorporated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133">
              <w:r>
                <w:rPr>
                  <w:rFonts w:ascii="Arial" w:cs="Arial" w:eastAsia="Arial" w:hAnsi="Arial"/>
                  <w:sz w:val="18"/>
                  <w:szCs w:val="18"/>
                  <w:color w:val="0000FF"/>
                </w:rPr>
                <w:t>by reference to Exhibit 10.2 to our Current Report on Form 8-K filed November 21, 2016).</w:t>
              </w:r>
            </w:hyperlink>
          </w:p>
        </w:tc>
        <w:tc>
          <w:tcPr>
            <w:tcW w:w="20" w:type="dxa"/>
            <w:vAlign w:val="bottom"/>
          </w:tcPr>
          <w:p>
            <w:pPr>
              <w:spacing w:after="0"/>
              <w:rPr>
                <w:sz w:val="17"/>
                <w:szCs w:val="17"/>
                <w:color w:val="auto"/>
              </w:rPr>
            </w:pPr>
          </w:p>
        </w:tc>
      </w:tr>
      <w:tr>
        <w:trPr>
          <w:trHeight w:val="669"/>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20" w:type="dxa"/>
            <w:vAlign w:val="bottom"/>
            <w:tcBorders>
              <w:top w:val="single" w:sz="8" w:color="0000FF"/>
            </w:tcBorders>
            <w:gridSpan w:val="5"/>
          </w:tcPr>
          <w:p>
            <w:pPr>
              <w:jc w:val="right"/>
              <w:ind w:right="60"/>
              <w:spacing w:after="0"/>
              <w:rPr>
                <w:sz w:val="20"/>
                <w:szCs w:val="20"/>
                <w:color w:val="auto"/>
              </w:rPr>
            </w:pPr>
            <w:r>
              <w:rPr>
                <w:rFonts w:ascii="Arial" w:cs="Arial" w:eastAsia="Arial" w:hAnsi="Arial"/>
                <w:sz w:val="18"/>
                <w:szCs w:val="18"/>
                <w:color w:val="auto"/>
              </w:rPr>
              <w:t>116</w:t>
            </w:r>
          </w:p>
        </w:tc>
        <w:tc>
          <w:tcPr>
            <w:tcW w:w="160" w:type="dxa"/>
            <w:vAlign w:val="bottom"/>
            <w:tcBorders>
              <w:top w:val="single" w:sz="8" w:color="0000FF"/>
            </w:tcBorders>
          </w:tcPr>
          <w:p>
            <w:pPr>
              <w:spacing w:after="0"/>
              <w:rPr>
                <w:sz w:val="24"/>
                <w:szCs w:val="24"/>
                <w:color w:val="auto"/>
              </w:rPr>
            </w:pPr>
          </w:p>
        </w:tc>
        <w:tc>
          <w:tcPr>
            <w:tcW w:w="22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27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520" w:type="dxa"/>
            <w:vAlign w:val="bottom"/>
            <w:tcBorders>
              <w:bottom w:val="single" w:sz="8" w:color="0000FF"/>
            </w:tcBorders>
            <w:gridSpan w:val="20"/>
          </w:tcPr>
          <w:p>
            <w:pPr>
              <w:spacing w:after="0"/>
              <w:rPr>
                <w:rFonts w:ascii="Arial" w:cs="Arial" w:eastAsia="Arial" w:hAnsi="Arial"/>
                <w:sz w:val="18"/>
                <w:szCs w:val="18"/>
                <w:color w:val="0000FF"/>
                <w:w w:val="90"/>
              </w:rPr>
            </w:pPr>
            <w:hyperlink r:id="rId134">
              <w:r>
                <w:rPr>
                  <w:rFonts w:ascii="Arial" w:cs="Arial" w:eastAsia="Arial" w:hAnsi="Arial"/>
                  <w:sz w:val="18"/>
                  <w:szCs w:val="18"/>
                  <w:color w:val="0000FF"/>
                  <w:w w:val="90"/>
                </w:rPr>
                <w:t>Amended and Restated Employment Agreement between Plains All American GP LLC and Greg L. Armstrong dated as of June 30,</w:t>
              </w:r>
            </w:hyperlink>
          </w:p>
        </w:tc>
        <w:tc>
          <w:tcPr>
            <w:tcW w:w="1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4"/>
          </w:tcPr>
          <w:p>
            <w:pPr>
              <w:spacing w:after="0" w:line="196"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2001 (incorporated by reference to Exhibit 10.1 to our Quarterly Report on Form 10-Q for the quarter ended September 30, 2001).</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00" w:type="dxa"/>
            <w:vAlign w:val="bottom"/>
            <w:tcBorders>
              <w:bottom w:val="single" w:sz="8" w:color="0000FF"/>
            </w:tcBorders>
            <w:gridSpan w:val="23"/>
          </w:tcPr>
          <w:p>
            <w:pPr>
              <w:spacing w:after="0"/>
              <w:rPr>
                <w:rFonts w:ascii="Arial" w:cs="Arial" w:eastAsia="Arial" w:hAnsi="Arial"/>
                <w:sz w:val="18"/>
                <w:szCs w:val="18"/>
                <w:color w:val="0000FF"/>
                <w:w w:val="90"/>
              </w:rPr>
            </w:pPr>
            <w:hyperlink r:id="rId135">
              <w:r>
                <w:rPr>
                  <w:rFonts w:ascii="Arial" w:cs="Arial" w:eastAsia="Arial" w:hAnsi="Arial"/>
                  <w:sz w:val="18"/>
                  <w:szCs w:val="18"/>
                  <w:color w:val="0000FF"/>
                  <w:w w:val="90"/>
                </w:rPr>
                <w:t>First Amendment to Amended and Restated Employment Agreement dated December 4, 2008 between Plains All American GP LLC</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4"/>
          </w:tcPr>
          <w:p>
            <w:pPr>
              <w:spacing w:after="0" w:line="196" w:lineRule="exact"/>
              <w:rPr>
                <w:rFonts w:ascii="Arial" w:cs="Arial" w:eastAsia="Arial" w:hAnsi="Arial"/>
                <w:sz w:val="18"/>
                <w:szCs w:val="18"/>
                <w:color w:val="0000FF"/>
                <w:w w:val="99"/>
              </w:rPr>
            </w:pPr>
            <w:hyperlink r:id="rId135">
              <w:r>
                <w:rPr>
                  <w:rFonts w:ascii="Arial" w:cs="Arial" w:eastAsia="Arial" w:hAnsi="Arial"/>
                  <w:sz w:val="18"/>
                  <w:szCs w:val="18"/>
                  <w:color w:val="0000FF"/>
                  <w:w w:val="99"/>
                </w:rPr>
                <w:t>and Greg L. Armstrong (incorporated by reference to Exhibit 10.49 to our Annual Report on Form 10-K for the year ended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4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35">
              <w:r>
                <w:rPr>
                  <w:rFonts w:ascii="Arial" w:cs="Arial" w:eastAsia="Arial" w:hAnsi="Arial"/>
                  <w:sz w:val="18"/>
                  <w:szCs w:val="18"/>
                  <w:color w:val="0000FF"/>
                </w:rPr>
                <w:t>December 31, 2008).</w:t>
              </w:r>
            </w:hyperlink>
          </w:p>
        </w:tc>
        <w:tc>
          <w:tcPr>
            <w:tcW w:w="780" w:type="dxa"/>
            <w:vAlign w:val="bottom"/>
            <w:gridSpan w:val="1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24"/>
          </w:tcPr>
          <w:p>
            <w:pPr>
              <w:spacing w:after="0"/>
              <w:rPr>
                <w:rFonts w:ascii="Arial" w:cs="Arial" w:eastAsia="Arial" w:hAnsi="Arial"/>
                <w:sz w:val="18"/>
                <w:szCs w:val="18"/>
                <w:color w:val="0000FF"/>
                <w:w w:val="93"/>
              </w:rPr>
            </w:pPr>
            <w:hyperlink r:id="rId136">
              <w:r>
                <w:rPr>
                  <w:rFonts w:ascii="Arial" w:cs="Arial" w:eastAsia="Arial" w:hAnsi="Arial"/>
                  <w:sz w:val="18"/>
                  <w:szCs w:val="18"/>
                  <w:color w:val="0000FF"/>
                  <w:w w:val="93"/>
                </w:rPr>
                <w:t>Waiver Agreement dated as of December 23, 2010 between Plains All American GP LLC and Greg L. Armstrong (incorporated by</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reference to Exhibit 10.31 to our Annual Report on Form 10-K for the year ended December 31, 2010).</w:t>
              </w:r>
            </w:hyperlink>
          </w:p>
        </w:tc>
        <w:tc>
          <w:tcPr>
            <w:tcW w:w="1980" w:type="dxa"/>
            <w:vAlign w:val="bottom"/>
            <w:tcBorders>
              <w:top w:val="single" w:sz="8" w:color="0000FF"/>
            </w:tcBorders>
            <w:gridSpan w:val="10"/>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380" w:type="dxa"/>
            <w:vAlign w:val="bottom"/>
            <w:tcBorders>
              <w:bottom w:val="single" w:sz="8" w:color="0000FF"/>
            </w:tcBorders>
            <w:gridSpan w:val="15"/>
          </w:tcPr>
          <w:p>
            <w:pPr>
              <w:spacing w:after="0"/>
              <w:rPr>
                <w:rFonts w:ascii="Arial" w:cs="Arial" w:eastAsia="Arial" w:hAnsi="Arial"/>
                <w:sz w:val="18"/>
                <w:szCs w:val="18"/>
                <w:color w:val="0000FF"/>
                <w:w w:val="89"/>
              </w:rPr>
            </w:pPr>
            <w:hyperlink r:id="rId137">
              <w:r>
                <w:rPr>
                  <w:rFonts w:ascii="Arial" w:cs="Arial" w:eastAsia="Arial" w:hAnsi="Arial"/>
                  <w:sz w:val="18"/>
                  <w:szCs w:val="18"/>
                  <w:color w:val="0000FF"/>
                  <w:w w:val="89"/>
                </w:rPr>
                <w:t>Waiver Agreement dated October 21, 2013 to the Amended and Restated Employment Agreement dated June 30, 2001 of Greg L.</w:t>
              </w:r>
            </w:hyperlink>
          </w:p>
        </w:tc>
        <w:tc>
          <w:tcPr>
            <w:tcW w:w="24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4"/>
          </w:tcPr>
          <w:p>
            <w:pPr>
              <w:spacing w:after="0" w:line="196" w:lineRule="exact"/>
              <w:rPr>
                <w:rFonts w:ascii="Arial" w:cs="Arial" w:eastAsia="Arial" w:hAnsi="Arial"/>
                <w:sz w:val="18"/>
                <w:szCs w:val="18"/>
                <w:color w:val="0000FF"/>
              </w:rPr>
            </w:pPr>
            <w:hyperlink r:id="rId137">
              <w:r>
                <w:rPr>
                  <w:rFonts w:ascii="Arial" w:cs="Arial" w:eastAsia="Arial" w:hAnsi="Arial"/>
                  <w:sz w:val="18"/>
                  <w:szCs w:val="18"/>
                  <w:color w:val="0000FF"/>
                </w:rPr>
                <w:t>Armstrong (incorporated by reference to Exhibit 10.2 to our Current Report on Form 8-K filed October 25, 2013).</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500" w:type="dxa"/>
            <w:vAlign w:val="bottom"/>
            <w:tcBorders>
              <w:bottom w:val="single" w:sz="8" w:color="0000FF"/>
            </w:tcBorders>
            <w:gridSpan w:val="19"/>
          </w:tcPr>
          <w:p>
            <w:pPr>
              <w:spacing w:after="0"/>
              <w:rPr>
                <w:rFonts w:ascii="Arial" w:cs="Arial" w:eastAsia="Arial" w:hAnsi="Arial"/>
                <w:sz w:val="18"/>
                <w:szCs w:val="18"/>
                <w:color w:val="0000FF"/>
                <w:w w:val="90"/>
              </w:rPr>
            </w:pPr>
            <w:hyperlink r:id="rId138">
              <w:r>
                <w:rPr>
                  <w:rFonts w:ascii="Arial" w:cs="Arial" w:eastAsia="Arial" w:hAnsi="Arial"/>
                  <w:sz w:val="18"/>
                  <w:szCs w:val="18"/>
                  <w:color w:val="0000FF"/>
                  <w:w w:val="90"/>
                </w:rPr>
                <w:t>Second Amended and Restated Employment Agreement dated effective October 1, 2018 between Plains All American GP LLC and</w:t>
              </w:r>
            </w:hyperlink>
          </w:p>
        </w:tc>
        <w:tc>
          <w:tcPr>
            <w:tcW w:w="12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Greg L. Armstrong (incorporated by reference to Exhibit 10.6 to our Quarterly Report on Form 10-Q for the quarter ended September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gridSpan w:val="2"/>
          </w:tcPr>
          <w:p>
            <w:pPr>
              <w:spacing w:after="0" w:line="196" w:lineRule="exact"/>
              <w:rPr>
                <w:rFonts w:ascii="Arial" w:cs="Arial" w:eastAsia="Arial" w:hAnsi="Arial"/>
                <w:sz w:val="18"/>
                <w:szCs w:val="18"/>
                <w:color w:val="0000FF"/>
              </w:rPr>
            </w:pPr>
            <w:hyperlink r:id="rId138">
              <w:r>
                <w:rPr>
                  <w:rFonts w:ascii="Arial" w:cs="Arial" w:eastAsia="Arial" w:hAnsi="Arial"/>
                  <w:sz w:val="18"/>
                  <w:szCs w:val="18"/>
                  <w:color w:val="0000FF"/>
                </w:rPr>
                <w:t>30, 2018).</w:t>
              </w:r>
            </w:hyperlink>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24"/>
          </w:tcPr>
          <w:p>
            <w:pPr>
              <w:spacing w:after="0"/>
              <w:rPr>
                <w:rFonts w:ascii="Arial" w:cs="Arial" w:eastAsia="Arial" w:hAnsi="Arial"/>
                <w:sz w:val="18"/>
                <w:szCs w:val="18"/>
                <w:color w:val="0000FF"/>
                <w:w w:val="93"/>
              </w:rPr>
            </w:pPr>
            <w:hyperlink r:id="rId139">
              <w:r>
                <w:rPr>
                  <w:rFonts w:ascii="Arial" w:cs="Arial" w:eastAsia="Arial" w:hAnsi="Arial"/>
                  <w:sz w:val="18"/>
                  <w:szCs w:val="18"/>
                  <w:color w:val="0000FF"/>
                  <w:w w:val="93"/>
                </w:rPr>
                <w:t>Amended and Restated Employment Agreement between Plains All American GP LLC and Harry N. Pefanis dated as of June 30,</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4"/>
          </w:tcPr>
          <w:p>
            <w:pPr>
              <w:spacing w:after="0" w:line="196"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2001 (incorporated by reference to Exhibit 10.2 to our Quarterly Report on Form 10-Q for the quarter ended September 30, 2001).</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00" w:type="dxa"/>
            <w:vAlign w:val="bottom"/>
            <w:tcBorders>
              <w:bottom w:val="single" w:sz="8" w:color="0000FF"/>
            </w:tcBorders>
            <w:gridSpan w:val="23"/>
          </w:tcPr>
          <w:p>
            <w:pPr>
              <w:spacing w:after="0"/>
              <w:rPr>
                <w:rFonts w:ascii="Arial" w:cs="Arial" w:eastAsia="Arial" w:hAnsi="Arial"/>
                <w:sz w:val="18"/>
                <w:szCs w:val="18"/>
                <w:color w:val="0000FF"/>
                <w:w w:val="90"/>
              </w:rPr>
            </w:pPr>
            <w:hyperlink r:id="rId140">
              <w:r>
                <w:rPr>
                  <w:rFonts w:ascii="Arial" w:cs="Arial" w:eastAsia="Arial" w:hAnsi="Arial"/>
                  <w:sz w:val="18"/>
                  <w:szCs w:val="18"/>
                  <w:color w:val="0000FF"/>
                  <w:w w:val="90"/>
                </w:rPr>
                <w:t>First Amendment to Amended and Restated Employment Agreement dated December 4, 2008 between Plains All American GP LLC</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and Harry N. Pefanis (incorporated by reference to Exhibit 10.50 to our Annual Report on Form 10-K for the year ended</w:t>
              </w:r>
            </w:hyperlink>
          </w:p>
        </w:tc>
        <w:tc>
          <w:tcPr>
            <w:tcW w:w="94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4"/>
          </w:tcPr>
          <w:p>
            <w:pPr>
              <w:spacing w:after="0" w:line="196" w:lineRule="exact"/>
              <w:rPr>
                <w:rFonts w:ascii="Arial" w:cs="Arial" w:eastAsia="Arial" w:hAnsi="Arial"/>
                <w:sz w:val="18"/>
                <w:szCs w:val="18"/>
                <w:color w:val="0000FF"/>
              </w:rPr>
            </w:pPr>
            <w:hyperlink r:id="rId140">
              <w:r>
                <w:rPr>
                  <w:rFonts w:ascii="Arial" w:cs="Arial" w:eastAsia="Arial" w:hAnsi="Arial"/>
                  <w:sz w:val="18"/>
                  <w:szCs w:val="18"/>
                  <w:color w:val="0000FF"/>
                </w:rPr>
                <w:t>December 31, 2008).</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320" w:type="dxa"/>
            <w:vAlign w:val="bottom"/>
            <w:tcBorders>
              <w:bottom w:val="single" w:sz="8" w:color="0000FF"/>
            </w:tcBorders>
            <w:gridSpan w:val="14"/>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Waiver Agreement dated as of December 23, 2010 between Plains All American GP LLC and Harry N. Pefanis (incorporated by</w:t>
              </w:r>
            </w:hyperlink>
          </w:p>
        </w:tc>
        <w:tc>
          <w:tcPr>
            <w:tcW w:w="30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reference to Exhibit 10.32 to our Annual Report on Form 10-K for the year ended December 31, 2010).</w:t>
              </w:r>
            </w:hyperlink>
          </w:p>
        </w:tc>
        <w:tc>
          <w:tcPr>
            <w:tcW w:w="2180" w:type="dxa"/>
            <w:vAlign w:val="bottom"/>
            <w:gridSpan w:val="17"/>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440" w:type="dxa"/>
            <w:vAlign w:val="bottom"/>
            <w:tcBorders>
              <w:bottom w:val="single" w:sz="8" w:color="0000FF"/>
            </w:tcBorders>
            <w:gridSpan w:val="18"/>
          </w:tcPr>
          <w:p>
            <w:pPr>
              <w:spacing w:after="0"/>
              <w:rPr>
                <w:rFonts w:ascii="Arial" w:cs="Arial" w:eastAsia="Arial" w:hAnsi="Arial"/>
                <w:sz w:val="18"/>
                <w:szCs w:val="18"/>
                <w:color w:val="0000FF"/>
                <w:w w:val="90"/>
              </w:rPr>
            </w:pPr>
            <w:hyperlink r:id="rId142">
              <w:r>
                <w:rPr>
                  <w:rFonts w:ascii="Arial" w:cs="Arial" w:eastAsia="Arial" w:hAnsi="Arial"/>
                  <w:sz w:val="18"/>
                  <w:szCs w:val="18"/>
                  <w:color w:val="0000FF"/>
                  <w:w w:val="90"/>
                </w:rPr>
                <w:t>Waiver Agreement dated October 21, 2013 to the Amended and Restated Employment Agreement dated June 30, 2001 of Harry N.</w:t>
              </w:r>
            </w:hyperlink>
          </w:p>
        </w:tc>
        <w:tc>
          <w:tcPr>
            <w:tcW w:w="18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9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Pefanis (incorporated by reference to Exhibit 10.3 to our Current Report on Form 8-K filed October 25, 2013).</w:t>
              </w:r>
            </w:hyperlink>
          </w:p>
        </w:tc>
        <w:tc>
          <w:tcPr>
            <w:tcW w:w="1660" w:type="dxa"/>
            <w:vAlign w:val="bottom"/>
            <w:gridSpan w:val="15"/>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540" w:type="dxa"/>
            <w:vAlign w:val="bottom"/>
            <w:tcBorders>
              <w:bottom w:val="single" w:sz="8" w:color="0000FF"/>
            </w:tcBorders>
            <w:gridSpan w:val="21"/>
          </w:tcPr>
          <w:p>
            <w:pPr>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Employment Agreement between Plains All American GP LLC and Willie Chiang dated July 10, 2015 (incorporated by reference to</w:t>
              </w:r>
            </w:hyperlink>
          </w:p>
        </w:tc>
        <w:tc>
          <w:tcPr>
            <w:tcW w:w="8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5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Exhibit 10.53 to our Annual Report on Form 10-K for the year ended December 31, 2015).</w:t>
              </w:r>
            </w:hyperlink>
          </w:p>
        </w:tc>
        <w:tc>
          <w:tcPr>
            <w:tcW w:w="3080" w:type="dxa"/>
            <w:vAlign w:val="bottom"/>
            <w:gridSpan w:val="19"/>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24"/>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Amended and Restated Employment Agreement dated effective October 1, 2018 between Plains All American GP LLC and Willie</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34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4"/>
          </w:tcPr>
          <w:p>
            <w:pPr>
              <w:spacing w:after="0" w:line="19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Chiang (incorporated by reference to Exhibit 10.7 to our Quarterly Report on Form 10-Q for the quarter ended September 30, 2018).</w:t>
              </w:r>
            </w:hyperlink>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540" w:type="dxa"/>
            <w:vAlign w:val="bottom"/>
            <w:tcBorders>
              <w:top w:val="single" w:sz="8" w:color="0000FF"/>
            </w:tcBorders>
            <w:gridSpan w:val="21"/>
          </w:tcPr>
          <w:p>
            <w:pPr>
              <w:spacing w:after="0"/>
              <w:rPr>
                <w:rFonts w:ascii="Arial" w:cs="Arial" w:eastAsia="Arial" w:hAnsi="Arial"/>
                <w:sz w:val="18"/>
                <w:szCs w:val="18"/>
                <w:color w:val="0000FF"/>
                <w:w w:val="92"/>
              </w:rPr>
            </w:pPr>
            <w:hyperlink r:id="rId145">
              <w:r>
                <w:rPr>
                  <w:rFonts w:ascii="Arial" w:cs="Arial" w:eastAsia="Arial" w:hAnsi="Arial"/>
                  <w:sz w:val="18"/>
                  <w:szCs w:val="18"/>
                  <w:color w:val="0000FF"/>
                  <w:w w:val="92"/>
                </w:rPr>
                <w:t>First Amendment to Plains AAP, L.P. Class B Restricted Units Agreement dated August 25, 2016 (Willie Chiang) (incorporated by</w:t>
              </w:r>
            </w:hyperlink>
          </w:p>
        </w:tc>
        <w:tc>
          <w:tcPr>
            <w:tcW w:w="8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7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145">
              <w:r>
                <w:rPr>
                  <w:rFonts w:ascii="Arial" w:cs="Arial" w:eastAsia="Arial" w:hAnsi="Arial"/>
                  <w:sz w:val="18"/>
                  <w:szCs w:val="18"/>
                  <w:color w:val="0000FF"/>
                  <w:w w:val="90"/>
                </w:rPr>
                <w:t>reference to Exhibit 10.8 to our Quarterly Report on Form 10-Q for the quarter ended September 30, 2016).</w:t>
              </w:r>
            </w:hyperlink>
          </w:p>
        </w:tc>
        <w:tc>
          <w:tcPr>
            <w:tcW w:w="1680" w:type="dxa"/>
            <w:vAlign w:val="bottom"/>
            <w:tcBorders>
              <w:top w:val="single" w:sz="8" w:color="0000FF"/>
            </w:tcBorders>
            <w:gridSpan w:val="9"/>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580" w:type="dxa"/>
            <w:vAlign w:val="bottom"/>
            <w:tcBorders>
              <w:bottom w:val="single" w:sz="8" w:color="0000FF"/>
            </w:tcBorders>
            <w:gridSpan w:val="22"/>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Second Amendment dated March 22, 2018 to Plains AAP, L.P. Class B Restricted Units Agreement (Willie Chiang) (incorporated by</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reference to Exhibit 10.1 to our Quarterly Report on Form 10-Q for the quarter ended March 31, 2018).</w:t>
              </w:r>
            </w:hyperlink>
          </w:p>
        </w:tc>
        <w:tc>
          <w:tcPr>
            <w:tcW w:w="2180" w:type="dxa"/>
            <w:vAlign w:val="bottom"/>
            <w:gridSpan w:val="17"/>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24"/>
          </w:tcPr>
          <w:p>
            <w:pPr>
              <w:spacing w:after="0"/>
              <w:rPr>
                <w:rFonts w:ascii="Arial" w:cs="Arial" w:eastAsia="Arial" w:hAnsi="Arial"/>
                <w:sz w:val="18"/>
                <w:szCs w:val="18"/>
                <w:color w:val="0000FF"/>
                <w:w w:val="96"/>
              </w:rPr>
            </w:pPr>
            <w:hyperlink r:id="rId147">
              <w:r>
                <w:rPr>
                  <w:rFonts w:ascii="Arial" w:cs="Arial" w:eastAsia="Arial" w:hAnsi="Arial"/>
                  <w:sz w:val="18"/>
                  <w:szCs w:val="18"/>
                  <w:color w:val="0000FF"/>
                  <w:w w:val="96"/>
                </w:rPr>
                <w:t>Amendment dated August 25, 2016 to LTIP Grant Letter dated August 24, 2015 (Willie Chiang) (incorporated by reference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Exhibit 10.7 to our Quarterly Report on Form 10-Q for the quarter ended September 30, 2016).</w:t>
              </w:r>
            </w:hyperlink>
          </w:p>
        </w:tc>
        <w:tc>
          <w:tcPr>
            <w:tcW w:w="2220" w:type="dxa"/>
            <w:vAlign w:val="bottom"/>
            <w:tcBorders>
              <w:top w:val="single" w:sz="8" w:color="0000FF"/>
            </w:tcBorders>
            <w:gridSpan w:val="7"/>
          </w:tcPr>
          <w:p>
            <w:pPr>
              <w:spacing w:after="0"/>
              <w:rPr>
                <w:sz w:val="17"/>
                <w:szCs w:val="17"/>
                <w:color w:val="auto"/>
              </w:rPr>
            </w:pPr>
          </w:p>
        </w:tc>
        <w:tc>
          <w:tcPr>
            <w:tcW w:w="560" w:type="dxa"/>
            <w:vAlign w:val="bottom"/>
            <w:gridSpan w:val="11"/>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24"/>
          </w:tcPr>
          <w:p>
            <w:pPr>
              <w:spacing w:after="0"/>
              <w:rPr>
                <w:rFonts w:ascii="Arial" w:cs="Arial" w:eastAsia="Arial" w:hAnsi="Arial"/>
                <w:sz w:val="18"/>
                <w:szCs w:val="18"/>
                <w:color w:val="0000FF"/>
                <w:w w:val="93"/>
              </w:rPr>
            </w:pPr>
            <w:hyperlink r:id="rId148">
              <w:r>
                <w:rPr>
                  <w:rFonts w:ascii="Arial" w:cs="Arial" w:eastAsia="Arial" w:hAnsi="Arial"/>
                  <w:sz w:val="18"/>
                  <w:szCs w:val="18"/>
                  <w:color w:val="0000FF"/>
                  <w:w w:val="93"/>
                </w:rPr>
                <w:t>Amendment dated March 22, 2018 to PAA LTIP Grant Letter dated August 24, 2015 (Willie Chiang) (incorporated by reference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5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Exhibit 10.3 to our Quarterly Report on Form 10-Q for the quarter ended March 31, 2018).</w:t>
              </w:r>
            </w:hyperlink>
          </w:p>
        </w:tc>
        <w:tc>
          <w:tcPr>
            <w:tcW w:w="2860" w:type="dxa"/>
            <w:vAlign w:val="bottom"/>
            <w:tcBorders>
              <w:top w:val="single" w:sz="8" w:color="0000FF"/>
            </w:tcBorders>
            <w:gridSpan w:val="11"/>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24"/>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LTIP Grant Letter dated August 16, 2018 (Willie Chiang) incorporated by reference to Exhibit 10.8 to our Quarterly Report on Form</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49">
              <w:r>
                <w:rPr>
                  <w:rFonts w:ascii="Arial" w:cs="Arial" w:eastAsia="Arial" w:hAnsi="Arial"/>
                  <w:sz w:val="18"/>
                  <w:szCs w:val="18"/>
                  <w:color w:val="0000FF"/>
                </w:rPr>
                <w:t>10-Q for the quarter ended September 30, 2018).</w:t>
              </w:r>
            </w:hyperlink>
          </w:p>
        </w:tc>
        <w:tc>
          <w:tcPr>
            <w:tcW w:w="8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900" w:type="dxa"/>
            <w:vAlign w:val="bottom"/>
            <w:gridSpan w:val="1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24"/>
          </w:tcPr>
          <w:p>
            <w:pPr>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Plains All American GP LLC 1998 Long-Term Incentive Plan (incorporated by reference to Exhibit 99.1 to Registration Statement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on Form S-8, File No. 333-74920).</w:t>
              </w:r>
            </w:hyperlink>
          </w:p>
        </w:tc>
        <w:tc>
          <w:tcPr>
            <w:tcW w:w="6880" w:type="dxa"/>
            <w:vAlign w:val="bottom"/>
            <w:tcBorders>
              <w:top w:val="single" w:sz="8" w:color="0000FF"/>
            </w:tcBorders>
            <w:gridSpan w:val="13"/>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669"/>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40" w:type="dxa"/>
            <w:vAlign w:val="bottom"/>
            <w:gridSpan w:val="5"/>
          </w:tcPr>
          <w:p>
            <w:pPr>
              <w:ind w:left="382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108" w:right="27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270"/>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3"/>
          </w:tcPr>
          <w:p>
            <w:pPr>
              <w:spacing w:after="0"/>
              <w:rPr>
                <w:rFonts w:ascii="Arial" w:cs="Arial" w:eastAsia="Arial" w:hAnsi="Arial"/>
                <w:sz w:val="18"/>
                <w:szCs w:val="18"/>
                <w:color w:val="0000FF"/>
                <w:w w:val="91"/>
              </w:rPr>
            </w:pPr>
            <w:hyperlink r:id="rId151">
              <w:r>
                <w:rPr>
                  <w:rFonts w:ascii="Arial" w:cs="Arial" w:eastAsia="Arial" w:hAnsi="Arial"/>
                  <w:sz w:val="18"/>
                  <w:szCs w:val="18"/>
                  <w:color w:val="0000FF"/>
                  <w:w w:val="91"/>
                </w:rPr>
                <w:t>First Amendment to Plains All American GP LLC 1998 Long-Term Incentive Plan dated June 27, 2003 (incorporated by reference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Exhibit 10.1 to our Quarterly Report on Form 10-Q for the quarter ended June 30, 2003).</w:t>
              </w:r>
            </w:hyperlink>
          </w:p>
        </w:tc>
        <w:tc>
          <w:tcPr>
            <w:tcW w:w="3180" w:type="dxa"/>
            <w:vAlign w:val="bottom"/>
            <w:tcBorders>
              <w:top w:val="single" w:sz="8" w:color="0000FF"/>
            </w:tcBorders>
            <w:gridSpan w:val="1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200" w:type="dxa"/>
            <w:vAlign w:val="bottom"/>
            <w:tcBorders>
              <w:bottom w:val="single" w:sz="8" w:color="0000FF"/>
            </w:tcBorders>
            <w:gridSpan w:val="20"/>
          </w:tcPr>
          <w:p>
            <w:pPr>
              <w:spacing w:after="0"/>
              <w:rPr>
                <w:rFonts w:ascii="Arial" w:cs="Arial" w:eastAsia="Arial" w:hAnsi="Arial"/>
                <w:sz w:val="18"/>
                <w:szCs w:val="18"/>
                <w:color w:val="0000FF"/>
                <w:w w:val="91"/>
              </w:rPr>
            </w:pPr>
            <w:hyperlink r:id="rId152">
              <w:r>
                <w:rPr>
                  <w:rFonts w:ascii="Arial" w:cs="Arial" w:eastAsia="Arial" w:hAnsi="Arial"/>
                  <w:sz w:val="18"/>
                  <w:szCs w:val="18"/>
                  <w:color w:val="0000FF"/>
                  <w:w w:val="91"/>
                </w:rPr>
                <w:t>Second Amendment to Plains All American GP LLC 1998 Long-Term Incentive Plan dated December 4, 2008 (incorporated by</w:t>
              </w:r>
            </w:hyperlink>
          </w:p>
        </w:tc>
        <w:tc>
          <w:tcPr>
            <w:tcW w:w="42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reference to Exhibit 10.52 to our Annual Report on Form 10-K for the year ended December 31, 2008).</w:t>
              </w:r>
            </w:hyperlink>
          </w:p>
        </w:tc>
        <w:tc>
          <w:tcPr>
            <w:tcW w:w="2180" w:type="dxa"/>
            <w:vAlign w:val="bottom"/>
            <w:gridSpan w:val="19"/>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10.45***</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360" w:type="dxa"/>
            <w:vAlign w:val="bottom"/>
            <w:tcBorders>
              <w:bottom w:val="single" w:sz="8" w:color="0000FF"/>
            </w:tcBorders>
            <w:gridSpan w:val="24"/>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Plains All American GP LLC 2005 Long-Term Incentive Plan (incorporated by reference to Exhibit 10.1 to our Current Report on</w:t>
              </w:r>
            </w:hyperlink>
          </w:p>
        </w:tc>
        <w:tc>
          <w:tcPr>
            <w:tcW w:w="26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Form 8-K filed January 26, 2005).</w:t>
              </w:r>
            </w:hyperlink>
          </w:p>
        </w:tc>
        <w:tc>
          <w:tcPr>
            <w:tcW w:w="7140" w:type="dxa"/>
            <w:vAlign w:val="bottom"/>
            <w:gridSpan w:val="27"/>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000" w:type="dxa"/>
            <w:vAlign w:val="bottom"/>
            <w:tcBorders>
              <w:bottom w:val="single" w:sz="8" w:color="0000FF"/>
            </w:tcBorders>
            <w:gridSpan w:val="17"/>
          </w:tcPr>
          <w:p>
            <w:pPr>
              <w:spacing w:after="0"/>
              <w:rPr>
                <w:rFonts w:ascii="Arial" w:cs="Arial" w:eastAsia="Arial" w:hAnsi="Arial"/>
                <w:sz w:val="18"/>
                <w:szCs w:val="18"/>
                <w:color w:val="0000FF"/>
                <w:w w:val="91"/>
              </w:rPr>
            </w:pPr>
            <w:hyperlink r:id="rId154">
              <w:r>
                <w:rPr>
                  <w:rFonts w:ascii="Arial" w:cs="Arial" w:eastAsia="Arial" w:hAnsi="Arial"/>
                  <w:sz w:val="18"/>
                  <w:szCs w:val="18"/>
                  <w:color w:val="0000FF"/>
                  <w:w w:val="91"/>
                </w:rPr>
                <w:t>First Amendment to Plains All American GP LLC 2005 Long-Term Incentive Plan dated December 4, 2008 (incorporated by</w:t>
              </w:r>
            </w:hyperlink>
          </w:p>
        </w:tc>
        <w:tc>
          <w:tcPr>
            <w:tcW w:w="620" w:type="dxa"/>
            <w:vAlign w:val="bottom"/>
            <w:gridSpan w:val="1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reference to Exhibit 10.51 to our Annual Report on Form 10-K for the year ended December 31, 2008).</w:t>
              </w:r>
            </w:hyperlink>
          </w:p>
        </w:tc>
        <w:tc>
          <w:tcPr>
            <w:tcW w:w="2180" w:type="dxa"/>
            <w:vAlign w:val="bottom"/>
            <w:gridSpan w:val="19"/>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520" w:type="dxa"/>
            <w:vAlign w:val="bottom"/>
            <w:tcBorders>
              <w:bottom w:val="single" w:sz="8" w:color="0000FF"/>
            </w:tcBorders>
            <w:gridSpan w:val="28"/>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Plains All American PPX Successor Long-Term Incentive Plan (incorporated by reference to Exhibit 10.45 to our Annual Report on</w:t>
              </w:r>
            </w:hyperlink>
          </w:p>
        </w:tc>
        <w:tc>
          <w:tcPr>
            <w:tcW w:w="10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33"/>
          </w:tcPr>
          <w:p>
            <w:pPr>
              <w:spacing w:after="0" w:line="196" w:lineRule="exact"/>
              <w:rPr>
                <w:rFonts w:ascii="Arial" w:cs="Arial" w:eastAsia="Arial" w:hAnsi="Arial"/>
                <w:sz w:val="18"/>
                <w:szCs w:val="18"/>
                <w:color w:val="0000FF"/>
              </w:rPr>
            </w:pPr>
            <w:hyperlink r:id="rId155">
              <w:r>
                <w:rPr>
                  <w:rFonts w:ascii="Arial" w:cs="Arial" w:eastAsia="Arial" w:hAnsi="Arial"/>
                  <w:sz w:val="18"/>
                  <w:szCs w:val="18"/>
                  <w:color w:val="0000FF"/>
                </w:rPr>
                <w:t>Form 10-K for the year ended December 31, 2006).</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3"/>
          </w:tcPr>
          <w:p>
            <w:pPr>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Plains All American 2013 Long-Term Incentive Plan (incorporated by reference to Exhibit A to our Definitive Proxy Statement filed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4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on October 3, 2013).</w:t>
              </w:r>
            </w:hyperlink>
          </w:p>
        </w:tc>
        <w:tc>
          <w:tcPr>
            <w:tcW w:w="8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960" w:type="dxa"/>
            <w:vAlign w:val="bottom"/>
            <w:tcBorders>
              <w:bottom w:val="single" w:sz="8" w:color="0000FF"/>
            </w:tcBorders>
            <w:gridSpan w:val="16"/>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Plains All American PNG Successor Long-Term Incentive Plan (incorporated by reference to Exhibit 4.4 to our Registration</w:t>
              </w:r>
            </w:hyperlink>
          </w:p>
        </w:tc>
        <w:tc>
          <w:tcPr>
            <w:tcW w:w="660" w:type="dxa"/>
            <w:vAlign w:val="bottom"/>
            <w:gridSpan w:val="1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Statement on Form S-8 (333-193139) filed December 31, 2013).</w:t>
              </w:r>
            </w:hyperlink>
          </w:p>
        </w:tc>
        <w:tc>
          <w:tcPr>
            <w:tcW w:w="4980" w:type="dxa"/>
            <w:vAlign w:val="bottom"/>
            <w:gridSpan w:val="23"/>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3"/>
          </w:tcPr>
          <w:p>
            <w:pPr>
              <w:spacing w:after="0"/>
              <w:rPr>
                <w:rFonts w:ascii="Arial" w:cs="Arial" w:eastAsia="Arial" w:hAnsi="Arial"/>
                <w:sz w:val="18"/>
                <w:szCs w:val="18"/>
                <w:color w:val="0000FF"/>
                <w:w w:val="92"/>
              </w:rPr>
            </w:pPr>
            <w:hyperlink r:id="rId158">
              <w:r>
                <w:rPr>
                  <w:rFonts w:ascii="Arial" w:cs="Arial" w:eastAsia="Arial" w:hAnsi="Arial"/>
                  <w:sz w:val="18"/>
                  <w:szCs w:val="18"/>
                  <w:color w:val="0000FF"/>
                  <w:w w:val="92"/>
                </w:rPr>
                <w:t>PAA Natural Gas Storage, L.P. 2010 Long-Term Incentive Plan (incorporated by reference to Exhibit 10.2 to PNG’s Current Report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158">
              <w:r>
                <w:rPr>
                  <w:rFonts w:ascii="Arial" w:cs="Arial" w:eastAsia="Arial" w:hAnsi="Arial"/>
                  <w:sz w:val="18"/>
                  <w:szCs w:val="18"/>
                  <w:color w:val="0000FF"/>
                  <w:w w:val="92"/>
                </w:rPr>
                <w:t>on Form 8-K filed May 11, 2010).</w:t>
              </w:r>
            </w:hyperlink>
          </w:p>
        </w:tc>
        <w:tc>
          <w:tcPr>
            <w:tcW w:w="7000" w:type="dxa"/>
            <w:vAlign w:val="bottom"/>
            <w:tcBorders>
              <w:top w:val="single" w:sz="8" w:color="0000FF"/>
            </w:tcBorders>
            <w:gridSpan w:val="22"/>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3"/>
          </w:tcPr>
          <w:p>
            <w:pPr>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Plains GP Holdings, L.P. Long Term Incentive Plan, (incorporated by reference to Exhibit 10.3 to PAGP’s Current Report on Form 8-</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K filed October 25, 2013).</w:t>
              </w:r>
            </w:hyperlink>
          </w:p>
        </w:tc>
        <w:tc>
          <w:tcPr>
            <w:tcW w:w="7700" w:type="dxa"/>
            <w:vAlign w:val="bottom"/>
            <w:tcBorders>
              <w:top w:val="single" w:sz="8" w:color="0000FF"/>
            </w:tcBorders>
            <w:gridSpan w:val="2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3"/>
          </w:tcPr>
          <w:p>
            <w:pPr>
              <w:spacing w:after="0"/>
              <w:rPr>
                <w:rFonts w:ascii="Arial" w:cs="Arial" w:eastAsia="Arial" w:hAnsi="Arial"/>
                <w:sz w:val="18"/>
                <w:szCs w:val="18"/>
                <w:color w:val="0000FF"/>
                <w:w w:val="93"/>
              </w:rPr>
            </w:pPr>
            <w:hyperlink r:id="rId160">
              <w:r>
                <w:rPr>
                  <w:rFonts w:ascii="Arial" w:cs="Arial" w:eastAsia="Arial" w:hAnsi="Arial"/>
                  <w:sz w:val="18"/>
                  <w:szCs w:val="18"/>
                  <w:color w:val="0000FF"/>
                  <w:w w:val="93"/>
                </w:rPr>
                <w:t>Form of Plains AAP, L.P. Class B Restricted Units Agreement (incorporated by reference to Exhibit 10.1 to our Current Report on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Form 8-K filed January 4, 2008).</w:t>
              </w:r>
            </w:hyperlink>
          </w:p>
        </w:tc>
        <w:tc>
          <w:tcPr>
            <w:tcW w:w="6980" w:type="dxa"/>
            <w:vAlign w:val="bottom"/>
            <w:tcBorders>
              <w:top w:val="single" w:sz="8" w:color="0000FF"/>
            </w:tcBorders>
            <w:gridSpan w:val="20"/>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3"/>
          </w:tcPr>
          <w:p>
            <w:pPr>
              <w:spacing w:after="0"/>
              <w:rPr>
                <w:rFonts w:ascii="Arial" w:cs="Arial" w:eastAsia="Arial" w:hAnsi="Arial"/>
                <w:sz w:val="18"/>
                <w:szCs w:val="18"/>
                <w:color w:val="0000FF"/>
                <w:w w:val="90"/>
              </w:rPr>
            </w:pPr>
            <w:hyperlink r:id="rId161">
              <w:r>
                <w:rPr>
                  <w:rFonts w:ascii="Arial" w:cs="Arial" w:eastAsia="Arial" w:hAnsi="Arial"/>
                  <w:sz w:val="18"/>
                  <w:szCs w:val="18"/>
                  <w:color w:val="0000FF"/>
                  <w:w w:val="90"/>
                </w:rPr>
                <w:t>Form of Amendment to the Plains AAP, L.P. Class B Restricted Units Agreement, dated October 18, 2013 (incorporated by reference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161">
              <w:r>
                <w:rPr>
                  <w:rFonts w:ascii="Arial" w:cs="Arial" w:eastAsia="Arial" w:hAnsi="Arial"/>
                  <w:sz w:val="18"/>
                  <w:szCs w:val="18"/>
                  <w:color w:val="0000FF"/>
                </w:rPr>
                <w:t>to Exhibit 10.4 to our Current Report on Form 8-K filed October 25, 2013).</w:t>
              </w:r>
            </w:hyperlink>
          </w:p>
        </w:tc>
        <w:tc>
          <w:tcPr>
            <w:tcW w:w="4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10.54***</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3"/>
          </w:tcPr>
          <w:p>
            <w:pPr>
              <w:spacing w:after="0"/>
              <w:rPr>
                <w:rFonts w:ascii="Arial" w:cs="Arial" w:eastAsia="Arial" w:hAnsi="Arial"/>
                <w:sz w:val="18"/>
                <w:szCs w:val="18"/>
                <w:color w:val="0000FF"/>
                <w:w w:val="92"/>
              </w:rPr>
            </w:pPr>
            <w:hyperlink r:id="rId162">
              <w:r>
                <w:rPr>
                  <w:rFonts w:ascii="Arial" w:cs="Arial" w:eastAsia="Arial" w:hAnsi="Arial"/>
                  <w:sz w:val="18"/>
                  <w:szCs w:val="18"/>
                  <w:color w:val="0000FF"/>
                  <w:w w:val="92"/>
                </w:rPr>
                <w:t>Form of Amendment to Plains AAP, L.P. Class B Restricted Units Agreement dated August 25, 2016 (incorporated by reference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0" w:type="dxa"/>
            <w:vAlign w:val="bottom"/>
            <w:tcBorders>
              <w:top w:val="single" w:sz="8" w:color="0000FF"/>
            </w:tcBorders>
            <w:gridSpan w:val="25"/>
          </w:tcPr>
          <w:p>
            <w:pPr>
              <w:spacing w:after="0" w:line="196" w:lineRule="exact"/>
              <w:rPr>
                <w:rFonts w:ascii="Arial" w:cs="Arial" w:eastAsia="Arial" w:hAnsi="Arial"/>
                <w:sz w:val="18"/>
                <w:szCs w:val="18"/>
                <w:color w:val="0000FF"/>
                <w:w w:val="99"/>
              </w:rPr>
            </w:pPr>
            <w:hyperlink r:id="rId162">
              <w:r>
                <w:rPr>
                  <w:rFonts w:ascii="Arial" w:cs="Arial" w:eastAsia="Arial" w:hAnsi="Arial"/>
                  <w:sz w:val="18"/>
                  <w:szCs w:val="18"/>
                  <w:color w:val="0000FF"/>
                  <w:w w:val="99"/>
                </w:rPr>
                <w:t>Exhibit 10.6 to our Quarterly Report on Form 10-Q for the quarter ended September 30, 2016 filed November 8, 2016).</w:t>
              </w:r>
            </w:hyperlink>
          </w:p>
        </w:tc>
        <w:tc>
          <w:tcPr>
            <w:tcW w:w="220" w:type="dxa"/>
            <w:vAlign w:val="bottom"/>
            <w:gridSpan w:val="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3"/>
          </w:tcPr>
          <w:p>
            <w:pPr>
              <w:spacing w:after="0"/>
              <w:rPr>
                <w:rFonts w:ascii="Arial" w:cs="Arial" w:eastAsia="Arial" w:hAnsi="Arial"/>
                <w:sz w:val="18"/>
                <w:szCs w:val="18"/>
                <w:color w:val="0000FF"/>
                <w:w w:val="93"/>
              </w:rPr>
            </w:pPr>
            <w:hyperlink r:id="rId163">
              <w:r>
                <w:rPr>
                  <w:rFonts w:ascii="Arial" w:cs="Arial" w:eastAsia="Arial" w:hAnsi="Arial"/>
                  <w:sz w:val="18"/>
                  <w:szCs w:val="18"/>
                  <w:color w:val="0000FF"/>
                  <w:w w:val="93"/>
                </w:rPr>
                <w:t>Form of First Amendment dated March 22, 2018 to Amended and Restated Plains AAP, L.P. Class B Restricted Units Agreement</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4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dated August 25, 2016 (Officers) (incorporated by reference to Exhibit 10.2 to our Quarterly Report on Form 10-Q for the quarter</w:t>
              </w:r>
            </w:hyperlink>
          </w:p>
        </w:tc>
        <w:tc>
          <w:tcPr>
            <w:tcW w:w="28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163">
              <w:r>
                <w:rPr>
                  <w:rFonts w:ascii="Arial" w:cs="Arial" w:eastAsia="Arial" w:hAnsi="Arial"/>
                  <w:sz w:val="18"/>
                  <w:szCs w:val="18"/>
                  <w:color w:val="0000FF"/>
                  <w:w w:val="88"/>
                </w:rPr>
                <w:t>ended March 31, 2018).</w:t>
              </w:r>
            </w:hyperlink>
          </w:p>
        </w:tc>
        <w:tc>
          <w:tcPr>
            <w:tcW w:w="7900" w:type="dxa"/>
            <w:vAlign w:val="bottom"/>
            <w:gridSpan w:val="31"/>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320" w:type="dxa"/>
            <w:vAlign w:val="bottom"/>
            <w:tcBorders>
              <w:bottom w:val="single" w:sz="8" w:color="0000FF"/>
            </w:tcBorders>
            <w:gridSpan w:val="22"/>
          </w:tcPr>
          <w:p>
            <w:pPr>
              <w:spacing w:after="0"/>
              <w:rPr>
                <w:rFonts w:ascii="Arial" w:cs="Arial" w:eastAsia="Arial" w:hAnsi="Arial"/>
                <w:sz w:val="18"/>
                <w:szCs w:val="18"/>
                <w:color w:val="0000FF"/>
                <w:w w:val="92"/>
              </w:rPr>
            </w:pPr>
            <w:hyperlink r:id="rId164">
              <w:r>
                <w:rPr>
                  <w:rFonts w:ascii="Arial" w:cs="Arial" w:eastAsia="Arial" w:hAnsi="Arial"/>
                  <w:sz w:val="18"/>
                  <w:szCs w:val="18"/>
                  <w:color w:val="0000FF"/>
                  <w:w w:val="92"/>
                </w:rPr>
                <w:t>Form of PAA LTIP Grant Letter for Officers (August 2016) (incorporated by reference to Exhibit 10.5 to our Quarterly Report on</w:t>
              </w:r>
            </w:hyperlink>
          </w:p>
        </w:tc>
        <w:tc>
          <w:tcPr>
            <w:tcW w:w="30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4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164">
              <w:r>
                <w:rPr>
                  <w:rFonts w:ascii="Arial" w:cs="Arial" w:eastAsia="Arial" w:hAnsi="Arial"/>
                  <w:sz w:val="18"/>
                  <w:szCs w:val="18"/>
                  <w:color w:val="0000FF"/>
                  <w:w w:val="89"/>
                </w:rPr>
                <w:t>Form 10-Q for the quarter ended September 30, 2016).</w:t>
              </w:r>
            </w:hyperlink>
          </w:p>
        </w:tc>
        <w:tc>
          <w:tcPr>
            <w:tcW w:w="5680" w:type="dxa"/>
            <w:vAlign w:val="bottom"/>
            <w:gridSpan w:val="24"/>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tcBorders>
              <w:bottom w:val="single" w:sz="8" w:color="0000FF"/>
            </w:tcBorders>
            <w:gridSpan w:val="33"/>
          </w:tcPr>
          <w:p>
            <w:pPr>
              <w:spacing w:after="0"/>
              <w:rPr>
                <w:rFonts w:ascii="Arial" w:cs="Arial" w:eastAsia="Arial" w:hAnsi="Arial"/>
                <w:sz w:val="18"/>
                <w:szCs w:val="18"/>
                <w:color w:val="0000FF"/>
                <w:w w:val="91"/>
              </w:rPr>
            </w:pPr>
            <w:hyperlink r:id="rId165">
              <w:r>
                <w:rPr>
                  <w:rFonts w:ascii="Arial" w:cs="Arial" w:eastAsia="Arial" w:hAnsi="Arial"/>
                  <w:sz w:val="18"/>
                  <w:szCs w:val="18"/>
                  <w:color w:val="0000FF"/>
                  <w:w w:val="91"/>
                </w:rPr>
                <w:t>Form of Amendment dated March 22, 2018 to PAA LTIP Grant Letter dated August 25, 2016 (Officers) (incorporated by reference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5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Exhibit 10.4 to our Quarterly Report on Form 10-Q for the quarter ended March 31, 2018).</w:t>
              </w:r>
            </w:hyperlink>
          </w:p>
        </w:tc>
        <w:tc>
          <w:tcPr>
            <w:tcW w:w="3080" w:type="dxa"/>
            <w:vAlign w:val="bottom"/>
            <w:gridSpan w:val="20"/>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560" w:type="dxa"/>
            <w:vAlign w:val="bottom"/>
            <w:tcBorders>
              <w:bottom w:val="single" w:sz="8" w:color="0000FF"/>
            </w:tcBorders>
            <w:gridSpan w:val="30"/>
          </w:tcPr>
          <w:p>
            <w:pPr>
              <w:spacing w:after="0"/>
              <w:rPr>
                <w:rFonts w:ascii="Arial" w:cs="Arial" w:eastAsia="Arial" w:hAnsi="Arial"/>
                <w:sz w:val="18"/>
                <w:szCs w:val="18"/>
                <w:color w:val="0000FF"/>
                <w:w w:val="92"/>
              </w:rPr>
            </w:pPr>
            <w:hyperlink r:id="rId166">
              <w:r>
                <w:rPr>
                  <w:rFonts w:ascii="Arial" w:cs="Arial" w:eastAsia="Arial" w:hAnsi="Arial"/>
                  <w:sz w:val="18"/>
                  <w:szCs w:val="18"/>
                  <w:color w:val="0000FF"/>
                  <w:w w:val="92"/>
                </w:rPr>
                <w:t>Form of LTIP Grant Letter for Officers (July 2017) (incorporated by reference to Exhibit 10.4 to our Quarterly Report on Form 10-Q</w:t>
              </w:r>
            </w:hyperlink>
          </w:p>
        </w:tc>
        <w:tc>
          <w:tcPr>
            <w:tcW w:w="6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33"/>
          </w:tcPr>
          <w:p>
            <w:pPr>
              <w:spacing w:after="0" w:line="196" w:lineRule="exact"/>
              <w:rPr>
                <w:rFonts w:ascii="Arial" w:cs="Arial" w:eastAsia="Arial" w:hAnsi="Arial"/>
                <w:sz w:val="18"/>
                <w:szCs w:val="18"/>
                <w:color w:val="0000FF"/>
              </w:rPr>
            </w:pPr>
            <w:hyperlink r:id="rId166">
              <w:r>
                <w:rPr>
                  <w:rFonts w:ascii="Arial" w:cs="Arial" w:eastAsia="Arial" w:hAnsi="Arial"/>
                  <w:sz w:val="18"/>
                  <w:szCs w:val="18"/>
                  <w:color w:val="0000FF"/>
                </w:rPr>
                <w:t>for the quarter ended June 30, 2017).</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20" w:type="dxa"/>
            <w:vAlign w:val="bottom"/>
            <w:gridSpan w:val="33"/>
          </w:tcPr>
          <w:p>
            <w:pPr>
              <w:spacing w:after="0"/>
              <w:rPr>
                <w:rFonts w:ascii="Arial" w:cs="Arial" w:eastAsia="Arial" w:hAnsi="Arial"/>
                <w:sz w:val="18"/>
                <w:szCs w:val="18"/>
                <w:color w:val="0000FF"/>
                <w:w w:val="95"/>
              </w:rPr>
            </w:pPr>
            <w:hyperlink r:id="rId167">
              <w:r>
                <w:rPr>
                  <w:rFonts w:ascii="Arial" w:cs="Arial" w:eastAsia="Arial" w:hAnsi="Arial"/>
                  <w:sz w:val="18"/>
                  <w:szCs w:val="18"/>
                  <w:color w:val="0000FF"/>
                  <w:w w:val="95"/>
                </w:rPr>
                <w:t>Form of PAA LTIP Grant Letter for Officers (March 2018) (incorporated by reference to Exhibit 10.5 to our Quarterly Report on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7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Form 10-Q for the quarter ended March 31, 2018).</w:t>
              </w:r>
            </w:hyperlink>
          </w:p>
        </w:tc>
        <w:tc>
          <w:tcPr>
            <w:tcW w:w="5600" w:type="dxa"/>
            <w:vAlign w:val="bottom"/>
            <w:tcBorders>
              <w:top w:val="single" w:sz="8" w:color="0000FF"/>
            </w:tcBorders>
            <w:gridSpan w:val="13"/>
          </w:tcPr>
          <w:p>
            <w:pPr>
              <w:spacing w:after="0"/>
              <w:rPr>
                <w:sz w:val="17"/>
                <w:szCs w:val="17"/>
                <w:color w:val="auto"/>
              </w:rPr>
            </w:pPr>
          </w:p>
        </w:tc>
        <w:tc>
          <w:tcPr>
            <w:tcW w:w="320" w:type="dxa"/>
            <w:vAlign w:val="bottom"/>
            <w:gridSpan w:val="12"/>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440" w:type="dxa"/>
            <w:vAlign w:val="bottom"/>
            <w:tcBorders>
              <w:bottom w:val="single" w:sz="8" w:color="0000FF"/>
            </w:tcBorders>
            <w:gridSpan w:val="26"/>
          </w:tcPr>
          <w:p>
            <w:pPr>
              <w:spacing w:after="0"/>
              <w:rPr>
                <w:rFonts w:ascii="Arial" w:cs="Arial" w:eastAsia="Arial" w:hAnsi="Arial"/>
                <w:sz w:val="18"/>
                <w:szCs w:val="18"/>
                <w:color w:val="0000FF"/>
                <w:w w:val="92"/>
              </w:rPr>
            </w:pPr>
            <w:hyperlink r:id="rId168">
              <w:r>
                <w:rPr>
                  <w:rFonts w:ascii="Arial" w:cs="Arial" w:eastAsia="Arial" w:hAnsi="Arial"/>
                  <w:sz w:val="18"/>
                  <w:szCs w:val="18"/>
                  <w:color w:val="0000FF"/>
                  <w:w w:val="92"/>
                </w:rPr>
                <w:t>Form of Director LTIP Grant Letter (February 2017) - Director Grant - Designated Directors and Audit Committee Members (PAA</w:t>
              </w:r>
            </w:hyperlink>
          </w:p>
        </w:tc>
        <w:tc>
          <w:tcPr>
            <w:tcW w:w="18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Plan) (incorporated by reference to Exhibit 10.1 to our Quarterly Report on Form 10-Q for the quarter ended March 31, 2017).</w:t>
              </w:r>
            </w:hyperlink>
          </w:p>
        </w:tc>
        <w:tc>
          <w:tcPr>
            <w:tcW w:w="500" w:type="dxa"/>
            <w:vAlign w:val="bottom"/>
            <w:gridSpan w:val="14"/>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100" w:type="dxa"/>
            <w:vAlign w:val="bottom"/>
            <w:tcBorders>
              <w:bottom w:val="single" w:sz="8" w:color="0000FF"/>
            </w:tcBorders>
            <w:gridSpan w:val="18"/>
          </w:tcPr>
          <w:p>
            <w:pPr>
              <w:spacing w:after="0"/>
              <w:rPr>
                <w:rFonts w:ascii="Arial" w:cs="Arial" w:eastAsia="Arial" w:hAnsi="Arial"/>
                <w:sz w:val="18"/>
                <w:szCs w:val="18"/>
                <w:color w:val="0000FF"/>
                <w:w w:val="91"/>
              </w:rPr>
            </w:pPr>
            <w:hyperlink r:id="rId169">
              <w:r>
                <w:rPr>
                  <w:rFonts w:ascii="Arial" w:cs="Arial" w:eastAsia="Arial" w:hAnsi="Arial"/>
                  <w:sz w:val="18"/>
                  <w:szCs w:val="18"/>
                  <w:color w:val="0000FF"/>
                  <w:w w:val="91"/>
                </w:rPr>
                <w:t>Form of Director LTIP Grant Letter (February 2017) - Audit Committee Supplement (PAA Plan) (incorporated by reference to</w:t>
              </w:r>
            </w:hyperlink>
          </w:p>
        </w:tc>
        <w:tc>
          <w:tcPr>
            <w:tcW w:w="520" w:type="dxa"/>
            <w:vAlign w:val="bottom"/>
            <w:gridSpan w:val="1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5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69">
              <w:r>
                <w:rPr>
                  <w:rFonts w:ascii="Arial" w:cs="Arial" w:eastAsia="Arial" w:hAnsi="Arial"/>
                  <w:sz w:val="18"/>
                  <w:szCs w:val="18"/>
                  <w:color w:val="0000FF"/>
                  <w:w w:val="91"/>
                </w:rPr>
                <w:t>Exhibit 10.2 to our Quarterly Report on Form 10-Q for the quarter ended March 31, 2017).</w:t>
              </w:r>
            </w:hyperlink>
          </w:p>
        </w:tc>
        <w:tc>
          <w:tcPr>
            <w:tcW w:w="3080" w:type="dxa"/>
            <w:vAlign w:val="bottom"/>
            <w:gridSpan w:val="20"/>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80"/>
          </w:cols>
          <w:pgMar w:left="240" w:top="108" w:right="279"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380"/>
          </w:cols>
          <w:pgMar w:left="240" w:top="108" w:right="27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70">
              <w:r>
                <w:rPr>
                  <w:rFonts w:ascii="Arial" w:cs="Arial" w:eastAsia="Arial" w:hAnsi="Arial"/>
                  <w:sz w:val="18"/>
                  <w:szCs w:val="18"/>
                  <w:color w:val="0000FF"/>
                  <w:w w:val="94"/>
                </w:rPr>
                <w:t>Form of Director LTIP Grant Letter (February 2017) - Independent Director Grant (PAA Plan) (incorporated by reference to Exhibit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70">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our Quarterly Report on Form 10-Q for the quarter ended March 31, 2017).</w:t>
              </w:r>
            </w:hyperlink>
          </w:p>
        </w:tc>
        <w:tc>
          <w:tcPr>
            <w:tcW w:w="10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71">
              <w:r>
                <w:rPr>
                  <w:rFonts w:ascii="Arial" w:cs="Arial" w:eastAsia="Arial" w:hAnsi="Arial"/>
                  <w:sz w:val="18"/>
                  <w:szCs w:val="18"/>
                  <w:color w:val="0000FF"/>
                  <w:w w:val="93"/>
                </w:rPr>
                <w:t>Form of Director LTIP Grant Letter (February 2017) - Director Grant - Designated Directors and Audit Committee Members (PAGP</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40" w:type="dxa"/>
            <w:vAlign w:val="bottom"/>
            <w:tcBorders>
              <w:top w:val="single" w:sz="8" w:color="0000FF"/>
            </w:tcBorders>
            <w:gridSpan w:val="13"/>
          </w:tcPr>
          <w:p>
            <w:pPr>
              <w:spacing w:after="0" w:line="196" w:lineRule="exact"/>
              <w:rPr>
                <w:rFonts w:ascii="Arial" w:cs="Arial" w:eastAsia="Arial" w:hAnsi="Arial"/>
                <w:sz w:val="18"/>
                <w:szCs w:val="18"/>
                <w:color w:val="0000FF"/>
                <w:w w:val="92"/>
              </w:rPr>
            </w:pPr>
            <w:hyperlink r:id="rId171">
              <w:r>
                <w:rPr>
                  <w:rFonts w:ascii="Arial" w:cs="Arial" w:eastAsia="Arial" w:hAnsi="Arial"/>
                  <w:sz w:val="18"/>
                  <w:szCs w:val="18"/>
                  <w:color w:val="0000FF"/>
                  <w:w w:val="92"/>
                </w:rPr>
                <w:t>Plan) (incorporated by reference to Exhibit 10.1 to PAGP’s Quarterly Report on Form 10-Q for the quarter ended March 31, 2017).</w:t>
              </w:r>
            </w:hyperlink>
          </w:p>
        </w:tc>
        <w:tc>
          <w:tcPr>
            <w:tcW w:w="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72">
              <w:r>
                <w:rPr>
                  <w:rFonts w:ascii="Arial" w:cs="Arial" w:eastAsia="Arial" w:hAnsi="Arial"/>
                  <w:sz w:val="18"/>
                  <w:szCs w:val="18"/>
                  <w:color w:val="0000FF"/>
                  <w:w w:val="96"/>
                </w:rPr>
                <w:t>Form of Director LTIP Grant Letter (February 2017) - Audit Committee Supplement (PAGP Plan) (incorporated by reference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72">
              <w:r>
                <w:rPr>
                  <w:rFonts w:ascii="Arial" w:cs="Arial" w:eastAsia="Arial" w:hAnsi="Arial"/>
                  <w:sz w:val="18"/>
                  <w:szCs w:val="18"/>
                  <w:color w:val="0000FF"/>
                </w:rPr>
                <w:t>Exhibit 10.2 to PAGP’s Quarterly Report on Form 10-Q for the quarter ended March 31, 2017).</w:t>
              </w:r>
            </w:hyperlink>
          </w:p>
        </w:tc>
        <w:tc>
          <w:tcPr>
            <w:tcW w:w="40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73">
              <w:r>
                <w:rPr>
                  <w:rFonts w:ascii="Arial" w:cs="Arial" w:eastAsia="Arial" w:hAnsi="Arial"/>
                  <w:sz w:val="18"/>
                  <w:szCs w:val="18"/>
                  <w:color w:val="0000FF"/>
                  <w:w w:val="93"/>
                </w:rPr>
                <w:t>Form of Director LTIP Grant Letter (February 2017) - Independent Director Grant (PAGP Plan) (incorporated by reference to Exhibit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73">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PAGP’s Quarterly Report on Form 10-Q for the quarter ended March 31, 2017).</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r>
      <w:tr>
        <w:trPr>
          <w:trHeight w:val="412"/>
        </w:trPr>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10.66***†</w:t>
            </w:r>
          </w:p>
        </w:tc>
        <w:tc>
          <w:tcPr>
            <w:tcW w:w="10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86">
              <w:r>
                <w:rPr>
                  <w:rFonts w:ascii="Arial" w:cs="Arial" w:eastAsia="Arial" w:hAnsi="Arial"/>
                  <w:sz w:val="18"/>
                  <w:szCs w:val="18"/>
                  <w:color w:val="0000FF"/>
                </w:rPr>
                <w:t>Form of Director LTIP Grant Letter (August 2018).</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r>
      <w:tr>
        <w:trPr>
          <w:trHeight w:val="412"/>
        </w:trPr>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10.67***†</w:t>
            </w:r>
          </w:p>
        </w:tc>
        <w:tc>
          <w:tcPr>
            <w:tcW w:w="10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89">
              <w:r>
                <w:rPr>
                  <w:rFonts w:ascii="Arial" w:cs="Arial" w:eastAsia="Arial" w:hAnsi="Arial"/>
                  <w:sz w:val="18"/>
                  <w:szCs w:val="18"/>
                  <w:color w:val="0000FF"/>
                </w:rPr>
                <w:t>Director LTIP Grant Letter (December 2018).</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r>
      <w:tr>
        <w:trPr>
          <w:trHeight w:val="412"/>
        </w:trPr>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21.1 †</w:t>
            </w:r>
          </w:p>
        </w:tc>
        <w:tc>
          <w:tcPr>
            <w:tcW w:w="10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92">
              <w:r>
                <w:rPr>
                  <w:rFonts w:ascii="Arial" w:cs="Arial" w:eastAsia="Arial" w:hAnsi="Arial"/>
                  <w:sz w:val="18"/>
                  <w:szCs w:val="18"/>
                  <w:color w:val="0000FF"/>
                </w:rPr>
                <w:t>List of Subsidiaries of Plains All American Pipeline, L.P.</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r>
      <w:tr>
        <w:trPr>
          <w:trHeight w:val="412"/>
        </w:trPr>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23.1 †</w:t>
            </w:r>
          </w:p>
        </w:tc>
        <w:tc>
          <w:tcPr>
            <w:tcW w:w="10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94">
              <w:r>
                <w:rPr>
                  <w:rFonts w:ascii="Arial" w:cs="Arial" w:eastAsia="Arial" w:hAnsi="Arial"/>
                  <w:sz w:val="18"/>
                  <w:szCs w:val="18"/>
                  <w:color w:val="0000FF"/>
                </w:rPr>
                <w:t>Consent of PricewaterhouseCoopers LLP.</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r>
      <w:tr>
        <w:trPr>
          <w:trHeight w:val="412"/>
        </w:trPr>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31.1 †</w:t>
            </w:r>
          </w:p>
        </w:tc>
        <w:tc>
          <w:tcPr>
            <w:tcW w:w="10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95">
              <w:r>
                <w:rPr>
                  <w:rFonts w:ascii="Arial" w:cs="Arial" w:eastAsia="Arial" w:hAnsi="Arial"/>
                  <w:sz w:val="18"/>
                  <w:szCs w:val="18"/>
                  <w:color w:val="0000FF"/>
                </w:rPr>
                <w:t>Certification of Principal Executive Officer pursuant to Exchange Act Rules 13a-14(a) and 15d-14(a).</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2160" w:type="dxa"/>
            <w:vAlign w:val="bottom"/>
            <w:tcBorders>
              <w:left w:val="single" w:sz="8" w:color="0000FF"/>
            </w:tcBorders>
            <w:gridSpan w:val="4"/>
            <w:shd w:val="clear" w:color="auto" w:fill="0000FF"/>
          </w:tcPr>
          <w:p>
            <w:pPr>
              <w:spacing w:after="0" w:line="20" w:lineRule="exact"/>
              <w:rPr>
                <w:sz w:val="1"/>
                <w:szCs w:val="1"/>
                <w:color w:val="auto"/>
              </w:rPr>
            </w:pPr>
          </w:p>
        </w:tc>
        <w:tc>
          <w:tcPr>
            <w:tcW w:w="2320" w:type="dxa"/>
            <w:vAlign w:val="bottom"/>
            <w:tcBorders>
              <w:left w:val="single" w:sz="8" w:color="0000FF"/>
            </w:tcBorders>
            <w:gridSpan w:val="5"/>
          </w:tcPr>
          <w:p>
            <w:pPr>
              <w:spacing w:after="0" w:line="20" w:lineRule="exact"/>
              <w:rPr>
                <w:sz w:val="1"/>
                <w:szCs w:val="1"/>
                <w:color w:val="auto"/>
              </w:rPr>
            </w:pPr>
          </w:p>
        </w:tc>
      </w:tr>
      <w:tr>
        <w:trPr>
          <w:trHeight w:val="412"/>
        </w:trPr>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31.2 †</w:t>
            </w:r>
          </w:p>
        </w:tc>
        <w:tc>
          <w:tcPr>
            <w:tcW w:w="10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96">
              <w:r>
                <w:rPr>
                  <w:rFonts w:ascii="Arial" w:cs="Arial" w:eastAsia="Arial" w:hAnsi="Arial"/>
                  <w:sz w:val="18"/>
                  <w:szCs w:val="18"/>
                  <w:color w:val="0000FF"/>
                </w:rPr>
                <w:t>Certification of Principal Financial Officer pursuant to Exchange Act Rules 13a-14(a) and 15d-14(a).</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2160" w:type="dxa"/>
            <w:vAlign w:val="bottom"/>
            <w:tcBorders>
              <w:left w:val="single" w:sz="8" w:color="0000FF"/>
            </w:tcBorders>
            <w:gridSpan w:val="4"/>
            <w:shd w:val="clear" w:color="auto" w:fill="0000FF"/>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r>
      <w:tr>
        <w:trPr>
          <w:trHeight w:val="412"/>
        </w:trPr>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32.1 ††</w:t>
            </w:r>
          </w:p>
        </w:tc>
        <w:tc>
          <w:tcPr>
            <w:tcW w:w="10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97">
              <w:r>
                <w:rPr>
                  <w:rFonts w:ascii="Arial" w:cs="Arial" w:eastAsia="Arial" w:hAnsi="Arial"/>
                  <w:sz w:val="18"/>
                  <w:szCs w:val="18"/>
                  <w:color w:val="0000FF"/>
                </w:rPr>
                <w:t>Certification of Principal Executive Officer pursuant to 18 U.S.C. 1350.</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4480" w:type="dxa"/>
            <w:vAlign w:val="bottom"/>
            <w:tcBorders>
              <w:left w:val="single" w:sz="8" w:color="0000FF"/>
            </w:tcBorders>
            <w:gridSpan w:val="9"/>
          </w:tcPr>
          <w:p>
            <w:pPr>
              <w:spacing w:after="0" w:line="20" w:lineRule="exact"/>
              <w:rPr>
                <w:sz w:val="1"/>
                <w:szCs w:val="1"/>
                <w:color w:val="auto"/>
              </w:rPr>
            </w:pPr>
          </w:p>
        </w:tc>
      </w:tr>
      <w:tr>
        <w:trPr>
          <w:trHeight w:val="412"/>
        </w:trPr>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32.2 ††</w:t>
            </w:r>
          </w:p>
        </w:tc>
        <w:tc>
          <w:tcPr>
            <w:tcW w:w="10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98">
              <w:r>
                <w:rPr>
                  <w:rFonts w:ascii="Arial" w:cs="Arial" w:eastAsia="Arial" w:hAnsi="Arial"/>
                  <w:sz w:val="18"/>
                  <w:szCs w:val="18"/>
                  <w:color w:val="0000FF"/>
                </w:rPr>
                <w:t>Certification of Principal Financial Officer pursuant to 18 U.S.C. 1350.</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r>
      <w:tr>
        <w:trPr>
          <w:trHeight w:val="453"/>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101. INS†</w:t>
            </w:r>
          </w:p>
        </w:tc>
        <w:tc>
          <w:tcPr>
            <w:tcW w:w="10060" w:type="dxa"/>
            <w:vAlign w:val="bottom"/>
            <w:gridSpan w:val="15"/>
          </w:tcPr>
          <w:p>
            <w:pPr>
              <w:spacing w:after="0"/>
              <w:rPr>
                <w:sz w:val="20"/>
                <w:szCs w:val="20"/>
                <w:color w:val="auto"/>
              </w:rPr>
            </w:pPr>
            <w:r>
              <w:rPr>
                <w:rFonts w:ascii="Arial" w:cs="Arial" w:eastAsia="Arial" w:hAnsi="Arial"/>
                <w:sz w:val="18"/>
                <w:szCs w:val="18"/>
                <w:color w:val="auto"/>
              </w:rPr>
              <w:t>—   XBRL Instance Document</w:t>
            </w:r>
          </w:p>
        </w:tc>
      </w:tr>
      <w:tr>
        <w:trPr>
          <w:trHeight w:val="432"/>
        </w:trPr>
        <w:tc>
          <w:tcPr>
            <w:tcW w:w="1300" w:type="dxa"/>
            <w:vAlign w:val="bottom"/>
            <w:gridSpan w:val="2"/>
          </w:tcPr>
          <w:p>
            <w:pPr>
              <w:ind w:left="200"/>
              <w:spacing w:after="0"/>
              <w:rPr>
                <w:sz w:val="20"/>
                <w:szCs w:val="20"/>
                <w:color w:val="auto"/>
              </w:rPr>
            </w:pPr>
            <w:r>
              <w:rPr>
                <w:rFonts w:ascii="Arial" w:cs="Arial" w:eastAsia="Arial" w:hAnsi="Arial"/>
                <w:sz w:val="18"/>
                <w:szCs w:val="18"/>
                <w:color w:val="auto"/>
              </w:rPr>
              <w:t>101.SCH†</w:t>
            </w:r>
          </w:p>
        </w:tc>
        <w:tc>
          <w:tcPr>
            <w:tcW w:w="10060" w:type="dxa"/>
            <w:vAlign w:val="bottom"/>
            <w:gridSpan w:val="15"/>
          </w:tcPr>
          <w:p>
            <w:pPr>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300" w:type="dxa"/>
            <w:vAlign w:val="bottom"/>
            <w:gridSpan w:val="2"/>
          </w:tcPr>
          <w:p>
            <w:pPr>
              <w:ind w:left="200"/>
              <w:spacing w:after="0"/>
              <w:rPr>
                <w:sz w:val="20"/>
                <w:szCs w:val="20"/>
                <w:color w:val="auto"/>
              </w:rPr>
            </w:pPr>
            <w:r>
              <w:rPr>
                <w:rFonts w:ascii="Arial" w:cs="Arial" w:eastAsia="Arial" w:hAnsi="Arial"/>
                <w:sz w:val="18"/>
                <w:szCs w:val="18"/>
                <w:color w:val="auto"/>
              </w:rPr>
              <w:t>101.CAL†</w:t>
            </w:r>
          </w:p>
        </w:tc>
        <w:tc>
          <w:tcPr>
            <w:tcW w:w="10060" w:type="dxa"/>
            <w:vAlign w:val="bottom"/>
            <w:gridSpan w:val="15"/>
          </w:tcPr>
          <w:p>
            <w:pPr>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300" w:type="dxa"/>
            <w:vAlign w:val="bottom"/>
            <w:gridSpan w:val="2"/>
          </w:tcPr>
          <w:p>
            <w:pPr>
              <w:ind w:left="200"/>
              <w:spacing w:after="0"/>
              <w:rPr>
                <w:sz w:val="20"/>
                <w:szCs w:val="20"/>
                <w:color w:val="auto"/>
              </w:rPr>
            </w:pPr>
            <w:r>
              <w:rPr>
                <w:rFonts w:ascii="Arial" w:cs="Arial" w:eastAsia="Arial" w:hAnsi="Arial"/>
                <w:sz w:val="18"/>
                <w:szCs w:val="18"/>
                <w:color w:val="auto"/>
              </w:rPr>
              <w:t>101.DEF†</w:t>
            </w:r>
          </w:p>
        </w:tc>
        <w:tc>
          <w:tcPr>
            <w:tcW w:w="10060" w:type="dxa"/>
            <w:vAlign w:val="bottom"/>
            <w:gridSpan w:val="15"/>
          </w:tcPr>
          <w:p>
            <w:pPr>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300" w:type="dxa"/>
            <w:vAlign w:val="bottom"/>
            <w:gridSpan w:val="2"/>
          </w:tcPr>
          <w:p>
            <w:pPr>
              <w:ind w:left="200"/>
              <w:spacing w:after="0"/>
              <w:rPr>
                <w:sz w:val="20"/>
                <w:szCs w:val="20"/>
                <w:color w:val="auto"/>
              </w:rPr>
            </w:pPr>
            <w:r>
              <w:rPr>
                <w:rFonts w:ascii="Arial" w:cs="Arial" w:eastAsia="Arial" w:hAnsi="Arial"/>
                <w:sz w:val="18"/>
                <w:szCs w:val="18"/>
                <w:color w:val="auto"/>
              </w:rPr>
              <w:t>101.LAB†</w:t>
            </w:r>
          </w:p>
        </w:tc>
        <w:tc>
          <w:tcPr>
            <w:tcW w:w="10060" w:type="dxa"/>
            <w:vAlign w:val="bottom"/>
            <w:gridSpan w:val="15"/>
          </w:tcPr>
          <w:p>
            <w:pPr>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101.PRE†</w:t>
            </w:r>
          </w:p>
        </w:tc>
        <w:tc>
          <w:tcPr>
            <w:tcW w:w="10060" w:type="dxa"/>
            <w:vAlign w:val="bottom"/>
            <w:gridSpan w:val="15"/>
          </w:tcPr>
          <w:p>
            <w:pPr>
              <w:spacing w:after="0"/>
              <w:rPr>
                <w:sz w:val="20"/>
                <w:szCs w:val="20"/>
                <w:color w:val="auto"/>
              </w:rPr>
            </w:pPr>
            <w:r>
              <w:rPr>
                <w:rFonts w:ascii="Arial" w:cs="Arial" w:eastAsia="Arial" w:hAnsi="Arial"/>
                <w:sz w:val="18"/>
                <w:szCs w:val="18"/>
                <w:color w:val="auto"/>
              </w:rPr>
              <w:t>—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7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71"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3"/>
          <w:szCs w:val="13"/>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3"/>
          <w:szCs w:val="13"/>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340" w:right="20" w:hanging="332"/>
        <w:spacing w:after="0" w:line="277" w:lineRule="auto"/>
        <w:tabs>
          <w:tab w:leader="none" w:pos="1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omitted pursuant to an Application for Confidential Treatment under Rule 24b-2 under the Exchange Act. This exhibit, with the omitted language, has been filed separately with the Securities and Exchange Commission.</w:t>
      </w:r>
    </w:p>
    <w:p>
      <w:pPr>
        <w:spacing w:after="0" w:line="62" w:lineRule="exact"/>
        <w:rPr>
          <w:sz w:val="20"/>
          <w:szCs w:val="20"/>
          <w:color w:val="auto"/>
        </w:rPr>
      </w:pPr>
    </w:p>
    <w:p>
      <w:pPr>
        <w:ind w:left="340" w:right="180" w:hanging="332"/>
        <w:spacing w:after="0" w:line="277" w:lineRule="auto"/>
        <w:tabs>
          <w:tab w:leader="none" w:pos="241"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108" w:right="2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PLAINS ALL AMERICAN PIPELINE, L.P.</w:t>
      </w:r>
    </w:p>
    <w:p>
      <w:pPr>
        <w:spacing w:after="0" w:line="351"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PAA GP LLC,</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its general partner</w:t>
      </w:r>
    </w:p>
    <w:p>
      <w:pPr>
        <w:spacing w:after="0" w:line="360"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Plains AAP, L.P.,</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its sole member</w:t>
      </w:r>
    </w:p>
    <w:p>
      <w:pPr>
        <w:spacing w:after="0" w:line="360"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PLAINS ALL AMERICAN GP LLC,</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its general partner</w:t>
      </w:r>
    </w:p>
    <w:p>
      <w:pPr>
        <w:spacing w:after="0" w:line="360"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Willie Chiang,</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2019</w:t>
      </w:r>
    </w:p>
    <w:p>
      <w:pPr>
        <w:spacing w:after="0" w:line="360"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 All</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2019</w:t>
      </w:r>
    </w:p>
    <w:p>
      <w:pPr>
        <w:spacing w:after="0" w:line="360"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6"/>
          <w:szCs w:val="16"/>
          <w:b w:val="1"/>
          <w:bCs w:val="1"/>
          <w:i w:val="1"/>
          <w:iCs w:val="1"/>
          <w:color w:val="auto"/>
        </w:rPr>
        <w:t>Senior Vice President and Chief Accounting Officer of Plains All</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125" w:right="2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6600" w:type="dxa"/>
            <w:vAlign w:val="bottom"/>
            <w:gridSpan w:val="2"/>
          </w:tcPr>
          <w:p>
            <w:pPr>
              <w:ind w:left="3100"/>
              <w:spacing w:after="0"/>
              <w:rPr>
                <w:sz w:val="20"/>
                <w:szCs w:val="20"/>
                <w:color w:val="auto"/>
              </w:rPr>
            </w:pPr>
            <w:r>
              <w:rPr>
                <w:rFonts w:ascii="Arial" w:cs="Arial" w:eastAsia="Arial" w:hAnsi="Arial"/>
                <w:sz w:val="14"/>
                <w:szCs w:val="14"/>
                <w:b w:val="1"/>
                <w:bCs w:val="1"/>
                <w:color w:val="auto"/>
              </w:rPr>
              <w:t>Title</w:t>
            </w:r>
          </w:p>
        </w:tc>
        <w:tc>
          <w:tcPr>
            <w:tcW w:w="18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74"/>
        </w:trPr>
        <w:tc>
          <w:tcPr>
            <w:tcW w:w="2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5"/>
        </w:trPr>
        <w:tc>
          <w:tcPr>
            <w:tcW w:w="2880" w:type="dxa"/>
            <w:vAlign w:val="bottom"/>
          </w:tcPr>
          <w:p>
            <w:pPr>
              <w:jc w:val="center"/>
              <w:spacing w:after="0"/>
              <w:rPr>
                <w:sz w:val="20"/>
                <w:szCs w:val="20"/>
                <w:color w:val="auto"/>
              </w:rPr>
            </w:pPr>
            <w:r>
              <w:rPr>
                <w:rFonts w:ascii="Arial" w:cs="Arial" w:eastAsia="Arial" w:hAnsi="Arial"/>
                <w:sz w:val="18"/>
                <w:szCs w:val="18"/>
                <w:color w:val="auto"/>
                <w:w w:val="96"/>
              </w:rPr>
              <w:t>/s/ Willie Chiang</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 and Chief Executive Officer of Plains All</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Arial" w:cs="Arial" w:eastAsia="Arial" w:hAnsi="Arial"/>
                <w:sz w:val="18"/>
                <w:szCs w:val="18"/>
                <w:color w:val="auto"/>
              </w:rPr>
              <w:t>American GP LLC (Principal Executive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5"/>
              </w:rPr>
              <w:t>Willie Chiang</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9"/>
        </w:trPr>
        <w:tc>
          <w:tcPr>
            <w:tcW w:w="2880" w:type="dxa"/>
            <w:vAlign w:val="bottom"/>
          </w:tcPr>
          <w:p>
            <w:pPr>
              <w:jc w:val="center"/>
              <w:spacing w:after="0"/>
              <w:rPr>
                <w:sz w:val="20"/>
                <w:szCs w:val="20"/>
                <w:color w:val="auto"/>
              </w:rPr>
            </w:pPr>
            <w:r>
              <w:rPr>
                <w:rFonts w:ascii="Arial" w:cs="Arial" w:eastAsia="Arial" w:hAnsi="Arial"/>
                <w:sz w:val="18"/>
                <w:szCs w:val="18"/>
                <w:color w:val="auto"/>
                <w:w w:val="92"/>
              </w:rPr>
              <w:t>/s/ Harry N. Pefanis</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 and President and Chief Commercial Officer of</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Arial" w:cs="Arial" w:eastAsia="Arial" w:hAnsi="Arial"/>
                <w:sz w:val="18"/>
                <w:szCs w:val="18"/>
                <w:color w:val="auto"/>
              </w:rPr>
              <w:t>Plains All American GP LLC</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0"/>
              </w:rPr>
              <w:t>Harry N. Pefanis</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9"/>
        </w:trPr>
        <w:tc>
          <w:tcPr>
            <w:tcW w:w="2880" w:type="dxa"/>
            <w:vAlign w:val="bottom"/>
          </w:tcPr>
          <w:p>
            <w:pPr>
              <w:jc w:val="center"/>
              <w:spacing w:after="0"/>
              <w:rPr>
                <w:sz w:val="20"/>
                <w:szCs w:val="20"/>
                <w:color w:val="auto"/>
              </w:rPr>
            </w:pPr>
            <w:r>
              <w:rPr>
                <w:rFonts w:ascii="Arial" w:cs="Arial" w:eastAsia="Arial" w:hAnsi="Arial"/>
                <w:sz w:val="18"/>
                <w:szCs w:val="18"/>
                <w:color w:val="auto"/>
                <w:w w:val="90"/>
              </w:rPr>
              <w:t>/s/ Al Swanson</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w w:val="98"/>
              </w:rPr>
              <w:t>Executive Vice President and Chief Financial Officer of Plains All American GP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2"/>
              </w:rPr>
              <w:t>Al Swanson</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9"/>
        </w:trPr>
        <w:tc>
          <w:tcPr>
            <w:tcW w:w="288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w w:val="99"/>
              </w:rPr>
              <w:t>Senior Vice President and Chief Accounting Officer of Plains All American GP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Accounting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4"/>
              </w:rPr>
              <w:t>Chris Herbold</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2880" w:type="dxa"/>
            <w:vAlign w:val="bottom"/>
          </w:tcPr>
          <w:p>
            <w:pPr>
              <w:jc w:val="center"/>
              <w:spacing w:after="0"/>
              <w:rPr>
                <w:sz w:val="20"/>
                <w:szCs w:val="20"/>
                <w:color w:val="auto"/>
              </w:rPr>
            </w:pPr>
            <w:r>
              <w:rPr>
                <w:rFonts w:ascii="Arial" w:cs="Arial" w:eastAsia="Arial" w:hAnsi="Arial"/>
                <w:sz w:val="18"/>
                <w:szCs w:val="18"/>
                <w:color w:val="auto"/>
                <w:w w:val="92"/>
              </w:rPr>
              <w:t>/s/ Greg L. Armstrong</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Chairman of the Board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4"/>
              </w:rPr>
              <w:t>Greg L. Armstrong</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880" w:type="dxa"/>
            <w:vAlign w:val="bottom"/>
          </w:tcPr>
          <w:p>
            <w:pPr>
              <w:jc w:val="center"/>
              <w:spacing w:after="0"/>
              <w:rPr>
                <w:sz w:val="20"/>
                <w:szCs w:val="20"/>
                <w:color w:val="auto"/>
              </w:rPr>
            </w:pPr>
            <w:r>
              <w:rPr>
                <w:rFonts w:ascii="Arial" w:cs="Arial" w:eastAsia="Arial" w:hAnsi="Arial"/>
                <w:sz w:val="18"/>
                <w:szCs w:val="18"/>
                <w:color w:val="auto"/>
                <w:w w:val="93"/>
              </w:rPr>
              <w:t>/s/ Oscar K. Brown</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1"/>
              </w:rPr>
              <w:t>Oscar K. Brown</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880" w:type="dxa"/>
            <w:vAlign w:val="bottom"/>
          </w:tcPr>
          <w:p>
            <w:pPr>
              <w:jc w:val="center"/>
              <w:spacing w:after="0"/>
              <w:rPr>
                <w:sz w:val="20"/>
                <w:szCs w:val="20"/>
                <w:color w:val="auto"/>
              </w:rPr>
            </w:pPr>
            <w:r>
              <w:rPr>
                <w:rFonts w:ascii="Arial" w:cs="Arial" w:eastAsia="Arial" w:hAnsi="Arial"/>
                <w:sz w:val="18"/>
                <w:szCs w:val="18"/>
                <w:color w:val="auto"/>
                <w:w w:val="96"/>
              </w:rPr>
              <w:t>/s/ Victor Burk</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5"/>
              </w:rPr>
              <w:t>Victor Burk</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880" w:type="dxa"/>
            <w:vAlign w:val="bottom"/>
          </w:tcPr>
          <w:p>
            <w:pPr>
              <w:jc w:val="center"/>
              <w:spacing w:after="0"/>
              <w:rPr>
                <w:sz w:val="20"/>
                <w:szCs w:val="20"/>
                <w:color w:val="auto"/>
              </w:rPr>
            </w:pPr>
            <w:r>
              <w:rPr>
                <w:rFonts w:ascii="Arial" w:cs="Arial" w:eastAsia="Arial" w:hAnsi="Arial"/>
                <w:sz w:val="18"/>
                <w:szCs w:val="18"/>
                <w:color w:val="auto"/>
                <w:w w:val="89"/>
              </w:rPr>
              <w:t>/s/ Everardo Goyanes</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87"/>
              </w:rPr>
              <w:t>Everardo Goyanes</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880" w:type="dxa"/>
            <w:vAlign w:val="bottom"/>
          </w:tcPr>
          <w:p>
            <w:pPr>
              <w:jc w:val="center"/>
              <w:spacing w:after="0"/>
              <w:rPr>
                <w:sz w:val="20"/>
                <w:szCs w:val="20"/>
                <w:color w:val="auto"/>
              </w:rPr>
            </w:pPr>
            <w:r>
              <w:rPr>
                <w:rFonts w:ascii="Arial" w:cs="Arial" w:eastAsia="Arial" w:hAnsi="Arial"/>
                <w:sz w:val="18"/>
                <w:szCs w:val="18"/>
                <w:color w:val="auto"/>
                <w:w w:val="88"/>
              </w:rPr>
              <w:t>/s/ Gary R. Petersen</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89"/>
              </w:rPr>
              <w:t>Gary R. Petersen</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880" w:type="dxa"/>
            <w:vAlign w:val="bottom"/>
          </w:tcPr>
          <w:p>
            <w:pPr>
              <w:jc w:val="center"/>
              <w:spacing w:after="0"/>
              <w:rPr>
                <w:sz w:val="20"/>
                <w:szCs w:val="20"/>
                <w:color w:val="auto"/>
              </w:rPr>
            </w:pPr>
            <w:r>
              <w:rPr>
                <w:rFonts w:ascii="Arial" w:cs="Arial" w:eastAsia="Arial" w:hAnsi="Arial"/>
                <w:sz w:val="18"/>
                <w:szCs w:val="18"/>
                <w:color w:val="auto"/>
                <w:w w:val="91"/>
              </w:rPr>
              <w:t>/s/ Alexandra D. Pruner</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0"/>
              </w:rPr>
              <w:t>Alexandra D. Pruner</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880" w:type="dxa"/>
            <w:vAlign w:val="bottom"/>
          </w:tcPr>
          <w:p>
            <w:pPr>
              <w:jc w:val="center"/>
              <w:spacing w:after="0"/>
              <w:rPr>
                <w:sz w:val="20"/>
                <w:szCs w:val="20"/>
                <w:color w:val="auto"/>
              </w:rPr>
            </w:pPr>
            <w:r>
              <w:rPr>
                <w:rFonts w:ascii="Arial" w:cs="Arial" w:eastAsia="Arial" w:hAnsi="Arial"/>
                <w:sz w:val="18"/>
                <w:szCs w:val="18"/>
                <w:color w:val="auto"/>
                <w:w w:val="89"/>
              </w:rPr>
              <w:t>/s/ John T. Raymond</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0"/>
              </w:rPr>
              <w:t>John T. Raymond</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880" w:type="dxa"/>
            <w:vAlign w:val="bottom"/>
          </w:tcPr>
          <w:p>
            <w:pPr>
              <w:jc w:val="center"/>
              <w:spacing w:after="0"/>
              <w:rPr>
                <w:sz w:val="20"/>
                <w:szCs w:val="20"/>
                <w:color w:val="auto"/>
              </w:rPr>
            </w:pPr>
            <w:r>
              <w:rPr>
                <w:rFonts w:ascii="Arial" w:cs="Arial" w:eastAsia="Arial" w:hAnsi="Arial"/>
                <w:sz w:val="18"/>
                <w:szCs w:val="18"/>
                <w:color w:val="auto"/>
                <w:w w:val="90"/>
              </w:rPr>
              <w:t>/s/ Bobby S. Shackouls</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89"/>
              </w:rPr>
              <w:t>Bobby S. Shackouls</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880" w:type="dxa"/>
            <w:vAlign w:val="bottom"/>
          </w:tcPr>
          <w:p>
            <w:pPr>
              <w:jc w:val="center"/>
              <w:spacing w:after="0"/>
              <w:rPr>
                <w:sz w:val="20"/>
                <w:szCs w:val="20"/>
                <w:color w:val="auto"/>
              </w:rPr>
            </w:pPr>
            <w:r>
              <w:rPr>
                <w:rFonts w:ascii="Arial" w:cs="Arial" w:eastAsia="Arial" w:hAnsi="Arial"/>
                <w:sz w:val="18"/>
                <w:szCs w:val="18"/>
                <w:color w:val="auto"/>
                <w:w w:val="91"/>
              </w:rPr>
              <w:t>/s/ Robert V. Sinnott</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0"/>
              </w:rPr>
              <w:t>Robert V. Sinnott</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880" w:type="dxa"/>
            <w:vAlign w:val="bottom"/>
          </w:tcPr>
          <w:p>
            <w:pPr>
              <w:jc w:val="center"/>
              <w:spacing w:after="0"/>
              <w:rPr>
                <w:sz w:val="20"/>
                <w:szCs w:val="20"/>
                <w:color w:val="auto"/>
              </w:rPr>
            </w:pPr>
            <w:r>
              <w:rPr>
                <w:rFonts w:ascii="Arial" w:cs="Arial" w:eastAsia="Arial" w:hAnsi="Arial"/>
                <w:sz w:val="18"/>
                <w:szCs w:val="18"/>
                <w:color w:val="auto"/>
                <w:w w:val="88"/>
              </w:rPr>
              <w:t>/s/ J. Taft Symonds</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89"/>
              </w:rPr>
              <w:t>J. Taft Symonds</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880" w:type="dxa"/>
            <w:vAlign w:val="bottom"/>
          </w:tcPr>
          <w:p>
            <w:pPr>
              <w:jc w:val="center"/>
              <w:spacing w:after="0"/>
              <w:rPr>
                <w:sz w:val="20"/>
                <w:szCs w:val="20"/>
                <w:color w:val="auto"/>
              </w:rPr>
            </w:pPr>
            <w:r>
              <w:rPr>
                <w:rFonts w:ascii="Arial" w:cs="Arial" w:eastAsia="Arial" w:hAnsi="Arial"/>
                <w:sz w:val="18"/>
                <w:szCs w:val="18"/>
                <w:color w:val="auto"/>
                <w:w w:val="90"/>
              </w:rPr>
              <w:t>/s/ Christopher M. Temple</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1"/>
              </w:rPr>
              <w:t>Christopher M. Temple</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20"/>
          </w:cols>
          <w:pgMar w:left="240" w:top="125" w:right="23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30"/>
        </w:trPr>
        <w:tc>
          <w:tcPr>
            <w:tcW w:w="10480" w:type="dxa"/>
            <w:vAlign w:val="bottom"/>
            <w:gridSpan w:val="34"/>
          </w:tcPr>
          <w:p>
            <w:pPr>
              <w:spacing w:after="0"/>
              <w:rPr>
                <w:sz w:val="20"/>
                <w:szCs w:val="20"/>
                <w:color w:val="auto"/>
              </w:rPr>
            </w:pPr>
            <w:r>
              <w:rPr>
                <w:rFonts w:ascii="Arial" w:cs="Arial" w:eastAsia="Arial" w:hAnsi="Arial"/>
                <w:sz w:val="18"/>
                <w:szCs w:val="18"/>
                <w:color w:val="auto"/>
              </w:rPr>
              <w:t>Consolidated Financial Statements</w:t>
            </w:r>
          </w:p>
        </w:tc>
        <w:tc>
          <w:tcPr>
            <w:tcW w:w="900" w:type="dxa"/>
            <w:vAlign w:val="bottom"/>
          </w:tcPr>
          <w:p>
            <w:pPr>
              <w:spacing w:after="0"/>
              <w:rPr>
                <w:sz w:val="19"/>
                <w:szCs w:val="19"/>
                <w:color w:val="auto"/>
              </w:rPr>
            </w:pPr>
          </w:p>
        </w:tc>
      </w:tr>
      <w:tr>
        <w:trPr>
          <w:trHeight w:val="243"/>
        </w:trPr>
        <w:tc>
          <w:tcPr>
            <w:tcW w:w="4900" w:type="dxa"/>
            <w:vAlign w:val="bottom"/>
            <w:tcBorders>
              <w:bottom w:val="single" w:sz="8" w:color="0000EE"/>
            </w:tcBorders>
            <w:gridSpan w:val="28"/>
          </w:tcPr>
          <w:p>
            <w:pPr>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Management’s Report on Internal Control Over Financial Reporting</w:t>
              </w:r>
            </w:hyperlink>
          </w:p>
        </w:tc>
        <w:tc>
          <w:tcPr>
            <w:tcW w:w="5580" w:type="dxa"/>
            <w:vAlign w:val="bottom"/>
            <w:gridSpan w:val="6"/>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23">
              <w:r>
                <w:rPr>
                  <w:rFonts w:ascii="Arial" w:cs="Arial" w:eastAsia="Arial" w:hAnsi="Arial"/>
                  <w:sz w:val="18"/>
                  <w:szCs w:val="18"/>
                  <w:color w:val="0000EE"/>
                </w:rPr>
                <w:t>F-2</w:t>
              </w:r>
            </w:hyperlink>
          </w:p>
        </w:tc>
      </w:tr>
      <w:tr>
        <w:trPr>
          <w:trHeight w:val="250"/>
        </w:trPr>
        <w:tc>
          <w:tcPr>
            <w:tcW w:w="422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124">
              <w:r>
                <w:rPr>
                  <w:rFonts w:ascii="Arial" w:cs="Arial" w:eastAsia="Arial" w:hAnsi="Arial"/>
                  <w:sz w:val="18"/>
                  <w:szCs w:val="18"/>
                  <w:color w:val="0000EE"/>
                  <w:w w:val="91"/>
                </w:rPr>
                <w:t>Report of Independent Registered Public Accounting Firm</w:t>
              </w:r>
            </w:hyperlink>
          </w:p>
        </w:tc>
        <w:tc>
          <w:tcPr>
            <w:tcW w:w="6260" w:type="dxa"/>
            <w:vAlign w:val="bottom"/>
            <w:gridSpan w:val="10"/>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24">
              <w:r>
                <w:rPr>
                  <w:rFonts w:ascii="Arial" w:cs="Arial" w:eastAsia="Arial" w:hAnsi="Arial"/>
                  <w:sz w:val="18"/>
                  <w:szCs w:val="18"/>
                  <w:color w:val="0000EE"/>
                </w:rPr>
                <w:t>F-3</w:t>
              </w:r>
            </w:hyperlink>
          </w:p>
        </w:tc>
      </w:tr>
      <w:tr>
        <w:trPr>
          <w:trHeight w:val="250"/>
        </w:trPr>
        <w:tc>
          <w:tcPr>
            <w:tcW w:w="10480" w:type="dxa"/>
            <w:vAlign w:val="bottom"/>
            <w:gridSpan w:val="34"/>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Consolidated Balance Sheets as of December 31, 2018 and 2017</w:t>
              </w:r>
            </w:hyperlink>
          </w:p>
        </w:tc>
        <w:tc>
          <w:tcPr>
            <w:tcW w:w="900" w:type="dxa"/>
            <w:vAlign w:val="bottom"/>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F-4</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80" w:type="dxa"/>
            <w:vAlign w:val="bottom"/>
            <w:gridSpan w:val="34"/>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Consolidated Statements of Operations for the years ended December 31, 2018, 2017 and 2016</w:t>
              </w:r>
            </w:hyperlink>
          </w:p>
        </w:tc>
        <w:tc>
          <w:tcPr>
            <w:tcW w:w="900" w:type="dxa"/>
            <w:vAlign w:val="bottom"/>
          </w:tcPr>
          <w:p>
            <w:pPr>
              <w:jc w:val="right"/>
              <w:spacing w:after="0"/>
              <w:rPr>
                <w:rFonts w:ascii="Arial" w:cs="Arial" w:eastAsia="Arial" w:hAnsi="Arial"/>
                <w:sz w:val="18"/>
                <w:szCs w:val="18"/>
                <w:color w:val="0000EE"/>
              </w:rPr>
            </w:pPr>
            <w:hyperlink w:anchor="page126">
              <w:r>
                <w:rPr>
                  <w:rFonts w:ascii="Arial" w:cs="Arial" w:eastAsia="Arial" w:hAnsi="Arial"/>
                  <w:sz w:val="18"/>
                  <w:szCs w:val="18"/>
                  <w:color w:val="0000EE"/>
                </w:rPr>
                <w:t>F-5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7780" w:type="dxa"/>
            <w:vAlign w:val="bottom"/>
            <w:tcBorders>
              <w:bottom w:val="single" w:sz="8" w:color="0000EE"/>
            </w:tcBorders>
            <w:gridSpan w:val="31"/>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Consolidated Statements of Comprehensive Income for the years ended December 31, 2018, 2017 and 2016</w:t>
              </w:r>
            </w:hyperlink>
          </w:p>
        </w:tc>
        <w:tc>
          <w:tcPr>
            <w:tcW w:w="2700" w:type="dxa"/>
            <w:vAlign w:val="bottom"/>
            <w:gridSpan w:val="3"/>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F-6</w:t>
              </w:r>
            </w:hyperlink>
          </w:p>
        </w:tc>
      </w:tr>
      <w:tr>
        <w:trPr>
          <w:trHeight w:val="250"/>
        </w:trPr>
        <w:tc>
          <w:tcPr>
            <w:tcW w:w="10480" w:type="dxa"/>
            <w:vAlign w:val="bottom"/>
            <w:gridSpan w:val="34"/>
          </w:tcPr>
          <w:p>
            <w:pPr>
              <w:spacing w:after="0"/>
              <w:rPr>
                <w:rFonts w:ascii="Arial" w:cs="Arial" w:eastAsia="Arial" w:hAnsi="Arial"/>
                <w:sz w:val="18"/>
                <w:szCs w:val="18"/>
                <w:color w:val="0000EE"/>
                <w:w w:val="92"/>
              </w:rPr>
            </w:pPr>
            <w:hyperlink w:anchor="page127">
              <w:r>
                <w:rPr>
                  <w:rFonts w:ascii="Arial" w:cs="Arial" w:eastAsia="Arial" w:hAnsi="Arial"/>
                  <w:sz w:val="18"/>
                  <w:szCs w:val="18"/>
                  <w:color w:val="0000EE"/>
                  <w:w w:val="92"/>
                </w:rPr>
                <w:t>Consolidated Statements of Changes in Accumulated Other Comprehensive Income/(Loss) for the years ended December 31, 2018, 2017 and</w:t>
              </w:r>
            </w:hyperlink>
          </w:p>
        </w:tc>
        <w:tc>
          <w:tcPr>
            <w:tcW w:w="900" w:type="dxa"/>
            <w:vAlign w:val="bottom"/>
          </w:tcPr>
          <w:p>
            <w:pPr>
              <w:spacing w:after="0"/>
              <w:rPr>
                <w:sz w:val="21"/>
                <w:szCs w:val="21"/>
                <w:color w:val="auto"/>
              </w:rPr>
            </w:pPr>
          </w:p>
        </w:tc>
      </w:tr>
      <w:tr>
        <w:trPr>
          <w:trHeight w:val="196"/>
        </w:trPr>
        <w:tc>
          <w:tcPr>
            <w:tcW w:w="520" w:type="dxa"/>
            <w:vAlign w:val="bottom"/>
            <w:tcBorders>
              <w:top w:val="single" w:sz="8" w:color="0000EE"/>
            </w:tcBorders>
            <w:gridSpan w:val="5"/>
          </w:tcPr>
          <w:p>
            <w:pPr>
              <w:ind w:left="160"/>
              <w:spacing w:after="0" w:line="196" w:lineRule="exact"/>
              <w:rPr>
                <w:rFonts w:ascii="Arial" w:cs="Arial" w:eastAsia="Arial" w:hAnsi="Arial"/>
                <w:sz w:val="18"/>
                <w:szCs w:val="18"/>
                <w:color w:val="0000EE"/>
                <w:w w:val="84"/>
              </w:rPr>
            </w:pPr>
            <w:hyperlink w:anchor="page127">
              <w:r>
                <w:rPr>
                  <w:rFonts w:ascii="Arial" w:cs="Arial" w:eastAsia="Arial" w:hAnsi="Arial"/>
                  <w:sz w:val="18"/>
                  <w:szCs w:val="18"/>
                  <w:color w:val="0000EE"/>
                  <w:w w:val="84"/>
                </w:rPr>
                <w:t>2016</w:t>
              </w:r>
            </w:hyperlink>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F-6</w:t>
              </w:r>
            </w:hyperlink>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80" w:type="dxa"/>
            <w:vAlign w:val="bottom"/>
            <w:gridSpan w:val="34"/>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Consolidated Statements of Cash Flows for the years ended December 31, 2018, 2017 and 2016</w:t>
              </w:r>
            </w:hyperlink>
          </w:p>
        </w:tc>
        <w:tc>
          <w:tcPr>
            <w:tcW w:w="900" w:type="dxa"/>
            <w:vAlign w:val="bottom"/>
          </w:tcPr>
          <w:p>
            <w:pPr>
              <w:jc w:val="right"/>
              <w:spacing w:after="0"/>
              <w:rPr>
                <w:rFonts w:ascii="Arial" w:cs="Arial" w:eastAsia="Arial" w:hAnsi="Arial"/>
                <w:sz w:val="18"/>
                <w:szCs w:val="18"/>
                <w:color w:val="0000EE"/>
              </w:rPr>
            </w:pPr>
            <w:hyperlink w:anchor="page128">
              <w:r>
                <w:rPr>
                  <w:rFonts w:ascii="Arial" w:cs="Arial" w:eastAsia="Arial" w:hAnsi="Arial"/>
                  <w:sz w:val="18"/>
                  <w:szCs w:val="18"/>
                  <w:color w:val="0000EE"/>
                </w:rPr>
                <w:t>F-7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80" w:type="dxa"/>
            <w:vAlign w:val="bottom"/>
            <w:gridSpan w:val="34"/>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Consolidated Statements of Changes in Partners’ Capital for the years ended December 31, 2018, 2017 and 2016</w:t>
              </w:r>
            </w:hyperlink>
          </w:p>
        </w:tc>
        <w:tc>
          <w:tcPr>
            <w:tcW w:w="900" w:type="dxa"/>
            <w:vAlign w:val="bottom"/>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F-8</w:t>
              </w:r>
            </w:hyperlink>
          </w:p>
        </w:tc>
      </w:tr>
      <w:tr>
        <w:trPr>
          <w:trHeight w:val="250"/>
        </w:trPr>
        <w:tc>
          <w:tcPr>
            <w:tcW w:w="346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Notes to the Consolidated Financial Statements:</w:t>
              </w:r>
            </w:hyperlink>
          </w:p>
        </w:tc>
        <w:tc>
          <w:tcPr>
            <w:tcW w:w="4660" w:type="dxa"/>
            <w:vAlign w:val="bottom"/>
            <w:tcBorders>
              <w:top w:val="single" w:sz="8" w:color="0000EE"/>
            </w:tcBorders>
            <w:gridSpan w:val="12"/>
          </w:tcPr>
          <w:p>
            <w:pPr>
              <w:spacing w:after="0"/>
              <w:rPr>
                <w:sz w:val="21"/>
                <w:szCs w:val="21"/>
                <w:color w:val="auto"/>
              </w:rPr>
            </w:pPr>
          </w:p>
        </w:tc>
        <w:tc>
          <w:tcPr>
            <w:tcW w:w="2360" w:type="dxa"/>
            <w:vAlign w:val="bottom"/>
            <w:gridSpan w:val="2"/>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31">
              <w:r>
                <w:rPr>
                  <w:rFonts w:ascii="Arial" w:cs="Arial" w:eastAsia="Arial" w:hAnsi="Arial"/>
                  <w:sz w:val="18"/>
                  <w:szCs w:val="18"/>
                  <w:color w:val="0000EE"/>
                </w:rPr>
                <w:t>F-9</w:t>
              </w:r>
            </w:hyperlink>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31">
              <w:r>
                <w:rPr>
                  <w:rFonts w:ascii="Arial" w:cs="Arial" w:eastAsia="Arial" w:hAnsi="Arial"/>
                  <w:sz w:val="18"/>
                  <w:szCs w:val="18"/>
                  <w:color w:val="0000EE"/>
                  <w:w w:val="79"/>
                </w:rPr>
                <w:t>1.</w:t>
              </w:r>
            </w:hyperlink>
          </w:p>
        </w:tc>
        <w:tc>
          <w:tcPr>
            <w:tcW w:w="10200" w:type="dxa"/>
            <w:vAlign w:val="bottom"/>
            <w:gridSpan w:val="31"/>
          </w:tcPr>
          <w:p>
            <w:pPr>
              <w:ind w:left="40"/>
              <w:spacing w:after="0"/>
              <w:rPr>
                <w:rFonts w:ascii="Arial" w:cs="Arial" w:eastAsia="Arial" w:hAnsi="Arial"/>
                <w:sz w:val="18"/>
                <w:szCs w:val="18"/>
                <w:color w:val="0000EE"/>
              </w:rPr>
            </w:pPr>
            <w:hyperlink w:anchor="page131">
              <w:r>
                <w:rPr>
                  <w:rFonts w:ascii="Arial" w:cs="Arial" w:eastAsia="Arial" w:hAnsi="Arial"/>
                  <w:sz w:val="18"/>
                  <w:szCs w:val="18"/>
                  <w:color w:val="0000EE"/>
                </w:rPr>
                <w:t>Organization and Basis of Consolidation and Presentation</w:t>
              </w:r>
            </w:hyperlink>
          </w:p>
        </w:tc>
        <w:tc>
          <w:tcPr>
            <w:tcW w:w="900" w:type="dxa"/>
            <w:vAlign w:val="bottom"/>
          </w:tcPr>
          <w:p>
            <w:pPr>
              <w:jc w:val="right"/>
              <w:spacing w:after="0"/>
              <w:rPr>
                <w:rFonts w:ascii="Arial" w:cs="Arial" w:eastAsia="Arial" w:hAnsi="Arial"/>
                <w:sz w:val="18"/>
                <w:szCs w:val="18"/>
                <w:color w:val="0000EE"/>
              </w:rPr>
            </w:pPr>
            <w:hyperlink w:anchor="page131">
              <w:r>
                <w:rPr>
                  <w:rFonts w:ascii="Arial" w:cs="Arial" w:eastAsia="Arial" w:hAnsi="Arial"/>
                  <w:sz w:val="18"/>
                  <w:szCs w:val="18"/>
                  <w:color w:val="0000EE"/>
                </w:rPr>
                <w:t>F-9</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2.</w:t>
              </w:r>
            </w:hyperlink>
          </w:p>
        </w:tc>
        <w:tc>
          <w:tcPr>
            <w:tcW w:w="10200" w:type="dxa"/>
            <w:vAlign w:val="bottom"/>
            <w:gridSpan w:val="31"/>
          </w:tcPr>
          <w:p>
            <w:pPr>
              <w:ind w:left="40"/>
              <w:spacing w:after="0"/>
              <w:rPr>
                <w:rFonts w:ascii="Arial" w:cs="Arial" w:eastAsia="Arial" w:hAnsi="Arial"/>
                <w:sz w:val="18"/>
                <w:szCs w:val="18"/>
                <w:color w:val="0000EE"/>
              </w:rPr>
            </w:pPr>
            <w:hyperlink w:anchor="page133">
              <w:r>
                <w:rPr>
                  <w:rFonts w:ascii="Arial" w:cs="Arial" w:eastAsia="Arial" w:hAnsi="Arial"/>
                  <w:sz w:val="18"/>
                  <w:szCs w:val="18"/>
                  <w:color w:val="0000EE"/>
                </w:rPr>
                <w:t>Summary of Significant Accounting Policies</w:t>
              </w:r>
            </w:hyperlink>
          </w:p>
        </w:tc>
        <w:tc>
          <w:tcPr>
            <w:tcW w:w="900" w:type="dxa"/>
            <w:vAlign w:val="bottom"/>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F-11</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37">
              <w:r>
                <w:rPr>
                  <w:rFonts w:ascii="Arial" w:cs="Arial" w:eastAsia="Arial" w:hAnsi="Arial"/>
                  <w:sz w:val="18"/>
                  <w:szCs w:val="18"/>
                  <w:color w:val="0000EE"/>
                  <w:w w:val="79"/>
                </w:rPr>
                <w:t>3.</w:t>
              </w:r>
            </w:hyperlink>
          </w:p>
        </w:tc>
        <w:tc>
          <w:tcPr>
            <w:tcW w:w="10200" w:type="dxa"/>
            <w:vAlign w:val="bottom"/>
            <w:gridSpan w:val="31"/>
          </w:tcPr>
          <w:p>
            <w:pPr>
              <w:ind w:left="40"/>
              <w:spacing w:after="0"/>
              <w:rPr>
                <w:rFonts w:ascii="Arial" w:cs="Arial" w:eastAsia="Arial" w:hAnsi="Arial"/>
                <w:sz w:val="18"/>
                <w:szCs w:val="18"/>
                <w:color w:val="0000EE"/>
              </w:rPr>
            </w:pPr>
            <w:hyperlink w:anchor="page137">
              <w:r>
                <w:rPr>
                  <w:rFonts w:ascii="Arial" w:cs="Arial" w:eastAsia="Arial" w:hAnsi="Arial"/>
                  <w:sz w:val="18"/>
                  <w:szCs w:val="18"/>
                  <w:color w:val="0000EE"/>
                </w:rPr>
                <w:t>Revenues and Accounts Receivable</w:t>
              </w:r>
            </w:hyperlink>
          </w:p>
        </w:tc>
        <w:tc>
          <w:tcPr>
            <w:tcW w:w="900" w:type="dxa"/>
            <w:vAlign w:val="bottom"/>
          </w:tcPr>
          <w:p>
            <w:pPr>
              <w:jc w:val="right"/>
              <w:spacing w:after="0"/>
              <w:rPr>
                <w:rFonts w:ascii="Arial" w:cs="Arial" w:eastAsia="Arial" w:hAnsi="Arial"/>
                <w:sz w:val="18"/>
                <w:szCs w:val="18"/>
                <w:color w:val="0000EE"/>
              </w:rPr>
            </w:pPr>
            <w:hyperlink w:anchor="page137">
              <w:r>
                <w:rPr>
                  <w:rFonts w:ascii="Arial" w:cs="Arial" w:eastAsia="Arial" w:hAnsi="Arial"/>
                  <w:sz w:val="18"/>
                  <w:szCs w:val="18"/>
                  <w:color w:val="0000EE"/>
                </w:rPr>
                <w:t>F-15</w:t>
              </w:r>
            </w:hyperlink>
          </w:p>
        </w:tc>
      </w:tr>
      <w:tr>
        <w:trPr>
          <w:trHeight w:val="250"/>
        </w:trPr>
        <w:tc>
          <w:tcPr>
            <w:tcW w:w="140" w:type="dxa"/>
            <w:vAlign w:val="bottom"/>
          </w:tcPr>
          <w:p>
            <w:pPr>
              <w:spacing w:after="0"/>
              <w:rPr>
                <w:sz w:val="21"/>
                <w:szCs w:val="21"/>
                <w:color w:val="auto"/>
              </w:rPr>
            </w:pPr>
          </w:p>
        </w:tc>
        <w:tc>
          <w:tcPr>
            <w:tcW w:w="2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4. Net Income Per Common Unit</w:t>
              </w:r>
            </w:hyperlink>
          </w:p>
        </w:tc>
        <w:tc>
          <w:tcPr>
            <w:tcW w:w="360" w:type="dxa"/>
            <w:vAlign w:val="bottom"/>
            <w:tcBorders>
              <w:top w:val="single" w:sz="8" w:color="0000EE"/>
            </w:tcBorders>
            <w:gridSpan w:val="3"/>
          </w:tcPr>
          <w:p>
            <w:pPr>
              <w:spacing w:after="0"/>
              <w:rPr>
                <w:sz w:val="21"/>
                <w:szCs w:val="21"/>
                <w:color w:val="auto"/>
              </w:rPr>
            </w:pPr>
          </w:p>
        </w:tc>
        <w:tc>
          <w:tcPr>
            <w:tcW w:w="7600" w:type="dxa"/>
            <w:vAlign w:val="bottom"/>
            <w:gridSpan w:val="18"/>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42">
              <w:r>
                <w:rPr>
                  <w:rFonts w:ascii="Arial" w:cs="Arial" w:eastAsia="Arial" w:hAnsi="Arial"/>
                  <w:sz w:val="18"/>
                  <w:szCs w:val="18"/>
                  <w:color w:val="0000EE"/>
                </w:rPr>
                <w:t>F-20</w:t>
              </w:r>
            </w:hyperlink>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4">
              <w:r>
                <w:rPr>
                  <w:rFonts w:ascii="Arial" w:cs="Arial" w:eastAsia="Arial" w:hAnsi="Arial"/>
                  <w:sz w:val="18"/>
                  <w:szCs w:val="18"/>
                  <w:color w:val="0000EE"/>
                  <w:w w:val="79"/>
                </w:rPr>
                <w:t>5.</w:t>
              </w:r>
            </w:hyperlink>
          </w:p>
        </w:tc>
        <w:tc>
          <w:tcPr>
            <w:tcW w:w="10200" w:type="dxa"/>
            <w:vAlign w:val="bottom"/>
            <w:gridSpan w:val="31"/>
          </w:tcPr>
          <w:p>
            <w:pPr>
              <w:ind w:left="40"/>
              <w:spacing w:after="0"/>
              <w:rPr>
                <w:rFonts w:ascii="Arial" w:cs="Arial" w:eastAsia="Arial" w:hAnsi="Arial"/>
                <w:sz w:val="18"/>
                <w:szCs w:val="18"/>
                <w:color w:val="0000EE"/>
              </w:rPr>
            </w:pPr>
            <w:hyperlink w:anchor="page144">
              <w:r>
                <w:rPr>
                  <w:rFonts w:ascii="Arial" w:cs="Arial" w:eastAsia="Arial" w:hAnsi="Arial"/>
                  <w:sz w:val="18"/>
                  <w:szCs w:val="18"/>
                  <w:color w:val="0000EE"/>
                </w:rPr>
                <w:t>Inventory, Linefill and Base Gas and Long-term Inventory</w:t>
              </w:r>
            </w:hyperlink>
          </w:p>
        </w:tc>
        <w:tc>
          <w:tcPr>
            <w:tcW w:w="900" w:type="dxa"/>
            <w:vAlign w:val="bottom"/>
          </w:tcPr>
          <w:p>
            <w:pPr>
              <w:jc w:val="right"/>
              <w:spacing w:after="0"/>
              <w:rPr>
                <w:rFonts w:ascii="Arial" w:cs="Arial" w:eastAsia="Arial" w:hAnsi="Arial"/>
                <w:sz w:val="18"/>
                <w:szCs w:val="18"/>
                <w:color w:val="0000EE"/>
              </w:rPr>
            </w:pPr>
            <w:hyperlink w:anchor="page144">
              <w:r>
                <w:rPr>
                  <w:rFonts w:ascii="Arial" w:cs="Arial" w:eastAsia="Arial" w:hAnsi="Arial"/>
                  <w:sz w:val="18"/>
                  <w:szCs w:val="18"/>
                  <w:color w:val="0000EE"/>
                </w:rPr>
                <w:t>F-22</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5">
              <w:r>
                <w:rPr>
                  <w:rFonts w:ascii="Arial" w:cs="Arial" w:eastAsia="Arial" w:hAnsi="Arial"/>
                  <w:sz w:val="18"/>
                  <w:szCs w:val="18"/>
                  <w:color w:val="0000EE"/>
                  <w:w w:val="79"/>
                </w:rPr>
                <w:t>6.</w:t>
              </w:r>
            </w:hyperlink>
          </w:p>
        </w:tc>
        <w:tc>
          <w:tcPr>
            <w:tcW w:w="10200" w:type="dxa"/>
            <w:vAlign w:val="bottom"/>
            <w:gridSpan w:val="31"/>
          </w:tcPr>
          <w:p>
            <w:pPr>
              <w:ind w:left="40"/>
              <w:spacing w:after="0"/>
              <w:rPr>
                <w:rFonts w:ascii="Arial" w:cs="Arial" w:eastAsia="Arial" w:hAnsi="Arial"/>
                <w:sz w:val="18"/>
                <w:szCs w:val="18"/>
                <w:color w:val="0000EE"/>
              </w:rPr>
            </w:pPr>
            <w:hyperlink w:anchor="page145">
              <w:r>
                <w:rPr>
                  <w:rFonts w:ascii="Arial" w:cs="Arial" w:eastAsia="Arial" w:hAnsi="Arial"/>
                  <w:sz w:val="18"/>
                  <w:szCs w:val="18"/>
                  <w:color w:val="0000EE"/>
                </w:rPr>
                <w:t>Property and Equipment</w:t>
              </w:r>
            </w:hyperlink>
          </w:p>
        </w:tc>
        <w:tc>
          <w:tcPr>
            <w:tcW w:w="900" w:type="dxa"/>
            <w:vAlign w:val="bottom"/>
          </w:tcPr>
          <w:p>
            <w:pPr>
              <w:jc w:val="right"/>
              <w:spacing w:after="0"/>
              <w:rPr>
                <w:rFonts w:ascii="Arial" w:cs="Arial" w:eastAsia="Arial" w:hAnsi="Arial"/>
                <w:sz w:val="18"/>
                <w:szCs w:val="18"/>
                <w:color w:val="0000EE"/>
              </w:rPr>
            </w:pPr>
            <w:hyperlink w:anchor="page145">
              <w:r>
                <w:rPr>
                  <w:rFonts w:ascii="Arial" w:cs="Arial" w:eastAsia="Arial" w:hAnsi="Arial"/>
                  <w:sz w:val="18"/>
                  <w:szCs w:val="18"/>
                  <w:color w:val="0000EE"/>
                </w:rPr>
                <w:t>F-23</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6">
              <w:r>
                <w:rPr>
                  <w:rFonts w:ascii="Arial" w:cs="Arial" w:eastAsia="Arial" w:hAnsi="Arial"/>
                  <w:sz w:val="18"/>
                  <w:szCs w:val="18"/>
                  <w:color w:val="0000EE"/>
                  <w:w w:val="79"/>
                </w:rPr>
                <w:t>7.</w:t>
              </w:r>
            </w:hyperlink>
          </w:p>
        </w:tc>
        <w:tc>
          <w:tcPr>
            <w:tcW w:w="10200" w:type="dxa"/>
            <w:vAlign w:val="bottom"/>
            <w:gridSpan w:val="31"/>
          </w:tcPr>
          <w:p>
            <w:pPr>
              <w:ind w:left="40"/>
              <w:spacing w:after="0"/>
              <w:rPr>
                <w:rFonts w:ascii="Arial" w:cs="Arial" w:eastAsia="Arial" w:hAnsi="Arial"/>
                <w:sz w:val="18"/>
                <w:szCs w:val="18"/>
                <w:color w:val="0000EE"/>
              </w:rPr>
            </w:pPr>
            <w:hyperlink w:anchor="page146">
              <w:r>
                <w:rPr>
                  <w:rFonts w:ascii="Arial" w:cs="Arial" w:eastAsia="Arial" w:hAnsi="Arial"/>
                  <w:sz w:val="18"/>
                  <w:szCs w:val="18"/>
                  <w:color w:val="0000EE"/>
                </w:rPr>
                <w:t>Acquisitions and Divestitures</w:t>
              </w:r>
            </w:hyperlink>
          </w:p>
        </w:tc>
        <w:tc>
          <w:tcPr>
            <w:tcW w:w="900" w:type="dxa"/>
            <w:vAlign w:val="bottom"/>
          </w:tcPr>
          <w:p>
            <w:pPr>
              <w:jc w:val="right"/>
              <w:spacing w:after="0"/>
              <w:rPr>
                <w:rFonts w:ascii="Arial" w:cs="Arial" w:eastAsia="Arial" w:hAnsi="Arial"/>
                <w:sz w:val="18"/>
                <w:szCs w:val="18"/>
                <w:color w:val="0000EE"/>
              </w:rPr>
            </w:pPr>
            <w:hyperlink w:anchor="page145">
              <w:r>
                <w:rPr>
                  <w:rFonts w:ascii="Arial" w:cs="Arial" w:eastAsia="Arial" w:hAnsi="Arial"/>
                  <w:sz w:val="18"/>
                  <w:szCs w:val="18"/>
                  <w:color w:val="0000EE"/>
                </w:rPr>
                <w:t>F-23</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8">
              <w:r>
                <w:rPr>
                  <w:rFonts w:ascii="Arial" w:cs="Arial" w:eastAsia="Arial" w:hAnsi="Arial"/>
                  <w:sz w:val="18"/>
                  <w:szCs w:val="18"/>
                  <w:color w:val="0000EE"/>
                  <w:w w:val="79"/>
                </w:rPr>
                <w:t>8.</w:t>
              </w:r>
            </w:hyperlink>
          </w:p>
        </w:tc>
        <w:tc>
          <w:tcPr>
            <w:tcW w:w="10200" w:type="dxa"/>
            <w:vAlign w:val="bottom"/>
            <w:gridSpan w:val="31"/>
          </w:tcPr>
          <w:p>
            <w:pPr>
              <w:ind w:left="40"/>
              <w:spacing w:after="0"/>
              <w:rPr>
                <w:rFonts w:ascii="Arial" w:cs="Arial" w:eastAsia="Arial" w:hAnsi="Arial"/>
                <w:sz w:val="18"/>
                <w:szCs w:val="18"/>
                <w:color w:val="0000EE"/>
              </w:rPr>
            </w:pPr>
            <w:hyperlink w:anchor="page148">
              <w:r>
                <w:rPr>
                  <w:rFonts w:ascii="Arial" w:cs="Arial" w:eastAsia="Arial" w:hAnsi="Arial"/>
                  <w:sz w:val="18"/>
                  <w:szCs w:val="18"/>
                  <w:color w:val="0000EE"/>
                </w:rPr>
                <w:t>Goodwill</w:t>
              </w:r>
            </w:hyperlink>
          </w:p>
        </w:tc>
        <w:tc>
          <w:tcPr>
            <w:tcW w:w="900" w:type="dxa"/>
            <w:vAlign w:val="bottom"/>
          </w:tcPr>
          <w:p>
            <w:pPr>
              <w:jc w:val="right"/>
              <w:spacing w:after="0"/>
              <w:rPr>
                <w:rFonts w:ascii="Arial" w:cs="Arial" w:eastAsia="Arial" w:hAnsi="Arial"/>
                <w:sz w:val="18"/>
                <w:szCs w:val="18"/>
                <w:color w:val="0000EE"/>
              </w:rPr>
            </w:pPr>
            <w:hyperlink w:anchor="page148">
              <w:r>
                <w:rPr>
                  <w:rFonts w:ascii="Arial" w:cs="Arial" w:eastAsia="Arial" w:hAnsi="Arial"/>
                  <w:sz w:val="18"/>
                  <w:szCs w:val="18"/>
                  <w:color w:val="0000EE"/>
                </w:rPr>
                <w:t>F-26</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9">
              <w:r>
                <w:rPr>
                  <w:rFonts w:ascii="Arial" w:cs="Arial" w:eastAsia="Arial" w:hAnsi="Arial"/>
                  <w:sz w:val="18"/>
                  <w:szCs w:val="18"/>
                  <w:color w:val="0000EE"/>
                  <w:w w:val="79"/>
                </w:rPr>
                <w:t>9.</w:t>
              </w:r>
            </w:hyperlink>
          </w:p>
        </w:tc>
        <w:tc>
          <w:tcPr>
            <w:tcW w:w="10200" w:type="dxa"/>
            <w:vAlign w:val="bottom"/>
            <w:gridSpan w:val="31"/>
          </w:tcPr>
          <w:p>
            <w:pPr>
              <w:ind w:left="40"/>
              <w:spacing w:after="0"/>
              <w:rPr>
                <w:rFonts w:ascii="Arial" w:cs="Arial" w:eastAsia="Arial" w:hAnsi="Arial"/>
                <w:sz w:val="18"/>
                <w:szCs w:val="18"/>
                <w:color w:val="0000EE"/>
              </w:rPr>
            </w:pPr>
            <w:hyperlink w:anchor="page149">
              <w:r>
                <w:rPr>
                  <w:rFonts w:ascii="Arial" w:cs="Arial" w:eastAsia="Arial" w:hAnsi="Arial"/>
                  <w:sz w:val="18"/>
                  <w:szCs w:val="18"/>
                  <w:color w:val="0000EE"/>
                </w:rPr>
                <w:t>Investments in Unconsolidated Entities</w:t>
              </w:r>
            </w:hyperlink>
          </w:p>
        </w:tc>
        <w:tc>
          <w:tcPr>
            <w:tcW w:w="900" w:type="dxa"/>
            <w:vAlign w:val="bottom"/>
          </w:tcPr>
          <w:p>
            <w:pPr>
              <w:jc w:val="right"/>
              <w:spacing w:after="0"/>
              <w:rPr>
                <w:rFonts w:ascii="Arial" w:cs="Arial" w:eastAsia="Arial" w:hAnsi="Arial"/>
                <w:sz w:val="18"/>
                <w:szCs w:val="18"/>
                <w:color w:val="0000EE"/>
              </w:rPr>
            </w:pPr>
            <w:hyperlink w:anchor="page149">
              <w:r>
                <w:rPr>
                  <w:rFonts w:ascii="Arial" w:cs="Arial" w:eastAsia="Arial" w:hAnsi="Arial"/>
                  <w:sz w:val="18"/>
                  <w:szCs w:val="18"/>
                  <w:color w:val="0000EE"/>
                </w:rPr>
                <w:t>F-27</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52">
              <w:r>
                <w:rPr>
                  <w:rFonts w:ascii="Arial" w:cs="Arial" w:eastAsia="Arial" w:hAnsi="Arial"/>
                  <w:sz w:val="18"/>
                  <w:szCs w:val="18"/>
                  <w:color w:val="0000EE"/>
                  <w:w w:val="87"/>
                </w:rPr>
                <w:t>10.</w:t>
              </w:r>
            </w:hyperlink>
          </w:p>
        </w:tc>
        <w:tc>
          <w:tcPr>
            <w:tcW w:w="10100" w:type="dxa"/>
            <w:vAlign w:val="bottom"/>
            <w:gridSpan w:val="30"/>
          </w:tcPr>
          <w:p>
            <w:pPr>
              <w:ind w:left="20"/>
              <w:spacing w:after="0"/>
              <w:rPr>
                <w:rFonts w:ascii="Arial" w:cs="Arial" w:eastAsia="Arial" w:hAnsi="Arial"/>
                <w:sz w:val="18"/>
                <w:szCs w:val="18"/>
                <w:color w:val="0000EE"/>
              </w:rPr>
            </w:pPr>
            <w:hyperlink w:anchor="page152">
              <w:r>
                <w:rPr>
                  <w:rFonts w:ascii="Arial" w:cs="Arial" w:eastAsia="Arial" w:hAnsi="Arial"/>
                  <w:sz w:val="18"/>
                  <w:szCs w:val="18"/>
                  <w:color w:val="0000EE"/>
                </w:rPr>
                <w:t>Other Long-Term Assets, Net</w:t>
              </w:r>
            </w:hyperlink>
          </w:p>
        </w:tc>
        <w:tc>
          <w:tcPr>
            <w:tcW w:w="900" w:type="dxa"/>
            <w:vAlign w:val="bottom"/>
          </w:tcPr>
          <w:p>
            <w:pPr>
              <w:jc w:val="right"/>
              <w:spacing w:after="0"/>
              <w:rPr>
                <w:rFonts w:ascii="Arial" w:cs="Arial" w:eastAsia="Arial" w:hAnsi="Arial"/>
                <w:sz w:val="18"/>
                <w:szCs w:val="18"/>
                <w:color w:val="0000EE"/>
              </w:rPr>
            </w:pPr>
            <w:hyperlink w:anchor="page152">
              <w:r>
                <w:rPr>
                  <w:rFonts w:ascii="Arial" w:cs="Arial" w:eastAsia="Arial" w:hAnsi="Arial"/>
                  <w:sz w:val="18"/>
                  <w:szCs w:val="18"/>
                  <w:color w:val="0000EE"/>
                </w:rPr>
                <w:t>F-30</w:t>
              </w:r>
            </w:hyperlink>
          </w:p>
        </w:tc>
      </w:tr>
      <w:tr>
        <w:trPr>
          <w:trHeight w:val="250"/>
        </w:trPr>
        <w:tc>
          <w:tcPr>
            <w:tcW w:w="140" w:type="dxa"/>
            <w:vAlign w:val="bottom"/>
          </w:tcPr>
          <w:p>
            <w:pPr>
              <w:spacing w:after="0"/>
              <w:rPr>
                <w:sz w:val="21"/>
                <w:szCs w:val="21"/>
                <w:color w:val="auto"/>
              </w:rPr>
            </w:pPr>
          </w:p>
        </w:tc>
        <w:tc>
          <w:tcPr>
            <w:tcW w:w="2400" w:type="dxa"/>
            <w:vAlign w:val="bottom"/>
            <w:tcBorders>
              <w:top w:val="single" w:sz="8" w:color="0000EE"/>
            </w:tcBorders>
            <w:gridSpan w:val="13"/>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11. Debt</w:t>
              </w:r>
            </w:hyperlink>
          </w:p>
        </w:tc>
        <w:tc>
          <w:tcPr>
            <w:tcW w:w="7940" w:type="dxa"/>
            <w:vAlign w:val="bottom"/>
            <w:gridSpan w:val="20"/>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53">
              <w:r>
                <w:rPr>
                  <w:rFonts w:ascii="Arial" w:cs="Arial" w:eastAsia="Arial" w:hAnsi="Arial"/>
                  <w:sz w:val="18"/>
                  <w:szCs w:val="18"/>
                  <w:color w:val="0000EE"/>
                </w:rPr>
                <w:t>F-31</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57">
              <w:r>
                <w:rPr>
                  <w:rFonts w:ascii="Arial" w:cs="Arial" w:eastAsia="Arial" w:hAnsi="Arial"/>
                  <w:sz w:val="18"/>
                  <w:szCs w:val="18"/>
                  <w:color w:val="0000EE"/>
                  <w:w w:val="87"/>
                </w:rPr>
                <w:t>12.</w:t>
              </w:r>
            </w:hyperlink>
          </w:p>
        </w:tc>
        <w:tc>
          <w:tcPr>
            <w:tcW w:w="10100" w:type="dxa"/>
            <w:vAlign w:val="bottom"/>
            <w:gridSpan w:val="30"/>
          </w:tcPr>
          <w:p>
            <w:pPr>
              <w:ind w:left="20"/>
              <w:spacing w:after="0"/>
              <w:rPr>
                <w:rFonts w:ascii="Arial" w:cs="Arial" w:eastAsia="Arial" w:hAnsi="Arial"/>
                <w:sz w:val="18"/>
                <w:szCs w:val="18"/>
                <w:color w:val="0000EE"/>
              </w:rPr>
            </w:pPr>
            <w:hyperlink w:anchor="page157">
              <w:r>
                <w:rPr>
                  <w:rFonts w:ascii="Arial" w:cs="Arial" w:eastAsia="Arial" w:hAnsi="Arial"/>
                  <w:sz w:val="18"/>
                  <w:szCs w:val="18"/>
                  <w:color w:val="0000EE"/>
                </w:rPr>
                <w:t>Partners’ Capital and Distributions</w:t>
              </w:r>
            </w:hyperlink>
          </w:p>
        </w:tc>
        <w:tc>
          <w:tcPr>
            <w:tcW w:w="900" w:type="dxa"/>
            <w:vAlign w:val="bottom"/>
          </w:tcPr>
          <w:p>
            <w:pPr>
              <w:jc w:val="right"/>
              <w:spacing w:after="0"/>
              <w:rPr>
                <w:rFonts w:ascii="Arial" w:cs="Arial" w:eastAsia="Arial" w:hAnsi="Arial"/>
                <w:sz w:val="18"/>
                <w:szCs w:val="18"/>
                <w:color w:val="0000EE"/>
              </w:rPr>
            </w:pPr>
            <w:hyperlink w:anchor="page157">
              <w:r>
                <w:rPr>
                  <w:rFonts w:ascii="Arial" w:cs="Arial" w:eastAsia="Arial" w:hAnsi="Arial"/>
                  <w:sz w:val="18"/>
                  <w:szCs w:val="18"/>
                  <w:color w:val="0000EE"/>
                </w:rPr>
                <w:t>F-35</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13.</w:t>
              </w:r>
            </w:hyperlink>
          </w:p>
        </w:tc>
        <w:tc>
          <w:tcPr>
            <w:tcW w:w="10100" w:type="dxa"/>
            <w:vAlign w:val="bottom"/>
            <w:gridSpan w:val="30"/>
          </w:tcPr>
          <w:p>
            <w:pPr>
              <w:ind w:left="20"/>
              <w:spacing w:after="0"/>
              <w:rPr>
                <w:rFonts w:ascii="Arial" w:cs="Arial" w:eastAsia="Arial" w:hAnsi="Arial"/>
                <w:sz w:val="18"/>
                <w:szCs w:val="18"/>
                <w:color w:val="0000EE"/>
              </w:rPr>
            </w:pPr>
            <w:hyperlink w:anchor="page161">
              <w:r>
                <w:rPr>
                  <w:rFonts w:ascii="Arial" w:cs="Arial" w:eastAsia="Arial" w:hAnsi="Arial"/>
                  <w:sz w:val="18"/>
                  <w:szCs w:val="18"/>
                  <w:color w:val="0000EE"/>
                </w:rPr>
                <w:t>Derivatives and Risk Management Activities</w:t>
              </w:r>
            </w:hyperlink>
          </w:p>
        </w:tc>
        <w:tc>
          <w:tcPr>
            <w:tcW w:w="900" w:type="dxa"/>
            <w:vAlign w:val="bottom"/>
          </w:tcPr>
          <w:p>
            <w:pPr>
              <w:jc w:val="right"/>
              <w:spacing w:after="0"/>
              <w:rPr>
                <w:rFonts w:ascii="Arial" w:cs="Arial" w:eastAsia="Arial" w:hAnsi="Arial"/>
                <w:sz w:val="18"/>
                <w:szCs w:val="18"/>
                <w:color w:val="0000EE"/>
              </w:rPr>
            </w:pPr>
            <w:hyperlink w:anchor="page161">
              <w:r>
                <w:rPr>
                  <w:rFonts w:ascii="Arial" w:cs="Arial" w:eastAsia="Arial" w:hAnsi="Arial"/>
                  <w:sz w:val="18"/>
                  <w:szCs w:val="18"/>
                  <w:color w:val="0000EE"/>
                </w:rPr>
                <w:t>F-39</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68">
              <w:r>
                <w:rPr>
                  <w:rFonts w:ascii="Arial" w:cs="Arial" w:eastAsia="Arial" w:hAnsi="Arial"/>
                  <w:sz w:val="18"/>
                  <w:szCs w:val="18"/>
                  <w:color w:val="0000EE"/>
                  <w:w w:val="87"/>
                </w:rPr>
                <w:t>14.</w:t>
              </w:r>
            </w:hyperlink>
          </w:p>
        </w:tc>
        <w:tc>
          <w:tcPr>
            <w:tcW w:w="10100" w:type="dxa"/>
            <w:vAlign w:val="bottom"/>
            <w:gridSpan w:val="30"/>
          </w:tcPr>
          <w:p>
            <w:pPr>
              <w:ind w:left="20"/>
              <w:spacing w:after="0"/>
              <w:rPr>
                <w:rFonts w:ascii="Arial" w:cs="Arial" w:eastAsia="Arial" w:hAnsi="Arial"/>
                <w:sz w:val="18"/>
                <w:szCs w:val="18"/>
                <w:color w:val="0000EE"/>
              </w:rPr>
            </w:pPr>
            <w:hyperlink w:anchor="page168">
              <w:r>
                <w:rPr>
                  <w:rFonts w:ascii="Arial" w:cs="Arial" w:eastAsia="Arial" w:hAnsi="Arial"/>
                  <w:sz w:val="18"/>
                  <w:szCs w:val="18"/>
                  <w:color w:val="0000EE"/>
                </w:rPr>
                <w:t>Income Taxes</w:t>
              </w:r>
            </w:hyperlink>
          </w:p>
        </w:tc>
        <w:tc>
          <w:tcPr>
            <w:tcW w:w="900" w:type="dxa"/>
            <w:vAlign w:val="bottom"/>
          </w:tcPr>
          <w:p>
            <w:pPr>
              <w:jc w:val="right"/>
              <w:spacing w:after="0"/>
              <w:rPr>
                <w:rFonts w:ascii="Arial" w:cs="Arial" w:eastAsia="Arial" w:hAnsi="Arial"/>
                <w:sz w:val="18"/>
                <w:szCs w:val="18"/>
                <w:color w:val="0000EE"/>
              </w:rPr>
            </w:pPr>
            <w:hyperlink w:anchor="page168">
              <w:r>
                <w:rPr>
                  <w:rFonts w:ascii="Arial" w:cs="Arial" w:eastAsia="Arial" w:hAnsi="Arial"/>
                  <w:sz w:val="18"/>
                  <w:szCs w:val="18"/>
                  <w:color w:val="0000EE"/>
                </w:rPr>
                <w:t>F-46</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0">
              <w:r>
                <w:rPr>
                  <w:rFonts w:ascii="Arial" w:cs="Arial" w:eastAsia="Arial" w:hAnsi="Arial"/>
                  <w:sz w:val="18"/>
                  <w:szCs w:val="18"/>
                  <w:color w:val="0000EE"/>
                  <w:w w:val="87"/>
                </w:rPr>
                <w:t>15.</w:t>
              </w:r>
            </w:hyperlink>
          </w:p>
        </w:tc>
        <w:tc>
          <w:tcPr>
            <w:tcW w:w="10100" w:type="dxa"/>
            <w:vAlign w:val="bottom"/>
            <w:gridSpan w:val="30"/>
          </w:tcPr>
          <w:p>
            <w:pPr>
              <w:ind w:left="20"/>
              <w:spacing w:after="0"/>
              <w:rPr>
                <w:rFonts w:ascii="Arial" w:cs="Arial" w:eastAsia="Arial" w:hAnsi="Arial"/>
                <w:sz w:val="18"/>
                <w:szCs w:val="18"/>
                <w:color w:val="0000EE"/>
              </w:rPr>
            </w:pPr>
            <w:hyperlink w:anchor="page170">
              <w:r>
                <w:rPr>
                  <w:rFonts w:ascii="Arial" w:cs="Arial" w:eastAsia="Arial" w:hAnsi="Arial"/>
                  <w:sz w:val="18"/>
                  <w:szCs w:val="18"/>
                  <w:color w:val="0000EE"/>
                </w:rPr>
                <w:t>Major Customers and Concentration of Credit Risk</w:t>
              </w:r>
            </w:hyperlink>
          </w:p>
        </w:tc>
        <w:tc>
          <w:tcPr>
            <w:tcW w:w="900" w:type="dxa"/>
            <w:vAlign w:val="bottom"/>
          </w:tcPr>
          <w:p>
            <w:pPr>
              <w:jc w:val="right"/>
              <w:spacing w:after="0"/>
              <w:rPr>
                <w:rFonts w:ascii="Arial" w:cs="Arial" w:eastAsia="Arial" w:hAnsi="Arial"/>
                <w:sz w:val="18"/>
                <w:szCs w:val="18"/>
                <w:color w:val="0000EE"/>
              </w:rPr>
            </w:pPr>
            <w:hyperlink w:anchor="page170">
              <w:r>
                <w:rPr>
                  <w:rFonts w:ascii="Arial" w:cs="Arial" w:eastAsia="Arial" w:hAnsi="Arial"/>
                  <w:sz w:val="18"/>
                  <w:szCs w:val="18"/>
                  <w:color w:val="0000EE"/>
                </w:rPr>
                <w:t>F-48</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1">
              <w:r>
                <w:rPr>
                  <w:rFonts w:ascii="Arial" w:cs="Arial" w:eastAsia="Arial" w:hAnsi="Arial"/>
                  <w:sz w:val="18"/>
                  <w:szCs w:val="18"/>
                  <w:color w:val="0000EE"/>
                  <w:w w:val="87"/>
                </w:rPr>
                <w:t>16.</w:t>
              </w:r>
            </w:hyperlink>
          </w:p>
        </w:tc>
        <w:tc>
          <w:tcPr>
            <w:tcW w:w="10100" w:type="dxa"/>
            <w:vAlign w:val="bottom"/>
            <w:gridSpan w:val="30"/>
          </w:tcPr>
          <w:p>
            <w:pPr>
              <w:ind w:left="20"/>
              <w:spacing w:after="0"/>
              <w:rPr>
                <w:rFonts w:ascii="Arial" w:cs="Arial" w:eastAsia="Arial" w:hAnsi="Arial"/>
                <w:sz w:val="18"/>
                <w:szCs w:val="18"/>
                <w:color w:val="0000EE"/>
              </w:rPr>
            </w:pPr>
            <w:hyperlink w:anchor="page171">
              <w:r>
                <w:rPr>
                  <w:rFonts w:ascii="Arial" w:cs="Arial" w:eastAsia="Arial" w:hAnsi="Arial"/>
                  <w:sz w:val="18"/>
                  <w:szCs w:val="18"/>
                  <w:color w:val="0000EE"/>
                </w:rPr>
                <w:t>Related Party Transactions</w:t>
              </w:r>
            </w:hyperlink>
          </w:p>
        </w:tc>
        <w:tc>
          <w:tcPr>
            <w:tcW w:w="900" w:type="dxa"/>
            <w:vAlign w:val="bottom"/>
          </w:tcPr>
          <w:p>
            <w:pPr>
              <w:jc w:val="right"/>
              <w:spacing w:after="0"/>
              <w:rPr>
                <w:rFonts w:ascii="Arial" w:cs="Arial" w:eastAsia="Arial" w:hAnsi="Arial"/>
                <w:sz w:val="18"/>
                <w:szCs w:val="18"/>
                <w:color w:val="0000EE"/>
              </w:rPr>
            </w:pPr>
            <w:hyperlink w:anchor="page171">
              <w:r>
                <w:rPr>
                  <w:rFonts w:ascii="Arial" w:cs="Arial" w:eastAsia="Arial" w:hAnsi="Arial"/>
                  <w:sz w:val="18"/>
                  <w:szCs w:val="18"/>
                  <w:color w:val="0000EE"/>
                </w:rPr>
                <w:t>F-49</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3">
              <w:r>
                <w:rPr>
                  <w:rFonts w:ascii="Arial" w:cs="Arial" w:eastAsia="Arial" w:hAnsi="Arial"/>
                  <w:sz w:val="18"/>
                  <w:szCs w:val="18"/>
                  <w:color w:val="0000EE"/>
                  <w:w w:val="87"/>
                </w:rPr>
                <w:t>17.</w:t>
              </w:r>
            </w:hyperlink>
          </w:p>
        </w:tc>
        <w:tc>
          <w:tcPr>
            <w:tcW w:w="10100" w:type="dxa"/>
            <w:vAlign w:val="bottom"/>
            <w:gridSpan w:val="30"/>
          </w:tcPr>
          <w:p>
            <w:pPr>
              <w:ind w:left="20"/>
              <w:spacing w:after="0"/>
              <w:rPr>
                <w:rFonts w:ascii="Arial" w:cs="Arial" w:eastAsia="Arial" w:hAnsi="Arial"/>
                <w:sz w:val="18"/>
                <w:szCs w:val="18"/>
                <w:color w:val="0000EE"/>
              </w:rPr>
            </w:pPr>
            <w:hyperlink w:anchor="page173">
              <w:r>
                <w:rPr>
                  <w:rFonts w:ascii="Arial" w:cs="Arial" w:eastAsia="Arial" w:hAnsi="Arial"/>
                  <w:sz w:val="18"/>
                  <w:szCs w:val="18"/>
                  <w:color w:val="0000EE"/>
                </w:rPr>
                <w:t>Equity-Indexed Compensation Plans</w:t>
              </w:r>
            </w:hyperlink>
          </w:p>
        </w:tc>
        <w:tc>
          <w:tcPr>
            <w:tcW w:w="900" w:type="dxa"/>
            <w:vAlign w:val="bottom"/>
          </w:tcPr>
          <w:p>
            <w:pPr>
              <w:jc w:val="right"/>
              <w:spacing w:after="0"/>
              <w:rPr>
                <w:rFonts w:ascii="Arial" w:cs="Arial" w:eastAsia="Arial" w:hAnsi="Arial"/>
                <w:sz w:val="18"/>
                <w:szCs w:val="18"/>
                <w:color w:val="0000EE"/>
              </w:rPr>
            </w:pPr>
            <w:hyperlink w:anchor="page173">
              <w:r>
                <w:rPr>
                  <w:rFonts w:ascii="Arial" w:cs="Arial" w:eastAsia="Arial" w:hAnsi="Arial"/>
                  <w:sz w:val="18"/>
                  <w:szCs w:val="18"/>
                  <w:color w:val="0000EE"/>
                </w:rPr>
                <w:t>F-51</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5">
              <w:r>
                <w:rPr>
                  <w:rFonts w:ascii="Arial" w:cs="Arial" w:eastAsia="Arial" w:hAnsi="Arial"/>
                  <w:sz w:val="18"/>
                  <w:szCs w:val="18"/>
                  <w:color w:val="0000EE"/>
                  <w:w w:val="87"/>
                </w:rPr>
                <w:t>18.</w:t>
              </w:r>
            </w:hyperlink>
          </w:p>
        </w:tc>
        <w:tc>
          <w:tcPr>
            <w:tcW w:w="10100" w:type="dxa"/>
            <w:vAlign w:val="bottom"/>
            <w:gridSpan w:val="30"/>
          </w:tcPr>
          <w:p>
            <w:pPr>
              <w:ind w:left="20"/>
              <w:spacing w:after="0"/>
              <w:rPr>
                <w:rFonts w:ascii="Arial" w:cs="Arial" w:eastAsia="Arial" w:hAnsi="Arial"/>
                <w:sz w:val="18"/>
                <w:szCs w:val="18"/>
                <w:color w:val="0000EE"/>
              </w:rPr>
            </w:pPr>
            <w:hyperlink w:anchor="page175">
              <w:r>
                <w:rPr>
                  <w:rFonts w:ascii="Arial" w:cs="Arial" w:eastAsia="Arial" w:hAnsi="Arial"/>
                  <w:sz w:val="18"/>
                  <w:szCs w:val="18"/>
                  <w:color w:val="0000EE"/>
                </w:rPr>
                <w:t>Commitments and Contingencies</w:t>
              </w:r>
            </w:hyperlink>
          </w:p>
        </w:tc>
        <w:tc>
          <w:tcPr>
            <w:tcW w:w="900" w:type="dxa"/>
            <w:vAlign w:val="bottom"/>
          </w:tcPr>
          <w:p>
            <w:pPr>
              <w:jc w:val="right"/>
              <w:spacing w:after="0"/>
              <w:rPr>
                <w:rFonts w:ascii="Arial" w:cs="Arial" w:eastAsia="Arial" w:hAnsi="Arial"/>
                <w:sz w:val="18"/>
                <w:szCs w:val="18"/>
                <w:color w:val="0000EE"/>
              </w:rPr>
            </w:pPr>
            <w:hyperlink w:anchor="page175">
              <w:r>
                <w:rPr>
                  <w:rFonts w:ascii="Arial" w:cs="Arial" w:eastAsia="Arial" w:hAnsi="Arial"/>
                  <w:sz w:val="18"/>
                  <w:szCs w:val="18"/>
                  <w:color w:val="0000EE"/>
                </w:rPr>
                <w:t>F-53</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81">
              <w:r>
                <w:rPr>
                  <w:rFonts w:ascii="Arial" w:cs="Arial" w:eastAsia="Arial" w:hAnsi="Arial"/>
                  <w:sz w:val="18"/>
                  <w:szCs w:val="18"/>
                  <w:color w:val="0000EE"/>
                  <w:w w:val="87"/>
                </w:rPr>
                <w:t>19.</w:t>
              </w:r>
            </w:hyperlink>
          </w:p>
        </w:tc>
        <w:tc>
          <w:tcPr>
            <w:tcW w:w="10100" w:type="dxa"/>
            <w:vAlign w:val="bottom"/>
            <w:gridSpan w:val="30"/>
          </w:tcPr>
          <w:p>
            <w:pPr>
              <w:ind w:left="20"/>
              <w:spacing w:after="0"/>
              <w:rPr>
                <w:rFonts w:ascii="Arial" w:cs="Arial" w:eastAsia="Arial" w:hAnsi="Arial"/>
                <w:sz w:val="18"/>
                <w:szCs w:val="18"/>
                <w:color w:val="0000EE"/>
              </w:rPr>
            </w:pPr>
            <w:hyperlink w:anchor="page181">
              <w:r>
                <w:rPr>
                  <w:rFonts w:ascii="Arial" w:cs="Arial" w:eastAsia="Arial" w:hAnsi="Arial"/>
                  <w:sz w:val="18"/>
                  <w:szCs w:val="18"/>
                  <w:color w:val="0000EE"/>
                </w:rPr>
                <w:t>Quarterly Financial Data (Unaudited)</w:t>
              </w:r>
            </w:hyperlink>
          </w:p>
        </w:tc>
        <w:tc>
          <w:tcPr>
            <w:tcW w:w="900" w:type="dxa"/>
            <w:vAlign w:val="bottom"/>
          </w:tcPr>
          <w:p>
            <w:pPr>
              <w:jc w:val="right"/>
              <w:spacing w:after="0"/>
              <w:rPr>
                <w:rFonts w:ascii="Arial" w:cs="Arial" w:eastAsia="Arial" w:hAnsi="Arial"/>
                <w:sz w:val="18"/>
                <w:szCs w:val="18"/>
                <w:color w:val="0000EE"/>
              </w:rPr>
            </w:pPr>
            <w:hyperlink w:anchor="page181">
              <w:r>
                <w:rPr>
                  <w:rFonts w:ascii="Arial" w:cs="Arial" w:eastAsia="Arial" w:hAnsi="Arial"/>
                  <w:sz w:val="18"/>
                  <w:szCs w:val="18"/>
                  <w:color w:val="0000EE"/>
                </w:rPr>
                <w:t>F-59</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240" w:type="dxa"/>
            <w:vAlign w:val="bottom"/>
            <w:gridSpan w:val="10"/>
            <w:shd w:val="clear" w:color="auto" w:fill="0000EE"/>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81">
              <w:r>
                <w:rPr>
                  <w:rFonts w:ascii="Arial" w:cs="Arial" w:eastAsia="Arial" w:hAnsi="Arial"/>
                  <w:sz w:val="18"/>
                  <w:szCs w:val="18"/>
                  <w:color w:val="0000EE"/>
                  <w:w w:val="87"/>
                </w:rPr>
                <w:t>20.</w:t>
              </w:r>
            </w:hyperlink>
          </w:p>
        </w:tc>
        <w:tc>
          <w:tcPr>
            <w:tcW w:w="10100" w:type="dxa"/>
            <w:vAlign w:val="bottom"/>
            <w:gridSpan w:val="30"/>
          </w:tcPr>
          <w:p>
            <w:pPr>
              <w:ind w:left="20"/>
              <w:spacing w:after="0"/>
              <w:rPr>
                <w:rFonts w:ascii="Arial" w:cs="Arial" w:eastAsia="Arial" w:hAnsi="Arial"/>
                <w:sz w:val="18"/>
                <w:szCs w:val="18"/>
                <w:color w:val="0000EE"/>
              </w:rPr>
            </w:pPr>
            <w:hyperlink w:anchor="page181">
              <w:r>
                <w:rPr>
                  <w:rFonts w:ascii="Arial" w:cs="Arial" w:eastAsia="Arial" w:hAnsi="Arial"/>
                  <w:sz w:val="18"/>
                  <w:szCs w:val="18"/>
                  <w:color w:val="0000EE"/>
                </w:rPr>
                <w:t>Operating Segments</w:t>
              </w:r>
            </w:hyperlink>
          </w:p>
        </w:tc>
        <w:tc>
          <w:tcPr>
            <w:tcW w:w="900" w:type="dxa"/>
            <w:vAlign w:val="bottom"/>
          </w:tcPr>
          <w:p>
            <w:pPr>
              <w:jc w:val="right"/>
              <w:spacing w:after="0"/>
              <w:rPr>
                <w:rFonts w:ascii="Arial" w:cs="Arial" w:eastAsia="Arial" w:hAnsi="Arial"/>
                <w:sz w:val="18"/>
                <w:szCs w:val="18"/>
                <w:color w:val="0000EE"/>
              </w:rPr>
            </w:pPr>
            <w:hyperlink w:anchor="page181">
              <w:r>
                <w:rPr>
                  <w:rFonts w:ascii="Arial" w:cs="Arial" w:eastAsia="Arial" w:hAnsi="Arial"/>
                  <w:sz w:val="18"/>
                  <w:szCs w:val="18"/>
                  <w:color w:val="0000EE"/>
                </w:rPr>
                <w:t>F-59</w:t>
              </w:r>
            </w:hyperlink>
          </w:p>
        </w:tc>
      </w:tr>
      <w:tr>
        <w:trPr>
          <w:trHeight w:val="723"/>
        </w:trPr>
        <w:tc>
          <w:tcPr>
            <w:tcW w:w="1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gridSpan w:val="6"/>
          </w:tcPr>
          <w:p>
            <w:pPr>
              <w:ind w:left="640"/>
              <w:spacing w:after="0"/>
              <w:rPr>
                <w:sz w:val="20"/>
                <w:szCs w:val="20"/>
                <w:color w:val="auto"/>
              </w:rPr>
            </w:pPr>
            <w:r>
              <w:rPr>
                <w:rFonts w:ascii="Arial" w:cs="Arial" w:eastAsia="Arial" w:hAnsi="Arial"/>
                <w:sz w:val="18"/>
                <w:szCs w:val="18"/>
                <w:color w:val="auto"/>
              </w:rPr>
              <w:t>F-1</w:t>
            </w: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2018.</w:t>
      </w:r>
    </w:p>
    <w:p>
      <w:pPr>
        <w:spacing w:after="0" w:line="147" w:lineRule="exact"/>
        <w:rPr>
          <w:sz w:val="20"/>
          <w:szCs w:val="20"/>
          <w:color w:val="auto"/>
        </w:rPr>
      </w:pPr>
    </w:p>
    <w:p>
      <w:pPr>
        <w:jc w:val="both"/>
        <w:ind w:right="178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2018 has been audited by PricewaterhouseCoopers LLP, an independent registered public accounting firm, as stated in their report which appears on Page F-3.</w:t>
      </w:r>
    </w:p>
    <w:p>
      <w:pPr>
        <w:spacing w:after="0" w:line="28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7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Chief Executive Officer of Plains All American GP LLC</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and Chief Financial Officer of Plains All</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American GP LLC</w:t>
      </w:r>
    </w:p>
    <w:p>
      <w:pPr>
        <w:spacing w:after="0" w:line="49"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125" w:right="2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ind w:left="3640"/>
        <w:spacing w:after="0"/>
        <w:rPr>
          <w:sz w:val="20"/>
          <w:szCs w:val="20"/>
          <w:color w:val="auto"/>
        </w:rPr>
      </w:pPr>
      <w:r>
        <w:rPr>
          <w:rFonts w:ascii="Arial" w:cs="Arial" w:eastAsia="Arial" w:hAnsi="Arial"/>
          <w:sz w:val="17"/>
          <w:szCs w:val="17"/>
          <w:b w:val="1"/>
          <w:bCs w:val="1"/>
          <w:i w:val="1"/>
          <w:iCs w:val="1"/>
          <w:color w:val="auto"/>
        </w:rPr>
        <w:t>Report of Independent Registered Public Accounting Firm</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of PAA GP Holdings LLC and Unitholders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Plains All American Pipeline, L.P.:</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115"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 xml:space="preserve">We have audited the accompanying consolidated balance sheets of Plains All American Pipeline, L.P. and its subsidiaries (the “Partnership”) as of December 31, 2018 and 2017, and the related consolidated statements of operations, of comprehensive income, of changes in accumulated other comprehensive income/(loss), of changes in partners’ capital, and of cash flows for each of the three years in the period ended December 31, 2018, including the related notes (collectively referred to as the “consolidated financial statements”). We also have audited the Partnership’s internal control over financial reporting as of December 31, 2018,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(COSO).</w:t>
      </w:r>
    </w:p>
    <w:p>
      <w:pPr>
        <w:spacing w:after="0" w:line="54"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the Partnership as of December 31, 2018 and 2017</w:t>
      </w:r>
      <w:r>
        <w:rPr>
          <w:rFonts w:ascii="Arial" w:cs="Arial" w:eastAsia="Arial" w:hAnsi="Arial"/>
          <w:sz w:val="15"/>
          <w:szCs w:val="15"/>
          <w:b w:val="1"/>
          <w:bCs w:val="1"/>
          <w:color w:val="auto"/>
        </w:rPr>
        <w:t>,</w:t>
      </w:r>
      <w:r>
        <w:rPr>
          <w:rFonts w:ascii="Arial" w:cs="Arial" w:eastAsia="Arial" w:hAnsi="Arial"/>
          <w:sz w:val="15"/>
          <w:szCs w:val="15"/>
          <w:color w:val="auto"/>
        </w:rPr>
        <w:t xml:space="preserve"> and the results of its operations and its cash flows for each of the three years in the period ended December 31, 2018 in conformity with accounting principles generally accepted in the United States of America. Also in our opinion, the Partnership maintained, in all material respects, effective internal control over financial reporting as of December 31, 2018,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8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15"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PricewaterhouseCoopers LLP</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Houston, Texas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February 26, 2019</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have served as the Partnership’s auditor since 1998.</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84"/>
        </w:trPr>
        <w:tc>
          <w:tcPr>
            <w:tcW w:w="8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713</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4,000</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17,866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16,862</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14,787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14,089</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2,756</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r>
      <w:tr>
        <w:trPr>
          <w:trHeight w:val="297"/>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25,351</w:t>
            </w:r>
          </w:p>
        </w:tc>
      </w:tr>
      <w:tr>
        <w:trPr>
          <w:trHeight w:val="271"/>
        </w:trPr>
        <w:tc>
          <w:tcPr>
            <w:tcW w:w="8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737</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4,531</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debt, net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10,053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9,862</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18)</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PARTNERS’ CAPITAL</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unitholders (71,090,468 and 69,696,542 units outstanding, respectively)</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Series B preferred unitholders (800,000 and 800,000 units outstanding, respectively)</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788</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unitholders (726,361,924 and 725,189,138 units outstanding, respectively)</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8,665</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partners’ capital</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10,958</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25,351</w:t>
            </w: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32,819</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25,056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19,004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20,182</w:t>
            </w:r>
          </w:p>
        </w:tc>
      </w:tr>
      <w:tr>
        <w:trPr>
          <w:trHeight w:val="284"/>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22,985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17,233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19,188</w:t>
            </w:r>
          </w:p>
        </w:tc>
      </w:tr>
      <w:tr>
        <w:trPr>
          <w:trHeight w:val="297"/>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r>
      <w:tr>
        <w:trPr>
          <w:trHeight w:val="284"/>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investment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 of $30, $35 and $47, respectively)</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91"/>
        </w:trPr>
        <w:tc>
          <w:tcPr>
            <w:tcW w:w="7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(expense)/benefit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91"/>
        </w:trPr>
        <w:tc>
          <w:tcPr>
            <w:tcW w:w="7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 (NOTE 4):</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2,009</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r>
      <w:tr>
        <w:trPr>
          <w:trHeight w:val="304"/>
        </w:trPr>
        <w:tc>
          <w:tcPr>
            <w:tcW w:w="7440" w:type="dxa"/>
            <w:vAlign w:val="bottom"/>
          </w:tcPr>
          <w:p>
            <w:pPr>
              <w:ind w:left="180"/>
              <w:spacing w:after="0"/>
              <w:rPr>
                <w:sz w:val="20"/>
                <w:szCs w:val="20"/>
                <w:color w:val="auto"/>
              </w:rPr>
            </w:pPr>
            <w:r>
              <w:rPr>
                <w:rFonts w:ascii="Arial" w:cs="Arial" w:eastAsia="Arial" w:hAnsi="Arial"/>
                <w:sz w:val="18"/>
                <w:szCs w:val="18"/>
                <w:color w:val="auto"/>
              </w:rPr>
              <w:t>Basic net income per common unit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0.43</w:t>
            </w:r>
          </w:p>
        </w:tc>
      </w:tr>
      <w:tr>
        <w:trPr>
          <w:trHeight w:val="284"/>
        </w:trPr>
        <w:tc>
          <w:tcPr>
            <w:tcW w:w="744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2,164</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r>
      <w:tr>
        <w:trPr>
          <w:trHeight w:val="264"/>
        </w:trPr>
        <w:tc>
          <w:tcPr>
            <w:tcW w:w="7440" w:type="dxa"/>
            <w:vAlign w:val="bottom"/>
          </w:tcPr>
          <w:p>
            <w:pPr>
              <w:ind w:left="180"/>
              <w:spacing w:after="0"/>
              <w:rPr>
                <w:sz w:val="20"/>
                <w:szCs w:val="20"/>
                <w:color w:val="auto"/>
              </w:rPr>
            </w:pPr>
            <w:r>
              <w:rPr>
                <w:rFonts w:ascii="Arial" w:cs="Arial" w:eastAsia="Arial" w:hAnsi="Arial"/>
                <w:sz w:val="18"/>
                <w:szCs w:val="18"/>
                <w:color w:val="auto"/>
              </w:rPr>
              <w:t>Diluted net income per common unit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0.43</w:t>
            </w:r>
          </w:p>
        </w:tc>
      </w:tr>
      <w:tr>
        <w:trPr>
          <w:trHeight w:val="20"/>
        </w:trPr>
        <w:tc>
          <w:tcPr>
            <w:tcW w:w="7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125" w:right="23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Translation</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Unrealized loss on hedges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hedges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hedges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2018 Activity</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27" w:name="page128"/>
    <w:bookmarkEnd w:id="127"/>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2,216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Reconciliation of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514</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(Gains)/losses on asset sales and asset impairments,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Equity-indexed compensation expense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Inventory valuation adjustments (Note 5)</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Deferred income tax expense/(benefit)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terminated interest rate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Change in fair value of Preferred Distribution Rate Reset Option (Note 13)</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earnings in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Distributions on earnings from unconsolidated entities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sale of investment in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 net of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Trade accounts receivable and other</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Trade accounts payable and other current liabilities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508</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r>
      <w:tr>
        <w:trPr>
          <w:trHeight w:val="169"/>
        </w:trPr>
        <w:tc>
          <w:tcPr>
            <w:tcW w:w="77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Cash paid in connection with acquisitions, net of cash acquired (Note 7)</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unconsolidated entities (Note 9)</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Additions to property, equipment and 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(1,334)</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sales of assets (Note 7)</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Return of investment from unconsolidated entities (Note 9)</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received from sales of linefill and base gas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Cash paid for purchases of linefill and base gas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778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(1,273)</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9"/>
        </w:trPr>
        <w:tc>
          <w:tcPr>
            <w:tcW w:w="7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repayments under commercial paper program (Note 11)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borrowings/(repayments) under senior secured hedged inventory facility (Note 11)</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 under AAP senior secured revolving credit facility (Note 11)</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Repayment of AAP term loan (Note 11)</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GO Zone term loans (Note 11)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Proceeds from the issuance of senior notes (Note 11)</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748</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senior notes (Note 11)</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proceeds from the sale of Series A preferred units (Note 12)</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1,569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the sale of Series B preferred units (Note 12)</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proceeds from the sale of common units (Note 12)</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Distributions paid to Series A preferred unitholders (Note 12)</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Series B preferred unitholders (Note 12)</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Distributions paid to common unitholders (Note 12)</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general partner (Note 12)</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financing activities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r>
      <w:tr>
        <w:trPr>
          <w:trHeight w:val="169"/>
        </w:trPr>
        <w:tc>
          <w:tcPr>
            <w:tcW w:w="77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translation adjustment on cash</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176"/>
        </w:trPr>
        <w:tc>
          <w:tcPr>
            <w:tcW w:w="7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2"/>
        </w:trPr>
        <w:tc>
          <w:tcPr>
            <w:tcW w:w="77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r>
    </w:tbl>
    <w:p>
      <w:pPr>
        <w:sectPr>
          <w:pgSz w:w="11900" w:h="16900" w:orient="portrait"/>
          <w:cols w:equalWidth="0" w:num="1">
            <w:col w:w="11420"/>
          </w:cols>
          <w:pgMar w:left="240" w:top="125" w:right="239" w:bottom="0" w:gutter="0" w:footer="0" w:header="0"/>
        </w:sectPr>
      </w:pPr>
    </w:p>
    <w:bookmarkStart w:id="128" w:name="page129"/>
    <w:bookmarkEnd w:id="128"/>
    <w:p>
      <w:pPr>
        <w:ind w:left="40"/>
        <w:spacing w:after="0"/>
        <w:rPr>
          <w:sz w:val="20"/>
          <w:szCs w:val="20"/>
          <w:color w:val="auto"/>
        </w:rPr>
      </w:pPr>
      <w:r>
        <w:rPr>
          <w:rFonts w:ascii="Arial" w:cs="Arial" w:eastAsia="Arial" w:hAnsi="Arial"/>
          <w:sz w:val="16"/>
          <w:szCs w:val="16"/>
          <w:color w:val="auto"/>
        </w:rPr>
        <w:t>Cash paid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8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40" w:type="dxa"/>
            <w:vAlign w:val="bottom"/>
          </w:tcPr>
          <w:p>
            <w:pPr>
              <w:ind w:left="180"/>
              <w:spacing w:after="0"/>
              <w:rPr>
                <w:sz w:val="20"/>
                <w:szCs w:val="20"/>
                <w:color w:val="auto"/>
              </w:rPr>
            </w:pPr>
            <w:r>
              <w:rPr>
                <w:rFonts w:ascii="Arial" w:cs="Arial" w:eastAsia="Arial" w:hAnsi="Arial"/>
                <w:sz w:val="16"/>
                <w:szCs w:val="16"/>
                <w:color w:val="auto"/>
              </w:rPr>
              <w:t>Interest, net of amounts capitalized</w:t>
            </w:r>
          </w:p>
        </w:tc>
        <w:tc>
          <w:tcPr>
            <w:tcW w:w="29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486</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450</w:t>
            </w:r>
          </w:p>
        </w:tc>
      </w:tr>
      <w:tr>
        <w:trPr>
          <w:trHeight w:val="33"/>
        </w:trPr>
        <w:tc>
          <w:tcPr>
            <w:tcW w:w="5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5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net of amounts refunded</w:t>
            </w:r>
          </w:p>
        </w:tc>
        <w:tc>
          <w:tcPr>
            <w:tcW w:w="29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5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5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r>
      <w:tr>
        <w:trPr>
          <w:trHeight w:val="33"/>
        </w:trPr>
        <w:tc>
          <w:tcPr>
            <w:tcW w:w="524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30"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460" w:right="2460"/>
        <w:spacing w:after="0" w:line="266" w:lineRule="auto"/>
        <w:rPr>
          <w:sz w:val="20"/>
          <w:szCs w:val="20"/>
          <w:color w:val="auto"/>
        </w:rPr>
      </w:pPr>
      <w:r>
        <w:rPr>
          <w:rFonts w:ascii="Arial" w:cs="Arial" w:eastAsia="Arial" w:hAnsi="Arial"/>
          <w:sz w:val="18"/>
          <w:szCs w:val="18"/>
          <w:b w:val="1"/>
          <w:bCs w:val="1"/>
          <w:color w:val="auto"/>
        </w:rPr>
        <w:t>PLAINS ALL AMERICAN PIPELINE, L.P. AND SUBSIDIARIES CONSOLIDATED STATEMENTS OF CHANGES IN PARTNERS’ CAPITAL (in millions)</w:t>
      </w:r>
    </w:p>
    <w:p>
      <w:pPr>
        <w:spacing w:after="0" w:line="200" w:lineRule="exact"/>
        <w:rPr>
          <w:sz w:val="20"/>
          <w:szCs w:val="20"/>
          <w:color w:val="auto"/>
        </w:rPr>
      </w:pPr>
    </w:p>
    <w:p>
      <w:pPr>
        <w:spacing w:after="0" w:line="201" w:lineRule="exact"/>
        <w:rPr>
          <w:sz w:val="20"/>
          <w:szCs w:val="20"/>
          <w:color w:val="auto"/>
        </w:rPr>
      </w:pPr>
    </w:p>
    <w:tbl>
      <w:tblPr>
        <w:tblLayout w:type="fixed"/>
        <w:tblInd w:w="2880" w:type="dxa"/>
        <w:tblCellMar>
          <w:top w:w="0" w:type="dxa"/>
          <w:left w:w="0" w:type="dxa"/>
          <w:bottom w:w="0" w:type="dxa"/>
          <w:right w:w="0" w:type="dxa"/>
        </w:tblCellMar>
      </w:tblPr>
      <w:tr>
        <w:trPr>
          <w:trHeight w:val="192"/>
        </w:trPr>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Limited Partners</w:t>
            </w:r>
          </w:p>
        </w:tc>
        <w:tc>
          <w:tcPr>
            <w:tcW w:w="100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Partners’ Capital</w:t>
            </w:r>
          </w:p>
        </w:tc>
        <w:tc>
          <w:tcPr>
            <w:tcW w:w="1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9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320" w:type="dxa"/>
            <w:vAlign w:val="bottom"/>
            <w:gridSpan w:val="3"/>
          </w:tcPr>
          <w:p>
            <w:pPr>
              <w:ind w:left="420"/>
              <w:spacing w:after="0" w:line="158" w:lineRule="exact"/>
              <w:rPr>
                <w:sz w:val="20"/>
                <w:szCs w:val="20"/>
                <w:color w:val="auto"/>
              </w:rPr>
            </w:pPr>
            <w:r>
              <w:rPr>
                <w:rFonts w:ascii="Arial" w:cs="Arial" w:eastAsia="Arial" w:hAnsi="Arial"/>
                <w:sz w:val="14"/>
                <w:szCs w:val="14"/>
                <w:b w:val="1"/>
                <w:bCs w:val="1"/>
                <w:color w:val="auto"/>
              </w:rPr>
              <w:t>Preferred Unitholders</w:t>
            </w: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Excluding</w:t>
            </w:r>
          </w:p>
        </w:tc>
        <w:tc>
          <w:tcPr>
            <w:tcW w:w="1440" w:type="dxa"/>
            <w:vAlign w:val="bottom"/>
          </w:tcPr>
          <w:p>
            <w:pPr>
              <w:spacing w:after="0"/>
              <w:rPr>
                <w:sz w:val="13"/>
                <w:szCs w:val="13"/>
                <w:color w:val="auto"/>
              </w:rPr>
            </w:pPr>
          </w:p>
        </w:tc>
        <w:tc>
          <w:tcPr>
            <w:tcW w:w="860" w:type="dxa"/>
            <w:vAlign w:val="bottom"/>
          </w:tcPr>
          <w:p>
            <w:pPr>
              <w:jc w:val="center"/>
              <w:ind w:left="188"/>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9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Common</w:t>
            </w:r>
          </w:p>
        </w:tc>
        <w:tc>
          <w:tcPr>
            <w:tcW w:w="1140" w:type="dxa"/>
            <w:vAlign w:val="bottom"/>
            <w:vMerge w:val="restart"/>
          </w:tcPr>
          <w:p>
            <w:pPr>
              <w:ind w:left="380"/>
              <w:spacing w:after="0" w:line="139" w:lineRule="exact"/>
              <w:rPr>
                <w:sz w:val="20"/>
                <w:szCs w:val="20"/>
                <w:color w:val="auto"/>
              </w:rPr>
            </w:pPr>
            <w:r>
              <w:rPr>
                <w:rFonts w:ascii="Arial" w:cs="Arial" w:eastAsia="Arial" w:hAnsi="Arial"/>
                <w:sz w:val="14"/>
                <w:szCs w:val="14"/>
                <w:b w:val="1"/>
                <w:bCs w:val="1"/>
                <w:color w:val="auto"/>
              </w:rPr>
              <w:t>General</w:t>
            </w:r>
          </w:p>
        </w:tc>
        <w:tc>
          <w:tcPr>
            <w:tcW w:w="15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14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Noncontrolling</w:t>
            </w:r>
          </w:p>
        </w:tc>
        <w:tc>
          <w:tcPr>
            <w:tcW w:w="860" w:type="dxa"/>
            <w:vAlign w:val="bottom"/>
            <w:vMerge w:val="restart"/>
          </w:tcPr>
          <w:p>
            <w:pPr>
              <w:jc w:val="center"/>
              <w:ind w:left="208"/>
              <w:spacing w:after="0" w:line="13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65"/>
        </w:trPr>
        <w:tc>
          <w:tcPr>
            <w:tcW w:w="9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Series A</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Series B</w:t>
            </w:r>
          </w:p>
        </w:tc>
        <w:tc>
          <w:tcPr>
            <w:tcW w:w="10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96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Unitholders</w:t>
            </w: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Partner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860" w:type="dxa"/>
            <w:vAlign w:val="bottom"/>
          </w:tcPr>
          <w:p>
            <w:pPr>
              <w:jc w:val="center"/>
              <w:ind w:left="208"/>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8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tbl>
      <w:tblPr>
        <w:tblLayout w:type="fixed"/>
        <w:tblInd w:w="40" w:type="dxa"/>
        <w:tblCellMar>
          <w:top w:w="0" w:type="dxa"/>
          <w:left w:w="0" w:type="dxa"/>
          <w:bottom w:w="0" w:type="dxa"/>
          <w:right w:w="0" w:type="dxa"/>
        </w:tblCellMar>
      </w:tblPr>
      <w:tr>
        <w:trPr>
          <w:trHeight w:val="250"/>
        </w:trPr>
        <w:tc>
          <w:tcPr>
            <w:tcW w:w="284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8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Distributions (Note 12)</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Sale of Series A preferred units</w:t>
            </w:r>
          </w:p>
        </w:tc>
        <w:tc>
          <w:tcPr>
            <w:tcW w:w="3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Sales of common units</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w w:val="94"/>
              </w:rPr>
              <w:t>Simplification Transactions (Note 1)</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40" w:type="dxa"/>
            <w:vAlign w:val="bottom"/>
          </w:tcPr>
          <w:p>
            <w:pPr>
              <w:ind w:left="140"/>
              <w:spacing w:after="0"/>
              <w:rPr>
                <w:sz w:val="20"/>
                <w:szCs w:val="20"/>
                <w:color w:val="auto"/>
              </w:rPr>
            </w:pPr>
            <w:r>
              <w:rPr>
                <w:rFonts w:ascii="Arial" w:cs="Arial" w:eastAsia="Arial" w:hAnsi="Arial"/>
                <w:sz w:val="18"/>
                <w:szCs w:val="18"/>
                <w:color w:val="auto"/>
              </w:rPr>
              <w:t>Equity-indexed compensation</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300"/>
              <w:spacing w:after="0"/>
              <w:rPr>
                <w:sz w:val="20"/>
                <w:szCs w:val="20"/>
                <w:color w:val="auto"/>
              </w:rPr>
            </w:pPr>
            <w:r>
              <w:rPr>
                <w:rFonts w:ascii="Arial" w:cs="Arial" w:eastAsia="Arial" w:hAnsi="Arial"/>
                <w:sz w:val="18"/>
                <w:szCs w:val="18"/>
                <w:color w:val="auto"/>
              </w:rPr>
              <w:t>expense</w:t>
            </w:r>
          </w:p>
        </w:tc>
        <w:tc>
          <w:tcPr>
            <w:tcW w:w="3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840" w:type="dxa"/>
            <w:vAlign w:val="bottom"/>
            <w:vMerge w:val="restart"/>
          </w:tcPr>
          <w:p>
            <w:pPr>
              <w:spacing w:after="0"/>
              <w:rPr>
                <w:sz w:val="20"/>
                <w:szCs w:val="20"/>
                <w:color w:val="auto"/>
              </w:rPr>
            </w:pPr>
            <w:r>
              <w:rPr>
                <w:rFonts w:ascii="Arial" w:cs="Arial" w:eastAsia="Arial" w:hAnsi="Arial"/>
                <w:sz w:val="18"/>
                <w:szCs w:val="18"/>
                <w:color w:val="auto"/>
              </w:rPr>
              <w:t>Balance at December 31, 2016</w:t>
            </w: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vMerge w:val="continue"/>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8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Distributions (Note 12)</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Sale of Series B preferred units</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Sales of common units</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40" w:type="dxa"/>
            <w:vAlign w:val="bottom"/>
          </w:tcPr>
          <w:p>
            <w:pPr>
              <w:ind w:left="140"/>
              <w:spacing w:after="0"/>
              <w:rPr>
                <w:sz w:val="20"/>
                <w:szCs w:val="20"/>
                <w:color w:val="auto"/>
              </w:rPr>
            </w:pPr>
            <w:r>
              <w:rPr>
                <w:rFonts w:ascii="Arial" w:cs="Arial" w:eastAsia="Arial" w:hAnsi="Arial"/>
                <w:sz w:val="18"/>
                <w:szCs w:val="18"/>
                <w:color w:val="auto"/>
                <w:w w:val="95"/>
              </w:rPr>
              <w:t>Acquisition of interest in Advantage</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300"/>
              <w:spacing w:after="0"/>
              <w:rPr>
                <w:sz w:val="20"/>
                <w:szCs w:val="20"/>
                <w:color w:val="auto"/>
              </w:rPr>
            </w:pPr>
            <w:r>
              <w:rPr>
                <w:rFonts w:ascii="Arial" w:cs="Arial" w:eastAsia="Arial" w:hAnsi="Arial"/>
                <w:sz w:val="18"/>
                <w:szCs w:val="18"/>
                <w:color w:val="auto"/>
              </w:rPr>
              <w:t>Joint Venture (Note 7)</w:t>
            </w:r>
          </w:p>
        </w:tc>
        <w:tc>
          <w:tcPr>
            <w:tcW w:w="3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840" w:type="dxa"/>
            <w:vAlign w:val="bottom"/>
          </w:tcPr>
          <w:p>
            <w:pPr>
              <w:ind w:left="140"/>
              <w:spacing w:after="0"/>
              <w:rPr>
                <w:sz w:val="20"/>
                <w:szCs w:val="20"/>
                <w:color w:val="auto"/>
              </w:rPr>
            </w:pPr>
            <w:r>
              <w:rPr>
                <w:rFonts w:ascii="Arial" w:cs="Arial" w:eastAsia="Arial" w:hAnsi="Arial"/>
                <w:sz w:val="18"/>
                <w:szCs w:val="18"/>
                <w:color w:val="auto"/>
                <w:w w:val="93"/>
              </w:rPr>
              <w:t>Sale of interest in SLC Pipeline LLC</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300"/>
              <w:spacing w:after="0"/>
              <w:rPr>
                <w:sz w:val="20"/>
                <w:szCs w:val="20"/>
                <w:color w:val="auto"/>
              </w:rPr>
            </w:pPr>
            <w:r>
              <w:rPr>
                <w:rFonts w:ascii="Arial" w:cs="Arial" w:eastAsia="Arial" w:hAnsi="Arial"/>
                <w:sz w:val="18"/>
                <w:szCs w:val="18"/>
                <w:color w:val="auto"/>
              </w:rPr>
              <w:t>(Note 7)</w:t>
            </w:r>
          </w:p>
        </w:tc>
        <w:tc>
          <w:tcPr>
            <w:tcW w:w="3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40" w:type="dxa"/>
            <w:vAlign w:val="bottom"/>
          </w:tcPr>
          <w:p>
            <w:pPr>
              <w:ind w:left="140"/>
              <w:spacing w:after="0"/>
              <w:rPr>
                <w:sz w:val="20"/>
                <w:szCs w:val="20"/>
                <w:color w:val="auto"/>
              </w:rPr>
            </w:pPr>
            <w:r>
              <w:rPr>
                <w:rFonts w:ascii="Arial" w:cs="Arial" w:eastAsia="Arial" w:hAnsi="Arial"/>
                <w:sz w:val="18"/>
                <w:szCs w:val="18"/>
                <w:color w:val="auto"/>
              </w:rPr>
              <w:t>Equity-indexed compensation</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300"/>
              <w:spacing w:after="0"/>
              <w:rPr>
                <w:sz w:val="20"/>
                <w:szCs w:val="20"/>
                <w:color w:val="auto"/>
              </w:rPr>
            </w:pPr>
            <w:r>
              <w:rPr>
                <w:rFonts w:ascii="Arial" w:cs="Arial" w:eastAsia="Arial" w:hAnsi="Arial"/>
                <w:sz w:val="18"/>
                <w:szCs w:val="18"/>
                <w:color w:val="auto"/>
              </w:rPr>
              <w:t>expense</w:t>
            </w:r>
          </w:p>
        </w:tc>
        <w:tc>
          <w:tcPr>
            <w:tcW w:w="3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840" w:type="dxa"/>
            <w:vAlign w:val="bottom"/>
            <w:vMerge w:val="restart"/>
          </w:tcPr>
          <w:p>
            <w:pPr>
              <w:spacing w:after="0"/>
              <w:rPr>
                <w:sz w:val="20"/>
                <w:szCs w:val="20"/>
                <w:color w:val="auto"/>
              </w:rPr>
            </w:pPr>
            <w:r>
              <w:rPr>
                <w:rFonts w:ascii="Arial" w:cs="Arial" w:eastAsia="Arial" w:hAnsi="Arial"/>
                <w:sz w:val="18"/>
                <w:szCs w:val="18"/>
                <w:color w:val="auto"/>
              </w:rPr>
              <w:t>Balance at December 31, 2017</w:t>
            </w: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vMerge w:val="continue"/>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40" w:type="dxa"/>
            <w:vAlign w:val="bottom"/>
            <w:vMerge w:val="restart"/>
          </w:tcPr>
          <w:p>
            <w:pPr>
              <w:ind w:left="140"/>
              <w:spacing w:after="0"/>
              <w:rPr>
                <w:sz w:val="20"/>
                <w:szCs w:val="20"/>
                <w:color w:val="auto"/>
              </w:rPr>
            </w:pPr>
            <w:r>
              <w:rPr>
                <w:rFonts w:ascii="Arial" w:cs="Arial" w:eastAsia="Arial" w:hAnsi="Arial"/>
                <w:sz w:val="18"/>
                <w:szCs w:val="18"/>
                <w:color w:val="auto"/>
                <w:w w:val="95"/>
              </w:rPr>
              <w:t>Impact of adoption of ASU 2017-05</w:t>
            </w: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300"/>
              <w:spacing w:after="0"/>
              <w:rPr>
                <w:sz w:val="20"/>
                <w:szCs w:val="20"/>
                <w:color w:val="auto"/>
              </w:rPr>
            </w:pPr>
            <w:r>
              <w:rPr>
                <w:rFonts w:ascii="Arial" w:cs="Arial" w:eastAsia="Arial" w:hAnsi="Arial"/>
                <w:sz w:val="18"/>
                <w:szCs w:val="18"/>
                <w:color w:val="auto"/>
              </w:rPr>
              <w:t>(Note 2)</w:t>
            </w:r>
          </w:p>
        </w:tc>
        <w:tc>
          <w:tcPr>
            <w:tcW w:w="3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Balance at January 1, 2018</w:t>
            </w:r>
          </w:p>
        </w:tc>
        <w:tc>
          <w:tcPr>
            <w:tcW w:w="3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Distributions (Note 12)</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40" w:type="dxa"/>
            <w:vAlign w:val="bottom"/>
          </w:tcPr>
          <w:p>
            <w:pPr>
              <w:ind w:left="140"/>
              <w:spacing w:after="0"/>
              <w:rPr>
                <w:sz w:val="20"/>
                <w:szCs w:val="20"/>
                <w:color w:val="auto"/>
              </w:rPr>
            </w:pPr>
            <w:r>
              <w:rPr>
                <w:rFonts w:ascii="Arial" w:cs="Arial" w:eastAsia="Arial" w:hAnsi="Arial"/>
                <w:sz w:val="18"/>
                <w:szCs w:val="18"/>
                <w:color w:val="auto"/>
              </w:rPr>
              <w:t>Equity-indexed compensation</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300"/>
              <w:spacing w:after="0"/>
              <w:rPr>
                <w:sz w:val="20"/>
                <w:szCs w:val="20"/>
                <w:color w:val="auto"/>
              </w:rPr>
            </w:pPr>
            <w:r>
              <w:rPr>
                <w:rFonts w:ascii="Arial" w:cs="Arial" w:eastAsia="Arial" w:hAnsi="Arial"/>
                <w:sz w:val="18"/>
                <w:szCs w:val="18"/>
                <w:color w:val="auto"/>
              </w:rPr>
              <w:t>expense</w:t>
            </w:r>
          </w:p>
        </w:tc>
        <w:tc>
          <w:tcPr>
            <w:tcW w:w="3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7,580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7,939</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21"/>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333</w:t>
            </w:r>
          </w:p>
        </w:tc>
        <w:tc>
          <w:tcPr>
            <w:tcW w:w="34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730</w:t>
            </w:r>
          </w:p>
        </w:tc>
      </w:tr>
      <w:tr>
        <w:trPr>
          <w:trHeight w:val="270"/>
        </w:trPr>
        <w:tc>
          <w:tcPr>
            <w:tcW w:w="680" w:type="dxa"/>
            <w:vAlign w:val="bottom"/>
          </w:tcPr>
          <w:p>
            <w:pPr>
              <w:jc w:val="right"/>
              <w:ind w:right="70"/>
              <w:spacing w:after="0"/>
              <w:rPr>
                <w:sz w:val="20"/>
                <w:szCs w:val="20"/>
                <w:color w:val="auto"/>
              </w:rPr>
            </w:pPr>
            <w:r>
              <w:rPr>
                <w:rFonts w:ascii="Arial" w:cs="Arial" w:eastAsia="Arial" w:hAnsi="Arial"/>
                <w:sz w:val="18"/>
                <w:szCs w:val="18"/>
                <w:color w:val="auto"/>
                <w:w w:val="87"/>
              </w:rPr>
              <w:t>(1,062)</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(1,631)</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1,542</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796</w:t>
            </w:r>
          </w:p>
        </w:tc>
        <w:tc>
          <w:tcPr>
            <w:tcW w:w="3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805</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0"/>
        </w:trPr>
        <w:tc>
          <w:tcPr>
            <w:tcW w:w="680" w:type="dxa"/>
            <w:vAlign w:val="bottom"/>
          </w:tcPr>
          <w:p>
            <w:pPr>
              <w:jc w:val="right"/>
              <w:ind w:right="70"/>
              <w:spacing w:after="0"/>
              <w:rPr>
                <w:sz w:val="20"/>
                <w:szCs w:val="20"/>
                <w:color w:val="auto"/>
              </w:rPr>
            </w:pPr>
            <w:r>
              <w:rPr>
                <w:rFonts w:ascii="Arial" w:cs="Arial" w:eastAsia="Arial" w:hAnsi="Arial"/>
                <w:sz w:val="18"/>
                <w:szCs w:val="18"/>
                <w:color w:val="auto"/>
              </w:rPr>
              <w:t>(471)</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486"/>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68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7,251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8,759</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8,816</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21"/>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845</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858</w:t>
            </w:r>
          </w:p>
        </w:tc>
      </w:tr>
      <w:tr>
        <w:trPr>
          <w:trHeight w:val="270"/>
        </w:trPr>
        <w:tc>
          <w:tcPr>
            <w:tcW w:w="680" w:type="dxa"/>
            <w:vAlign w:val="bottom"/>
          </w:tcPr>
          <w:p>
            <w:pPr>
              <w:jc w:val="right"/>
              <w:ind w:right="70"/>
              <w:spacing w:after="0"/>
              <w:rPr>
                <w:sz w:val="20"/>
                <w:szCs w:val="20"/>
                <w:color w:val="auto"/>
              </w:rPr>
            </w:pPr>
            <w:r>
              <w:rPr>
                <w:rFonts w:ascii="Arial" w:cs="Arial" w:eastAsia="Arial" w:hAnsi="Arial"/>
                <w:sz w:val="18"/>
                <w:szCs w:val="18"/>
                <w:color w:val="auto"/>
                <w:w w:val="87"/>
              </w:rPr>
              <w:t>(1,386)</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(1,399)</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788</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1,664</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1,664</w:t>
            </w:r>
          </w:p>
        </w:tc>
      </w:tr>
      <w:tr>
        <w:trPr>
          <w:trHeight w:val="486"/>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486"/>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239</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486"/>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0"/>
        </w:trPr>
        <w:tc>
          <w:tcPr>
            <w:tcW w:w="68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8,665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10,958</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10,958</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37"/>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8,778</w:t>
            </w:r>
          </w:p>
        </w:tc>
        <w:tc>
          <w:tcPr>
            <w:tcW w:w="3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11,071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11,071</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2,018</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2,216</w:t>
            </w:r>
          </w:p>
        </w:tc>
      </w:tr>
      <w:tr>
        <w:trPr>
          <w:trHeight w:val="270"/>
        </w:trPr>
        <w:tc>
          <w:tcPr>
            <w:tcW w:w="680" w:type="dxa"/>
            <w:vAlign w:val="bottom"/>
          </w:tcPr>
          <w:p>
            <w:pPr>
              <w:jc w:val="right"/>
              <w:ind w:right="70"/>
              <w:spacing w:after="0"/>
              <w:rPr>
                <w:sz w:val="20"/>
                <w:szCs w:val="20"/>
                <w:color w:val="auto"/>
              </w:rPr>
            </w:pPr>
            <w:r>
              <w:rPr>
                <w:rFonts w:ascii="Arial" w:cs="Arial" w:eastAsia="Arial" w:hAnsi="Arial"/>
                <w:sz w:val="18"/>
                <w:szCs w:val="18"/>
                <w:color w:val="auto"/>
              </w:rPr>
              <w:t>(871)</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70"/>
        </w:trPr>
        <w:tc>
          <w:tcPr>
            <w:tcW w:w="680" w:type="dxa"/>
            <w:vAlign w:val="bottom"/>
          </w:tcPr>
          <w:p>
            <w:pPr>
              <w:jc w:val="right"/>
              <w:ind w:right="7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486"/>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68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9,710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12,002</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-5942330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-5599430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-5256530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-4912995</wp:posOffset>
            </wp:positionV>
            <wp:extent cx="7246620"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-4038600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-3695700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-3352800</wp:posOffset>
            </wp:positionV>
            <wp:extent cx="7246620"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8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-2734945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-2254885</wp:posOffset>
            </wp:positionV>
            <wp:extent cx="7246620" cy="22555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90">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-4432935</wp:posOffset>
            </wp:positionV>
            <wp:extent cx="7246620"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9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-6139815</wp:posOffset>
            </wp:positionV>
            <wp:extent cx="6515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9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40"/>
            <w:col w:w="5780"/>
          </w:cols>
          <w:pgMar w:left="240" w:top="125"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20 for further discussion of our operating segments.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December 31, 2018, AAP also owned a limited partner interest in us through its ownership of approximately 280.5 million of our common units (approximately 35% of our total outstanding common units and Series A preferred units combined). Plains All American GP LLC (“GP LLC”), a Delaware limited liability company, is AAP’s general partner. Plains GP Holdings, L.P. (“PAGP”) is the sole and managing member of GP LLC, and, at December 31, 2018, owned an approximate 57% limited partner interest in AAP. PAA GP Holdings LLC (“PAGP GP”) is the general partner of PAGP.</w:t>
      </w:r>
    </w:p>
    <w:p>
      <w:pPr>
        <w:spacing w:after="0" w:line="1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181"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w:t>
      </w:r>
    </w:p>
    <w:p>
      <w:pPr>
        <w:spacing w:after="0" w:line="181" w:lineRule="exact"/>
        <w:rPr>
          <w:sz w:val="20"/>
          <w:szCs w:val="20"/>
          <w:color w:val="auto"/>
        </w:rPr>
      </w:pPr>
    </w:p>
    <w:p>
      <w:pPr>
        <w:jc w:val="both"/>
        <w:ind w:left="660" w:right="200" w:hanging="328"/>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permanent elimination of our incentive distribution rights (“IDRs”) and the economic rights associated with our 2% general partner interest in exchange for the issuance by us to AAP of 245.5 million PAA common units (including approximately 0.8 million units to be issued in the future) and the assumption by us of all of AAP’s outstanding debt ($642 million);</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pursuant to which the board of directors of GP LLC was eliminated and an expanded board of directors of PAGP GP assumed oversight responsibility over both us and PAGP;</w:t>
      </w:r>
    </w:p>
    <w:p>
      <w:pPr>
        <w:spacing w:after="0" w:line="17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 for annual PAGP shareholder elections beginning in 2018 for the purpose of electing certain directors, and the participation of our common unitholders and Series A preferred unitholders in such elections through our ownership of Class C shares in PAGP, which provide us, as the sole holder of such Class C shares, the right to vote, as directed by our common and Series A preferred unitholders, in elections of eligible PAGP directors together with the holders of PAGP Class A and Class B shares;</w:t>
      </w:r>
    </w:p>
    <w:p>
      <w:pPr>
        <w:spacing w:after="0" w:line="186" w:lineRule="exact"/>
        <w:rPr>
          <w:rFonts w:ascii="Arial" w:cs="Arial" w:eastAsia="Arial" w:hAnsi="Arial"/>
          <w:sz w:val="18"/>
          <w:szCs w:val="18"/>
          <w:color w:val="auto"/>
        </w:rPr>
      </w:pPr>
    </w:p>
    <w:p>
      <w:pPr>
        <w:ind w:left="660" w:right="60" w:hanging="328"/>
        <w:spacing w:after="0" w:line="302"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execution by AAP of a reverse split to adjust the number of AAP Class A units (“AAP units”) such that the number of outstanding AAP units (assuming the conversion of AAP Class B units (the “AAP Management Units”) into AAP units) equaled the number of our common units received by AAP at the closing of the Simplification Transactions. Simultaneously, PAGP executed reverse splits to adjust the number of (i) PAGP Class A shares outstanding to equal the number of AAP units it owned following AAP’s reverse unit split and (ii) PAGP Class B shares outstanding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125" w:right="2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line="325" w:lineRule="auto"/>
        <w:rPr>
          <w:sz w:val="20"/>
          <w:szCs w:val="20"/>
          <w:color w:val="auto"/>
        </w:rPr>
      </w:pPr>
      <w:r>
        <w:rPr>
          <w:rFonts w:ascii="Arial" w:cs="Arial" w:eastAsia="Arial" w:hAnsi="Arial"/>
          <w:sz w:val="17"/>
          <w:szCs w:val="17"/>
          <w:color w:val="auto"/>
        </w:rPr>
        <w:t>equal the number of AAP units owned by AAP’s unitholders other than PAGP following AAP’s reverse unit split. These reverse splits, along with the Omnibus Agreement, resulted in economic alignment between our common unitholders and PAGP’s Class A shareholders, such that the number of outstanding PAGP Class A shares equals the number of AAP units owned by PAGP, which in turn equals the number of our common units held by AAP that are attributable to PAGP’s interest in AAP. The Plains Entities also entered into an Omnibus Agreement, pursuant to which such one-to-one relationship will be maintained subsequent to the closing of the Simplification Transactions; and</w:t>
      </w:r>
    </w:p>
    <w:p>
      <w:pPr>
        <w:spacing w:after="0" w:line="149" w:lineRule="exact"/>
        <w:rPr>
          <w:sz w:val="20"/>
          <w:szCs w:val="20"/>
          <w:color w:val="auto"/>
        </w:rPr>
      </w:pPr>
    </w:p>
    <w:p>
      <w:pPr>
        <w:ind w:left="660" w:right="4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creation of a right for certain holders of the AAP units to cause AAP to redeem such AAP units in exchange for an equal number of our common units held by 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Simplification Transactions were between and among consolidated subsidiaries of PAGP that are considered entities under common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equity transactions did not result in a change in the carrying value of the underlying assets and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AOCI</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ASC</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ASU</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Bcf</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Billion cubic feet</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CAD</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Canadian dollar</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DERs</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EBITDA</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EPA</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FASB</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GAAP</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ICE</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Intercontinental Exchange</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ISDA</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LIBOR</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LTIP</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Long-term incentive plan</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Mcf</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Thousand cubic feet</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MLP</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Master limited partnership</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NGL</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NYMEX</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Oxy</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PLA</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Pipeline loss allowance</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USD</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United States dollar</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WTI</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accompanying financial statements and related notes present and discuss our consolidated financial position as of December 31, 2018 and 2017, and the consolidated results of our operations, cash flows, changes in partners’ capital, comprehensive income and changes in accumulated other comprehensive income/(loss) for the years ended December 31, 2018, 2017 and 2016. All significant intercompany transactions have been eliminated in consolidation, and certain reclassifications have been made to information from previous years to conform to the current presentation.</w:t>
      </w:r>
    </w:p>
    <w:p>
      <w:pPr>
        <w:spacing w:after="0" w:line="171" w:lineRule="exact"/>
        <w:rPr>
          <w:sz w:val="20"/>
          <w:szCs w:val="20"/>
          <w:color w:val="auto"/>
        </w:rPr>
      </w:pPr>
    </w:p>
    <w:p>
      <w:pPr>
        <w:ind w:right="80" w:firstLine="648"/>
        <w:spacing w:after="0" w:line="327" w:lineRule="auto"/>
        <w:rPr>
          <w:sz w:val="20"/>
          <w:szCs w:val="20"/>
          <w:color w:val="auto"/>
        </w:rPr>
      </w:pPr>
      <w:r>
        <w:rPr>
          <w:rFonts w:ascii="Arial" w:cs="Arial" w:eastAsia="Arial" w:hAnsi="Arial"/>
          <w:sz w:val="15"/>
          <w:szCs w:val="15"/>
          <w:color w:val="auto"/>
        </w:rPr>
        <w:t>Effective for the fourth quarter of 2018, we present “(Gains)/losses on asset sales and asset impairments, net” as a separate line item on our Consolidated Statements of Operations. To conform to the current year presentation, amounts related to gains and losses on asset sales and asset impairments previously presented in “Depreciation and amortization” are now presented in “(Gains)/losses on asset sales and asset impairments, net” on our Consolidated Statements of Operations. This change was applied retrospectively and does not affect Operating income, Net income or Net income attributable to PAA.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5"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Also effective for the fourth quarter of 2018, we began presenting “Trade accounts payable” as a separate line item within Current Liabilities on our Consolidated Balance Sheets. To conform to the current year presentation, approximately $134 million previously reported in “Accounts payable and accrued liabilities” is now presented in “Other current liabilities” as of December 31, 2017. This change does not affect Total Current Liabilities, Total Liabilities or working capital.</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impairment assessments of goodwill and intangible assets,</w:t>
      </w:r>
    </w:p>
    <w:p>
      <w:pPr>
        <w:spacing w:after="0" w:line="2" w:lineRule="exact"/>
        <w:rPr>
          <w:sz w:val="20"/>
          <w:szCs w:val="20"/>
          <w:color w:val="auto"/>
        </w:rPr>
      </w:pPr>
    </w:p>
    <w:p>
      <w:pPr>
        <w:ind w:firstLine="8"/>
        <w:spacing w:after="0" w:line="255" w:lineRule="auto"/>
        <w:tabs>
          <w:tab w:leader="none" w:pos="3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fair value of derivatives, (iv) accruals and contingent liabilities, (v) equity-indexed compensation plan accruals, (vi) property and equipment, depreciation and amortization expense, asset retirement obligations and impairments, (vii) allowance for doubtful accounts and (viii) inventory valuations. Although we believe these estimates are reasonable,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Purchases and related costs include (i) the weighted average cost of crude oil, NGL and natural gas sold to customers, (ii) fees incurred for storage and transportation, whether by pipeline, truck, rail, ship or barge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8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net gain of $1 million and $21 million for the years ended December 31, 2018 and 2017, respectively, and a net loss of $8 million for the year ended December 31, 2016.</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5"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accordance with our policy, unless they may be covered by funds on deposit, outstanding checks are classified as trade accounts payable rather than negative cash. As of December 31, 2018 and 2017, trade accounts payable included $57 million and $60 million, respectively, of outstanding checks that were reclassified from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8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Following our sale of SLC Pipeline LLC in the fourth quarter of 2017, we no longer have any noncontrolling interests in consolidated subsidiaries. See Note 12 for additional discussion regarding our noncontrolling interests.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8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of which $107 million, $99 million and $33 million were reflected in “Other long-term liabilities and deferred credits” with the remaining portion reflected in “Other current liabilities” on our Consolidated Balance Sheets as of December 31, 2018, 2017 and 2016, respectively (in millions):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080" w:type="dxa"/>
            <w:vAlign w:val="bottom"/>
          </w:tcPr>
          <w:p>
            <w:pPr>
              <w:spacing w:after="0"/>
              <w:rPr>
                <w:sz w:val="20"/>
                <w:szCs w:val="20"/>
                <w:color w:val="auto"/>
              </w:rPr>
            </w:pPr>
          </w:p>
        </w:tc>
        <w:tc>
          <w:tcPr>
            <w:tcW w:w="4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r>
      <w:tr>
        <w:trPr>
          <w:trHeight w:val="33"/>
        </w:trPr>
        <w:tc>
          <w:tcPr>
            <w:tcW w:w="40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200" w:type="dxa"/>
            <w:vAlign w:val="bottom"/>
            <w:tcBorders>
              <w:bottom w:val="single" w:sz="8" w:color="CCEEFF"/>
            </w:tcBorders>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Liabilities incurred</w:t>
            </w:r>
          </w:p>
        </w:tc>
        <w:tc>
          <w:tcPr>
            <w:tcW w:w="3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40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w:t>
            </w:r>
          </w:p>
        </w:tc>
        <w:tc>
          <w:tcPr>
            <w:tcW w:w="3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3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Revisions in estimated cash flows</w:t>
            </w:r>
          </w:p>
        </w:tc>
        <w:tc>
          <w:tcPr>
            <w:tcW w:w="3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36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r>
      <w:tr>
        <w:trPr>
          <w:trHeight w:val="20"/>
        </w:trPr>
        <w:tc>
          <w:tcPr>
            <w:tcW w:w="4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2"/>
        </w:trPr>
        <w:tc>
          <w:tcPr>
            <w:tcW w:w="4080" w:type="dxa"/>
            <w:vAlign w:val="bottom"/>
          </w:tcPr>
          <w:p>
            <w:pPr>
              <w:spacing w:after="0"/>
              <w:rPr>
                <w:sz w:val="24"/>
                <w:szCs w:val="24"/>
                <w:color w:val="auto"/>
              </w:rPr>
            </w:pPr>
          </w:p>
        </w:tc>
        <w:tc>
          <w:tcPr>
            <w:tcW w:w="4200" w:type="dxa"/>
            <w:vAlign w:val="bottom"/>
            <w:gridSpan w:val="2"/>
          </w:tcPr>
          <w:p>
            <w:pPr>
              <w:jc w:val="right"/>
              <w:ind w:right="2310"/>
              <w:spacing w:after="0"/>
              <w:rPr>
                <w:sz w:val="20"/>
                <w:szCs w:val="20"/>
                <w:color w:val="auto"/>
              </w:rPr>
            </w:pPr>
            <w:r>
              <w:rPr>
                <w:rFonts w:ascii="Arial" w:cs="Arial" w:eastAsia="Arial" w:hAnsi="Arial"/>
                <w:sz w:val="18"/>
                <w:szCs w:val="18"/>
                <w:color w:val="auto"/>
              </w:rPr>
              <w:t>F-12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13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the respective footnotes for our accounting policies regarding (i) revenues and accounts receivable, (ii) net income per common unit,</w:t>
      </w:r>
    </w:p>
    <w:p>
      <w:pPr>
        <w:spacing w:after="0" w:line="35" w:lineRule="exact"/>
        <w:rPr>
          <w:sz w:val="20"/>
          <w:szCs w:val="20"/>
          <w:color w:val="auto"/>
        </w:rPr>
      </w:pPr>
    </w:p>
    <w:p>
      <w:pPr>
        <w:ind w:right="140" w:firstLine="8"/>
        <w:spacing w:after="0" w:line="281" w:lineRule="auto"/>
        <w:tabs>
          <w:tab w:leader="none" w:pos="315"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inventory, linefill and base gas and long-term inventory, (iv) property and equipment, (v) acquisitions, (vi) goodwill, (vii) investments in unconsolidated entities, (viii) other long-term assets, net, (ix) income allocation for partners’ capital presentation purposes, (x) derivatives and risk management activities,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income taxes, (xii) equity-indexed compensation and (xiii) legal and environmental matters.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In October 2018, the FASB issued ASU 2018-17, </w:t>
      </w:r>
      <w:r>
        <w:rPr>
          <w:rFonts w:ascii="Arial" w:cs="Arial" w:eastAsia="Arial" w:hAnsi="Arial"/>
          <w:sz w:val="16"/>
          <w:szCs w:val="16"/>
          <w:i w:val="1"/>
          <w:iCs w:val="1"/>
          <w:color w:val="auto"/>
        </w:rPr>
        <w:t>Consolidation (Topic 810): Targeted Improvements to Related Party Guidance for Variable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Entities</w:t>
      </w:r>
      <w:r>
        <w:rPr>
          <w:rFonts w:ascii="Arial" w:cs="Arial" w:eastAsia="Arial" w:hAnsi="Arial"/>
          <w:sz w:val="16"/>
          <w:szCs w:val="16"/>
          <w:color w:val="auto"/>
        </w:rPr>
        <w:t>, in response to stakeholder observations that improvements could be made by requiring reporting entities to consider indirect interests held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parties under common control on a proportional basis rather than as the equivalent of a direct interest in its entirety as currently required in GAAP. This guidance is effective for interim and annual periods beginning after December 15, 2019, with early adoption permitted. We expect to adopt this guidance on January 1, 2020, and do not currently anticipate that our adoption will have a material impact on our financial position, results of operations or cash flows.</w:t>
      </w:r>
    </w:p>
    <w:p>
      <w:pPr>
        <w:spacing w:after="0" w:line="15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In October 2018, the FASB issued ASU 2018-16, </w:t>
      </w:r>
      <w:r>
        <w:rPr>
          <w:rFonts w:ascii="Arial" w:cs="Arial" w:eastAsia="Arial" w:hAnsi="Arial"/>
          <w:sz w:val="16"/>
          <w:szCs w:val="16"/>
          <w:i w:val="1"/>
          <w:iCs w:val="1"/>
          <w:color w:val="auto"/>
        </w:rPr>
        <w:t>Derivatives and Hedging (Topic 815): Inclusion of the Secured Overnight Financing Rate (SOFR)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Overnight Index Swap (OIS) Rate as a Benchmark Interest Rate for Hedge Accounting Purposes, </w:t>
      </w:r>
      <w:r>
        <w:rPr>
          <w:rFonts w:ascii="Arial" w:cs="Arial" w:eastAsia="Arial" w:hAnsi="Arial"/>
          <w:sz w:val="16"/>
          <w:szCs w:val="16"/>
          <w:color w:val="auto"/>
        </w:rPr>
        <w:t>to include the OIS rate based on SOFR as an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benchmark interest rate during the early stages of the marketplace transition to facilitate the LIBOR to SOFR transition and provide sufficient lead time for entities to prepare for changes to interest rate risk hedging strategies for both risk management and hedge accounting purposes</w:t>
      </w:r>
      <w:r>
        <w:rPr>
          <w:rFonts w:ascii="Arial" w:cs="Arial" w:eastAsia="Arial" w:hAnsi="Arial"/>
          <w:sz w:val="16"/>
          <w:szCs w:val="16"/>
          <w:i w:val="1"/>
          <w:iCs w:val="1"/>
          <w:color w:val="auto"/>
        </w:rPr>
        <w:t>.</w:t>
      </w:r>
      <w:r>
        <w:rPr>
          <w:rFonts w:ascii="Arial" w:cs="Arial" w:eastAsia="Arial" w:hAnsi="Arial"/>
          <w:sz w:val="16"/>
          <w:szCs w:val="16"/>
          <w:color w:val="auto"/>
        </w:rPr>
        <w:t xml:space="preserve"> This guidance is effective for interim and annual periods beginning after December 15, 2018, and must be adopted concurrently with the amendments in ASU 2017-12 (see below). We will adopt this ASU effective January 1, 2019 and will apply the new guidance to applicable transactions occurring after that date.</w:t>
      </w:r>
    </w:p>
    <w:p>
      <w:pPr>
        <w:spacing w:after="0" w:line="16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 (a consensus of the FASB Emerging Issues Task Force)</w:t>
      </w:r>
      <w:r>
        <w:rPr>
          <w:rFonts w:ascii="Arial" w:cs="Arial" w:eastAsia="Arial" w:hAnsi="Arial"/>
          <w:sz w:val="17"/>
          <w:szCs w:val="17"/>
          <w:color w:val="auto"/>
        </w:rPr>
        <w:t>, to address the accounting for implementation costs of a hosting arrangement that is a service contract and to align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for hosting arrangements, regardless of whether they convey a license to the hosted software. This guidance is effective for interim and annual periods beginning after December 15, 2019, with early adoption permitted. We expect to adopt this guidance on January 1, 2020, and we are currently evaluating the effect that our adoption of this guidance will have on our financial position, results of operations and cash flows.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modifying the disclosure requirements on fair value measurements in Topic 820. This guidance is effective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and annual periods beginning after December 15, 2019, with early adoption permitted. We expect to adopt this guidance on January 1, 2020, and we are currently evaluating the effect that our adoption of this guidance will have on our disclosures.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In July 2018, the FASB issued ASU 2018-09,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makes updates for clarifications, technical corrections and other minor improvements to a wide variety of Topics to make the ASC easier to understand and to apply. The transition and effective date is based on the facts and circumstances of each amendment with some amendments effective upon issuance. The remaining amendments are effective for annual periods beginning after December 15, 2018. We will adopt this guidance effective January 1, 2019 and do not anticipate that the adoption will have a material impact on our financial position, results of operations or cash flows.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expands the scope of Topic 718 to include share-based payment awards to nonemployees and eliminates the 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for employee and nonemployee share-based payment awards. This guidance is effective for interim and annual periods beginning after December 15, 2018, with early adoption permitted. We will adopt this guidance effective January 1, 2019 and do not anticipate that the adoption will have a material impact on our financial position, results of operations or cash flows.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to better align an entity’s risk management activities and financial reporting for hedging relationships through changes to both the designation and measurement guidance for qualifying hedging relationships and the presentation of hedge results. Under the new guidance, (i) more financial and nonfinancial hedging strategies will be eligible for hedge accounting, (ii) presentation and disclosure requirements are amended and (iii) companies will change the way they assess effectiveness. This guidance is effective for interim and annual periods beginning after December 15, 2018, with early adoption permitted. We will adopt this guidance effective January 1, 2019 and do not anticipate that the adoption will have a material impact on our financial position, results of operations or cash flows.</w:t>
      </w:r>
    </w:p>
    <w:p>
      <w:pPr>
        <w:spacing w:after="0" w:line="18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to provide guidance about which changes to the terms or conditions of a share-based payment award require an entity to apply modification accounting. Under the new guidance, modification accounting is required only if the fair value (or calculated value or intrinsic value, if such alternative method is used), the vesting conditions, or the classification of the award (equity or liability) changes as a result of the change in terms or conditions. This guidance is effective for interim and annual periods beginning after December 15, 2017, with early adoption permitted, and prospective application required. We adopted this ASU on January 1, 2018. Our adoption did not have a material impact on our financial position, results of operations or cash flows.</w:t>
      </w:r>
    </w:p>
    <w:p>
      <w:pPr>
        <w:spacing w:after="0" w:line="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February 2017, the FASB issued ASU 2017-05, </w:t>
      </w:r>
      <w:r>
        <w:rPr>
          <w:rFonts w:ascii="Arial" w:cs="Arial" w:eastAsia="Arial" w:hAnsi="Arial"/>
          <w:sz w:val="17"/>
          <w:szCs w:val="17"/>
          <w:i w:val="1"/>
          <w:iCs w:val="1"/>
          <w:color w:val="auto"/>
        </w:rPr>
        <w:t>Other Income—Gains and Losses from the Derecognition of Nonfinancial Assets (Subtopic 610-20): Clarifying the Scope of Asset Derecognition Guidance and Accounting for Partial Sales of Nonfinancial Assets</w:t>
      </w:r>
      <w:r>
        <w:rPr>
          <w:rFonts w:ascii="Arial" w:cs="Arial" w:eastAsia="Arial" w:hAnsi="Arial"/>
          <w:sz w:val="17"/>
          <w:szCs w:val="17"/>
          <w:color w:val="auto"/>
        </w:rPr>
        <w:t>. The ASU clarifies what type of</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involving nonfinancial assets are covered by the scope of the standard and provides guidance on how to account for those transactions, including partial sales of real estate. Within this guidance, all sales and partial sales of businesses, which may have previously been accounted for using the in-substance real estate guidance, should follow the consolidation guidance. This guidance is effective for interim and annual periods beginning after December 15, 2017, and must be adopted at the same time as Topic 606 (defined below). We adopted this ASU on January 1, 2018, using the modified retrospective approach. The cumulative effect of our adoption resulted in increases in both the carrying value of investments in unconsolidated entities and retained earnings of $113 million related to the retained non-controlling interest in those entities from partial sales of businesses accounted for under in-substance real estate guidance (FASB ASC 360-20) during 2016 and 2017.</w:t>
      </w:r>
    </w:p>
    <w:p>
      <w:pPr>
        <w:spacing w:after="0" w:line="182"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improves the guidance for determining whether a transaction involves the purchase or disposal of a business or an asset. This guidance is effective for interim and annual periods beginning after December 15, 2017, with early adoption permitted, and prospective application required. We adopted this ASU on January 1, 2018 and will apply the new guidance to applicable transactions occurring after that date.</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 (a consensus of the FASB Emerging</w:t>
      </w:r>
      <w:r>
        <w:rPr>
          <w:rFonts w:ascii="Arial" w:cs="Arial" w:eastAsia="Arial" w:hAnsi="Arial"/>
          <w:sz w:val="18"/>
          <w:szCs w:val="18"/>
          <w:color w:val="auto"/>
        </w:rPr>
        <w:t xml:space="preserve"> </w:t>
      </w:r>
      <w:r>
        <w:rPr>
          <w:rFonts w:ascii="Arial" w:cs="Arial" w:eastAsia="Arial" w:hAnsi="Arial"/>
          <w:sz w:val="18"/>
          <w:szCs w:val="18"/>
          <w:i w:val="1"/>
          <w:iCs w:val="1"/>
          <w:color w:val="auto"/>
        </w:rPr>
        <w:t>Issues Task Force)</w:t>
      </w:r>
      <w:r>
        <w:rPr>
          <w:rFonts w:ascii="Arial" w:cs="Arial" w:eastAsia="Arial" w:hAnsi="Arial"/>
          <w:sz w:val="18"/>
          <w:szCs w:val="18"/>
          <w:color w:val="auto"/>
        </w:rPr>
        <w:t>, requiring that a statement of cash flows explain the change in total cash, cash equivalents, and amounts generally described as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restricted cash equivalents during the period. Therefore, amounts generally described as restricted cash and restricted cash equivalents should be included with cash and cash equivalents when reconciling the beginning-of-period total amounts shown on the statement of cash flows. This guidance is effective for interim and annual periods beginning after December 31, 2017. We adopted this ASU on January 1, 2018. Our adoption did not have an impact on our statements of cash flows.</w:t>
      </w:r>
    </w:p>
    <w:p>
      <w:pPr>
        <w:spacing w:after="0" w:line="193"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to improve the accounting for the income tax consequences of intra-entity transfers of assets other than inventory. This guidance is effective for interim and annual periods beginning after December 15, 2017, with early adoption permitted in the first interim period of an annual reporting period. We adopted this ASU on January 1, 2018. Our adoption did not have a material impact on our financial position, results of operations or cash flows.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In order to clarify the scope of the guidance in the amendments in ASU 2016-13, the FASB issued ASU 2018-19,</w:t>
      </w:r>
      <w:r>
        <w:rPr>
          <w:rFonts w:ascii="Arial" w:cs="Arial" w:eastAsia="Arial" w:hAnsi="Arial"/>
          <w:sz w:val="17"/>
          <w:szCs w:val="17"/>
          <w:i w:val="1"/>
          <w:iCs w:val="1"/>
          <w:color w:val="auto"/>
        </w:rPr>
        <w:t xml:space="preserve"> Codification Improvements to Topic 326, Financial Instruments—Credit Losses </w:t>
      </w:r>
      <w:r>
        <w:rPr>
          <w:rFonts w:ascii="Arial" w:cs="Arial" w:eastAsia="Arial" w:hAnsi="Arial"/>
          <w:sz w:val="17"/>
          <w:szCs w:val="17"/>
          <w:color w:val="auto"/>
        </w:rPr>
        <w:t>in November 2018. Both ASUs will become effective for interim and annual periods beginning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15, 2019, with early adoption permitted by one year. We expect to adopt these ASUs on January 1, 2020, and we are currently evaluating the effect that our adoption will have on our financial position, results of operations and cash flows.</w:t>
      </w:r>
    </w:p>
    <w:p>
      <w:pPr>
        <w:spacing w:after="0" w:line="17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(followed by a series of related accounting standard updates (collectively referred to as “Topic 842”)), that revises the current accounting model for leases. The most significant changes are the clarification of the definition of a lease and required lessee recognition on the balance sheet of right-of-use assets and lease liabilities with lease terms of more than 12 months (with the election of the practical expedient to exclude short-term leases on the balance sheet), including extensive quantitative and qualitative disclosures. This guidance became effective for interim and annual periods beginning after December 15, 2018. We will adopt this guidance effective January 1, 2019.</w:t>
      </w:r>
    </w:p>
    <w:p>
      <w:pPr>
        <w:spacing w:after="0" w:line="1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elected the package of practical expedients permitted under the transition guidance within the new standard, which among other things, allowed us to carry forward the historical accounting related to lease identification, classification and indirect costs. We also elected the practical expedient related to land easements, allowing us to carry forward our accounting treatment for land easements on existing agreements. Further, we elected the practical expedient which provides us with an optional transitional method, thereby applying the new guidance at the effective date, without adjusting the comparative periods and, if necessary, recognizing a cumulative-effect adjustment to the opening balance of Partners’ Capital upon adoption at January 1, 2019. We did not elect the practical expedient related to using hindsight in determining the lease term as this was not relevant following our election of the optional transitional method. We also did not elect the non-lease component separation practical expedient. We have implemented a process to evaluate the impact of adopting this guidance on each type of lease contract we have entered into with counterparties. Our implementation team determined appropriate changes to our business processes, systems and controls to support recognition and disclosure under the new standard. Based upon our lease portfolio as of December 31, 2018, we currently anticipate recording both right-of-use assets and lease liabilities of approximately $550 million to $600 million related to several asset categories including land, railcars, vehicles and trailers, and office buildings to our Consolidated Balance Sheet. Further we expect an increase in disclosures related to leases. We do not anticipate a material impact to our Consolidated Statement of Operations or Cash Flows. In addition to the above, which primarily relates to our accounting as a lessee, our accounting from a lessor perspective remains substantially unchanged under Topic 842. However, the determination of the ultimate impact of adopting this guidance will not be finalized until our implementation procedures are complete.</w:t>
      </w:r>
    </w:p>
    <w:p>
      <w:pPr>
        <w:spacing w:after="0" w:line="17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followed by a series of related accounting standard updates (collectively referred to as “Topic 606”) with the underlying principle that an entity will recognize revenue to reflect amounts expected to be received in exchange for the provision of goods and services to customers upon the transfer of control of those goods or services. We adopted Topic 606 on January 1, 2018, and applied the modified retrospective approach. See Note 3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On January 1, 2018, we adopted Topic 606 using the modified retrospective approach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There was no material impact to opening retained earnings as of January 1, 2018 due to the adoption of Topic 606. There also was no material impact to revenues, or any other financial statement line items, for the year ended December 31, 2018 as a result of applying Topic 606.</w:t>
      </w:r>
    </w:p>
    <w:p>
      <w:pPr>
        <w:spacing w:after="0" w:line="14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Under Topic 606, we disaggregate our revenues by segment and type of activity. These categories depict how the nature, amount, timing and uncertainty of revenues and cash flows are affected by economic factors.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Supply and Logistics Segment Revenues from Contracts with Customers. </w:t>
      </w:r>
      <w:r>
        <w:rPr>
          <w:rFonts w:ascii="Arial" w:cs="Arial" w:eastAsia="Arial" w:hAnsi="Arial"/>
          <w:sz w:val="18"/>
          <w:szCs w:val="18"/>
          <w:color w:val="auto"/>
        </w:rPr>
        <w:t>The following table presents our Supply and Logistics segment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7"/>
              </w:rPr>
              <w:t>Year Ended December 31,</w:t>
            </w:r>
          </w:p>
        </w:tc>
      </w:tr>
      <w:tr>
        <w:trPr>
          <w:trHeight w:val="192"/>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Crude oil transactions</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29,592</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other transactions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3,108</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32,700</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Revenues from sales of crude oil, NGL and natural gas are recognized at the time title to the product sold transfers to the purchaser, which occurs upon delivery of the product to the purchaser or its designee. Sales of crude oil and NGL consist of outright sales contracts. The consideration received under these contracts is variable based on commodity prices. Inventory exchanges under buy/sell transactions are excluded from Supply and Logistics segment revenues in our Consolidated Statements of Operations. Revenues recognized by our Supply and Logistics segment primarily represent margin based activities.</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we have certain crude oil sales agreements that are entered into in conjunction with storage arrangements and future inventory exchanges. The revenues under these agreements are deferred until all performance obligations associated with the related agreements are completed. The inventory that has been sold under these crude oil sales agreements is reflected in “Other current assets” on our Consolidated Balance Sheet until all of our performance obligations are complete. At that time, the inventory that has been sold is removed from our Consolidated Balance Sheet and recorded as “Purchases and related costs” in our Consolidated Statement of Operations. At December 31, 2018, other current assets and deferred revenue associated with these agreements was approximately $115 million and $116 million, respectively. See Contract Balances below for further discussion of contract liabilities associated with these agreements.</w:t>
      </w:r>
    </w:p>
    <w:p>
      <w:pPr>
        <w:spacing w:after="0" w:line="18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may also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Transportation Segment Revenues from Contracts with Customers. </w:t>
      </w:r>
      <w:r>
        <w:rPr>
          <w:rFonts w:ascii="Arial" w:cs="Arial" w:eastAsia="Arial" w:hAnsi="Arial"/>
          <w:sz w:val="18"/>
          <w:szCs w:val="18"/>
          <w:color w:val="auto"/>
        </w:rPr>
        <w:t>The following table presents our Transportation segment revenues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7"/>
              </w:rPr>
              <w:t>Year Ended December 31,</w:t>
            </w:r>
          </w:p>
        </w:tc>
      </w:tr>
      <w:tr>
        <w:trPr>
          <w:trHeight w:val="192"/>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Tariff activities: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pipelines</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1,724</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NGL pipelines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103</w:t>
            </w:r>
          </w:p>
        </w:tc>
      </w:tr>
      <w:tr>
        <w:trPr>
          <w:trHeight w:val="27"/>
        </w:trPr>
        <w:tc>
          <w:tcPr>
            <w:tcW w:w="9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tariff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1,827</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Trucking</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149</w:t>
            </w:r>
          </w:p>
        </w:tc>
      </w:tr>
      <w:tr>
        <w:trPr>
          <w:trHeight w:val="27"/>
        </w:trPr>
        <w:tc>
          <w:tcPr>
            <w:tcW w:w="9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1,976</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Facilities Segment Revenues from Contracts with Customers. </w:t>
      </w:r>
      <w:r>
        <w:rPr>
          <w:rFonts w:ascii="Arial" w:cs="Arial" w:eastAsia="Arial" w:hAnsi="Arial"/>
          <w:sz w:val="18"/>
          <w:szCs w:val="18"/>
          <w:color w:val="auto"/>
        </w:rPr>
        <w:t>The following table presents our Facilities segment revenues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7"/>
              </w:rPr>
              <w:t>Year Ended December 31,</w:t>
            </w:r>
          </w:p>
        </w:tc>
      </w:tr>
      <w:tr>
        <w:trPr>
          <w:trHeight w:val="192"/>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Crude oil, NGL and other terminalling and storage</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688</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natural gas processing and fractionation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Rail load / unload</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84</w:t>
            </w:r>
          </w:p>
        </w:tc>
      </w:tr>
      <w:tr>
        <w:trPr>
          <w:trHeight w:val="27"/>
        </w:trPr>
        <w:tc>
          <w:tcPr>
            <w:tcW w:w="9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Facilities segment revenues from contracts with customers</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1,136</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Revenues generated in this segment include (i) fees that are generated when we receive liquids from one connecting source and deliver the applicable product to another connecting carrier, fees from storage capacity agreements and fees associated with natural gas storage related activities (collectively “Crude oil, NGL and other terminalling and storage”), (ii) fees from natural gas and condensate processing services and from NGL fractionation and isomerization services (collectively, “NGL and natural gas processing and fractionation”) and (iii) loading and unloading fees at our rail terminals.</w:t>
      </w:r>
    </w:p>
    <w:p>
      <w:pPr>
        <w:spacing w:after="0" w:line="16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rail fees) are recognized as the liquids enter or exit the terminal and are received from or delivered to the connecting carrier or third-party terminal, as applicable. Fees from NGL fractionation and isomerization services and gas processing services are recognized in the period when the services are performed. Natural gas storage related activities fees are recognized in the period the natural gas moves across our header system. We recognize rail loading and unloading fees when the volumes are delivered or received.</w:t>
      </w:r>
    </w:p>
    <w:p>
      <w:pPr>
        <w:spacing w:after="0" w:line="16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Topic 606 requires us to provide information about the relationship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disaggregated revenues presented above and segment revenues. These disclosures only include information regarding revenues associated with consolidated entities, and revenues from entities accounted for by the equity method are not included in the disclosures. The following table presents the reconciliation of our revenues from contracts with customers (as described above for each segment) to segment revenues and total revenues as disclosed in our Consolidated Statement of Operations (in millions):</w:t>
      </w: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Supply and</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32,700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35,812</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32,822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December 31, 2018 and December 31, 2017, counterparty deficiencies associated with agreements (including buy/sell arrangements) that include minimum volume commitments totaled $62 million and $57 million, respectively, of which $40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million and $37 million, respectively, was recorded as a contract liability, which we refer to as deferred revenue. The remaining balance of $22 million and</w:t>
      </w:r>
    </w:p>
    <w:p>
      <w:pPr>
        <w:spacing w:after="0" w:line="46"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$20 million at December 31, 2018 and December 31, 2017, respectively, was related to deficiencies for which the counterparties had not met their contractual minimum commitments and were not reflected in our Consolidated Financial Statements as we had not yet billed or collected such amounts.</w:t>
      </w:r>
    </w:p>
    <w:p>
      <w:pPr>
        <w:spacing w:after="0" w:line="13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contract liability balance during the year ended December 31, 2018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Contract Liabilities</w:t>
            </w:r>
          </w:p>
        </w:tc>
      </w:tr>
      <w:tr>
        <w:trPr>
          <w:trHeight w:val="26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0"/>
        </w:trPr>
        <w:tc>
          <w:tcPr>
            <w:tcW w:w="9360" w:type="dxa"/>
            <w:vAlign w:val="bottom"/>
          </w:tcPr>
          <w:p>
            <w:pPr>
              <w:ind w:left="180"/>
              <w:spacing w:after="0"/>
              <w:rPr>
                <w:sz w:val="20"/>
                <w:szCs w:val="20"/>
                <w:color w:val="auto"/>
              </w:rPr>
            </w:pPr>
            <w:r>
              <w:rPr>
                <w:rFonts w:ascii="Arial" w:cs="Arial" w:eastAsia="Arial" w:hAnsi="Arial"/>
                <w:sz w:val="18"/>
                <w:szCs w:val="18"/>
                <w:color w:val="auto"/>
              </w:rPr>
              <w:t>Amounts recognized as revenue</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3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 (2)</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332</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9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0" w:hanging="652"/>
        <w:spacing w:after="0" w:line="216" w:lineRule="auto"/>
        <w:tabs>
          <w:tab w:leader="none" w:pos="660" w:val="left"/>
        </w:tabs>
        <w:numPr>
          <w:ilvl w:val="0"/>
          <w:numId w:val="91"/>
        </w:numPr>
        <w:rPr>
          <w:rFonts w:ascii="Arial" w:cs="Arial" w:eastAsia="Arial" w:hAnsi="Arial"/>
          <w:sz w:val="25"/>
          <w:szCs w:val="25"/>
          <w:color w:val="auto"/>
          <w:vertAlign w:val="superscript"/>
        </w:rPr>
      </w:pPr>
      <w:r>
        <w:rPr>
          <w:rFonts w:ascii="Arial" w:cs="Arial" w:eastAsia="Arial" w:hAnsi="Arial"/>
          <w:sz w:val="18"/>
          <w:szCs w:val="18"/>
          <w:color w:val="auto"/>
        </w:rPr>
        <w:t>Includes approximately $116 million associated with crude oil sales agreements that are entered into in conjunction with storage arrangements and future inventory exchanges. Such amount is expected to be recognized as revenue in the first quarter of 2019.</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91"/>
        </w:numPr>
        <w:rPr>
          <w:rFonts w:ascii="Arial" w:cs="Arial" w:eastAsia="Arial" w:hAnsi="Arial"/>
          <w:sz w:val="25"/>
          <w:szCs w:val="25"/>
          <w:color w:val="auto"/>
          <w:vertAlign w:val="superscript"/>
        </w:rPr>
      </w:pPr>
      <w:r>
        <w:rPr>
          <w:rFonts w:ascii="Arial" w:cs="Arial" w:eastAsia="Arial" w:hAnsi="Arial"/>
          <w:sz w:val="18"/>
          <w:szCs w:val="18"/>
          <w:color w:val="auto"/>
        </w:rPr>
        <w:t>Includes $100 million associated with long-term capacity agreements with Cactus II Pipeline LLC. See Note 9 for additional information.</w:t>
      </w:r>
    </w:p>
    <w:p>
      <w:pPr>
        <w:spacing w:after="0" w:line="20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December 31, 2018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57"/>
              <w:spacing w:after="0"/>
              <w:rPr>
                <w:sz w:val="20"/>
                <w:szCs w:val="20"/>
                <w:color w:val="auto"/>
              </w:rPr>
            </w:pPr>
            <w:r>
              <w:rPr>
                <w:rFonts w:ascii="Arial" w:cs="Arial" w:eastAsia="Arial" w:hAnsi="Arial"/>
                <w:sz w:val="14"/>
                <w:szCs w:val="14"/>
                <w:b w:val="1"/>
                <w:bCs w:val="1"/>
                <w:color w:val="auto"/>
              </w:rPr>
              <w:t>2024 and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Pipeline revenues supported by minimum volume commitments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and long-term capacity agreements </w:t>
            </w:r>
            <w:r>
              <w:rPr>
                <w:rFonts w:ascii="Arial" w:cs="Arial" w:eastAsia="Arial" w:hAnsi="Arial"/>
                <w:sz w:val="25"/>
                <w:szCs w:val="25"/>
                <w:color w:val="auto"/>
                <w:vertAlign w:val="superscript"/>
              </w:rPr>
              <w:t>(1)</w:t>
            </w: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157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9"/>
              </w:rPr>
              <w:t>Long-term storage, terminalling and throughput agreement</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revenues</w:t>
            </w:r>
          </w:p>
        </w:tc>
        <w:tc>
          <w:tcPr>
            <w:tcW w:w="66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9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40" w:hanging="652"/>
        <w:spacing w:after="0" w:line="216" w:lineRule="auto"/>
        <w:tabs>
          <w:tab w:leader="none" w:pos="660" w:val="left"/>
        </w:tabs>
        <w:numPr>
          <w:ilvl w:val="0"/>
          <w:numId w:val="92"/>
        </w:numPr>
        <w:rPr>
          <w:rFonts w:ascii="Arial" w:cs="Arial" w:eastAsia="Arial" w:hAnsi="Arial"/>
          <w:sz w:val="25"/>
          <w:szCs w:val="25"/>
          <w:color w:val="auto"/>
          <w:vertAlign w:val="superscript"/>
        </w:rPr>
      </w:pPr>
      <w:r>
        <w:rPr>
          <w:rFonts w:ascii="Arial" w:cs="Arial" w:eastAsia="Arial" w:hAnsi="Arial"/>
          <w:sz w:val="18"/>
          <w:szCs w:val="18"/>
          <w:color w:val="auto"/>
        </w:rPr>
        <w:t>Includes revenues from certain contracts for which the amount and timing of revenue is subject to the completion of underlying construction projects.</w:t>
      </w:r>
    </w:p>
    <w:p>
      <w:pPr>
        <w:spacing w:after="0" w:line="20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58" w:lineRule="exact"/>
        <w:rPr>
          <w:sz w:val="20"/>
          <w:szCs w:val="20"/>
          <w:color w:val="auto"/>
        </w:rPr>
      </w:pPr>
    </w:p>
    <w:p>
      <w:pPr>
        <w:ind w:left="820" w:right="160" w:hanging="164"/>
        <w:spacing w:after="0" w:line="277" w:lineRule="auto"/>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Minimum volume commitments related to the assets of equity method investees — Contracts include those related to the Eagle Ford, BridgeTex, STACK, Caddo, Saddlehorn, White Cliffs, Cheyenne, Diamond and Cactus II pipeline systems;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hanging="164"/>
        <w:spacing w:after="0"/>
        <w:tabs>
          <w:tab w:leader="none" w:pos="8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Acreage dedications — Contracts include those related to the Permian Basin, Eagle Ford, Central, Rocky Mountain and Canada regions;</w:t>
      </w:r>
    </w:p>
    <w:p>
      <w:pPr>
        <w:spacing w:after="0" w:line="128" w:lineRule="exact"/>
        <w:rPr>
          <w:rFonts w:ascii="Arial" w:cs="Arial" w:eastAsia="Arial" w:hAnsi="Arial"/>
          <w:sz w:val="17"/>
          <w:szCs w:val="17"/>
          <w:color w:val="auto"/>
        </w:rPr>
      </w:pPr>
    </w:p>
    <w:p>
      <w:pPr>
        <w:ind w:left="820" w:right="360" w:hanging="164"/>
        <w:spacing w:after="0" w:line="277" w:lineRule="auto"/>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Supply and Logistics buy/sell arrangements — Contracts include agreements with future committed volumes on certain Permian Basin, Eagle Ford, Central and Canada region systems;</w:t>
      </w:r>
    </w:p>
    <w:p>
      <w:pPr>
        <w:spacing w:after="0" w:line="62" w:lineRule="exact"/>
        <w:rPr>
          <w:rFonts w:ascii="Arial" w:cs="Arial" w:eastAsia="Arial" w:hAnsi="Arial"/>
          <w:sz w:val="18"/>
          <w:szCs w:val="18"/>
          <w:color w:val="auto"/>
        </w:rPr>
      </w:pPr>
    </w:p>
    <w:p>
      <w:pPr>
        <w:ind w:left="820" w:right="200" w:hanging="164"/>
        <w:spacing w:after="0" w:line="277" w:lineRule="auto"/>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other Supply and Logistics contracts, due to the election of practical expedients related to variable consideration and short-term contracts, as discussed below;</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 as discussed below;</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840,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33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under Topic 606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supply and logistics arrangements contain variable timing, volumes and/or consideration and are excluded from this presentation. The duration of these contracts varies across the periods presented above.</w:t>
      </w:r>
    </w:p>
    <w:p>
      <w:pPr>
        <w:spacing w:after="0" w:line="193"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Additionally, we have elected practical expedients to exclude contracts with terms of one year or less, and therefore exclude the presentation of remaining performance obligations for short-term transportation, storage and processing services, supply and logistics arrangements, including the non-cancelable period of evergreen arrangements, and any other types of arrangements with terms of one year or less.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and natural gas.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Prices for crude oil, natural gas and NGLs can fluctuate widely. For example, over a less than three month time period during 2018, NYMEX West Texas Intermediate oil prices decreased by 44% from a high of $76.41 in early October 2018 to a low of $42.53 in late December 2018. Price volatility has caused liquidity and leverage issues throughout the energy industry,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As of December 31, 2018 and December 31, 2017, we had received $140 million and $117 million, respectively, of advance cash payments from third parties to mitigate credit risk. We also received $117 million and $54 million as of December 31, 2018 and December 31, 2017, respectively, of standby letters of credit to support obligations due from third parties, a portion of which applies to future business.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6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generally invoice customers in the month following that in which products or services were provided and generally require payment within 30 days of the invoice date. 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2018 and December 31, 2017, substantially all of our trade accounts receivable (net of allowance for doubtful accounts) were less than 30 days past their scheduled invoice date. Our allowance for doubtful accounts receivable totaled $3 million at both December 31, 2018 and December 31, 2017. Although we consider our allowance for doubtful accounts receivable to be adequate, actual amounts could vary significantly from estimated amounts.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125"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Consolidated Balance Sheet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264"/>
        </w:trPr>
        <w:tc>
          <w:tcPr>
            <w:tcW w:w="80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2,584</w:t>
            </w:r>
          </w:p>
        </w:tc>
      </w:tr>
      <w:tr>
        <w:trPr>
          <w:trHeight w:val="270"/>
        </w:trPr>
        <w:tc>
          <w:tcPr>
            <w:tcW w:w="8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5"/>
                <w:szCs w:val="25"/>
                <w:color w:val="auto"/>
                <w:vertAlign w:val="superscript"/>
              </w:rPr>
              <w:t>(1)</w:t>
            </w:r>
          </w:p>
        </w:tc>
        <w:tc>
          <w:tcPr>
            <w:tcW w:w="980" w:type="dxa"/>
            <w:vAlign w:val="bottom"/>
          </w:tcPr>
          <w:p>
            <w:pPr>
              <w:spacing w:after="0"/>
              <w:rPr>
                <w:sz w:val="23"/>
                <w:szCs w:val="23"/>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3,709</w:t>
            </w:r>
          </w:p>
        </w:tc>
      </w:tr>
      <w:tr>
        <w:trPr>
          <w:trHeight w:val="27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due to contractual rights of offset with counterparties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(2,555)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r>
      <w:tr>
        <w:trPr>
          <w:trHeight w:val="257"/>
        </w:trPr>
        <w:tc>
          <w:tcPr>
            <w:tcW w:w="8080" w:type="dxa"/>
            <w:vAlign w:val="bottom"/>
          </w:tcPr>
          <w:p>
            <w:pPr>
              <w:ind w:left="180"/>
              <w:spacing w:after="0"/>
              <w:rPr>
                <w:sz w:val="20"/>
                <w:szCs w:val="20"/>
                <w:color w:val="auto"/>
              </w:rPr>
            </w:pPr>
            <w:r>
              <w:rPr>
                <w:rFonts w:ascii="Arial" w:cs="Arial" w:eastAsia="Arial" w:hAnsi="Arial"/>
                <w:sz w:val="18"/>
                <w:szCs w:val="18"/>
                <w:color w:val="auto"/>
              </w:rPr>
              <w:t>Trade accounts receivable and other receivables, net</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3,029</w:t>
            </w: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24"/>
          <w:szCs w:val="24"/>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Common Unit</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After consideration of distributions to preferred unitholders (whether paid in cash or in-kind), basic and diluted net income per common unit is determined pursuant to the two-class method as prescribed in FASB guidance. This method is an earnings allocation formula that is used to determine allocations to our general partner (for periods prior to the Simplification Transactions), limited partners and participating securities according to distributions pertaining to the current period’s net income and participation rights in undistributed earnings or distributions in excess of earnings. Under the two-class method, net income is reduced by distributions pertaining to the period, and all remaining earnings or distributions in excess of earnings are then allocated to our general partner (for periods prior to the Simplification Transactions), common unitholders and participating securities based on their respective rights to share in distributions, regardless of whether those earnings would actually be distributed during a particular period from an economic or practical perspective. Participating securities include LTIP awards that have vested DERs, which entitle the grantee to a cash payment equal to the cash distribution paid on our outstanding common units.</w:t>
      </w:r>
    </w:p>
    <w:p>
      <w:pPr>
        <w:spacing w:after="0" w:line="18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Simplification Transactions, which closed on November 15, 2016, included the permanent elimination of our IDRs and the economic rights associated with our 2% general partner interest in exchange for the issuance by us to AAP of common units and the assumption by us of AAP’s debt. As such, beginning with the distribution pertaining to the fourth quarter of 2016, our general partner is no longer entitled to receive distributions on the IDRs or general partner interest. See Note 1 for additional discussion of the Simplification Transactions.</w:t>
      </w:r>
    </w:p>
    <w:p>
      <w:pPr>
        <w:spacing w:after="0" w:line="17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We calculate basic and diluted net income per common unit by dividing net income attributable to PAA (after deducting amounts allocated to the preferred unitholders and participating securities, and for periods prior to the closing of the Simplification Transactions, the 2% general partner’s interest and IDRs) by the basic and diluted weighted average number of common units outstanding during the period.</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for additional information regarding our Series A preferred units. See Note 17 for a complete discussion of our equity-indexed compensation plan awards. When applying the if-converted method prescribed by FASB guidance, the possible conversion of our Series A preferred units was excluded from the calculation of diluted net income per common unit for the years ended December 31, 2017 and 2016 as the effect was antidilutive. 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were deemed to be dilutive during the three years ended December 31, 2018 were reduced by a hypothetical common unit repurchase based on the remaining unamortized fair value, as prescribed by the treasury stock method in guidance issued by the FASB.</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unit (in millions, except per unit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Basic Net Income per Common Unit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Net income attributable to PAA</w:t>
            </w:r>
          </w:p>
        </w:tc>
        <w:tc>
          <w:tcPr>
            <w:tcW w:w="960" w:type="dxa"/>
            <w:vAlign w:val="bottom"/>
          </w:tcPr>
          <w:p>
            <w:pPr>
              <w:jc w:val="right"/>
              <w:ind w:right="756"/>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5"/>
              <w:spacing w:after="0"/>
              <w:rPr>
                <w:sz w:val="20"/>
                <w:szCs w:val="20"/>
                <w:color w:val="auto"/>
              </w:rPr>
            </w:pPr>
            <w:r>
              <w:rPr>
                <w:rFonts w:ascii="Arial" w:cs="Arial" w:eastAsia="Arial" w:hAnsi="Arial"/>
                <w:sz w:val="17"/>
                <w:szCs w:val="17"/>
                <w:color w:val="auto"/>
                <w:w w:val="98"/>
              </w:rPr>
              <w:t>2,216</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856</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726</w:t>
            </w:r>
          </w:p>
        </w:tc>
      </w:tr>
      <w:tr>
        <w:trPr>
          <w:trHeight w:val="31"/>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Distributions to Series A preferred unitholders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Distributions to Series B preferred unitholders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Distributions to general partner</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(412)</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Distributions to participating securities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1"/>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Undistributed loss allocated to general partner</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Other</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31"/>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shd w:val="clear" w:color="auto" w:fill="CCEEFF"/>
          </w:tcPr>
          <w:p>
            <w:pPr>
              <w:ind w:left="180"/>
              <w:spacing w:after="0" w:line="250" w:lineRule="exact"/>
              <w:rPr>
                <w:sz w:val="20"/>
                <w:szCs w:val="20"/>
                <w:color w:val="auto"/>
              </w:rPr>
            </w:pPr>
            <w:r>
              <w:rPr>
                <w:rFonts w:ascii="Arial" w:cs="Arial" w:eastAsia="Arial" w:hAnsi="Arial"/>
                <w:sz w:val="17"/>
                <w:szCs w:val="17"/>
                <w:color w:val="auto"/>
              </w:rPr>
              <w:t xml:space="preserve">Net income allocated to common unitholders </w:t>
            </w:r>
            <w:r>
              <w:rPr>
                <w:rFonts w:ascii="Arial" w:cs="Arial" w:eastAsia="Arial" w:hAnsi="Arial"/>
                <w:sz w:val="28"/>
                <w:szCs w:val="28"/>
                <w:color w:val="auto"/>
                <w:vertAlign w:val="superscript"/>
              </w:rPr>
              <w:t>(1)</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8"/>
              </w:rPr>
              <w:t>2,009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7"/>
                <w:szCs w:val="17"/>
                <w:color w:val="auto"/>
              </w:rPr>
              <w:t xml:space="preserve">Basic weighted average common units outstanding </w:t>
            </w:r>
            <w:r>
              <w:rPr>
                <w:rFonts w:ascii="Arial" w:cs="Arial" w:eastAsia="Arial" w:hAnsi="Arial"/>
                <w:sz w:val="28"/>
                <w:szCs w:val="28"/>
                <w:color w:val="auto"/>
                <w:vertAlign w:val="superscript"/>
              </w:rPr>
              <w:t>(2)</w:t>
            </w: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717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464</w:t>
            </w:r>
          </w:p>
        </w:tc>
      </w:tr>
      <w:tr>
        <w:trPr>
          <w:trHeight w:val="297"/>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net income per common unit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2.77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0.43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Diluted Net Income per Common Unit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Net income attributable to PAA</w:t>
            </w:r>
          </w:p>
        </w:tc>
        <w:tc>
          <w:tcPr>
            <w:tcW w:w="960" w:type="dxa"/>
            <w:vAlign w:val="bottom"/>
          </w:tcPr>
          <w:p>
            <w:pPr>
              <w:jc w:val="right"/>
              <w:ind w:right="756"/>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5"/>
              <w:spacing w:after="0"/>
              <w:rPr>
                <w:sz w:val="20"/>
                <w:szCs w:val="20"/>
                <w:color w:val="auto"/>
              </w:rPr>
            </w:pPr>
            <w:r>
              <w:rPr>
                <w:rFonts w:ascii="Arial" w:cs="Arial" w:eastAsia="Arial" w:hAnsi="Arial"/>
                <w:sz w:val="17"/>
                <w:szCs w:val="17"/>
                <w:color w:val="auto"/>
                <w:w w:val="98"/>
              </w:rPr>
              <w:t>2,216</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856</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726</w:t>
            </w:r>
          </w:p>
        </w:tc>
      </w:tr>
      <w:tr>
        <w:trPr>
          <w:trHeight w:val="31"/>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Distributions to Series A preferred unitholders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Distributions to Series B preferred unitholders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Distributions to general partner</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(412)</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Distributions to participating securities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1"/>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Undistributed loss allocated to general partner</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Other</w:t>
            </w:r>
          </w:p>
        </w:tc>
        <w:tc>
          <w:tcPr>
            <w:tcW w:w="960" w:type="dxa"/>
            <w:vAlign w:val="bottom"/>
          </w:tcPr>
          <w:p>
            <w:pPr>
              <w:spacing w:after="0"/>
              <w:rPr>
                <w:sz w:val="20"/>
                <w:szCs w:val="20"/>
                <w:color w:val="auto"/>
              </w:rPr>
            </w:pPr>
          </w:p>
        </w:tc>
        <w:tc>
          <w:tcPr>
            <w:tcW w:w="5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31"/>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shd w:val="clear" w:color="auto" w:fill="CCEEFF"/>
          </w:tcPr>
          <w:p>
            <w:pPr>
              <w:ind w:left="180"/>
              <w:spacing w:after="0" w:line="250" w:lineRule="exact"/>
              <w:rPr>
                <w:sz w:val="20"/>
                <w:szCs w:val="20"/>
                <w:color w:val="auto"/>
              </w:rPr>
            </w:pPr>
            <w:r>
              <w:rPr>
                <w:rFonts w:ascii="Arial" w:cs="Arial" w:eastAsia="Arial" w:hAnsi="Arial"/>
                <w:sz w:val="17"/>
                <w:szCs w:val="17"/>
                <w:color w:val="auto"/>
              </w:rPr>
              <w:t xml:space="preserve">Net income allocated to common unitholders </w:t>
            </w:r>
            <w:r>
              <w:rPr>
                <w:rFonts w:ascii="Arial" w:cs="Arial" w:eastAsia="Arial" w:hAnsi="Arial"/>
                <w:sz w:val="28"/>
                <w:szCs w:val="28"/>
                <w:color w:val="auto"/>
                <w:vertAlign w:val="superscript"/>
              </w:rPr>
              <w:t>(1)</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8"/>
              </w:rPr>
              <w:t>2,164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7"/>
                <w:szCs w:val="17"/>
                <w:color w:val="auto"/>
              </w:rPr>
              <w:t xml:space="preserve">Basic weighted average common units outstanding </w:t>
            </w:r>
            <w:r>
              <w:rPr>
                <w:rFonts w:ascii="Arial" w:cs="Arial" w:eastAsia="Arial" w:hAnsi="Arial"/>
                <w:sz w:val="28"/>
                <w:szCs w:val="28"/>
                <w:color w:val="auto"/>
                <w:vertAlign w:val="superscript"/>
              </w:rPr>
              <w:t>(2)</w:t>
            </w: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717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464</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Effect of dilutive securities: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Series A preferred units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740" w:type="dxa"/>
            <w:vAlign w:val="bottom"/>
          </w:tcPr>
          <w:p>
            <w:pPr>
              <w:ind w:left="380"/>
              <w:spacing w:after="0"/>
              <w:rPr>
                <w:sz w:val="20"/>
                <w:szCs w:val="20"/>
                <w:color w:val="auto"/>
              </w:rPr>
            </w:pPr>
            <w:r>
              <w:rPr>
                <w:rFonts w:ascii="Arial" w:cs="Arial" w:eastAsia="Arial" w:hAnsi="Arial"/>
                <w:sz w:val="17"/>
                <w:szCs w:val="17"/>
                <w:color w:val="auto"/>
              </w:rPr>
              <w:t>Equity-indexed compensation plan awards</w:t>
            </w:r>
          </w:p>
        </w:tc>
        <w:tc>
          <w:tcPr>
            <w:tcW w:w="960" w:type="dxa"/>
            <w:vAlign w:val="bottom"/>
          </w:tcPr>
          <w:p>
            <w:pPr>
              <w:spacing w:after="0"/>
              <w:rPr>
                <w:sz w:val="20"/>
                <w:szCs w:val="20"/>
                <w:color w:val="auto"/>
              </w:rPr>
            </w:pPr>
          </w:p>
        </w:tc>
        <w:tc>
          <w:tcPr>
            <w:tcW w:w="56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w:t>
            </w:r>
          </w:p>
        </w:tc>
      </w:tr>
      <w:tr>
        <w:trPr>
          <w:trHeight w:val="31"/>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 weighted average common units outstanding</w:t>
            </w: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466</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 net income per common unit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2.71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0.43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9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100" w:hanging="652"/>
        <w:spacing w:after="0" w:line="235" w:lineRule="auto"/>
        <w:tabs>
          <w:tab w:leader="none" w:pos="660" w:val="left"/>
        </w:tabs>
        <w:numPr>
          <w:ilvl w:val="0"/>
          <w:numId w:val="96"/>
        </w:numPr>
        <w:rPr>
          <w:rFonts w:ascii="Arial" w:cs="Arial" w:eastAsia="Arial" w:hAnsi="Arial"/>
          <w:sz w:val="25"/>
          <w:szCs w:val="25"/>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(“undistributed loss”), if any, are allocated to the general partner (for periods prior to the Simplification Transactions), common unitholders and participating securities in accordance with the contractual terms of our partnership agreement in effect for the period and as further prescribed under the two-class method.</w:t>
      </w:r>
    </w:p>
    <w:p>
      <w:pPr>
        <w:spacing w:after="0" w:line="96"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96"/>
        </w:numPr>
        <w:rPr>
          <w:rFonts w:ascii="Arial" w:cs="Arial" w:eastAsia="Arial" w:hAnsi="Arial"/>
          <w:sz w:val="25"/>
          <w:szCs w:val="25"/>
          <w:color w:val="auto"/>
          <w:vertAlign w:val="superscript"/>
        </w:rPr>
      </w:pPr>
      <w:r>
        <w:rPr>
          <w:rFonts w:ascii="Arial" w:cs="Arial" w:eastAsia="Arial" w:hAnsi="Arial"/>
          <w:sz w:val="18"/>
          <w:szCs w:val="18"/>
          <w:color w:val="auto"/>
        </w:rPr>
        <w:t>We considered the common units issued in connection with the Simplification Transactions to be outstanding for the entire fourth quarter of 2016 in the calculation of weighted average common units outstanding to more closely reflect the ownership interests in us with rights to the distributions for the periods included in the calculation of net income allocated to common unitholders.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Inventory primarily consists of crude oil, NGL and natural gas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2018, 2017 and 2016, we recorded charges of $8 million, $35 million and $3 million, respectively, related to the writedown of our crude oil, NGL and natural gas inventory due to declines in prices. A portion of these inventory valuation adjustments was offset by the recognition of gains on derivative instruments being utilized to hedge future sales of our crude oil and NGL inventory. Such gains were recorded to “Supply and Logistics segment revenues” in our accompanying Consolidated Statements of Operations. See Note 13 for discussion of our derivative and risk management activities.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Linefill and base gas in assets we own are recorded at historical cost and consist of crude oil, NGL and natural gas. We classify as linefill or base gas</w:t>
      </w:r>
    </w:p>
    <w:p>
      <w:pPr>
        <w:spacing w:after="0" w:line="46" w:lineRule="exact"/>
        <w:rPr>
          <w:sz w:val="20"/>
          <w:szCs w:val="20"/>
          <w:color w:val="auto"/>
        </w:rPr>
      </w:pPr>
    </w:p>
    <w:p>
      <w:pPr>
        <w:ind w:right="180" w:firstLine="8"/>
        <w:spacing w:after="0" w:line="255" w:lineRule="auto"/>
        <w:tabs>
          <w:tab w:leader="none" w:pos="2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w:t>
      </w:r>
    </w:p>
    <w:p>
      <w:pPr>
        <w:spacing w:after="0" w:line="1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2018, 2017 and 2016, we did not recognize any impairments of linefill and base gas.</w:t>
      </w:r>
    </w:p>
    <w:p>
      <w:pPr>
        <w:spacing w:after="0" w:line="187"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Unit of</w:t>
            </w:r>
          </w:p>
        </w:tc>
        <w:tc>
          <w:tcPr>
            <w:tcW w:w="160" w:type="dxa"/>
            <w:vAlign w:val="bottom"/>
          </w:tcPr>
          <w:p>
            <w:pPr>
              <w:spacing w:after="0"/>
              <w:rPr>
                <w:sz w:val="13"/>
                <w:szCs w:val="13"/>
                <w:color w:val="auto"/>
              </w:rPr>
            </w:pPr>
          </w:p>
        </w:tc>
        <w:tc>
          <w:tcPr>
            <w:tcW w:w="78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Volumes</w:t>
            </w:r>
          </w:p>
        </w:tc>
        <w:tc>
          <w:tcPr>
            <w:tcW w:w="102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60" w:type="dxa"/>
            <w:vAlign w:val="bottom"/>
          </w:tcPr>
          <w:p>
            <w:pPr>
              <w:spacing w:after="0"/>
              <w:rPr>
                <w:sz w:val="16"/>
                <w:szCs w:val="16"/>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9,657</w:t>
            </w:r>
          </w:p>
        </w:tc>
        <w:tc>
          <w:tcPr>
            <w:tcW w:w="12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367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38.00</w:t>
            </w:r>
          </w:p>
        </w:tc>
        <w:tc>
          <w:tcPr>
            <w:tcW w:w="140" w:type="dxa"/>
            <w:vAlign w:val="bottom"/>
            <w:tcBorders>
              <w:right w:val="single" w:sz="8" w:color="auto"/>
            </w:tcBorders>
          </w:tcPr>
          <w:p>
            <w:pPr>
              <w:spacing w:after="0"/>
              <w:rPr>
                <w:sz w:val="21"/>
                <w:szCs w:val="21"/>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10,774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13,312</w:t>
            </w:r>
          </w:p>
        </w:tc>
        <w:tc>
          <w:tcPr>
            <w:tcW w:w="12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761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57.17</w:t>
            </w:r>
          </w:p>
        </w:tc>
        <w:tc>
          <w:tcPr>
            <w:tcW w:w="140" w:type="dxa"/>
            <w:vAlign w:val="bottom"/>
            <w:tcBorders>
              <w:right w:val="single" w:sz="8" w:color="auto"/>
            </w:tcBorders>
          </w:tcPr>
          <w:p>
            <w:pPr>
              <w:spacing w:after="0"/>
              <w:rPr>
                <w:sz w:val="21"/>
                <w:szCs w:val="21"/>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8"/>
                <w:szCs w:val="18"/>
                <w:color w:val="auto"/>
              </w:rPr>
              <w:t>12,340</w:t>
            </w:r>
          </w:p>
        </w:tc>
        <w:tc>
          <w:tcPr>
            <w:tcW w:w="10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24,976</w:t>
            </w:r>
          </w:p>
        </w:tc>
        <w:tc>
          <w:tcPr>
            <w:tcW w:w="12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140" w:type="dxa"/>
            <w:vAlign w:val="bottom"/>
            <w:tcBorders>
              <w:right w:val="single" w:sz="8" w:color="auto"/>
            </w:tcBorders>
          </w:tcPr>
          <w:p>
            <w:pPr>
              <w:spacing w:after="0"/>
              <w:rPr>
                <w:sz w:val="21"/>
                <w:szCs w:val="21"/>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Linefill and base gas subtotal</w:t>
            </w: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inventory</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41.80</w:t>
            </w:r>
          </w:p>
        </w:tc>
        <w:tc>
          <w:tcPr>
            <w:tcW w:w="140" w:type="dxa"/>
            <w:vAlign w:val="bottom"/>
            <w:tcBorders>
              <w:right w:val="single" w:sz="8" w:color="auto"/>
            </w:tcBorders>
          </w:tcPr>
          <w:p>
            <w:pPr>
              <w:spacing w:after="0"/>
              <w:rPr>
                <w:sz w:val="21"/>
                <w:szCs w:val="21"/>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Long-term inventory subtotal</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F-22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5044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9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right="160" w:hanging="652"/>
        <w:spacing w:after="0" w:line="216" w:lineRule="auto"/>
        <w:tabs>
          <w:tab w:leader="none" w:pos="660" w:val="left"/>
        </w:tabs>
        <w:numPr>
          <w:ilvl w:val="0"/>
          <w:numId w:val="98"/>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2018, 2017 and 2016, capitalized interest recorded to property and equipment was $21 million, $17 million and $34 million, respectively. In addition, we capitalize interest related to investments in certain unconsolidated entities. See Note 9 for additional information.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(in millions):</w:t>
      </w:r>
    </w:p>
    <w:p>
      <w:pPr>
        <w:spacing w:after="0" w:line="220"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47"/>
        </w:trPr>
        <w:tc>
          <w:tcPr>
            <w:tcW w:w="6640" w:type="dxa"/>
            <w:vAlign w:val="bottom"/>
          </w:tcPr>
          <w:p>
            <w:pPr>
              <w:spacing w:after="0"/>
              <w:rPr>
                <w:sz w:val="4"/>
                <w:szCs w:val="4"/>
                <w:color w:val="auto"/>
              </w:rPr>
            </w:pPr>
          </w:p>
        </w:tc>
        <w:tc>
          <w:tcPr>
            <w:tcW w:w="1720" w:type="dxa"/>
            <w:vAlign w:val="bottom"/>
            <w:gridSpan w:val="2"/>
            <w:vMerge w:val="restart"/>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Estimated Useful</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664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Lives (Years)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Pipelines and related facilities </w:t>
            </w:r>
            <w:r>
              <w:rPr>
                <w:rFonts w:ascii="Arial" w:cs="Arial" w:eastAsia="Arial" w:hAnsi="Arial"/>
                <w:sz w:val="25"/>
                <w:szCs w:val="25"/>
                <w:color w:val="auto"/>
                <w:vertAlign w:val="superscript"/>
              </w:rPr>
              <w:t>(1)</w:t>
            </w: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10 - 70</w:t>
            </w: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10,137</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Storage, terminal and rail facilities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30 - 70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Trucking equipment and 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2 - 15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property and equipment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Land and other</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gross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16,862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14,089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25"/>
          <w:szCs w:val="25"/>
          <w:color w:val="auto"/>
          <w:vertAlign w:val="superscript"/>
        </w:rPr>
      </w:pPr>
      <w:r>
        <w:rPr>
          <w:rFonts w:ascii="Arial" w:cs="Arial" w:eastAsia="Arial" w:hAnsi="Arial"/>
          <w:sz w:val="18"/>
          <w:szCs w:val="18"/>
          <w:color w:val="auto"/>
        </w:rPr>
        <w:t>We include rights-of-way, which are intangible assets, in our Pipelines and related facilities amounts within property and equipment.</w:t>
      </w:r>
    </w:p>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calculate our depreciation using the straight-line method, based on estimated useful lives and salvage values of our assets. Depreciation expense for the years ended December 31, 2018, 2017 and 2016 was $454 million, $463 million and $470 million, respectively (including amounts related to the discontinuation of certain capital projects). See “Impairment of Long-Lived Assets” below for a discussion of our policy for the recognition of asset impairments.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73" w:lineRule="exact"/>
        <w:rPr>
          <w:sz w:val="20"/>
          <w:szCs w:val="20"/>
          <w:color w:val="auto"/>
        </w:rPr>
      </w:pPr>
    </w:p>
    <w:p>
      <w:pPr>
        <w:ind w:left="980" w:hanging="324"/>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recognized impairments of $6 million during the year ended December 31, 2018 related to assets included in our Facilities segment. During the years ended December 31, 2017 and 2016, we recognized $152 million and $80 million, respectively, of non-cash charges related to the write-down of certain of our long-lived rail and other terminal assets included in our Facilities segment due to asset impairments and accelerated depreciation. Such charges are reflected in “(Gains)/losses on asset sales and asset impairments, net” on our Consolidated Financial Statements. The decline in demand for movements of crude oil by rail in the United States due to sustained unfavorable market conditions resulted in expected decreases in future cash flows for certain of our rail terminal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were based upon recent sales prices of comparable facilities, as well as management’s expectation of the market values for such assets based on their industry experience. We consider such inputs to be a Level 3 input in the fair value hierarchy.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The following acquisitions, excluding acquired interests accounted for under the equity method of accounting mentioned specifically below, were accounted for using the acquisition method of accounting and the determination of the fair value of the assets and liabilities acquired has been estimated in accordance with the applicable accounting guidance. There were no acquisitions during the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Alpha Crude Connector Acquisition</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On February 14, 2017, we acquired all of the issued and outstanding membership interests in Alpha Holding Company, LLC for cash consideration of $1.215 billion, subject to working capital and other adjustments (the “ACC Acquisition”). The ACC Acquisition was initially funded through borrowings under our senior unsecured revolving credit facility. Such borrowings were subsequently repaid with proceeds from our March 2017 issuance of common units to AAP pursuant to the Omnibus Agreement and in connection with a PAGP underwritten equity offering. See Note 12 for additional information.</w:t>
      </w:r>
    </w:p>
    <w:p>
      <w:pPr>
        <w:spacing w:after="0" w:line="15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Upon completion of the ACC Acquisition, we became the owner of a crude oil gathering system known as the “Alpha Crude Connector” (the “ACC System”) located in the Northern Delaware Basin in Southeastern New Mexico and West Texas. The ACC System comprises approximately 515 miles of gathering and transmission lines and five market interconnects, including to our Basin Pipeline at Wink. During 2017, we made additional interconnects to our existing Northern Delaware Basin systems as well as additional enhancements to increase the ACC System capacity to approximately 350,000 barrels per day, depending on the level of volume at each delivery point. The ACC System is supported by acreage dedications covering approximately 315,000 gross acres, including a significant acreage dedication from one of the largest producers in the region. The ACC System complements our other Permian Basin assets and enhances the services available to the producers in the Northern Delaware Basin.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fair value determination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16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1"/>
              </w:rPr>
              <w:t>Recognized amount</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auto"/>
            </w:tcBorders>
            <w:vMerge w:val="continue"/>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400" w:type="dxa"/>
            <w:vAlign w:val="bottom"/>
            <w:tcBorders>
              <w:bottom w:val="single" w:sz="8" w:color="CCEEFF"/>
            </w:tcBorders>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3 - 70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400" w:type="dxa"/>
            <w:vAlign w:val="bottom"/>
            <w:gridSpan w:val="3"/>
          </w:tcPr>
          <w:p>
            <w:pPr>
              <w:jc w:val="right"/>
              <w:ind w:right="61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w w:val="95"/>
              </w:rPr>
              <w:t>Other assets and liabilities, net (including $4 million of cash acquired)</w:t>
            </w: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bottom w:val="single" w:sz="8" w:color="CCEEFF"/>
            </w:tcBorders>
            <w:gridSpan w:val="4"/>
            <w:vMerge w:val="restart"/>
          </w:tcPr>
          <w:p>
            <w:pPr>
              <w:ind w:left="220"/>
              <w:spacing w:after="0"/>
              <w:rPr>
                <w:sz w:val="20"/>
                <w:szCs w:val="20"/>
                <w:color w:val="auto"/>
              </w:rPr>
            </w:pPr>
            <w:r>
              <w:rPr>
                <w:rFonts w:ascii="Arial" w:cs="Arial" w:eastAsia="Arial" w:hAnsi="Arial"/>
                <w:sz w:val="18"/>
                <w:szCs w:val="18"/>
                <w:color w:val="auto"/>
              </w:rPr>
              <w:t>F-24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20" w:type="dxa"/>
            <w:vAlign w:val="bottom"/>
          </w:tcPr>
          <w:p>
            <w:pPr>
              <w:spacing w:after="0"/>
              <w:rPr>
                <w:sz w:val="24"/>
                <w:szCs w:val="24"/>
                <w:color w:val="auto"/>
              </w:rPr>
            </w:pPr>
          </w:p>
        </w:tc>
        <w:tc>
          <w:tcPr>
            <w:tcW w:w="45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Intangible assets are included in “Other long-term assets, net” on our Consolidated Balance Sheets. The determination of fair value to intangible assets above is comprised of five acreage dedication contracts and associated customer relationships that will be amortized over a remaining weighted average useful life of approximately 20 years. The value assigned to such intangible assets will be amortized to earnings using methods that closely resemble the pattern in which the economic benefits will be consumed. Amortization expense was approximately $25 million and $10 million during the years ended December 31, 2018 and 2017, respectively, and the future amortization expense through 2022 is estimated as follows (in millions):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2019</w:t>
            </w:r>
          </w:p>
        </w:tc>
        <w:tc>
          <w:tcPr>
            <w:tcW w:w="54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43"/>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2020</w:t>
            </w:r>
          </w:p>
        </w:tc>
        <w:tc>
          <w:tcPr>
            <w:tcW w:w="54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5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jc w:val="right"/>
              <w:ind w:right="4670"/>
              <w:spacing w:after="0"/>
              <w:rPr>
                <w:sz w:val="20"/>
                <w:szCs w:val="20"/>
                <w:color w:val="auto"/>
              </w:rPr>
            </w:pPr>
            <w:r>
              <w:rPr>
                <w:rFonts w:ascii="Arial" w:cs="Arial" w:eastAsia="Arial" w:hAnsi="Arial"/>
                <w:sz w:val="18"/>
                <w:szCs w:val="18"/>
                <w:color w:val="auto"/>
                <w:w w:val="89"/>
              </w:rPr>
              <w:t>2021</w:t>
            </w:r>
          </w:p>
        </w:tc>
        <w:tc>
          <w:tcPr>
            <w:tcW w:w="5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2022</w:t>
            </w:r>
          </w:p>
        </w:tc>
        <w:tc>
          <w:tcPr>
            <w:tcW w:w="54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w:t>
            </w:r>
          </w:p>
        </w:tc>
      </w:tr>
    </w:tbl>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Goodwill is an intangible asset representing the future economic benefits expected to be derived from other assets acquired that are not individually identified and separately recognized. The goodwill arising from the ACC Acquisition, which is tax deductible, represents the anticipated opportunities to generate future cash flows from undedicated acreage and the synergies created between the ACC System and our existing assets. The assets acquired in the ACC Acquisition, as well as the associated goodwill, are primarily included in our Transportation segment.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2017, we incurred approximately $6 million of acquisition-related costs associated with the ACC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costs are reflected as a component of “General and administrative expenses” on our Consolidated Statements of Operations.</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Pro forma financial information assuming the ACC Acquisition had occurred as of the beginning of the calendar year prior to the year of acquisition were not material for disclosure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Acquisitions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February 2017, we acquired a propane marine terminal for cash consideration of approximately $41 million. The assets acquired are included in our Facilities segment. We did not recognize any goodwill related to this acquisition.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April 3, 2017, we and an affiliate of Noble Midstream Partners LP (“Noble”) completed the acquisition of Advantage Pipeline, L.L.C. (“Advantage”) through a newly formed 50/50 joint venture (the “Advantage Joint Venture”). We account for our interest in the Advantage Joint Venture under the equity method of accounting. See Note 9 for additional discussion of our equity method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year ended December 31, 2016, we completed two acquisitions for aggregate cash consideration of $289 million. These acquisitions included (i) an integrated system of NGL assets in Western Canada for cash consideration of approximately $204 million and (ii) the remaining interest in a Gulf Coast pipeline that was subsequently sold during the year. The assets acquired were primarily included in our Transportation and Facilities segments. We did not recognize any goodwill related to these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2018, we received proceeds from asset sales of $1.334 billion, which included the following:</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sold a 30% interest in BridgeTex Pipeline Company, LLC for proceeds of $868 million, resulting in a gain of $200 million. See Note 9 for additional discussion. The other assets sold during the year ended December 31, 2018 primarily included non-core property and equipment or are associated with the formation of strategic joint ventures and were previously reported in our Facilities and Transportation segments. For the year ended December 31, 2018, we recognized a net gain on sales of assets of $120 million, which is comprised of gains of $146 million and losses of $26 million. Such amounts are included in “(Gains)/losses on asset sales and asset impairments, net” on our Consolidated Statements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2017, we sold certain non-core assets for total proceeds of $1.083 billion, including:</w:t>
      </w:r>
    </w:p>
    <w:p>
      <w:pPr>
        <w:spacing w:after="0" w:line="185"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certain of our Bay Area terminal assets located in California;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Bluewater natural gas storage facility located in Michigan;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certain non-core pipelines in the Rocky Mountain and Bakken regions, including our interest in SLC Pipeline LLC;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non-core pipeline segments primarily located in the Midwestern United States; and</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40% undivided interest in a segment of our Red River Pipeline extending from Cushing, Oklahoma to the Hewitt Station near Ardmore, Oklahoma for our net book value.</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Bay Area terminal assets and the Bluewater natural gas storage facility were reported in our Facilities segment. The pipeline assets were reported in our Transportation segment.</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the aggregate, including non-cash impairments recognized upon reclassifications to assets held for sale, we recognized a net gain related to pending or completed asset sales of approximately $43 million for the year ended December 31, 2017, which is included in “(Gains)/losses on asset sales and asset impairments, net” on our Consolidated Statement of Operations. Such amount is comprised of gains of $123 million and losses of $80 million.</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the year ended December 31, 2016, we sold several non-core assets, including certain of our Gulf Coast pipelines and East Coast refined products terminals. In addition, we sold interests in Cheyenne Pipeline LLC and STACK Pipeline LLC. See Note 9 for additional discussion. In the aggregate, we recognized a net gain of approximately $100 million related to these transactions, which is included in “(Gains)/losses on asset sales and asset impairments, net” on our Consolidated Statement of Operations. Such amount is comprised of gains of $158 million and losses of $58 million, including $15 million of impairment of goodwill that was included in a disposal group classified as held for sale prior to the closing of such transaction.</w:t>
      </w:r>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December 31, 2017, we classified approximately $80 million of assets as held for sale on our Consolidated Balance Sheet (in “Other current assets”) primarily related to a definitive agreement to sell non-core property and equipment included in our Facilities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provides for a quantitative approach to testing goodwill for impairment; however, we may first assess certain qualitative factors to determine whether it is necessary to perform the quantitative goodwill impairment test. In the quantitative test,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goodwill is impaired by the amount by which a reporting unit’s carrying value exceeds its fair value, not to exceed the carrying value of goodwill.</w:t>
      </w:r>
    </w:p>
    <w:p>
      <w:pPr>
        <w:spacing w:after="0" w:line="16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completed our goodwill impairment test as of June 30, 2018 using a quantitative assessment, which also includes a sensitivity analysis regarding the excess of our reporting unit’s fair value over book value. We determined that the fair value of each reporting unit was greater than its respective book value; therefore, goodwill was not considered impaired. We did not recognize any impairments of goodwill during the last three years.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26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2,344</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Divestitures and reclassifications to assets held for sale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2,566</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Divestitures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2,521</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9—Investments in Unconsolidated Entities</w:t>
      </w:r>
    </w:p>
    <w:p>
      <w:pPr>
        <w:spacing w:after="0" w:line="229"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300" w:type="dxa"/>
            <w:vAlign w:val="bottom"/>
          </w:tcPr>
          <w:p>
            <w:pPr>
              <w:spacing w:after="0"/>
              <w:rPr>
                <w:sz w:val="14"/>
                <w:szCs w:val="14"/>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Interest at</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8"/>
                <w:szCs w:val="8"/>
                <w:b w:val="1"/>
                <w:bCs w:val="1"/>
                <w:color w:val="auto"/>
              </w:rPr>
              <w:t>(1)</w:t>
            </w:r>
          </w:p>
        </w:tc>
        <w:tc>
          <w:tcPr>
            <w:tcW w:w="120" w:type="dxa"/>
            <w:vAlign w:val="bottom"/>
            <w:vMerge w:val="restart"/>
          </w:tcPr>
          <w:p>
            <w:pPr>
              <w:spacing w:after="0"/>
              <w:rPr>
                <w:sz w:val="10"/>
                <w:szCs w:val="10"/>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0" w:type="dxa"/>
            <w:vAlign w:val="bottom"/>
          </w:tcPr>
          <w:p>
            <w:pPr>
              <w:spacing w:after="0"/>
              <w:rPr>
                <w:sz w:val="10"/>
                <w:szCs w:val="10"/>
                <w:color w:val="auto"/>
              </w:rPr>
            </w:pP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0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Advantage Pipeline Holdings LLC (“Advantage Joint Venture”)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BridgeTex Pipeline Company, LLC (“BridgeTex”)</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Cactus II Pipeline LLC (“Cactus II”)</w:t>
            </w:r>
          </w:p>
        </w:tc>
        <w:tc>
          <w:tcPr>
            <w:tcW w:w="252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5"/>
                <w:szCs w:val="25"/>
                <w:color w:val="auto"/>
                <w:w w:val="91"/>
                <w:vertAlign w:val="superscript"/>
              </w:rPr>
              <w:t>(2)</w:t>
            </w:r>
          </w:p>
        </w:tc>
        <w:tc>
          <w:tcPr>
            <w:tcW w:w="1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65%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Caddo Pipeline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Cheyenne Pipeline LLC (“Cheyenne”)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Diamond Pipeline LLC (“Diamond”)</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Eagle Ford Pipeline LLC (“Eagle Ford Pipeline”)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9"/>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Eagle Ford Terminals Corpus Christi LLC (“Eagle Ford</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gridSpan w:val="2"/>
          </w:tcPr>
          <w:p>
            <w:pPr>
              <w:ind w:left="200"/>
              <w:spacing w:after="0"/>
              <w:rPr>
                <w:sz w:val="20"/>
                <w:szCs w:val="20"/>
                <w:color w:val="auto"/>
              </w:rPr>
            </w:pPr>
            <w:r>
              <w:rPr>
                <w:rFonts w:ascii="Arial" w:cs="Arial" w:eastAsia="Arial" w:hAnsi="Arial"/>
                <w:sz w:val="18"/>
                <w:szCs w:val="18"/>
                <w:color w:val="auto"/>
              </w:rPr>
              <w:t>Terminals”)</w:t>
            </w:r>
          </w:p>
        </w:tc>
        <w:tc>
          <w:tcPr>
            <w:tcW w:w="2520" w:type="dxa"/>
            <w:vAlign w:val="bottom"/>
          </w:tcPr>
          <w:p>
            <w:pPr>
              <w:jc w:val="center"/>
              <w:spacing w:after="0" w:line="257"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5"/>
                <w:szCs w:val="25"/>
                <w:color w:val="auto"/>
                <w:w w:val="90"/>
                <w:vertAlign w:val="superscript"/>
              </w:rPr>
              <w:t>(2)</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Midway Pipeline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Saddlehorn Pipeline Company,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Settoon Towing,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Barge Transportation Services</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STACK Pipeline LLC (“STACK”)</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White Cliffs Pipeline,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7"/>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Total Investments in Unconsolidated Entities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9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40" w:hanging="652"/>
        <w:spacing w:after="0" w:line="216" w:lineRule="auto"/>
        <w:tabs>
          <w:tab w:leader="none" w:pos="660" w:val="left"/>
        </w:tabs>
        <w:numPr>
          <w:ilvl w:val="0"/>
          <w:numId w:val="103"/>
        </w:numPr>
        <w:rPr>
          <w:rFonts w:ascii="Arial" w:cs="Arial" w:eastAsia="Arial" w:hAnsi="Arial"/>
          <w:sz w:val="25"/>
          <w:szCs w:val="25"/>
          <w:color w:val="auto"/>
          <w:vertAlign w:val="superscript"/>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03"/>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Formations and Divestitures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Cactus II. </w:t>
      </w:r>
      <w:r>
        <w:rPr>
          <w:rFonts w:ascii="Arial" w:cs="Arial" w:eastAsia="Arial" w:hAnsi="Arial"/>
          <w:sz w:val="16"/>
          <w:szCs w:val="16"/>
          <w:color w:val="auto"/>
        </w:rPr>
        <w:t>In the second quarter of 2018, a subsidiary of Oxy and another third party each exercised their purchase options for a 20% interest and a</w:t>
      </w:r>
      <w:r>
        <w:rPr>
          <w:rFonts w:ascii="Arial" w:cs="Arial" w:eastAsia="Arial" w:hAnsi="Arial"/>
          <w:sz w:val="16"/>
          <w:szCs w:val="16"/>
          <w:i w:val="1"/>
          <w:iCs w:val="1"/>
          <w:color w:val="auto"/>
        </w:rPr>
        <w:t xml:space="preserve"> </w:t>
      </w:r>
      <w:r>
        <w:rPr>
          <w:rFonts w:ascii="Arial" w:cs="Arial" w:eastAsia="Arial" w:hAnsi="Arial"/>
          <w:sz w:val="16"/>
          <w:szCs w:val="16"/>
          <w:color w:val="auto"/>
        </w:rPr>
        <w:t>15% interest, respectively, in Cactus II, which owns the Cactus II pipeline system that is currently under construction. Although we own a majority of Cactus II’s equity, we do not have a controlling financial interest in Cactus II because the other members have substantive participating rights. Therefore, we account for our ownership interest in Cactus II as an equity method investment. Following the exercise of the purchase options, we deconsolidated Cactus II resulting in a reduction of property and equipment of $74 million (which was representative of the costs incurred to date to construct the pipeline and equivalent to fair value), and we received $26 million of cash from Cactus II, which represented the other members’ portion of the property and equipment.</w:t>
      </w:r>
    </w:p>
    <w:p>
      <w:pPr>
        <w:spacing w:after="0" w:line="16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In addition, during the second quarter of 2018, we received a $100 million advance cash payment from Cactus II associated with pipeline capacity agreements, which is recorded as long-term deferred revenue within “Other long-term liabilities and deferred credits” on our Consolidated Balance Sheet. Such amount will be recognized in revenue ratably over the life of the contracts beginning once the Cactus II pipeline system has been placed into service.</w:t>
      </w:r>
    </w:p>
    <w:p>
      <w:pPr>
        <w:spacing w:after="0" w:line="14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i w:val="1"/>
          <w:iCs w:val="1"/>
          <w:color w:val="auto"/>
        </w:rPr>
        <w:t xml:space="preserve">BridgeTex. </w:t>
      </w:r>
      <w:r>
        <w:rPr>
          <w:rFonts w:ascii="Arial" w:cs="Arial" w:eastAsia="Arial" w:hAnsi="Arial"/>
          <w:sz w:val="18"/>
          <w:szCs w:val="18"/>
          <w:color w:val="auto"/>
        </w:rPr>
        <w:t>During the third quarter of 2018, we sold a 30% interest in BridgeTex for proceeds of $868 million, including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have retained a 20% interest. We recorded a gain of $200 million related to this sale, which is included in “Gain on sale of investment in unconsolidated entities” on our Consolidated Statement of Operations. We continue to account for our remaining interest under the equity method of accounting.</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Advantage Joint Venture. </w:t>
      </w:r>
      <w:r>
        <w:rPr>
          <w:rFonts w:ascii="Arial" w:cs="Arial" w:eastAsia="Arial" w:hAnsi="Arial"/>
          <w:sz w:val="17"/>
          <w:szCs w:val="17"/>
          <w:color w:val="auto"/>
        </w:rPr>
        <w:t>On April 3, 2017, we and an affiliate of Noble completed the acquisition of Advantage Pipeline, L.L.C. for a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price of $133 million through a newly formed 50/50 joint venture (the “Advantage Joint Venture”). For our 50% share ($66.5 million), we contributed approximately 1.3 million common units with a value of approximately $40 million and approximately $26 million in cash. Through the acquisition, the Advantage Joint Venture owns a 70-mile, 16-inch crude oil pipeline located in the southern Delaware Basin (the “Advantage Pipeline”), which is contractually supported by a third-party acreage dedication and a volume commitment from our wholly-owned marketing subsidiary. Noble serves as operator of the Advantage Pipeline. We account for our interest in the Advantage Joint Venture under the equity method of accounting.</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Midway Pipeline LLC. </w:t>
      </w:r>
      <w:r>
        <w:rPr>
          <w:rFonts w:ascii="Arial" w:cs="Arial" w:eastAsia="Arial" w:hAnsi="Arial"/>
          <w:sz w:val="18"/>
          <w:szCs w:val="18"/>
          <w:color w:val="auto"/>
        </w:rPr>
        <w:t>During the fourth quarter of 2017, we and an affiliate of CVR Refining, LP (“CVR Refining”) formed a 50/50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Midway Pipeline LLC, which acquired from us the Cushing to Broome crude oil pipeline system. The Cushing to Broome pipeline system connects CVR Refining’s Coffeyville, Kansas refinery to the Cushing, Oklahoma oil hub. We continue to serve as operator of the pipeline. We account for our interest in Midway Pipeline LLC under the equity method of accounting.</w:t>
      </w:r>
    </w:p>
    <w:p>
      <w:pPr>
        <w:spacing w:after="0" w:line="18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In June 2016, we sold 50% of our investment in Cheyenne, and in August 2016 we sold 50% of our investment in STACK.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transactions, we now account for our remaining 50% equity interest in such entities under the equity method of accounting.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7 for additional information related to certain of these transactions.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Capline Pipeline Company LLC</w:t>
      </w:r>
      <w:r>
        <w:rPr>
          <w:rFonts w:ascii="Arial" w:cs="Arial" w:eastAsia="Arial" w:hAnsi="Arial"/>
          <w:sz w:val="18"/>
          <w:szCs w:val="18"/>
          <w:color w:val="auto"/>
        </w:rPr>
        <w:t>. As of December 31, 2018 we owned a 54% undivided joint interest in the Capline pipeline system, which originates</w:t>
      </w:r>
      <w:r>
        <w:rPr>
          <w:rFonts w:ascii="Arial" w:cs="Arial" w:eastAsia="Arial" w:hAnsi="Arial"/>
          <w:sz w:val="18"/>
          <w:szCs w:val="18"/>
          <w:i w:val="1"/>
          <w:iCs w:val="1"/>
          <w:color w:val="auto"/>
        </w:rPr>
        <w:t xml:space="preserve"> </w:t>
      </w:r>
      <w:r>
        <w:rPr>
          <w:rFonts w:ascii="Arial" w:cs="Arial" w:eastAsia="Arial" w:hAnsi="Arial"/>
          <w:sz w:val="18"/>
          <w:szCs w:val="18"/>
          <w:color w:val="auto"/>
        </w:rPr>
        <w:t>in St. James, Louisiana and terminates in Patoka, Illinois. In January 2019, the owners converted their undivided joint interests into a limited liability company.</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Wink to Webster Pipeline LLC. </w:t>
      </w:r>
      <w:r>
        <w:rPr>
          <w:rFonts w:ascii="Arial" w:cs="Arial" w:eastAsia="Arial" w:hAnsi="Arial"/>
          <w:sz w:val="17"/>
          <w:szCs w:val="17"/>
          <w:color w:val="auto"/>
        </w:rPr>
        <w:t>In January 2019, we announced the formation of Wink to Webster Pipeline LLC (“W2W Pipeline”), a joint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with subsidiaries of ExxonMobil and Lotus Midstream, LLC. We own a 20% interest in W2W Pipeline, which is currently developing a new pipeline system that will originate in the Permian Basin in West Texas and transport crude oil to the Texas Gulf Coast. The pipeline system will provide more than 1 million barrels per day of crude oil and condensate capacity, and the project is targeted to commence operations in the first half of 2021.</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 During the year ended December 31, 2018, we received $10 million as a return of investment. During the year ended December 31, 2017, we received $21 million as a return of investment from Settoon Towing, LLC related to the sale of certain of its marine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225" w:lineRule="exact"/>
        <w:rPr>
          <w:sz w:val="20"/>
          <w:szCs w:val="20"/>
          <w:color w:val="auto"/>
        </w:rPr>
      </w:pPr>
    </w:p>
    <w:p>
      <w:pPr>
        <w:ind w:right="360" w:firstLine="648"/>
        <w:spacing w:after="0" w:line="273" w:lineRule="auto"/>
        <w:rPr>
          <w:sz w:val="20"/>
          <w:szCs w:val="20"/>
          <w:color w:val="auto"/>
        </w:rPr>
      </w:pPr>
      <w:r>
        <w:rPr>
          <w:rFonts w:ascii="Arial" w:cs="Arial" w:eastAsia="Arial" w:hAnsi="Arial"/>
          <w:sz w:val="17"/>
          <w:szCs w:val="17"/>
          <w:color w:val="auto"/>
        </w:rPr>
        <w:t>We generally fund our portion of development, construction or capital expansion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2018, 2017 and 2016, we made cash contributions of $459 million, $398 million and $288 million, respectively, to certain of our equity method investees. In addition, we capitalized interest of $9 million, $18 million and $13 million during the years ended December 31, 2018, 2017 and 2016, respectively, related to contributions to unconsolidated entities for projects under development and construction. We anticipate that we will make additional contributions in 2019 related to ongoing projects.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Differences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investments in unconsolidated entities exceeded our share of the underlying equity in the net assets of such entities by $467 million and $736 million at December 31, 2018 and 2017,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2018 and 2017 was related to our interest in BridgeTex and decreased from 2017 to 2018 due to our sale of 30% of such interest during the third quarter of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 None of our unconsolidated entities have noncontrolling interests.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356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4,861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4,162</w:t>
            </w:r>
          </w:p>
        </w:tc>
      </w:tr>
      <w:tr>
        <w:trPr>
          <w:trHeight w:val="27"/>
        </w:trPr>
        <w:tc>
          <w:tcPr>
            <w:tcW w:w="3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41</w:t>
            </w:r>
          </w:p>
        </w:tc>
      </w:tr>
      <w:tr>
        <w:trPr>
          <w:trHeight w:val="642"/>
        </w:trPr>
        <w:tc>
          <w:tcPr>
            <w:tcW w:w="3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356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14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1,235</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802</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1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469</w:t>
            </w:r>
          </w:p>
        </w:tc>
      </w:tr>
      <w:tr>
        <w:trPr>
          <w:trHeight w:val="27"/>
        </w:trPr>
        <w:tc>
          <w:tcPr>
            <w:tcW w:w="3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14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w:t>
            </w:r>
          </w:p>
        </w:tc>
      </w:tr>
      <w:tr>
        <w:trPr>
          <w:trHeight w:val="675"/>
        </w:trPr>
        <w:tc>
          <w:tcPr>
            <w:tcW w:w="3560" w:type="dxa"/>
            <w:vAlign w:val="bottom"/>
          </w:tcPr>
          <w:p>
            <w:pPr>
              <w:spacing w:after="0"/>
              <w:rPr>
                <w:sz w:val="24"/>
                <w:szCs w:val="24"/>
                <w:color w:val="auto"/>
              </w:rPr>
            </w:pPr>
          </w:p>
        </w:tc>
        <w:tc>
          <w:tcPr>
            <w:tcW w:w="4140" w:type="dxa"/>
            <w:vAlign w:val="bottom"/>
            <w:gridSpan w:val="2"/>
          </w:tcPr>
          <w:p>
            <w:pPr>
              <w:jc w:val="right"/>
              <w:ind w:right="1748"/>
              <w:spacing w:after="0"/>
              <w:rPr>
                <w:sz w:val="20"/>
                <w:szCs w:val="20"/>
                <w:color w:val="auto"/>
              </w:rPr>
            </w:pPr>
            <w:r>
              <w:rPr>
                <w:rFonts w:ascii="Arial" w:cs="Arial" w:eastAsia="Arial" w:hAnsi="Arial"/>
                <w:sz w:val="18"/>
                <w:szCs w:val="18"/>
                <w:color w:val="auto"/>
              </w:rPr>
              <w:t>F-29</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10—Other Long-Term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assets, net of accumulated amortization,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0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80" w:hanging="652"/>
        <w:spacing w:after="0" w:line="216" w:lineRule="auto"/>
        <w:tabs>
          <w:tab w:leader="none" w:pos="660" w:val="left"/>
        </w:tabs>
        <w:numPr>
          <w:ilvl w:val="0"/>
          <w:numId w:val="104"/>
        </w:numPr>
        <w:rPr>
          <w:rFonts w:ascii="Arial" w:cs="Arial" w:eastAsia="Arial" w:hAnsi="Arial"/>
          <w:sz w:val="25"/>
          <w:szCs w:val="25"/>
          <w:color w:val="auto"/>
          <w:vertAlign w:val="superscript"/>
        </w:rPr>
      </w:pPr>
      <w:r>
        <w:rPr>
          <w:rFonts w:ascii="Arial" w:cs="Arial" w:eastAsia="Arial" w:hAnsi="Arial"/>
          <w:sz w:val="18"/>
          <w:szCs w:val="18"/>
          <w:color w:val="auto"/>
        </w:rPr>
        <w:t>We include rights-of-way, which are intangible assets, in our pipeline and related facilities amounts within property and equipment. See Note 6 for a discussion of property and equipment.</w:t>
      </w:r>
    </w:p>
    <w:p>
      <w:pPr>
        <w:spacing w:after="0" w:line="20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Amortization expense for finite-lived intangible assets for the years ended December 31, 2018, 2017 and 2016 was $66 million, $54 million and $44 million, respectively.</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2018. Our intangible assets that have finite lives consisted of the following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16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Estimated Useful</w:t>
            </w:r>
          </w:p>
        </w:tc>
        <w:tc>
          <w:tcPr>
            <w:tcW w:w="260" w:type="dxa"/>
            <w:vAlign w:val="bottom"/>
          </w:tcPr>
          <w:p>
            <w:pPr>
              <w:spacing w:after="0"/>
              <w:rPr>
                <w:sz w:val="13"/>
                <w:szCs w:val="13"/>
                <w:color w:val="auto"/>
              </w:rPr>
            </w:pPr>
          </w:p>
        </w:tc>
        <w:tc>
          <w:tcPr>
            <w:tcW w:w="8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6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Net</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6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Customer contracts and relationships</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1 – 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1,152</w:t>
            </w:r>
          </w:p>
        </w:tc>
        <w:tc>
          <w:tcPr>
            <w:tcW w:w="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9"/>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Property tax abatement</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7 – 13</w:t>
            </w:r>
          </w:p>
        </w:tc>
        <w:tc>
          <w:tcPr>
            <w:tcW w:w="26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agreements</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25 – 70</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99"/>
              </w:rPr>
              <w:t>(421)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0520" w:type="dxa"/>
            <w:vAlign w:val="bottom"/>
            <w:gridSpan w:val="18"/>
          </w:tcPr>
          <w:p>
            <w:pPr>
              <w:ind w:left="660"/>
              <w:spacing w:after="0"/>
              <w:rPr>
                <w:sz w:val="20"/>
                <w:szCs w:val="20"/>
                <w:color w:val="auto"/>
              </w:rPr>
            </w:pPr>
            <w:r>
              <w:rPr>
                <w:rFonts w:ascii="Arial" w:cs="Arial" w:eastAsia="Arial" w:hAnsi="Arial"/>
                <w:sz w:val="18"/>
                <w:szCs w:val="18"/>
                <w:color w:val="auto"/>
                <w:w w:val="92"/>
              </w:rPr>
              <w:t>We estimate that our amortization expense related to finite-lived intangible assets for the next five years will be as follows (in millions):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2020</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2022</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675"/>
        </w:trPr>
        <w:tc>
          <w:tcPr>
            <w:tcW w:w="2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gridSpan w:val="4"/>
          </w:tcPr>
          <w:p>
            <w:pPr>
              <w:jc w:val="center"/>
              <w:ind w:right="1120"/>
              <w:spacing w:after="0"/>
              <w:rPr>
                <w:sz w:val="20"/>
                <w:szCs w:val="20"/>
                <w:color w:val="auto"/>
              </w:rPr>
            </w:pPr>
            <w:r>
              <w:rPr>
                <w:rFonts w:ascii="Arial" w:cs="Arial" w:eastAsia="Arial" w:hAnsi="Arial"/>
                <w:sz w:val="18"/>
                <w:szCs w:val="18"/>
                <w:color w:val="auto"/>
                <w:w w:val="91"/>
              </w:rPr>
              <w:t>F-30</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secured hedged inventory facility, bearing a weighted-average interest rate of 2.6%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664</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short-term debt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8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8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2.60% senior notes due December 2019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5.75% senior notes due January 2020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5.00% senior notes due February 2021</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3.65% senior notes due June 2022</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2.85% senior notes due January 2023</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3.85% senior notes due October 2023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3.60% senior notes due November 2024</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4.65% senior notes due October 2025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4.50% senior notes due December 2026</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6.70% senior notes due May 2036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6.65% senior notes due January 2037</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5.15% senior notes due June 2042</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4.30% senior notes due January 2043</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4.70% senior notes due June 2044</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4.90% senior notes due February 2045</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Unamortized discounts and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8,933</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2"/>
              </w:rPr>
              <w:t>Commercial paper notes, bearing a weighted-average interest rate of 2.4%, and senior secured hedged inventory</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7"/>
        </w:trPr>
        <w:tc>
          <w:tcPr>
            <w:tcW w:w="8580" w:type="dxa"/>
            <w:vAlign w:val="bottom"/>
          </w:tcPr>
          <w:p>
            <w:pPr>
              <w:ind w:left="340"/>
              <w:spacing w:after="0" w:line="257" w:lineRule="exact"/>
              <w:rPr>
                <w:sz w:val="20"/>
                <w:szCs w:val="20"/>
                <w:color w:val="auto"/>
              </w:rPr>
            </w:pPr>
            <w:r>
              <w:rPr>
                <w:rFonts w:ascii="Arial" w:cs="Arial" w:eastAsia="Arial" w:hAnsi="Arial"/>
                <w:sz w:val="18"/>
                <w:szCs w:val="18"/>
                <w:color w:val="auto"/>
              </w:rPr>
              <w:t xml:space="preserve">facility borrowings </w:t>
            </w:r>
            <w:r>
              <w:rPr>
                <w:rFonts w:ascii="Arial" w:cs="Arial" w:eastAsia="Arial" w:hAnsi="Arial"/>
                <w:sz w:val="25"/>
                <w:szCs w:val="25"/>
                <w:color w:val="auto"/>
                <w:vertAlign w:val="superscript"/>
              </w:rPr>
              <w:t>(2)</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247</w:t>
            </w: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 Zone term loans, net of debt issuance costs of $2, bearing a weighted-average interest rate of 3.1%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9,183</w:t>
            </w:r>
          </w:p>
        </w:tc>
      </w:tr>
      <w:tr>
        <w:trPr>
          <w:trHeight w:val="264"/>
        </w:trPr>
        <w:tc>
          <w:tcPr>
            <w:tcW w:w="8580" w:type="dxa"/>
            <w:vAlign w:val="bottom"/>
          </w:tcPr>
          <w:p>
            <w:pPr>
              <w:ind w:left="500"/>
              <w:spacing w:after="0" w:line="264"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9,209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9,920</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0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120" w:hanging="652"/>
        <w:spacing w:after="0" w:line="226" w:lineRule="auto"/>
        <w:tabs>
          <w:tab w:leader="none" w:pos="660" w:val="left"/>
        </w:tabs>
        <w:numPr>
          <w:ilvl w:val="0"/>
          <w:numId w:val="105"/>
        </w:numPr>
        <w:rPr>
          <w:rFonts w:ascii="Arial" w:cs="Arial" w:eastAsia="Arial" w:hAnsi="Arial"/>
          <w:sz w:val="25"/>
          <w:szCs w:val="25"/>
          <w:color w:val="auto"/>
          <w:vertAlign w:val="superscript"/>
        </w:rPr>
      </w:pPr>
      <w:r>
        <w:rPr>
          <w:rFonts w:ascii="Arial" w:cs="Arial" w:eastAsia="Arial" w:hAnsi="Arial"/>
          <w:sz w:val="18"/>
          <w:szCs w:val="18"/>
          <w:color w:val="auto"/>
        </w:rPr>
        <w:t>We classified these commercial paper notes and credit facility borrowings as short-term as of December 31, 2017,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140" w:hanging="652"/>
        <w:spacing w:after="0" w:line="226" w:lineRule="auto"/>
        <w:tabs>
          <w:tab w:leader="none" w:pos="660" w:val="left"/>
        </w:tabs>
        <w:numPr>
          <w:ilvl w:val="0"/>
          <w:numId w:val="105"/>
        </w:numPr>
        <w:rPr>
          <w:rFonts w:ascii="Arial" w:cs="Arial" w:eastAsia="Arial" w:hAnsi="Arial"/>
          <w:sz w:val="25"/>
          <w:szCs w:val="25"/>
          <w:color w:val="auto"/>
          <w:vertAlign w:val="superscript"/>
        </w:rPr>
      </w:pPr>
      <w:r>
        <w:rPr>
          <w:rFonts w:ascii="Arial" w:cs="Arial" w:eastAsia="Arial" w:hAnsi="Arial"/>
          <w:sz w:val="18"/>
          <w:szCs w:val="18"/>
          <w:color w:val="auto"/>
        </w:rPr>
        <w:t>As of December 31, 2018, we classified our $500 million, 2.60% senior notes due December 2019 as long-term, and as of December 31, 2017, we classified a portion of our commercial paper notes and senior unsecured hedged inventory facility borrowings as long-term based on our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hanging="652"/>
        <w:spacing w:after="0" w:line="232" w:lineRule="auto"/>
        <w:tabs>
          <w:tab w:leader="none" w:pos="660" w:val="left"/>
        </w:tabs>
        <w:numPr>
          <w:ilvl w:val="0"/>
          <w:numId w:val="105"/>
        </w:numPr>
        <w:rPr>
          <w:rFonts w:ascii="Arial" w:cs="Arial" w:eastAsia="Arial" w:hAnsi="Arial"/>
          <w:sz w:val="25"/>
          <w:szCs w:val="25"/>
          <w:color w:val="auto"/>
          <w:vertAlign w:val="superscript"/>
        </w:rPr>
      </w:pPr>
      <w:r>
        <w:rPr>
          <w:rFonts w:ascii="Arial" w:cs="Arial" w:eastAsia="Arial" w:hAnsi="Arial"/>
          <w:sz w:val="18"/>
          <w:szCs w:val="18"/>
          <w:color w:val="auto"/>
        </w:rPr>
        <w:t>Our fixed-rate senior notes had a face value of approximately $9.0 billion at both December 31, 2018 and 2017. We estimated the aggregate fair value of these notes as of December 31, 2018 and 2017 to be approximately $8.6 billion and $9.1 billion, respectively. Our fixed-rate senior notes are traded among institutions, and these trades are routinely published by a reporting service. Our determination of fair value is based on reported trading activity near year end.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line="311" w:lineRule="auto"/>
        <w:rPr>
          <w:sz w:val="20"/>
          <w:szCs w:val="20"/>
          <w:color w:val="auto"/>
        </w:rPr>
      </w:pPr>
      <w:r>
        <w:rPr>
          <w:rFonts w:ascii="Arial" w:cs="Arial" w:eastAsia="Arial" w:hAnsi="Arial"/>
          <w:sz w:val="18"/>
          <w:szCs w:val="18"/>
          <w:color w:val="auto"/>
        </w:rPr>
        <w:t>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We have a commercial paper program under which we may issue (and have outstanding at any time) up to $3.0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i w:val="1"/>
          <w:iCs w:val="1"/>
          <w:color w:val="auto"/>
        </w:rPr>
        <w:t>Senior secured hedged inventory facility</w:t>
      </w:r>
      <w:r>
        <w:rPr>
          <w:rFonts w:ascii="Arial" w:cs="Arial" w:eastAsia="Arial" w:hAnsi="Arial"/>
          <w:sz w:val="16"/>
          <w:szCs w:val="16"/>
          <w:color w:val="auto"/>
        </w:rPr>
        <w:t>. We have a credit agreement that provides for a senior secured hedged inventory facility with a committed</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 capacity of $1.4 billion, of which $400 million is available for the issuance of letters of credit. Subject to obtaining additional or increased lender commitments, the committed capacity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either the Eurocurrency Rate or the Base Rate, in each case plus a margin based on our credit rating at the applicable time. The agreement also provides for one or more one-year extensions, subject to applicable approval. In August 2018, we amended this agreement to, among other things, extend the maturity date of the facility to August 2021 for each extending lender. The maturity date with respect to each non-extending lender (which represent aggregate commitments of approximately $35 million out of total commitments of $1.4 billion from all lenders) remains August 2020.</w:t>
      </w:r>
    </w:p>
    <w:p>
      <w:pPr>
        <w:spacing w:after="0" w:line="16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Senior unsecured revolving credit facility. </w:t>
      </w:r>
      <w:r>
        <w:rPr>
          <w:rFonts w:ascii="Arial" w:cs="Arial" w:eastAsia="Arial" w:hAnsi="Arial"/>
          <w:sz w:val="17"/>
          <w:szCs w:val="17"/>
          <w:color w:val="auto"/>
        </w:rPr>
        <w:t>We have a credit agreement that provides for a senior unsecured revolving credit facility with a committed</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 capacity of $1.6 billion. Subject to obtaining additional or increased lender commitments, the committed capacity may be increased to $2.1 billion. The credit agreement also provides for the issuance of letters of credit. Borrowings accrue interest based, at our election, on the Eurocurrency Rate, the Base Rate or the Canadian Prime Rate, in each case plus a margin based on our credit rating at the applicable time. The agreement also provides for one or more one-year extensions, subject to applicable approval. In August 2018, we amended this agreement to, among other things, extend the maturity date of the facility to August 2023 for each extending lender. The maturity date with respect to each non-extending lender (which represent aggregate commitments of $35 million out of total commitments of $1.6 billion from all lenders) remains August 2022.</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 xml:space="preserve">Senior unsecured 364-day revolving credit facility. </w:t>
      </w:r>
      <w:r>
        <w:rPr>
          <w:rFonts w:ascii="Arial" w:cs="Arial" w:eastAsia="Arial" w:hAnsi="Arial"/>
          <w:sz w:val="18"/>
          <w:szCs w:val="18"/>
          <w:color w:val="auto"/>
        </w:rPr>
        <w:t>Our credit agreement that provided for a 364-day senior unsecured revolving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matured in August 2018.</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GO Zone term loans</w:t>
      </w:r>
      <w:r>
        <w:rPr>
          <w:rFonts w:ascii="Arial" w:cs="Arial" w:eastAsia="Arial" w:hAnsi="Arial"/>
          <w:sz w:val="18"/>
          <w:szCs w:val="18"/>
          <w:color w:val="auto"/>
        </w:rPr>
        <w:t>. In August 2018, we entered into an agreement for two $100 million term loans (the “GO Zone term loans”)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remarketing of our $100,000,000 Mississippi Business Finance Corporation Gulf Opportunity Zone Industrial Development Revenue Bonds (SG Resources Mississippi, LLC Project), Series 2009 and our $100,000,000 Mississippi Business Finance Corporation Gulf Opportunity Zone Industrial Development Revenue Bonds (SG Resources Mississippi, LLC Project), Series 2010 (collectively, the “GO Bonds”). The GO Zone term loans accrue interest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AAP senior secured credit agreement</w:t>
      </w:r>
      <w:r>
        <w:rPr>
          <w:rFonts w:ascii="Arial" w:cs="Arial" w:eastAsia="Arial" w:hAnsi="Arial"/>
          <w:sz w:val="18"/>
          <w:szCs w:val="18"/>
          <w:color w:val="auto"/>
        </w:rPr>
        <w:t>. In connection with the Simplification Transactions, on November 15, 2016, we assumed all of AAP’s then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borrowings under the AAP senior secured credit agreement, and immediately repaid such amounts and canceled the credit agreement. See Note 1 for further discussion of the Simplification Transactions.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Notes Issuances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issuances of senior unsecured notes during 2016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CCEEFF"/>
            </w:tcBorders>
          </w:tcPr>
          <w:p>
            <w:pPr>
              <w:spacing w:after="0"/>
              <w:rPr>
                <w:sz w:val="16"/>
                <w:szCs w:val="16"/>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5"/>
              </w:rPr>
              <w:t>Face Value</w:t>
            </w: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Payment Dates</w:t>
            </w:r>
          </w:p>
        </w:tc>
      </w:tr>
      <w:tr>
        <w:trPr>
          <w:trHeight w:val="243"/>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21"/>
                <w:szCs w:val="21"/>
                <w:color w:val="auto"/>
              </w:rPr>
            </w:pPr>
          </w:p>
        </w:tc>
        <w:tc>
          <w:tcPr>
            <w:tcW w:w="5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4.50% Senior Notes issued at 99.716% of face value</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2026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15 and December 15</w:t>
            </w:r>
          </w:p>
        </w:tc>
      </w:tr>
      <w:tr>
        <w:trPr>
          <w:trHeight w:val="27"/>
        </w:trPr>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issue any senior unsecured notes during the years ended December 31, 2018 or 2017.</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Senior Notes Repayments. </w:t>
      </w:r>
      <w:r>
        <w:rPr>
          <w:rFonts w:ascii="Arial" w:cs="Arial" w:eastAsia="Arial" w:hAnsi="Arial"/>
          <w:sz w:val="18"/>
          <w:szCs w:val="18"/>
          <w:color w:val="auto"/>
        </w:rPr>
        <w:t>We did not repay any senior unsecured notes during 2018. During 2017 and 2016, we repaid the following senior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notes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12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Repayment Date</w:t>
            </w:r>
          </w:p>
        </w:tc>
      </w:tr>
      <w:tr>
        <w:trPr>
          <w:trHeight w:val="243"/>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$400 million 6.13% Senior Notes due January 2017</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January 2017</w:t>
            </w:r>
          </w:p>
        </w:tc>
      </w:tr>
      <w:tr>
        <w:trPr>
          <w:trHeight w:val="270"/>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3"/>
                <w:szCs w:val="23"/>
                <w:color w:val="auto"/>
              </w:rPr>
            </w:pPr>
          </w:p>
        </w:tc>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$600 million 6.50% Senior Notes due May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December 2017</w:t>
            </w:r>
          </w:p>
        </w:tc>
      </w:tr>
      <w:tr>
        <w:trPr>
          <w:trHeight w:val="270"/>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3"/>
                <w:szCs w:val="23"/>
                <w:color w:val="auto"/>
              </w:rPr>
            </w:pPr>
          </w:p>
        </w:tc>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$350 million 8.75% Senior Notes due May 2019</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December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2466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0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121" w:lineRule="exact"/>
        <w:rPr>
          <w:sz w:val="20"/>
          <w:szCs w:val="20"/>
          <w:color w:val="auto"/>
        </w:rPr>
      </w:pPr>
    </w:p>
    <w:p>
      <w:pPr>
        <w:ind w:left="180" w:hanging="180"/>
        <w:spacing w:after="0"/>
        <w:tabs>
          <w:tab w:leader="none" w:pos="18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(2)</w:t>
      </w:r>
    </w:p>
    <w:p>
      <w:pPr>
        <w:spacing w:after="0" w:line="143" w:lineRule="exact"/>
        <w:rPr>
          <w:rFonts w:ascii="Arial" w:cs="Arial" w:eastAsia="Arial" w:hAnsi="Arial"/>
          <w:sz w:val="11"/>
          <w:szCs w:val="11"/>
          <w:color w:val="auto"/>
        </w:rPr>
      </w:pPr>
    </w:p>
    <w:p>
      <w:pPr>
        <w:ind w:left="180" w:hanging="180"/>
        <w:spacing w:after="0"/>
        <w:tabs>
          <w:tab w:leader="none" w:pos="18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(2)</w:t>
      </w:r>
    </w:p>
    <w:p>
      <w:pPr>
        <w:spacing w:after="0" w:line="303" w:lineRule="exact"/>
        <w:rPr>
          <w:sz w:val="20"/>
          <w:szCs w:val="20"/>
          <w:color w:val="auto"/>
        </w:rPr>
      </w:pPr>
    </w:p>
    <w:p>
      <w:pPr>
        <w:sectPr>
          <w:pgSz w:w="11900" w:h="16838" w:orient="portrait"/>
          <w:cols w:equalWidth="0" w:num="2">
            <w:col w:w="10740" w:space="140"/>
            <w:col w:w="540"/>
          </w:cols>
          <w:pgMar w:left="240" w:top="125" w:right="239" w:bottom="1440" w:gutter="0" w:footer="0" w:header="0"/>
          <w:type w:val="continuous"/>
        </w:sectPr>
      </w:pPr>
    </w:p>
    <w:p>
      <w:pPr>
        <w:spacing w:after="0" w:line="164" w:lineRule="exact"/>
        <w:rPr>
          <w:sz w:val="20"/>
          <w:szCs w:val="20"/>
          <w:color w:val="auto"/>
        </w:rPr>
      </w:pPr>
    </w:p>
    <w:p>
      <w:pPr>
        <w:ind w:left="920"/>
        <w:spacing w:after="0"/>
        <w:tabs>
          <w:tab w:leader="none" w:pos="3240" w:val="left"/>
          <w:tab w:leader="none" w:pos="8900" w:val="left"/>
          <w:tab w:leader="none" w:pos="1086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8"/>
          <w:szCs w:val="18"/>
          <w:color w:val="auto"/>
        </w:rPr>
        <w:t>$175 million 5.88% Senior Notes due August 2016</w:t>
      </w:r>
      <w:r>
        <w:rPr>
          <w:sz w:val="20"/>
          <w:szCs w:val="20"/>
          <w:color w:val="auto"/>
        </w:rPr>
        <w:tab/>
      </w:r>
      <w:r>
        <w:rPr>
          <w:rFonts w:ascii="Arial" w:cs="Arial" w:eastAsia="Arial" w:hAnsi="Arial"/>
          <w:sz w:val="18"/>
          <w:szCs w:val="18"/>
          <w:color w:val="auto"/>
        </w:rPr>
        <w:t>August 2016</w:t>
      </w:r>
      <w:r>
        <w:rPr>
          <w:sz w:val="20"/>
          <w:szCs w:val="20"/>
          <w:color w:val="auto"/>
        </w:rPr>
        <w:tab/>
      </w:r>
      <w:r>
        <w:rPr>
          <w:rFonts w:ascii="Arial" w:cs="Arial" w:eastAsia="Arial" w:hAnsi="Arial"/>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5044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0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9"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4"/>
          <w:szCs w:val="24"/>
          <w:color w:val="auto"/>
          <w:vertAlign w:val="superscript"/>
        </w:rPr>
      </w:pPr>
      <w:r>
        <w:rPr>
          <w:rFonts w:ascii="Arial" w:cs="Arial" w:eastAsia="Arial" w:hAnsi="Arial"/>
          <w:sz w:val="17"/>
          <w:szCs w:val="17"/>
          <w:color w:val="auto"/>
        </w:rPr>
        <w:t>We repaid these senior notes with cash on hand and proceeds from borrowings under our credit facilities and commercial paper program.</w:t>
      </w:r>
    </w:p>
    <w:p>
      <w:pPr>
        <w:spacing w:after="0" w:line="98" w:lineRule="exact"/>
        <w:rPr>
          <w:rFonts w:ascii="Arial" w:cs="Arial" w:eastAsia="Arial" w:hAnsi="Arial"/>
          <w:sz w:val="24"/>
          <w:szCs w:val="24"/>
          <w:color w:val="auto"/>
          <w:vertAlign w:val="superscript"/>
        </w:rPr>
      </w:pPr>
    </w:p>
    <w:p>
      <w:pPr>
        <w:ind w:left="660" w:right="1040" w:hanging="652"/>
        <w:spacing w:after="0" w:line="214" w:lineRule="auto"/>
        <w:tabs>
          <w:tab w:leader="none" w:pos="660" w:val="left"/>
        </w:tabs>
        <w:numPr>
          <w:ilvl w:val="0"/>
          <w:numId w:val="108"/>
        </w:numPr>
        <w:rPr>
          <w:rFonts w:ascii="Arial" w:cs="Arial" w:eastAsia="Arial" w:hAnsi="Arial"/>
          <w:sz w:val="25"/>
          <w:szCs w:val="25"/>
          <w:color w:val="auto"/>
          <w:vertAlign w:val="superscript"/>
        </w:rPr>
      </w:pPr>
      <w:r>
        <w:rPr>
          <w:rFonts w:ascii="Arial" w:cs="Arial" w:eastAsia="Arial" w:hAnsi="Arial"/>
          <w:sz w:val="18"/>
          <w:szCs w:val="18"/>
          <w:color w:val="auto"/>
        </w:rPr>
        <w:t>In conjunction with the early redemptions of these senior notes, we recognized a loss of approximately $40 million, recorded to “Other income/(expense), net” in our Consolidated Statement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weighted average maturity of our long-term debt outstanding at December 31, 2018 was approximately 11 years. The following table presents the aggregate contractually scheduled maturities of such long-term debt for the next five years and thereafter. The amounts presented exclude unamortized discounts and debt issuance costs.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Calendar Year</w:t>
            </w:r>
          </w:p>
        </w:tc>
        <w:tc>
          <w:tcPr>
            <w:tcW w:w="220" w:type="dxa"/>
            <w:vAlign w:val="bottom"/>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92"/>
        </w:trPr>
        <w:tc>
          <w:tcPr>
            <w:tcW w:w="10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credit agreements for our revolving credit facilities (which impact our ability to access our commercial paper program because they provide the financial backstop that supports our short-term credit ratings) and our term loans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type w:val="continuous"/>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credit agreements for our senior unsecured revolving credit facility, senior secured hedged inventory facility and GO Zone term loans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 default under our credit agreements or indentures would permit the lenders to accelerate the maturity of the outstanding debt. As long as we are in compliance with the provisions contained in our credit agreements, our ability to make distributions of available cash is not restricted. As of December 31, 2018, we were in compliance with the covenants contained in our credit agreements and indentures.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borrowings under our credit agreements and commercial paper program for the years ended December 31, 2018, 2017 and 2016 were approximately $45.4 billion, $60.8 billion and $60.3 billion, respectively. Total repayments under our credit agreements and commercial paper program were approximately $46.3 billion, $61.5 billion and $61.0 billion for the years ended December 31, 2018, 2017 and 2016,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2018 and 2017, we had outstanding letters of credit of $184 million and $166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At December 31, 2018, partners’ capital consisted of outstanding common units and Series A and Series B preferred units, which represent limited partner interests in us, which give the holders thereof the right to participate in distributions and to exercise the other rights or privileges as outlined in our partnership agreement. Our general partner has a non-economic interest in us. However, prior to the closing of the Simplification Transactions, our outstanding common units and Series A preferred units represented a 98% effective aggregate ownership interest in us and our subsidiaries after giving effect to the 2% general partner interest. See Note 1 for discussion of the Simplification Transactions.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for our preferred and common units: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Limited Partners</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740" w:type="dxa"/>
            <w:vAlign w:val="bottom"/>
            <w:gridSpan w:val="2"/>
          </w:tcPr>
          <w:p>
            <w:pPr>
              <w:ind w:left="560"/>
              <w:spacing w:after="0" w:line="153" w:lineRule="exact"/>
              <w:rPr>
                <w:sz w:val="20"/>
                <w:szCs w:val="20"/>
                <w:color w:val="auto"/>
              </w:rPr>
            </w:pPr>
            <w:r>
              <w:rPr>
                <w:rFonts w:ascii="Arial" w:cs="Arial" w:eastAsia="Arial" w:hAnsi="Arial"/>
                <w:sz w:val="14"/>
                <w:szCs w:val="14"/>
                <w:b w:val="1"/>
                <w:bCs w:val="1"/>
                <w:color w:val="auto"/>
              </w:rPr>
              <w:t>Series A</w:t>
            </w:r>
          </w:p>
        </w:tc>
        <w:tc>
          <w:tcPr>
            <w:tcW w:w="17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Series B</w:t>
            </w:r>
          </w:p>
        </w:tc>
        <w:tc>
          <w:tcPr>
            <w:tcW w:w="15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Preferred Units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Preferred Units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397,727,624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Series A preferred units</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61,030,127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Issuances of Series A preferred units in connection with in-kind distributions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3,358,726</w:t>
            </w: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common units</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26,278,288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w w:val="95"/>
              </w:rPr>
              <w:t>Issuance of common units in connection with Simplification Transactions (Note 1)</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244,707,926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Issuances of common units under LTIP</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480,581</w:t>
            </w:r>
          </w:p>
        </w:tc>
        <w:tc>
          <w:tcPr>
            <w:tcW w:w="0" w:type="dxa"/>
            <w:vAlign w:val="bottom"/>
          </w:tcPr>
          <w:p>
            <w:pPr>
              <w:spacing w:after="0"/>
              <w:rPr>
                <w:sz w:val="1"/>
                <w:szCs w:val="1"/>
                <w:color w:val="auto"/>
              </w:rPr>
            </w:pP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2016</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64,388,853</w:t>
            </w:r>
          </w:p>
        </w:tc>
        <w:tc>
          <w:tcPr>
            <w:tcW w:w="1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669,194,419</w:t>
            </w:r>
          </w:p>
        </w:tc>
        <w:tc>
          <w:tcPr>
            <w:tcW w:w="0" w:type="dxa"/>
            <w:vAlign w:val="bottom"/>
          </w:tcPr>
          <w:p>
            <w:pPr>
              <w:spacing w:after="0"/>
              <w:rPr>
                <w:sz w:val="1"/>
                <w:szCs w:val="1"/>
                <w:color w:val="auto"/>
              </w:rPr>
            </w:pPr>
          </w:p>
        </w:tc>
      </w:tr>
      <w:tr>
        <w:trPr>
          <w:trHeight w:val="311"/>
        </w:trPr>
        <w:tc>
          <w:tcPr>
            <w:tcW w:w="64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Issuances of Series A preferred units in connection with in-kind distributions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5,307,689</w:t>
            </w: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Series B preferred units</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Sales of common units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54,119,893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Issuance of common units in connection with acquisition of interest in Advantage</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Joint Venture (Note 7)</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1,252,269</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Issuances of common units under LTIP</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622,557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69,696,542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800,000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725,189,138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Series A preferred units in connection with in-kind distribution</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1,393,926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Issuance of common units upon AAP Management Units becoming earned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559,649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Issuances of common units under LTIP</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613,137</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71,090,468</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726,361,924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Units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Series A Preferred Unit Issuance</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January 28, 2016 (the “Issuance Date”), we completed the private placement of approximately 61.0 million Series A preferred units representing limited partner interests in us for a cash purchase price of $26.25 per unit (the “Issue Price”), resulting in total net proceeds to us, after deducting offering expenses and the 2% transaction fee due to the purchasers and including our general partner’s proportionate capital contribution, of approximately $1.6 billion. Certain of the purchasers or their affiliates are related parties. See Note 16 for additional information.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Series A preferred units rank pari passu with our Series B preferred units, and senior to our common units and to each other class or series of our equity securities with respect to distribution rights and rights upon liquidation. The holders of the Series A preferred units receive cumulative quarterly distributions, subject to customary antidilution adjustments, equal to $0.525 per unit ($2.10 per unit annualized). With respect to quarters ending on or prior to December 31, 2017 (the “Initial Distribution Period”), we elected to pay distributions on our Series A preferred units in additional Series A preferred units. The Initial Distribution Period ended with the February 2018 distribution; as such, with respect to quarters ending after the Initial Distribution Period, distributions on our Series A preferred units are paid in cash.</w:t>
      </w:r>
    </w:p>
    <w:p>
      <w:pPr>
        <w:spacing w:after="0" w:line="19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holders may convert their Series A preferred units into common units, generally on a one-for-one basis and subject to customary anti-dilution adjustments, at any time, in whole or in part, subject to certain minimum conversion amounts (and not more often than once per quarter). We may convert the Series A preferred units into common units at any time (but not more often than once per quarter) after the third anniversary of the Issuance Date (January 28, 2019), in whole or in part, subject to certain minimum conversion amounts, if the closing price of our common units is greater than 150% of the Issue Price for the preceding 20 trading days. The Series A preferred units vote on an as-converted basis with our common units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into common units at the then applicable conversion rate.</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a period of 30 days following (a) the fifth anniversary of the Issuance Date of the Series A preferred units and (b) each subsequent anniversary of the Issuance Date, the holders of the Series A preferred units, acting by majority vote, may make a one-time election to reset the Series A preferred unit distribution rate to equal the then applicable rate of ten-year U.S. Treasury Securities plus 5.85% (the “Preferred Distribution Rate Reset Option”). The Preferred Distribution Rate Reset Option is accounted for as an embedded derivative. See Note 13 for additional information. If the holders of the Series A preferred units have exercised the Preferred Distribution Rate Reset Option, then, at any time following 30 days after the sixth anniversary of the Issuance Date, we may redeem all or any portion of the outstanding Series A preferred units in exchange for cash, common units (valued at 95% of the volume-weighted average price of our common units for a trading day period specified in our partnership agreement) or a combination of cash and common units at a redemption price equal to 110% of the Issue Price, plus any accrued and unpaid distributions.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Series B Preferred Unit Issuance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October 10, 2017, we issued 800,000 Series B Fixed-to-Floating Rate Cumulative Redeemable Perpetual Preferred Units representing limited partner interests in us (the “Series B preferred units”) at a price to the public of $1,000 per unit. We used the net proceeds of $788 million, after deducting the underwriters’ discounts and offering expenses, from the issuance of the Series B preferred units to repay amounts outstanding under our credit facilities and commercial paper program and for general partnership purposes.</w:t>
      </w:r>
    </w:p>
    <w:p>
      <w:pPr>
        <w:spacing w:after="0" w:line="18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pari passu with our outstanding Series A preferred units and senior to our common units.</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then-current three-month LIBOR plus a spread of 4.11%.</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certain rating agency events, we may redeem the Series B preferred units, in whole but not in part, at a price</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Unit Issuances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entered into several equity distribution agreements under our Continuous Offering Program, pursuant to which we may offer and sell, through sales agents, common units representing limited partner interests. We may also sell common units through overnight or underwritten offerings. In addition, we may sell or otherwise issue common units to AAP pursuant to the Omnibus Agreement entered into by the Plains Entities in connection with the November 2016 Simplification Transactions.</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Sales of Common Units. </w:t>
      </w:r>
      <w:r>
        <w:rPr>
          <w:rFonts w:ascii="Arial" w:cs="Arial" w:eastAsia="Arial" w:hAnsi="Arial"/>
          <w:sz w:val="18"/>
          <w:szCs w:val="18"/>
          <w:color w:val="auto"/>
        </w:rPr>
        <w:t>We did not conduct any sales of common units during the year ended December 31, 2018. The following table summarizes</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of common units for the years ended December 31, 2017 and 2016 (net proceeds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Type of Offering</w:t>
            </w:r>
          </w:p>
        </w:tc>
        <w:tc>
          <w:tcPr>
            <w:tcW w:w="12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Common Units Issued</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 xml:space="preserve">Net Proceeds </w:t>
            </w:r>
            <w:r>
              <w:rPr>
                <w:rFonts w:ascii="Arial" w:cs="Arial" w:eastAsia="Arial" w:hAnsi="Arial"/>
                <w:sz w:val="8"/>
                <w:szCs w:val="8"/>
                <w:b w:val="1"/>
                <w:bCs w:val="1"/>
                <w:color w:val="auto"/>
                <w:w w:val="98"/>
              </w:rPr>
              <w:t>(1) (2)</w:t>
            </w:r>
          </w:p>
        </w:tc>
        <w:tc>
          <w:tcPr>
            <w:tcW w:w="340" w:type="dxa"/>
            <w:vAlign w:val="bottom"/>
            <w:tcBorders>
              <w:bottom w:val="single" w:sz="8" w:color="CCEEFF"/>
            </w:tcBorders>
          </w:tcPr>
          <w:p>
            <w:pPr>
              <w:spacing w:after="0"/>
              <w:rPr>
                <w:sz w:val="16"/>
                <w:szCs w:val="16"/>
                <w:color w:val="auto"/>
              </w:rPr>
            </w:pPr>
          </w:p>
        </w:tc>
      </w:tr>
      <w:tr>
        <w:trPr>
          <w:trHeight w:val="250"/>
        </w:trPr>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Continuous Offering Program</w:t>
            </w:r>
          </w:p>
        </w:tc>
        <w:tc>
          <w:tcPr>
            <w:tcW w:w="2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4,033,567</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r>
      <w:tr>
        <w:trPr>
          <w:trHeight w:val="270"/>
        </w:trPr>
        <w:tc>
          <w:tcPr>
            <w:tcW w:w="2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tcPr>
          <w:p>
            <w:pPr>
              <w:spacing w:after="0"/>
              <w:rPr>
                <w:sz w:val="23"/>
                <w:szCs w:val="23"/>
                <w:color w:val="auto"/>
              </w:rPr>
            </w:pPr>
          </w:p>
        </w:tc>
        <w:tc>
          <w:tcPr>
            <w:tcW w:w="4020" w:type="dxa"/>
            <w:vAlign w:val="bottom"/>
            <w:tcBorders>
              <w:bottom w:val="single" w:sz="8" w:color="CCEEFF"/>
            </w:tcBorders>
            <w:gridSpan w:val="2"/>
          </w:tcPr>
          <w:p>
            <w:pPr>
              <w:jc w:val="center"/>
              <w:ind w:right="120"/>
              <w:spacing w:after="0" w:line="270" w:lineRule="exact"/>
              <w:rPr>
                <w:sz w:val="20"/>
                <w:szCs w:val="20"/>
                <w:color w:val="auto"/>
              </w:rPr>
            </w:pPr>
            <w:r>
              <w:rPr>
                <w:rFonts w:ascii="Arial" w:cs="Arial" w:eastAsia="Arial" w:hAnsi="Arial"/>
                <w:sz w:val="18"/>
                <w:szCs w:val="18"/>
                <w:color w:val="auto"/>
                <w:w w:val="89"/>
              </w:rPr>
              <w:t xml:space="preserve">Omnibus Agreement </w:t>
            </w:r>
            <w:r>
              <w:rPr>
                <w:rFonts w:ascii="Arial" w:cs="Arial" w:eastAsia="Arial" w:hAnsi="Arial"/>
                <w:sz w:val="25"/>
                <w:szCs w:val="25"/>
                <w:color w:val="auto"/>
                <w:w w:val="89"/>
                <w:vertAlign w:val="superscript"/>
              </w:rPr>
              <w:t>(4)</w:t>
            </w:r>
          </w:p>
        </w:tc>
        <w:tc>
          <w:tcPr>
            <w:tcW w:w="2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50,086,326</w:t>
            </w:r>
          </w:p>
        </w:tc>
        <w:tc>
          <w:tcPr>
            <w:tcW w:w="34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color w:val="auto"/>
              </w:rPr>
              <w:t>(5)</w:t>
            </w: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1,535</w:t>
            </w:r>
          </w:p>
        </w:tc>
        <w:tc>
          <w:tcPr>
            <w:tcW w:w="340" w:type="dxa"/>
            <w:vAlign w:val="bottom"/>
            <w:tcBorders>
              <w:bottom w:val="single" w:sz="8" w:color="CCEEFF"/>
            </w:tcBorders>
          </w:tcPr>
          <w:p>
            <w:pPr>
              <w:spacing w:after="0"/>
              <w:rPr>
                <w:sz w:val="23"/>
                <w:szCs w:val="23"/>
                <w:color w:val="auto"/>
              </w:rPr>
            </w:pPr>
          </w:p>
        </w:tc>
      </w:tr>
      <w:tr>
        <w:trPr>
          <w:trHeight w:val="257"/>
        </w:trPr>
        <w:tc>
          <w:tcPr>
            <w:tcW w:w="2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2017 Total</w:t>
            </w:r>
          </w:p>
        </w:tc>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54,119,893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1,664</w:t>
            </w:r>
          </w:p>
        </w:tc>
        <w:tc>
          <w:tcPr>
            <w:tcW w:w="340" w:type="dxa"/>
            <w:vAlign w:val="bottom"/>
            <w:shd w:val="clear" w:color="auto" w:fill="CCEEFF"/>
          </w:tcPr>
          <w:p>
            <w:pPr>
              <w:spacing w:after="0"/>
              <w:rPr>
                <w:sz w:val="22"/>
                <w:szCs w:val="22"/>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r>
        <w:trPr>
          <w:trHeight w:val="311"/>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2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2016 Total</w:t>
            </w:r>
          </w:p>
        </w:tc>
        <w:tc>
          <w:tcPr>
            <w:tcW w:w="40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1"/>
              </w:rPr>
              <w:t>Continuous Offering Program</w:t>
            </w:r>
          </w:p>
        </w:tc>
        <w:tc>
          <w:tcPr>
            <w:tcW w:w="2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26,278,288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805</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0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100" w:hanging="652"/>
        <w:spacing w:after="0" w:line="214" w:lineRule="auto"/>
        <w:tabs>
          <w:tab w:leader="none" w:pos="660" w:val="left"/>
        </w:tabs>
        <w:numPr>
          <w:ilvl w:val="0"/>
          <w:numId w:val="110"/>
        </w:numPr>
        <w:rPr>
          <w:rFonts w:ascii="Arial" w:cs="Arial" w:eastAsia="Arial" w:hAnsi="Arial"/>
          <w:sz w:val="25"/>
          <w:szCs w:val="25"/>
          <w:color w:val="auto"/>
          <w:vertAlign w:val="superscript"/>
        </w:rPr>
      </w:pPr>
      <w:r>
        <w:rPr>
          <w:rFonts w:ascii="Arial" w:cs="Arial" w:eastAsia="Arial" w:hAnsi="Arial"/>
          <w:sz w:val="18"/>
          <w:szCs w:val="18"/>
          <w:color w:val="auto"/>
        </w:rPr>
        <w:t>For the period prior to the closing of the Simplification Transactions, the amount includes our general partner’s proportionate capital contribution of $9 million during 2016.</w:t>
      </w:r>
    </w:p>
    <w:p>
      <w:pPr>
        <w:spacing w:after="0" w:line="94" w:lineRule="exact"/>
        <w:rPr>
          <w:rFonts w:ascii="Arial" w:cs="Arial" w:eastAsia="Arial" w:hAnsi="Arial"/>
          <w:sz w:val="25"/>
          <w:szCs w:val="25"/>
          <w:color w:val="auto"/>
          <w:vertAlign w:val="superscript"/>
        </w:rPr>
      </w:pPr>
    </w:p>
    <w:p>
      <w:pPr>
        <w:ind w:left="660" w:right="40" w:hanging="652"/>
        <w:spacing w:after="0" w:line="216" w:lineRule="auto"/>
        <w:tabs>
          <w:tab w:leader="none" w:pos="660" w:val="left"/>
        </w:tabs>
        <w:numPr>
          <w:ilvl w:val="0"/>
          <w:numId w:val="110"/>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common unit issuances under our Continuous Offering Program. We paid $1 million and $8 million of such commissions during 2017 and 2016, respectively.</w:t>
      </w:r>
    </w:p>
    <w:p>
      <w:pPr>
        <w:spacing w:after="0" w:line="95" w:lineRule="exact"/>
        <w:rPr>
          <w:rFonts w:ascii="Arial" w:cs="Arial" w:eastAsia="Arial" w:hAnsi="Arial"/>
          <w:sz w:val="25"/>
          <w:szCs w:val="25"/>
          <w:color w:val="auto"/>
          <w:vertAlign w:val="superscript"/>
        </w:rPr>
      </w:pPr>
    </w:p>
    <w:p>
      <w:pPr>
        <w:ind w:left="660" w:right="80" w:hanging="652"/>
        <w:spacing w:after="0" w:line="235" w:lineRule="auto"/>
        <w:tabs>
          <w:tab w:leader="none" w:pos="660" w:val="left"/>
        </w:tabs>
        <w:numPr>
          <w:ilvl w:val="0"/>
          <w:numId w:val="110"/>
        </w:numPr>
        <w:rPr>
          <w:rFonts w:ascii="Arial" w:cs="Arial" w:eastAsia="Arial" w:hAnsi="Arial"/>
          <w:sz w:val="25"/>
          <w:szCs w:val="25"/>
          <w:color w:val="auto"/>
          <w:vertAlign w:val="superscript"/>
        </w:rPr>
      </w:pPr>
      <w:r>
        <w:rPr>
          <w:rFonts w:ascii="Arial" w:cs="Arial" w:eastAsia="Arial" w:hAnsi="Arial"/>
          <w:sz w:val="18"/>
          <w:szCs w:val="18"/>
          <w:color w:val="auto"/>
        </w:rPr>
        <w:t>Pursuant to the Omnibus Agreement entered into by the Plains Entities in connection with the Simplification Transactions, PAGP used the net proceeds from the sale of PAGP Class A shares, after deducting the sales agents’ commissions and offering expenses, to purchase from AAP a number of AAP units equal to the number of PAGP Class A shares sold in such offering at a price equal to the net proceeds from such offering. Also pursuant to the Omnibus Agreement, immediately following such purchase and sale, AAP used the net proceeds it received from such sale of AAP units to purchase from us an equivalent number of our common units.</w:t>
      </w:r>
    </w:p>
    <w:p>
      <w:pPr>
        <w:spacing w:after="0" w:line="96" w:lineRule="exact"/>
        <w:rPr>
          <w:rFonts w:ascii="Arial" w:cs="Arial" w:eastAsia="Arial" w:hAnsi="Arial"/>
          <w:sz w:val="25"/>
          <w:szCs w:val="25"/>
          <w:color w:val="auto"/>
          <w:vertAlign w:val="superscript"/>
        </w:rPr>
      </w:pPr>
    </w:p>
    <w:p>
      <w:pPr>
        <w:ind w:left="660" w:right="380" w:hanging="652"/>
        <w:spacing w:after="0" w:line="252" w:lineRule="auto"/>
        <w:tabs>
          <w:tab w:leader="none" w:pos="660" w:val="left"/>
        </w:tabs>
        <w:numPr>
          <w:ilvl w:val="0"/>
          <w:numId w:val="110"/>
        </w:numPr>
        <w:rPr>
          <w:rFonts w:ascii="Arial" w:cs="Arial" w:eastAsia="Arial" w:hAnsi="Arial"/>
          <w:sz w:val="22"/>
          <w:szCs w:val="22"/>
          <w:color w:val="auto"/>
          <w:vertAlign w:val="superscript"/>
        </w:rPr>
      </w:pPr>
      <w:r>
        <w:rPr>
          <w:rFonts w:ascii="Arial" w:cs="Arial" w:eastAsia="Arial" w:hAnsi="Arial"/>
          <w:sz w:val="16"/>
          <w:szCs w:val="16"/>
          <w:color w:val="auto"/>
        </w:rPr>
        <w:t>Includes (i) approximately 1.8 million common units issued to AAP in connection with PAGP’s issuance of Class A shares under its Continuous Offering Program and (ii) 48.3 million common units issued to AAP in connection with PAGP’s March 2017 underwritten offering.</w:t>
      </w:r>
    </w:p>
    <w:p>
      <w:pPr>
        <w:spacing w:after="0" w:line="18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i w:val="1"/>
          <w:iCs w:val="1"/>
          <w:color w:val="auto"/>
        </w:rPr>
        <w:t xml:space="preserve">Issuance of Common Units for Earned AAP Management Units. </w:t>
      </w:r>
      <w:r>
        <w:rPr>
          <w:rFonts w:ascii="Arial" w:cs="Arial" w:eastAsia="Arial" w:hAnsi="Arial"/>
          <w:sz w:val="17"/>
          <w:szCs w:val="17"/>
          <w:color w:val="auto"/>
        </w:rPr>
        <w:t>During the year ended December 31, 2018, pursuant to the Omnibus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by the Plains Entities in connection with the Simplification Transactions, we issued 559,649 common units to AAP upon AAP Management Units becoming earned. See Note 1 for additional information regarding the Simplification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accordance with our partnership agreement, after making distributions to holders of our outstanding 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Preferred Unit Distributions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distributions paid to our preferred unitholders during the year presented (in millions, except per unit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Series A Preferred Unitholders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Series B Preferred Unitholders</w:t>
            </w: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 xml:space="preserve">Distribution </w:t>
            </w:r>
            <w:r>
              <w:rPr>
                <w:rFonts w:ascii="Arial" w:cs="Arial" w:eastAsia="Arial" w:hAnsi="Arial"/>
                <w:sz w:val="8"/>
                <w:szCs w:val="8"/>
                <w:b w:val="1"/>
                <w:bCs w:val="1"/>
                <w:color w:val="auto"/>
                <w:w w:val="97"/>
              </w:rPr>
              <w:t>(1)</w:t>
            </w:r>
          </w:p>
        </w:tc>
        <w:tc>
          <w:tcPr>
            <w:tcW w:w="8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380" w:type="dxa"/>
            <w:vAlign w:val="bottom"/>
            <w:tcBorders>
              <w:top w:val="single" w:sz="8" w:color="auto"/>
              <w:bottom w:val="single" w:sz="8" w:color="auto"/>
            </w:tcBorders>
            <w:vMerge w:val="restart"/>
          </w:tcPr>
          <w:p>
            <w:pPr>
              <w:jc w:val="center"/>
              <w:ind w:right="159"/>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7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40" w:type="dxa"/>
            <w:vAlign w:val="bottom"/>
            <w:vMerge w:val="restart"/>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Cash</w:t>
            </w: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Units</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7"/>
              </w:rPr>
              <w:t xml:space="preserve">Distribution </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1,393,926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1"/>
                <w:szCs w:val="21"/>
                <w:color w:val="auto"/>
              </w:rPr>
            </w:pP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w w:val="87"/>
              </w:rPr>
              <w:t>5,307,689</w:t>
            </w:r>
          </w:p>
        </w:tc>
        <w:tc>
          <w:tcPr>
            <w:tcW w:w="120" w:type="dxa"/>
            <w:vAlign w:val="bottom"/>
            <w:tcBorders>
              <w:right w:val="single" w:sz="8" w:color="auto"/>
            </w:tcBorders>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1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7"/>
              </w:rPr>
              <w:t>3,358,726</w:t>
            </w:r>
          </w:p>
        </w:tc>
        <w:tc>
          <w:tcPr>
            <w:tcW w:w="120" w:type="dxa"/>
            <w:vAlign w:val="bottom"/>
            <w:tcBorders>
              <w:right w:val="single" w:sz="8" w:color="auto"/>
            </w:tcBorders>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0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90" w:lineRule="exact"/>
        <w:rPr>
          <w:sz w:val="20"/>
          <w:szCs w:val="20"/>
          <w:color w:val="auto"/>
        </w:rPr>
      </w:pPr>
    </w:p>
    <w:p>
      <w:pPr>
        <w:ind w:left="660" w:right="240" w:hanging="652"/>
        <w:spacing w:after="0" w:line="232" w:lineRule="auto"/>
        <w:tabs>
          <w:tab w:leader="none" w:pos="660" w:val="left"/>
        </w:tabs>
        <w:numPr>
          <w:ilvl w:val="0"/>
          <w:numId w:val="111"/>
        </w:numPr>
        <w:rPr>
          <w:rFonts w:ascii="Arial" w:cs="Arial" w:eastAsia="Arial" w:hAnsi="Arial"/>
          <w:sz w:val="25"/>
          <w:szCs w:val="25"/>
          <w:color w:val="auto"/>
          <w:vertAlign w:val="superscript"/>
        </w:rPr>
      </w:pPr>
      <w:r>
        <w:rPr>
          <w:rFonts w:ascii="Arial" w:cs="Arial" w:eastAsia="Arial" w:hAnsi="Arial"/>
          <w:sz w:val="18"/>
          <w:szCs w:val="18"/>
          <w:color w:val="auto"/>
        </w:rPr>
        <w:t>During the Initial Distribution Period, we elected to pay distributions on our Series A preferred units in additional Series A preferred units. The Initial Distribution Period ended with the February 2018 distribution; as such, with respect to quarters ending after the Initial Distribution Period, distributions on our Series A preferred units are paid in cash. During 2018, 2017 and 2016, we issued additional Series A preferred units in lieu of cash distributions of $37 million, $139 million and $89 million, respectively.</w:t>
      </w:r>
    </w:p>
    <w:p>
      <w:pPr>
        <w:spacing w:after="0" w:line="94" w:lineRule="exact"/>
        <w:rPr>
          <w:rFonts w:ascii="Arial" w:cs="Arial" w:eastAsia="Arial" w:hAnsi="Arial"/>
          <w:sz w:val="25"/>
          <w:szCs w:val="25"/>
          <w:color w:val="auto"/>
          <w:vertAlign w:val="superscript"/>
        </w:rPr>
      </w:pPr>
    </w:p>
    <w:p>
      <w:pPr>
        <w:ind w:left="660" w:right="680" w:hanging="652"/>
        <w:spacing w:after="0" w:line="216" w:lineRule="auto"/>
        <w:tabs>
          <w:tab w:leader="none" w:pos="660" w:val="left"/>
        </w:tabs>
        <w:numPr>
          <w:ilvl w:val="0"/>
          <w:numId w:val="111"/>
        </w:numPr>
        <w:rPr>
          <w:rFonts w:ascii="Arial" w:cs="Arial" w:eastAsia="Arial" w:hAnsi="Arial"/>
          <w:sz w:val="25"/>
          <w:szCs w:val="25"/>
          <w:color w:val="auto"/>
          <w:vertAlign w:val="superscript"/>
        </w:rPr>
      </w:pPr>
      <w:r>
        <w:rPr>
          <w:rFonts w:ascii="Arial" w:cs="Arial" w:eastAsia="Arial" w:hAnsi="Arial"/>
          <w:sz w:val="18"/>
          <w:szCs w:val="18"/>
          <w:color w:val="auto"/>
        </w:rPr>
        <w:t>We paid a pro-rated initial distribution on the Series B preferred units on November 15, 2017 to holders of record at the close of business on November 1, 2017 in an amount equal to approximately $5.9549 per unit.</w:t>
      </w:r>
    </w:p>
    <w:p>
      <w:pPr>
        <w:spacing w:after="0" w:line="20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February 14, 2019, we paid a cash distribution of $37 million to our Series A preferred unitholders. At December 31, 2018, we had accrued approximately $6 million of distributions payable to our Series B preferred unitholders. At December 31, 2018, such amounts were accrued as distributions payable in “Other current liabilities” on our Consolidated Balance Sheet.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Unit Distributions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details distributions paid to common unitholders (and, prior to the Simplification Transactions, our general partner) during the year presented (in millions, except per unit data):</w:t>
      </w:r>
    </w:p>
    <w:p>
      <w:pPr>
        <w:spacing w:after="0" w:line="38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Distributions Paid</w:t>
      </w:r>
    </w:p>
    <w:tbl>
      <w:tblPr>
        <w:tblLayout w:type="fixed"/>
        <w:tblInd w:w="0" w:type="dxa"/>
        <w:tblCellMar>
          <w:top w:w="0" w:type="dxa"/>
          <w:left w:w="0" w:type="dxa"/>
          <w:bottom w:w="0" w:type="dxa"/>
          <w:right w:w="0" w:type="dxa"/>
        </w:tblCellMar>
      </w:tblPr>
      <w:tr>
        <w:trPr>
          <w:trHeight w:val="47"/>
        </w:trPr>
        <w:tc>
          <w:tcPr>
            <w:tcW w:w="2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vMerge w:val="restart"/>
          </w:tcPr>
          <w:p>
            <w:pPr>
              <w:jc w:val="right"/>
              <w:ind w:right="457"/>
              <w:spacing w:after="0" w:line="133" w:lineRule="exact"/>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65"/>
        </w:trPr>
        <w:tc>
          <w:tcPr>
            <w:tcW w:w="2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40" w:type="dxa"/>
            <w:vAlign w:val="bottom"/>
            <w:vMerge w:val="restart"/>
          </w:tcPr>
          <w:p>
            <w:pPr>
              <w:spacing w:after="0"/>
              <w:rPr>
                <w:sz w:val="5"/>
                <w:szCs w:val="5"/>
                <w:color w:val="auto"/>
              </w:rPr>
            </w:pPr>
          </w:p>
        </w:tc>
        <w:tc>
          <w:tcPr>
            <w:tcW w:w="500" w:type="dxa"/>
            <w:vAlign w:val="bottom"/>
          </w:tcPr>
          <w:p>
            <w:pPr>
              <w:spacing w:after="0"/>
              <w:rPr>
                <w:sz w:val="5"/>
                <w:szCs w:val="5"/>
                <w:color w:val="auto"/>
              </w:rPr>
            </w:pPr>
          </w:p>
        </w:tc>
        <w:tc>
          <w:tcPr>
            <w:tcW w:w="1680" w:type="dxa"/>
            <w:vAlign w:val="bottom"/>
            <w:vMerge w:val="restart"/>
          </w:tcPr>
          <w:p>
            <w:pPr>
              <w:jc w:val="right"/>
              <w:ind w:right="814"/>
              <w:spacing w:after="0"/>
              <w:rPr>
                <w:sz w:val="20"/>
                <w:szCs w:val="20"/>
                <w:color w:val="auto"/>
              </w:rPr>
            </w:pPr>
            <w:r>
              <w:rPr>
                <w:rFonts w:ascii="Arial" w:cs="Arial" w:eastAsia="Arial" w:hAnsi="Arial"/>
                <w:sz w:val="14"/>
                <w:szCs w:val="14"/>
                <w:b w:val="1"/>
                <w:bCs w:val="1"/>
                <w:color w:val="auto"/>
              </w:rPr>
              <w:t>Public</w:t>
            </w:r>
          </w:p>
        </w:tc>
        <w:tc>
          <w:tcPr>
            <w:tcW w:w="100" w:type="dxa"/>
            <w:vAlign w:val="bottom"/>
            <w:vMerge w:val="restart"/>
          </w:tcPr>
          <w:p>
            <w:pPr>
              <w:spacing w:after="0"/>
              <w:rPr>
                <w:sz w:val="5"/>
                <w:szCs w:val="5"/>
                <w:color w:val="auto"/>
              </w:rPr>
            </w:pPr>
          </w:p>
        </w:tc>
        <w:tc>
          <w:tcPr>
            <w:tcW w:w="500" w:type="dxa"/>
            <w:vAlign w:val="bottom"/>
          </w:tcPr>
          <w:p>
            <w:pPr>
              <w:spacing w:after="0"/>
              <w:rPr>
                <w:sz w:val="5"/>
                <w:szCs w:val="5"/>
                <w:color w:val="auto"/>
              </w:rPr>
            </w:pPr>
          </w:p>
        </w:tc>
        <w:tc>
          <w:tcPr>
            <w:tcW w:w="1660" w:type="dxa"/>
            <w:vAlign w:val="bottom"/>
            <w:vMerge w:val="restart"/>
          </w:tcPr>
          <w:p>
            <w:pPr>
              <w:jc w:val="right"/>
              <w:ind w:right="774"/>
              <w:spacing w:after="0"/>
              <w:rPr>
                <w:sz w:val="20"/>
                <w:szCs w:val="20"/>
                <w:color w:val="auto"/>
              </w:rPr>
            </w:pPr>
            <w:r>
              <w:rPr>
                <w:rFonts w:ascii="Arial" w:cs="Arial" w:eastAsia="Arial" w:hAnsi="Arial"/>
                <w:sz w:val="14"/>
                <w:szCs w:val="14"/>
                <w:b w:val="1"/>
                <w:bCs w:val="1"/>
                <w:color w:val="auto"/>
              </w:rPr>
              <w:t xml:space="preserve">AAP </w:t>
            </w:r>
            <w:r>
              <w:rPr>
                <w:rFonts w:ascii="Arial" w:cs="Arial" w:eastAsia="Arial" w:hAnsi="Arial"/>
                <w:sz w:val="8"/>
                <w:szCs w:val="8"/>
                <w:b w:val="1"/>
                <w:bCs w:val="1"/>
                <w:color w:val="auto"/>
              </w:rPr>
              <w:t>(1)</w:t>
            </w:r>
          </w:p>
        </w:tc>
        <w:tc>
          <w:tcPr>
            <w:tcW w:w="100" w:type="dxa"/>
            <w:vAlign w:val="bottom"/>
            <w:vMerge w:val="restart"/>
          </w:tcPr>
          <w:p>
            <w:pPr>
              <w:spacing w:after="0"/>
              <w:rPr>
                <w:sz w:val="5"/>
                <w:szCs w:val="5"/>
                <w:color w:val="auto"/>
              </w:rPr>
            </w:pPr>
          </w:p>
        </w:tc>
        <w:tc>
          <w:tcPr>
            <w:tcW w:w="520" w:type="dxa"/>
            <w:vAlign w:val="bottom"/>
          </w:tcPr>
          <w:p>
            <w:pPr>
              <w:spacing w:after="0"/>
              <w:rPr>
                <w:sz w:val="5"/>
                <w:szCs w:val="5"/>
                <w:color w:val="auto"/>
              </w:rPr>
            </w:pPr>
          </w:p>
        </w:tc>
        <w:tc>
          <w:tcPr>
            <w:tcW w:w="1620" w:type="dxa"/>
            <w:vAlign w:val="bottom"/>
            <w:vMerge w:val="restart"/>
          </w:tcPr>
          <w:p>
            <w:pPr>
              <w:jc w:val="right"/>
              <w:ind w:right="814"/>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1,386</w:t>
            </w:r>
          </w:p>
        </w:tc>
        <w:tc>
          <w:tcPr>
            <w:tcW w:w="140" w:type="dxa"/>
            <w:vAlign w:val="bottom"/>
            <w:tcBorders>
              <w:right w:val="single" w:sz="8" w:color="auto"/>
            </w:tcBorders>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1,627</w:t>
            </w:r>
          </w:p>
        </w:tc>
        <w:tc>
          <w:tcPr>
            <w:tcW w:w="140" w:type="dxa"/>
            <w:vAlign w:val="bottom"/>
            <w:tcBorders>
              <w:right w:val="single" w:sz="8" w:color="auto"/>
            </w:tcBorders>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0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120" w:hanging="652"/>
        <w:spacing w:after="0" w:line="273" w:lineRule="auto"/>
        <w:tabs>
          <w:tab w:leader="none" w:pos="660" w:val="left"/>
        </w:tabs>
        <w:numPr>
          <w:ilvl w:val="0"/>
          <w:numId w:val="112"/>
        </w:numPr>
        <w:rPr>
          <w:rFonts w:ascii="Arial" w:cs="Arial" w:eastAsia="Arial" w:hAnsi="Arial"/>
          <w:sz w:val="22"/>
          <w:szCs w:val="22"/>
          <w:color w:val="auto"/>
          <w:vertAlign w:val="superscript"/>
        </w:rPr>
      </w:pPr>
      <w:r>
        <w:rPr>
          <w:rFonts w:ascii="Arial" w:cs="Arial" w:eastAsia="Arial" w:hAnsi="Arial"/>
          <w:sz w:val="16"/>
          <w:szCs w:val="16"/>
          <w:color w:val="auto"/>
        </w:rPr>
        <w:t>Prior to the Simplification Transactions, our general partner was entitled to receive (i) distributions with respect to its 2% indirect general partner interest and (ii) as the holder of our IDRs, incentive distributions if the amount we distributed with respect to any quarter exceeded certain specified levels. The Simplification Transactions, which closed on November 15, 2016, included the permanent elimination of our IDRs and the economic rights associated with our 2% general partner interest in exchange for the issuance by us to AAP of approximately 244.7 million common units. As such, beginning with the distribution pertaining to the fourth quarter of 2016, our general partner is no longer entitled to receive distributions on the IDRs or general partner interest. During the years ended December 31, 2018 and 2017, AAP received distributions on the common units it owned.</w:t>
      </w:r>
    </w:p>
    <w:p>
      <w:pPr>
        <w:spacing w:after="0" w:line="17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January 8, 2019, we declared a cash distribution of $0.30 per unit on our outstanding common units. The total distribution of $218 million was paid on February 14, 2019 to unitholders of record on January 31, 2019, for the period October 1, 2018 through December 31, 2018. Of this amount, approximately $84 million was paid to AAP.</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Allocation</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allocate net income for partners’ capital presentation purposes by applying the allocation methodology in our partnership agreement. Following the closing of the Simplification Transactions, net income is allocated 100% to our common unitholders, after giving effect to income allocations for cash distributions to our Series A preferred unitholders and guaranteed payments attributable to our Series B preferred unitholders. In accordance with our partnership agreement, our Series A preferred unitholders are not allocated income for paid-in-kind distributions for partners’ capital presentation purposes.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periods prior to the Simplification Transactions, our general partner and common unitholders were allocated income based on their respective partnership percentages, after giving effect to income allocations for (i) incentive distributions, if any, to our general partner for distributions declared and paid following the close of each quarter and (ii) cash distributions to our Series A preferred unitholders. Our Series A preferred unitholders were not allocated income for paid-in-kind distributions for partners’ capital presentation purposes.</w:t>
      </w:r>
    </w:p>
    <w:p>
      <w:pPr>
        <w:spacing w:after="0" w:line="18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For purposes of determining basic and diluted net income per common unit, income is allocated as prescribed in FASB guidance for calculating earnings per unit, including a deduction to income available to common unitholders for distributions attributable to the period (whether paid in cash or in-kind) on our Series A and Series B preferred units. See Note 4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During the fourth quarter of 2017, we sold SLC Pipeline LLC, in which we previously owned a 75% interest and had consolidated under GAAP. As a result of this sale, the noncontrolling interest of 25% was derecognized. We did not have any noncontrolling interests in subsidiaries at December 31, 2018 or 2017. See Note 7 for additional information regarding the sale of SLC Pipeline LLC.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13—Derivatives and Risk Management Activities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2018, net derivative positions related to these activities included:</w:t>
      </w:r>
    </w:p>
    <w:p>
      <w:pPr>
        <w:spacing w:after="0" w:line="38" w:lineRule="exact"/>
        <w:rPr>
          <w:sz w:val="20"/>
          <w:szCs w:val="20"/>
          <w:color w:val="auto"/>
        </w:rPr>
      </w:pPr>
    </w:p>
    <w:p>
      <w:pPr>
        <w:ind w:left="980" w:right="300" w:hanging="324"/>
        <w:spacing w:after="0" w:line="277" w:lineRule="auto"/>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net long position of 3.4 million barrels associated with our crude oil purchases, which was unwound ratably during January 2019 to match monthly average pricing.</w:t>
      </w:r>
    </w:p>
    <w:p>
      <w:pPr>
        <w:spacing w:after="0" w:line="62"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net short time spread position of 10.1 million barrels, which hedges a portion of our anticipated crude oil lease gathering purchases through March 2020.</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125" w:right="2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crude oil grade basis position of 54.6 million barrels through December 2020. These derivatives allow us to lock in grade basis differentials.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net short position of 6.1 million barrels through March 2021 related to anticipated net sales of our crude oil and NGL inventory.</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We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to hedge a portion of the anticipated sales of the loss allowance oil that is to be collected under our tariffs. As of December 31, 2018, our PLA hedges included a short position consisting of crude oil futures of 1.2 million barrels through December 2019 and a long call option position of 2.4 million barrels through December 2020.</w:t>
      </w:r>
    </w:p>
    <w:p>
      <w:pPr>
        <w:spacing w:after="0" w:line="18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December 31, 2018, we had a long natural gas position of 44.1 Bcf which hedges a portion of our natural gas processing and operational needs through December 2020. We also had a short propane position of 6.4 million barrels through December 2020, a short butane position of 2.0 million barrels through December 2020 and a short WTI position of 0.7 million barrels through December 2020. In addition, we had a long power position of 0.3 million megawatt hours, which hedges a portion of our power supply requirements at our Canadian natural gas processing and fractionation plants through December 2020.</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December 31, 2018 (notional amounts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00" w:type="dxa"/>
            <w:vAlign w:val="bottom"/>
            <w:vMerge w:val="restart"/>
          </w:tcPr>
          <w:p>
            <w:pPr>
              <w:spacing w:after="0"/>
              <w:rPr>
                <w:sz w:val="14"/>
                <w:szCs w:val="14"/>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Expected</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Average Rate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Locked</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8 forward starting swaps (30-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6/14/2019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year)</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6/15/2020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(30-year)</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2018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50"/>
        </w:trPr>
        <w:tc>
          <w:tcPr>
            <w:tcW w:w="7220" w:type="dxa"/>
            <w:vAlign w:val="bottom"/>
            <w:tcBorders>
              <w:top w:val="single" w:sz="8" w:color="CCEEFF"/>
              <w:bottom w:val="single" w:sz="8" w:color="CCEEFF"/>
            </w:tcBorders>
            <w:shd w:val="clear" w:color="auto" w:fill="CCEEFF"/>
          </w:tcPr>
          <w:p>
            <w:pPr>
              <w:jc w:val="right"/>
              <w:ind w:right="263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$1.00 - $1.34</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20" w:type="dxa"/>
            <w:vAlign w:val="bottom"/>
          </w:tcPr>
          <w:p>
            <w:pPr>
              <w:jc w:val="right"/>
              <w:ind w:right="263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$1.31</w:t>
            </w:r>
          </w:p>
        </w:tc>
        <w:tc>
          <w:tcPr>
            <w:tcW w:w="0" w:type="dxa"/>
            <w:vAlign w:val="bottom"/>
          </w:tcPr>
          <w:p>
            <w:pPr>
              <w:spacing w:after="0"/>
              <w:rPr>
                <w:sz w:val="1"/>
                <w:szCs w:val="1"/>
                <w:color w:val="auto"/>
              </w:rPr>
            </w:pPr>
          </w:p>
        </w:tc>
      </w:tr>
      <w:tr>
        <w:trPr>
          <w:trHeight w:val="27"/>
        </w:trPr>
        <w:tc>
          <w:tcPr>
            <w:tcW w:w="7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Consolidated Balance Sheet. Corresponding changes in fair value are recognized in “Other income/(expense), net” in our Consolidated Statement of Operations. See Note 12 for additional information regarding our Series A preferred units and Preferred Distribution Rate Reset Option.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of the effective portion of the hedges are deferred in AOCI and recognized in earnings in the periods during which the underlying physical transactions are recognized in earnings. Derivatives that are not designated as a hedging instrument,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Consolidated Statements of Cash Flows.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6"/>
          </w:tcPr>
          <w:p>
            <w:pPr>
              <w:jc w:val="center"/>
              <w:ind w:left="993"/>
              <w:spacing w:after="0"/>
              <w:rPr>
                <w:sz w:val="20"/>
                <w:szCs w:val="20"/>
                <w:color w:val="auto"/>
              </w:rPr>
            </w:pPr>
            <w:r>
              <w:rPr>
                <w:rFonts w:ascii="Arial" w:cs="Arial" w:eastAsia="Arial" w:hAnsi="Arial"/>
                <w:sz w:val="16"/>
                <w:szCs w:val="16"/>
                <w:b w:val="1"/>
                <w:bCs w:val="1"/>
                <w:color w:val="auto"/>
                <w:w w:val="91"/>
              </w:rPr>
              <w:t>Year Ended December 31, 2018</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Preferred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Commodity</w:t>
            </w:r>
          </w:p>
        </w:tc>
        <w:tc>
          <w:tcPr>
            <w:tcW w:w="1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Foreign Currency</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Distribution Rate</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Interest Rate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Location of Gain/(Loss)</w:t>
            </w:r>
          </w:p>
        </w:tc>
        <w:tc>
          <w:tcPr>
            <w:tcW w:w="22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Reset Option</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Derivatives</w:t>
            </w: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0"/>
        </w:trPr>
        <w:tc>
          <w:tcPr>
            <w:tcW w:w="3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3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2"/>
              </w:rPr>
              <w:t>Total Gain/(Loss) on Derivatives Recognized</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 Net Income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F-41</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10"/>
          </w:tcPr>
          <w:p>
            <w:pPr>
              <w:jc w:val="center"/>
              <w:ind w:left="1013"/>
              <w:spacing w:after="0"/>
              <w:rPr>
                <w:sz w:val="20"/>
                <w:szCs w:val="20"/>
                <w:color w:val="auto"/>
              </w:rPr>
            </w:pPr>
            <w:r>
              <w:rPr>
                <w:rFonts w:ascii="Arial" w:cs="Arial" w:eastAsia="Arial" w:hAnsi="Arial"/>
                <w:sz w:val="16"/>
                <w:szCs w:val="16"/>
                <w:b w:val="1"/>
                <w:bCs w:val="1"/>
                <w:color w:val="auto"/>
                <w:w w:val="91"/>
              </w:rPr>
              <w:t>Year Ended December 31, 2017</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ind w:left="260"/>
              <w:spacing w:after="0"/>
              <w:rPr>
                <w:sz w:val="20"/>
                <w:szCs w:val="20"/>
                <w:color w:val="auto"/>
              </w:rPr>
            </w:pPr>
            <w:r>
              <w:rPr>
                <w:rFonts w:ascii="Arial" w:cs="Arial" w:eastAsia="Arial" w:hAnsi="Arial"/>
                <w:sz w:val="16"/>
                <w:szCs w:val="16"/>
                <w:b w:val="1"/>
                <w:bCs w:val="1"/>
                <w:color w:val="auto"/>
              </w:rPr>
              <w:t>Preferred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3"/>
              </w:rPr>
              <w:t>Commodity</w:t>
            </w:r>
          </w:p>
        </w:tc>
        <w:tc>
          <w:tcPr>
            <w:tcW w:w="1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Foreign Currency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w w:val="91"/>
              </w:rPr>
              <w:t>Distribution Rate</w:t>
            </w:r>
          </w:p>
        </w:tc>
        <w:tc>
          <w:tcPr>
            <w:tcW w:w="2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Interest Rate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ind w:left="40"/>
              <w:spacing w:after="0"/>
              <w:rPr>
                <w:sz w:val="20"/>
                <w:szCs w:val="20"/>
                <w:color w:val="auto"/>
              </w:rPr>
            </w:pPr>
            <w:r>
              <w:rPr>
                <w:rFonts w:ascii="Arial" w:cs="Arial" w:eastAsia="Arial" w:hAnsi="Arial"/>
                <w:sz w:val="16"/>
                <w:szCs w:val="16"/>
                <w:b w:val="1"/>
                <w:bCs w:val="1"/>
                <w:color w:val="auto"/>
              </w:rPr>
              <w:t>Location of Gain/(Loss)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ind w:left="160"/>
              <w:spacing w:after="0"/>
              <w:rPr>
                <w:sz w:val="20"/>
                <w:szCs w:val="20"/>
                <w:color w:val="auto"/>
              </w:rPr>
            </w:pPr>
            <w:r>
              <w:rPr>
                <w:rFonts w:ascii="Arial" w:cs="Arial" w:eastAsia="Arial" w:hAnsi="Arial"/>
                <w:sz w:val="16"/>
                <w:szCs w:val="16"/>
                <w:b w:val="1"/>
                <w:bCs w:val="1"/>
                <w:color w:val="auto"/>
              </w:rPr>
              <w:t>Reset Option</w:t>
            </w:r>
          </w:p>
        </w:tc>
        <w:tc>
          <w:tcPr>
            <w:tcW w:w="2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4"/>
          </w:tcPr>
          <w:p>
            <w:pPr>
              <w:ind w:left="10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4"/>
          </w:tcPr>
          <w:p>
            <w:pPr>
              <w:ind w:left="10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w w:val="92"/>
              </w:rPr>
              <w:t>Total Gain/(Loss) on Derivatives Recognized</w:t>
            </w:r>
          </w:p>
        </w:tc>
        <w:tc>
          <w:tcPr>
            <w:tcW w:w="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ind w:left="10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in Net Income</w:t>
            </w:r>
          </w:p>
        </w:tc>
        <w:tc>
          <w:tcPr>
            <w:tcW w:w="240" w:type="dxa"/>
            <w:vAlign w:val="bottom"/>
            <w:tcBorders>
              <w:bottom w:val="single" w:sz="8" w:color="auto"/>
            </w:tcBorders>
            <w:gridSpan w:val="2"/>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10"/>
          </w:tcPr>
          <w:p>
            <w:pPr>
              <w:jc w:val="center"/>
              <w:ind w:left="993"/>
              <w:spacing w:after="0"/>
              <w:rPr>
                <w:sz w:val="20"/>
                <w:szCs w:val="20"/>
                <w:color w:val="auto"/>
              </w:rPr>
            </w:pPr>
            <w:r>
              <w:rPr>
                <w:rFonts w:ascii="Arial" w:cs="Arial" w:eastAsia="Arial" w:hAnsi="Arial"/>
                <w:sz w:val="16"/>
                <w:szCs w:val="16"/>
                <w:b w:val="1"/>
                <w:bCs w:val="1"/>
                <w:color w:val="auto"/>
                <w:w w:val="92"/>
              </w:rPr>
              <w:t>Year Ended December 31, 2016</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5"/>
              </w:rPr>
              <w:t>Preferred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3"/>
              </w:rPr>
              <w:t>Commodity</w:t>
            </w:r>
          </w:p>
        </w:tc>
        <w:tc>
          <w:tcPr>
            <w:tcW w:w="12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Foreign Currency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3"/>
              </w:rPr>
              <w:t>Distribution Rate</w:t>
            </w:r>
          </w:p>
        </w:tc>
        <w:tc>
          <w:tcPr>
            <w:tcW w:w="24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Interest Rate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Location of Gain/(Loss)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ind w:left="140"/>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0"/>
              </w:rPr>
              <w:t>Reset Option</w:t>
            </w:r>
          </w:p>
        </w:tc>
        <w:tc>
          <w:tcPr>
            <w:tcW w:w="2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Transportation segment revenues </w:t>
            </w:r>
            <w:r>
              <w:rPr>
                <w:rFonts w:ascii="Arial" w:cs="Arial" w:eastAsia="Arial" w:hAnsi="Arial"/>
                <w:sz w:val="25"/>
                <w:szCs w:val="25"/>
                <w:color w:val="auto"/>
                <w:vertAlign w:val="superscript"/>
              </w:rPr>
              <w:t>(1)</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Total Gain/(Loss) on Derivatives Recognized</w:t>
            </w:r>
          </w:p>
        </w:tc>
        <w:tc>
          <w:tcPr>
            <w:tcW w:w="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440" w:type="dxa"/>
            <w:vAlign w:val="bottom"/>
            <w:gridSpan w:val="3"/>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 Net Income</w:t>
            </w:r>
          </w:p>
        </w:tc>
        <w:tc>
          <w:tcPr>
            <w:tcW w:w="240" w:type="dxa"/>
            <w:vAlign w:val="bottom"/>
            <w:gridSpan w:val="2"/>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gridSpan w:val="3"/>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gridSpan w:val="3"/>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100" w:hanging="652"/>
        <w:spacing w:after="0" w:line="216" w:lineRule="auto"/>
        <w:tabs>
          <w:tab w:leader="none" w:pos="660" w:val="left"/>
        </w:tabs>
        <w:numPr>
          <w:ilvl w:val="0"/>
          <w:numId w:val="115"/>
        </w:numPr>
        <w:rPr>
          <w:rFonts w:ascii="Arial" w:cs="Arial" w:eastAsia="Arial" w:hAnsi="Arial"/>
          <w:sz w:val="25"/>
          <w:szCs w:val="25"/>
          <w:color w:val="auto"/>
          <w:vertAlign w:val="superscript"/>
        </w:rPr>
      </w:pPr>
      <w:r>
        <w:rPr>
          <w:rFonts w:ascii="Arial" w:cs="Arial" w:eastAsia="Arial" w:hAnsi="Arial"/>
          <w:sz w:val="18"/>
          <w:szCs w:val="18"/>
          <w:color w:val="auto"/>
        </w:rPr>
        <w:t>Derivatives not designated as a hedge. For the year ended December 31, 2016, Supply and Logistics segment revenues includes a gain of $2 million related to derivatives in hedging relationships.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15"/>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25044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5"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2018 (in millions):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60" w:type="dxa"/>
            <w:vAlign w:val="bottom"/>
            <w:gridSpan w:val="9"/>
          </w:tcPr>
          <w:p>
            <w:pPr>
              <w:jc w:val="right"/>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9"/>
              </w:rPr>
              <w:t>Commodity</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 Rate</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Reset Option</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1"/>
              </w:rPr>
              <w:t xml:space="preserve">Derivatives </w:t>
            </w:r>
            <w:r>
              <w:rPr>
                <w:rFonts w:ascii="Arial" w:cs="Arial" w:eastAsia="Arial" w:hAnsi="Arial"/>
                <w:sz w:val="21"/>
                <w:szCs w:val="21"/>
                <w:b w:val="1"/>
                <w:bCs w:val="1"/>
                <w:color w:val="auto"/>
                <w:w w:val="91"/>
                <w:vertAlign w:val="superscript"/>
              </w:rPr>
              <w:t>(1)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8"/>
              </w:rPr>
              <w:t>Total Derivatives</w:t>
            </w:r>
          </w:p>
        </w:tc>
      </w:tr>
      <w:tr>
        <w:trPr>
          <w:trHeight w:val="244"/>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443</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29"/>
        </w:trPr>
        <w:tc>
          <w:tcPr>
            <w:tcW w:w="274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 and</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740" w:type="dxa"/>
            <w:vAlign w:val="bottom"/>
            <w:gridSpan w:val="2"/>
          </w:tcPr>
          <w:p>
            <w:pPr>
              <w:ind w:left="320"/>
              <w:spacing w:after="0"/>
              <w:rPr>
                <w:sz w:val="20"/>
                <w:szCs w:val="20"/>
                <w:color w:val="auto"/>
              </w:rPr>
            </w:pPr>
            <w:r>
              <w:rPr>
                <w:rFonts w:ascii="Arial" w:cs="Arial" w:eastAsia="Arial" w:hAnsi="Arial"/>
                <w:sz w:val="18"/>
                <w:szCs w:val="18"/>
                <w:color w:val="auto"/>
              </w:rPr>
              <w:t>deferred credits</w:t>
            </w:r>
          </w:p>
        </w:tc>
        <w:tc>
          <w:tcPr>
            <w:tcW w:w="1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Derivative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74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27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Derivative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2017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60" w:type="dxa"/>
            <w:vAlign w:val="bottom"/>
            <w:gridSpan w:val="9"/>
          </w:tcPr>
          <w:p>
            <w:pPr>
              <w:jc w:val="right"/>
              <w:ind w:right="3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Preferred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9"/>
              </w:rPr>
              <w:t>Commodity</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Foreign Currency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Distribution Rate</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 Rate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8"/>
              </w:rPr>
              <w:t>Derivatives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2"/>
              </w:rPr>
              <w:t>Reset Option</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1"/>
              </w:rPr>
              <w:t xml:space="preserve">Derivatives </w:t>
            </w:r>
            <w:r>
              <w:rPr>
                <w:rFonts w:ascii="Arial" w:cs="Arial" w:eastAsia="Arial" w:hAnsi="Arial"/>
                <w:sz w:val="21"/>
                <w:szCs w:val="21"/>
                <w:b w:val="1"/>
                <w:bCs w:val="1"/>
                <w:color w:val="auto"/>
                <w:w w:val="91"/>
                <w:vertAlign w:val="superscript"/>
              </w:rPr>
              <w:t>(1)</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6"/>
              </w:rPr>
              <w:t>Total Derivatives</w:t>
            </w:r>
          </w:p>
        </w:tc>
      </w:tr>
      <w:tr>
        <w:trPr>
          <w:trHeight w:val="244"/>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liabilities and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credits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97"/>
        </w:trPr>
        <w:tc>
          <w:tcPr>
            <w:tcW w:w="2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b w:val="1"/>
                <w:bCs w:val="1"/>
                <w:color w:val="auto"/>
              </w:rPr>
              <w:t>Total Derivative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auto"/>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r>
      <w:tr>
        <w:trPr>
          <w:trHeight w:val="311"/>
        </w:trPr>
        <w:tc>
          <w:tcPr>
            <w:tcW w:w="2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640" w:type="dxa"/>
            <w:vAlign w:val="bottom"/>
            <w:gridSpan w:val="2"/>
          </w:tcPr>
          <w:p>
            <w:pPr>
              <w:ind w:left="34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Derivative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0237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1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125" w:right="239" w:bottom="1440" w:gutter="0" w:footer="0" w:header="0"/>
          <w:type w:val="continuous"/>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6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Our accounting policy is to offset derivative assets and liabilities executed with the same counterparty when a master netting arrangement</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Variation margin posted/(returned)</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164</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broker receivable/(payable)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212</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54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2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Asset Positions</w:t>
            </w:r>
          </w:p>
        </w:tc>
        <w:tc>
          <w:tcPr>
            <w:tcW w:w="160" w:type="dxa"/>
            <w:vAlign w:val="bottom"/>
          </w:tcPr>
          <w:p>
            <w:pPr>
              <w:spacing w:after="0"/>
              <w:rPr>
                <w:sz w:val="16"/>
                <w:szCs w:val="16"/>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Liability Positions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Liability Positions</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paid/(received)</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7"/>
        </w:trPr>
        <w:tc>
          <w:tcPr>
            <w:tcW w:w="5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0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December 31, 2018, there was a net loss of $177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December 31, 2018, we expect to reclassify a net loss of $7 million to earnings in the next twelve months. We estimate that substantially all of the remaining deferred loss will be reclassified to earnings through 2050 as the underlying hedged transactions impact earnings. A portion of these amounts is based on market prices as of December 31, 2018; thus, actual amounts to be reclassified will differ and could vary materially as a result of changes in market conditions.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29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derivatives, net</w:t>
            </w:r>
          </w:p>
        </w:tc>
        <w:tc>
          <w:tcPr>
            <w:tcW w:w="402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675"/>
        </w:trPr>
        <w:tc>
          <w:tcPr>
            <w:tcW w:w="3780" w:type="dxa"/>
            <w:vAlign w:val="bottom"/>
          </w:tcPr>
          <w:p>
            <w:pPr>
              <w:spacing w:after="0"/>
              <w:rPr>
                <w:sz w:val="24"/>
                <w:szCs w:val="24"/>
                <w:color w:val="auto"/>
              </w:rPr>
            </w:pPr>
          </w:p>
        </w:tc>
        <w:tc>
          <w:tcPr>
            <w:tcW w:w="4020" w:type="dxa"/>
            <w:vAlign w:val="bottom"/>
            <w:gridSpan w:val="2"/>
          </w:tcPr>
          <w:p>
            <w:pPr>
              <w:jc w:val="right"/>
              <w:ind w:right="1848"/>
              <w:spacing w:after="0"/>
              <w:rPr>
                <w:sz w:val="20"/>
                <w:szCs w:val="20"/>
                <w:color w:val="auto"/>
              </w:rPr>
            </w:pPr>
            <w:r>
              <w:rPr>
                <w:rFonts w:ascii="Arial" w:cs="Arial" w:eastAsia="Arial" w:hAnsi="Arial"/>
                <w:sz w:val="18"/>
                <w:szCs w:val="18"/>
                <w:color w:val="auto"/>
              </w:rPr>
              <w:t>F-44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 w:firstLine="594"/>
        <w:spacing w:after="0" w:line="264" w:lineRule="auto"/>
        <w:rPr>
          <w:sz w:val="20"/>
          <w:szCs w:val="20"/>
          <w:color w:val="auto"/>
        </w:rPr>
      </w:pPr>
      <w:r>
        <w:rPr>
          <w:rFonts w:ascii="Arial" w:cs="Arial" w:eastAsia="Arial" w:hAnsi="Arial"/>
          <w:sz w:val="18"/>
          <w:szCs w:val="18"/>
          <w:color w:val="auto"/>
        </w:rPr>
        <w:t>At December 31, 2018 and 2017,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2"/>
              </w:rPr>
              <w:t>Fair Value as of December 31, 2018</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1"/>
              </w:rPr>
              <w:t>Fair Value as of December 31, 2017</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w w:val="97"/>
              </w:rPr>
              <w:t>Preferred Distribution Rate Reset Option</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1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5"/>
          <w:szCs w:val="25"/>
          <w:color w:val="auto"/>
          <w:vertAlign w:val="superscript"/>
        </w:rPr>
      </w:pPr>
    </w:p>
    <w:p>
      <w:pPr>
        <w:jc w:val="both"/>
        <w:ind w:left="660" w:right="440"/>
        <w:spacing w:after="0" w:line="264" w:lineRule="auto"/>
        <w:rPr>
          <w:rFonts w:ascii="Arial" w:cs="Arial" w:eastAsia="Arial" w:hAnsi="Arial"/>
          <w:sz w:val="25"/>
          <w:szCs w:val="25"/>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swaps and options. The fair value of exchange-traded commodity derivatives and over-the-counter commodity contracts is based on unadjusted quoted prices in active markets.</w:t>
      </w:r>
    </w:p>
    <w:p>
      <w:pPr>
        <w:spacing w:after="0" w:line="18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5"/>
          <w:szCs w:val="25"/>
          <w:color w:val="auto"/>
          <w:vertAlign w:val="superscript"/>
        </w:rPr>
      </w:pPr>
    </w:p>
    <w:p>
      <w:pPr>
        <w:ind w:left="660" w:right="280"/>
        <w:spacing w:after="0" w:line="312" w:lineRule="auto"/>
        <w:rPr>
          <w:rFonts w:ascii="Arial" w:cs="Arial" w:eastAsia="Arial" w:hAnsi="Arial"/>
          <w:sz w:val="25"/>
          <w:szCs w:val="25"/>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6"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5"/>
          <w:szCs w:val="25"/>
          <w:color w:val="auto"/>
          <w:vertAlign w:val="superscript"/>
        </w:rPr>
      </w:pPr>
    </w:p>
    <w:p>
      <w:pPr>
        <w:ind w:left="660" w:right="8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Level 3 of the fair value hierarchy includes certain physical commodity contracts, over-the counter financial commodity contracts, and the Preferred Distribution Rate Reset Option contained in our partnership agreement which is classified as an embedded derivative.</w:t>
      </w:r>
    </w:p>
    <w:p>
      <w:pPr>
        <w:spacing w:after="0" w:line="170" w:lineRule="exact"/>
        <w:rPr>
          <w:rFonts w:ascii="Arial" w:cs="Arial" w:eastAsia="Arial" w:hAnsi="Arial"/>
          <w:sz w:val="25"/>
          <w:szCs w:val="25"/>
          <w:color w:val="auto"/>
          <w:vertAlign w:val="superscript"/>
        </w:rPr>
      </w:pPr>
    </w:p>
    <w:p>
      <w:pPr>
        <w:ind w:left="660" w:right="20"/>
        <w:spacing w:after="0" w:line="273" w:lineRule="auto"/>
        <w:rPr>
          <w:rFonts w:ascii="Arial" w:cs="Arial" w:eastAsia="Arial" w:hAnsi="Arial"/>
          <w:sz w:val="25"/>
          <w:szCs w:val="25"/>
          <w:color w:val="auto"/>
          <w:vertAlign w:val="superscript"/>
        </w:rPr>
      </w:pPr>
      <w:r>
        <w:rPr>
          <w:rFonts w:ascii="Arial" w:cs="Arial" w:eastAsia="Arial" w:hAnsi="Arial"/>
          <w:sz w:val="17"/>
          <w:szCs w:val="17"/>
          <w:color w:val="auto"/>
        </w:rPr>
        <w:t>The fair values of our Level 3 physical commodity contracts and over-the-counter financial commodity contracts are based on valuation models utilizing significant unobservable pricing inputs and timing estimates, which involve management judgment. Significant deviations from these inputs and estimates could result in a material change in fair value to our physical commodity contracts and over-the-counter financial commodity contracts. We report unrealized gains and losses associated with these physical commodity contracts in our Consolidated Statements of Operations as Supply and Logistics segment revenues. Unrealized gains and losses associated with the over-the-counter financial commodity contracts are reported in our Consolidated Statements of Operations as Field operating costs.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40"/>
        <w:spacing w:after="0" w:line="297" w:lineRule="auto"/>
        <w:rPr>
          <w:sz w:val="20"/>
          <w:szCs w:val="20"/>
          <w:color w:val="auto"/>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 We report unrealized gains and losses associated with this embedded derivative in our Consolidated Statements of Operations in “Other income/(expense), net.”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308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 in unrealized gains/(losses) included in earnings relating to Level 3 derivatives still held at the end of the</w:t>
      </w:r>
    </w:p>
    <w:p>
      <w:pPr>
        <w:spacing w:after="0" w:line="46" w:lineRule="exact"/>
        <w:rPr>
          <w:sz w:val="20"/>
          <w:szCs w:val="20"/>
          <w:color w:val="auto"/>
        </w:rPr>
      </w:pPr>
    </w:p>
    <w:p>
      <w:pPr>
        <w:ind w:left="200"/>
        <w:spacing w:after="0"/>
        <w:tabs>
          <w:tab w:leader="none" w:pos="8340" w:val="left"/>
        </w:tabs>
        <w:rPr>
          <w:sz w:val="20"/>
          <w:szCs w:val="20"/>
          <w:color w:val="auto"/>
        </w:rPr>
      </w:pPr>
      <w:r>
        <w:rPr>
          <w:rFonts w:ascii="Arial" w:cs="Arial" w:eastAsia="Arial" w:hAnsi="Arial"/>
          <w:sz w:val="17"/>
          <w:szCs w:val="17"/>
          <w:color w:val="auto"/>
        </w:rPr>
        <w:t>period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tabs>
          <w:tab w:leader="none" w:pos="380" w:val="left"/>
          <w:tab w:leader="none" w:pos="1620" w:val="left"/>
        </w:tabs>
        <w:rPr>
          <w:sz w:val="20"/>
          <w:szCs w:val="20"/>
          <w:color w:val="auto"/>
        </w:rPr>
      </w:pPr>
      <w:r>
        <w:rPr>
          <w:rFonts w:ascii="Arial" w:cs="Arial" w:eastAsia="Arial" w:hAnsi="Arial"/>
          <w:sz w:val="18"/>
          <w:szCs w:val="18"/>
          <w:color w:val="auto"/>
        </w:rPr>
        <w:t>(1)</w:t>
        <w:tab/>
        <w:t>$</w:t>
      </w:r>
      <w:r>
        <w:rPr>
          <w:sz w:val="20"/>
          <w:szCs w:val="20"/>
          <w:color w:val="auto"/>
        </w:rPr>
        <w:tab/>
      </w:r>
      <w:r>
        <w:rPr>
          <w:rFonts w:ascii="Arial" w:cs="Arial" w:eastAsia="Arial" w:hAnsi="Arial"/>
          <w:sz w:val="17"/>
          <w:szCs w:val="17"/>
          <w:color w:val="auto"/>
        </w:rPr>
        <w:t>5</w:t>
      </w:r>
    </w:p>
    <w:p>
      <w:pPr>
        <w:spacing w:after="0" w:line="202" w:lineRule="exact"/>
        <w:rPr>
          <w:sz w:val="20"/>
          <w:szCs w:val="20"/>
          <w:color w:val="auto"/>
        </w:rPr>
      </w:pPr>
    </w:p>
    <w:p>
      <w:pPr>
        <w:sectPr>
          <w:pgSz w:w="11900" w:h="16838" w:orient="portrait"/>
          <w:cols w:equalWidth="0" w:num="2">
            <w:col w:w="8860" w:space="720"/>
            <w:col w:w="1840"/>
          </w:cols>
          <w:pgMar w:left="240" w:top="126"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2018 and 2017, we had not recognized any material amounts in connection with uncertainty in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As an MLP, we are not subject to U.S. federal income taxes; rather the tax effect of our operations is passed through to our unitholders. Although we are subject to state income taxes in some states, the impact to the years ended December 31, 2018, 2017, and 2016 was immaterial.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26" w:right="239" w:bottom="1440" w:gutter="0" w:footer="0" w:header="0"/>
          <w:type w:val="continuous"/>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income tax</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current income tax expense</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 expense/(benefit):</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income tax expense/(benefit)</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difference between income tax expense based on the statutory federal income tax rate and our effective income tax expense is summarized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17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w:t>
            </w:r>
          </w:p>
        </w:tc>
        <w:tc>
          <w:tcPr>
            <w:tcW w:w="2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2,414</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Partnership earnings not subject to current Canadian tax</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(723)</w:t>
            </w:r>
          </w:p>
        </w:tc>
      </w:tr>
      <w:tr>
        <w:trPr>
          <w:trHeight w:val="27"/>
        </w:trPr>
        <w:tc>
          <w:tcPr>
            <w:tcW w:w="48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724</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Canadian federal and provincial corporate tax rate</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8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at statutory rate</w:t>
            </w:r>
          </w:p>
        </w:tc>
        <w:tc>
          <w:tcPr>
            <w:tcW w:w="2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195</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r>
      <w:tr>
        <w:trPr>
          <w:trHeight w:val="297"/>
        </w:trPr>
        <w:tc>
          <w:tcPr>
            <w:tcW w:w="4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withholding tax</w:t>
            </w:r>
          </w:p>
        </w:tc>
        <w:tc>
          <w:tcPr>
            <w:tcW w:w="2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Canadian permanent differences and rate changes</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w:t>
            </w:r>
          </w:p>
        </w:tc>
      </w:tr>
      <w:tr>
        <w:trPr>
          <w:trHeight w:val="27"/>
        </w:trPr>
        <w:tc>
          <w:tcPr>
            <w:tcW w:w="4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w:t>
            </w:r>
          </w:p>
        </w:tc>
        <w:tc>
          <w:tcPr>
            <w:tcW w:w="17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r>
      <w:tr>
        <w:trPr>
          <w:trHeight w:val="257"/>
        </w:trPr>
        <w:tc>
          <w:tcPr>
            <w:tcW w:w="4800" w:type="dxa"/>
            <w:vAlign w:val="bottom"/>
          </w:tcPr>
          <w:p>
            <w:pPr>
              <w:ind w:left="180"/>
              <w:spacing w:after="0"/>
              <w:rPr>
                <w:sz w:val="20"/>
                <w:szCs w:val="20"/>
                <w:color w:val="auto"/>
              </w:rPr>
            </w:pPr>
            <w:r>
              <w:rPr>
                <w:rFonts w:ascii="Arial" w:cs="Arial" w:eastAsia="Arial" w:hAnsi="Arial"/>
                <w:sz w:val="18"/>
                <w:szCs w:val="18"/>
                <w:color w:val="auto"/>
              </w:rPr>
              <w:t>Total income tax expense</w:t>
            </w:r>
          </w:p>
        </w:tc>
        <w:tc>
          <w:tcPr>
            <w:tcW w:w="17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25</w:t>
            </w:r>
          </w:p>
        </w:tc>
      </w:tr>
      <w:tr>
        <w:trPr>
          <w:trHeight w:val="20"/>
        </w:trPr>
        <w:tc>
          <w:tcPr>
            <w:tcW w:w="4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2160" w:type="dxa"/>
            <w:vAlign w:val="bottom"/>
            <w:gridSpan w:val="2"/>
          </w:tcPr>
          <w:p>
            <w:pPr>
              <w:jc w:val="right"/>
              <w:ind w:right="990"/>
              <w:spacing w:after="0"/>
              <w:rPr>
                <w:sz w:val="20"/>
                <w:szCs w:val="20"/>
                <w:color w:val="auto"/>
              </w:rPr>
            </w:pPr>
            <w:r>
              <w:rPr>
                <w:rFonts w:ascii="Arial" w:cs="Arial" w:eastAsia="Arial" w:hAnsi="Arial"/>
                <w:sz w:val="18"/>
                <w:szCs w:val="18"/>
                <w:color w:val="auto"/>
              </w:rPr>
              <w:t>F-47</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Deferred tax assets and liabilities are aggregated by the applicable tax paying entity and jurisdiction and result from the following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Book accruals in excess of current tax deductions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91"/>
        </w:trPr>
        <w:tc>
          <w:tcPr>
            <w:tcW w:w="83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in excess of tax values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tax liabilities</w:t>
            </w: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84"/>
        </w:trPr>
        <w:tc>
          <w:tcPr>
            <w:tcW w:w="8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Balance sheet classification of deferred tax assets/(liabilities):</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assets, net</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long-term liabilities and deferred credits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we had foreign net operating loss carryforwards of $9 million, which will expire beginning in 2034.</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2014 through 2018. Our U.S. and state tax years are generally open to examination from 2015 to 2018.</w:t>
      </w:r>
    </w:p>
    <w:p>
      <w:pPr>
        <w:spacing w:after="0" w:line="170"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reference to tax years 2008 to 2013, we have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matters totaling approximately $60 million (based on the exchange rate as of December 31, 2018). Payment of a portion of the assessment is required in order to file a notice of objection to dispute the reassessment. Accordingly, we have remitted approximately $40 million (based on the exchange rate as of December 31, 2018) related to the assessments, which is included in “Other long-term assets, net,” on our Consolidated Balance Sheet.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2018, we believe that our tax position associated with these matters is “more likely than not” to be sustained and have not recognized any amounts for uncertainty in income taxes related to these notices.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15—Major Customers and Concentration of Credit Risk</w:t>
      </w:r>
    </w:p>
    <w:p>
      <w:pPr>
        <w:spacing w:after="0" w:line="229"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Marathon Petroleum Corporation and its subsidiaries accounted for 14%, 19% and 18% of our revenues for the years ended December 31, 2018, 2017 and 2016, respectively. ExxonMobil Corporation and its subsidiaries accounted for 14%, 11% and 14% of our revenues for the years ended December 31, 2018, 2017 and 2016, respectively. Phillips 66 Company and its subsidiaries accounted for 11% of our revenues in each of the years ended December 31, 2017 and 2016. No other customers accounted for 10% or more of our revenues during any of the three years ended December 31, 2018.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125"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2018 and 2017, we owned 516,938,280 and 510,925,432, respectively, Class C shares of PAGP. The Class C shares represent a non-economic limited partner interest in PAGP that provides us, as the sole holder, a “pass-through” voting right through which our common unitholders and Series A preferred unitholders have the effective right to vote, pro rata with the holders of Class A and Class B shares of PAGP, for the election of eligible PAGP GP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Our General Partner and its Affiliates</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Our general partner provides general and administrative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the conduct of our business.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2018, 2017 and 2016 were $494 million, $489 million and $514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connection with the Simplification Transactions completed in November 2016, the Plains Entities entered into an Omnibus Agreement, which provides for the following:</w:t>
      </w:r>
    </w:p>
    <w:p>
      <w:pPr>
        <w:spacing w:after="0" w:line="170" w:lineRule="exact"/>
        <w:rPr>
          <w:sz w:val="20"/>
          <w:szCs w:val="20"/>
          <w:color w:val="auto"/>
        </w:rPr>
      </w:pPr>
    </w:p>
    <w:p>
      <w:pPr>
        <w:ind w:left="660" w:right="40" w:hanging="328"/>
        <w:spacing w:after="0" w:line="259"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that, for all periods following the closing of the Simplification Transactions,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We paid $4 million of such expenses in each of 2018, 2017 and 2016;</w:t>
      </w:r>
    </w:p>
    <w:p>
      <w:pPr>
        <w:spacing w:after="0" w:line="186"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ability of PAGP to issue additional Class A shares and use the net proceeds therefrom to purchase a like number of AAP units from AAP, and the corresponding ability of AAP to use the net proceeds therefrom to purchase a like number of our common units from us. During the year ended December 31, 2017, we issued approximately 1.8 million common units to AAP in connection with PAGP’s issuance of Class A shares under its Continuous Offering Program and 48.3 million common units to AAP in connection with PAGP’s March 2017 underwritten offering (See Note 12 for additional information); and</w:t>
      </w:r>
    </w:p>
    <w:p>
      <w:pPr>
        <w:spacing w:after="0" w:line="188"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ability of PAGP to lend proceeds of any future indebtedness incurred by it to AAP, and AAP’s corresponding ability to lend such proceeds to us, in each case on substantially the same terms as incurred by PAGP.</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1 for discussion of the Simplification Transactions.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00"/>
          </w:cols>
          <w:pgMar w:left="240" w:top="125" w:right="25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other related parties include (i) principal owners and their affiliated entities and (ii) entities in which we hold investments and account for under the equity method of accounting (see Note 9 for information related to these investments). We recognize as our principal owners entities that have a designated representative on the board of directors of PAGP GP and/or own greater than 10% of the limited partner interests in AAP. Such limited partner interest in AAP translates into a significantly smaller indirect ownership interest in PAA. Principal owners include Oxy, The Energy &amp; Minerals Group and Kayne Anderson Capital Advisors, L.P. We also consider subsidiaries or funds identified as affiliated with such entities to be related parties.</w:t>
      </w:r>
    </w:p>
    <w:p>
      <w:pPr>
        <w:spacing w:after="0" w:line="15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three years ended December 31, 2018, we recognized sales and transportation revenues and purchased petroleum products from both our principal owners and our equity method investees. These transactions were conducted at posted tariff rates or prices that we believe approximate market. Included in these transactions was a crude oil buy/sell agreement that includes a multi-year minimum volume commitment. The impact to our Consolidated Statements of Operations from these transactions is included below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5"/>
                <w:szCs w:val="25"/>
                <w:color w:val="auto"/>
                <w:vertAlign w:val="superscript"/>
              </w:rPr>
              <w:t>(1) (2)</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1,067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678</w:t>
            </w:r>
          </w:p>
        </w:tc>
      </w:tr>
      <w:tr>
        <w:trPr>
          <w:trHeight w:val="324"/>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5"/>
                <w:szCs w:val="25"/>
                <w:color w:val="auto"/>
                <w:vertAlign w:val="superscript"/>
              </w:rPr>
              <w:t>(2)</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25"/>
          <w:szCs w:val="25"/>
          <w:color w:val="auto"/>
          <w:vertAlign w:val="superscript"/>
        </w:rPr>
      </w:pPr>
      <w:r>
        <w:rPr>
          <w:rFonts w:ascii="Arial" w:cs="Arial" w:eastAsia="Arial" w:hAnsi="Arial"/>
          <w:sz w:val="18"/>
          <w:szCs w:val="18"/>
          <w:color w:val="auto"/>
        </w:rPr>
        <w:t>A majority of these revenues are included in “Supply and Logistics segment revenues” on our Consolidated Statements of Operations.</w:t>
      </w:r>
    </w:p>
    <w:p>
      <w:pPr>
        <w:spacing w:after="0" w:line="98" w:lineRule="exact"/>
        <w:rPr>
          <w:rFonts w:ascii="Arial" w:cs="Arial" w:eastAsia="Arial" w:hAnsi="Arial"/>
          <w:sz w:val="25"/>
          <w:szCs w:val="25"/>
          <w:color w:val="auto"/>
          <w:vertAlign w:val="superscript"/>
        </w:rPr>
      </w:pPr>
    </w:p>
    <w:p>
      <w:pPr>
        <w:ind w:left="660" w:right="240" w:hanging="652"/>
        <w:spacing w:after="0" w:line="214" w:lineRule="auto"/>
        <w:tabs>
          <w:tab w:leader="none" w:pos="660" w:val="left"/>
        </w:tabs>
        <w:numPr>
          <w:ilvl w:val="0"/>
          <w:numId w:val="119"/>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7"/>
          <w:szCs w:val="17"/>
          <w:color w:val="auto"/>
        </w:rPr>
        <w:t>Our receivable and payable amounts with these related parties as reflected on our Consolidated Balance Sheets were as follows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5"/>
                <w:szCs w:val="25"/>
                <w:color w:val="auto"/>
                <w:vertAlign w:val="superscript"/>
              </w:rPr>
              <w:t>(1) (2)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142</w:t>
            </w:r>
          </w:p>
        </w:tc>
      </w:tr>
      <w:tr>
        <w:trPr>
          <w:trHeight w:val="297"/>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5"/>
                <w:szCs w:val="25"/>
                <w:color w:val="auto"/>
                <w:vertAlign w:val="superscript"/>
              </w:rPr>
              <w:t>(1) (2) (3)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25"/>
          <w:szCs w:val="25"/>
          <w:color w:val="auto"/>
          <w:vertAlign w:val="superscript"/>
        </w:rPr>
      </w:pPr>
      <w:r>
        <w:rPr>
          <w:rFonts w:ascii="Arial" w:cs="Arial" w:eastAsia="Arial" w:hAnsi="Arial"/>
          <w:sz w:val="18"/>
          <w:szCs w:val="18"/>
          <w:color w:val="auto"/>
        </w:rPr>
        <w:t>We have a netting arrangement with certain related parties. Receivables and payables are presented net of such amounts.</w:t>
      </w:r>
    </w:p>
    <w:p>
      <w:pPr>
        <w:spacing w:after="0" w:line="98" w:lineRule="exact"/>
        <w:rPr>
          <w:rFonts w:ascii="Arial" w:cs="Arial" w:eastAsia="Arial" w:hAnsi="Arial"/>
          <w:sz w:val="25"/>
          <w:szCs w:val="25"/>
          <w:color w:val="auto"/>
          <w:vertAlign w:val="superscript"/>
        </w:rPr>
      </w:pPr>
    </w:p>
    <w:p>
      <w:pPr>
        <w:ind w:left="660" w:right="340" w:hanging="652"/>
        <w:spacing w:after="0" w:line="214" w:lineRule="auto"/>
        <w:tabs>
          <w:tab w:leader="none" w:pos="660" w:val="left"/>
        </w:tabs>
        <w:numPr>
          <w:ilvl w:val="0"/>
          <w:numId w:val="120"/>
        </w:numPr>
        <w:rPr>
          <w:rFonts w:ascii="Arial" w:cs="Arial" w:eastAsia="Arial" w:hAnsi="Arial"/>
          <w:sz w:val="25"/>
          <w:szCs w:val="25"/>
          <w:color w:val="auto"/>
          <w:vertAlign w:val="superscript"/>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94" w:lineRule="exact"/>
        <w:rPr>
          <w:rFonts w:ascii="Arial" w:cs="Arial" w:eastAsia="Arial" w:hAnsi="Arial"/>
          <w:sz w:val="25"/>
          <w:szCs w:val="25"/>
          <w:color w:val="auto"/>
          <w:vertAlign w:val="superscript"/>
        </w:rPr>
      </w:pPr>
    </w:p>
    <w:p>
      <w:pPr>
        <w:ind w:left="660" w:right="20" w:hanging="652"/>
        <w:spacing w:after="0" w:line="252" w:lineRule="auto"/>
        <w:tabs>
          <w:tab w:leader="none" w:pos="660" w:val="left"/>
        </w:tabs>
        <w:numPr>
          <w:ilvl w:val="0"/>
          <w:numId w:val="120"/>
        </w:numPr>
        <w:rPr>
          <w:rFonts w:ascii="Arial" w:cs="Arial" w:eastAsia="Arial" w:hAnsi="Arial"/>
          <w:sz w:val="22"/>
          <w:szCs w:val="22"/>
          <w:color w:val="auto"/>
          <w:vertAlign w:val="superscript"/>
        </w:rPr>
      </w:pPr>
      <w:r>
        <w:rPr>
          <w:rFonts w:ascii="Arial" w:cs="Arial" w:eastAsia="Arial" w:hAnsi="Arial"/>
          <w:sz w:val="16"/>
          <w:szCs w:val="16"/>
          <w:color w:val="auto"/>
        </w:rPr>
        <w:t>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Unit Issuance</w:t>
      </w:r>
    </w:p>
    <w:p>
      <w:pPr>
        <w:spacing w:after="0" w:line="11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January 2016, we completed a private placement of Series A preferred units. Certain of the purchasers of the Series A preferred units or their affiliates are related parties. Kayne Anderson Capital Advisors, L.P. and certain of its affiliates and an affiliate of The Energy &amp; Minerals Group hold ownership interests in our general partner. In addition, certain of the current directors of our general partner are affiliated with certain of the purchasers. See Note 12 for additional information about our Series A preferred units.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125"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17—Equity-Indexed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Long-Term Incentive Plan Awards</w:t>
      </w:r>
    </w:p>
    <w:p>
      <w:pPr>
        <w:spacing w:after="0" w:line="18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of equity-classified LTIP awards is calculated based on the closing market price of the underlying PAA unit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w:t>
      </w:r>
    </w:p>
    <w:p>
      <w:pPr>
        <w:spacing w:after="0" w:line="16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LTIP awards contain (i) time based vesting criteria, (ii) performance conditions based on the attainment of certain levels of four quarter trailing distributable cash flow (“DCF”) per common unit or (iii) a combination of time based vesting criteria and performance conditions based on four quarter trailing DCF per common unit.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awards authorized under our LTIPs as of December 31, 2018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LTIP</w:t>
            </w:r>
          </w:p>
        </w:tc>
        <w:tc>
          <w:tcPr>
            <w:tcW w:w="140" w:type="dxa"/>
            <w:vAlign w:val="bottom"/>
            <w:vMerge w:val="restart"/>
          </w:tcPr>
          <w:p>
            <w:pPr>
              <w:spacing w:after="0"/>
              <w:rPr>
                <w:sz w:val="14"/>
                <w:szCs w:val="14"/>
                <w:color w:val="auto"/>
              </w:rPr>
            </w:pPr>
          </w:p>
        </w:tc>
        <w:tc>
          <w:tcPr>
            <w:tcW w:w="2260" w:type="dxa"/>
            <w:vAlign w:val="bottom"/>
          </w:tcPr>
          <w:p>
            <w:pPr>
              <w:jc w:val="right"/>
              <w:ind w:right="736"/>
              <w:spacing w:after="0"/>
              <w:rPr>
                <w:sz w:val="20"/>
                <w:szCs w:val="20"/>
                <w:color w:val="auto"/>
              </w:rPr>
            </w:pPr>
            <w:r>
              <w:rPr>
                <w:rFonts w:ascii="Arial" w:cs="Arial" w:eastAsia="Arial" w:hAnsi="Arial"/>
                <w:sz w:val="14"/>
                <w:szCs w:val="14"/>
                <w:b w:val="1"/>
                <w:bCs w:val="1"/>
                <w:color w:val="auto"/>
              </w:rPr>
              <w:t>PAA LTIP</w:t>
            </w:r>
          </w:p>
        </w:tc>
        <w:tc>
          <w:tcPr>
            <w:tcW w:w="0" w:type="dxa"/>
            <w:vAlign w:val="bottom"/>
          </w:tcPr>
          <w:p>
            <w:pPr>
              <w:spacing w:after="0"/>
              <w:rPr>
                <w:sz w:val="1"/>
                <w:szCs w:val="1"/>
                <w:color w:val="auto"/>
              </w:rPr>
            </w:pPr>
          </w:p>
        </w:tc>
      </w:tr>
      <w:tr>
        <w:trPr>
          <w:trHeight w:val="192"/>
        </w:trPr>
        <w:tc>
          <w:tcPr>
            <w:tcW w:w="90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Awards Authorized</w:t>
            </w:r>
          </w:p>
        </w:tc>
        <w:tc>
          <w:tcPr>
            <w:tcW w:w="0" w:type="dxa"/>
            <w:vAlign w:val="bottom"/>
          </w:tcPr>
          <w:p>
            <w:pPr>
              <w:spacing w:after="0"/>
              <w:rPr>
                <w:sz w:val="1"/>
                <w:szCs w:val="1"/>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Plains All American 2013 Long-Term Incentive Plan</w:t>
            </w:r>
          </w:p>
        </w:tc>
        <w:tc>
          <w:tcPr>
            <w:tcW w:w="2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Plains All American PNG Successor Long-Term Incentive Plan</w:t>
            </w:r>
          </w:p>
        </w:tc>
        <w:tc>
          <w:tcPr>
            <w:tcW w:w="226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Plains All American GP LLC 2006 Long-Term Incentive Tracking Unit Plan</w:t>
            </w:r>
          </w:p>
        </w:tc>
        <w:tc>
          <w:tcPr>
            <w:tcW w:w="2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64"/>
        </w:trPr>
        <w:tc>
          <w:tcPr>
            <w:tcW w:w="9160" w:type="dxa"/>
            <w:vAlign w:val="bottom"/>
            <w:gridSpan w:val="2"/>
          </w:tcPr>
          <w:p>
            <w:pPr>
              <w:ind w:left="18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(1)</w:t>
            </w:r>
          </w:p>
        </w:tc>
        <w:tc>
          <w:tcPr>
            <w:tcW w:w="2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1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420" w:hanging="652"/>
        <w:spacing w:after="0" w:line="216" w:lineRule="auto"/>
        <w:tabs>
          <w:tab w:leader="none" w:pos="660" w:val="left"/>
        </w:tabs>
        <w:numPr>
          <w:ilvl w:val="0"/>
          <w:numId w:val="121"/>
        </w:numPr>
        <w:rPr>
          <w:rFonts w:ascii="Arial" w:cs="Arial" w:eastAsia="Arial" w:hAnsi="Arial"/>
          <w:sz w:val="25"/>
          <w:szCs w:val="25"/>
          <w:color w:val="auto"/>
          <w:vertAlign w:val="superscript"/>
        </w:rPr>
      </w:pPr>
      <w:r>
        <w:rPr>
          <w:rFonts w:ascii="Arial" w:cs="Arial" w:eastAsia="Arial" w:hAnsi="Arial"/>
          <w:sz w:val="18"/>
          <w:szCs w:val="18"/>
          <w:color w:val="auto"/>
        </w:rPr>
        <w:t>Of the 25.2 million total awards authorized, 8.8 million awards are currently available. The remaining balance has already vested or is currently outstanding.</w:t>
      </w:r>
    </w:p>
    <w:p>
      <w:pPr>
        <w:spacing w:after="0" w:line="20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other types of awards are contemplated under certain of the LTIPs, currently outstanding awards are limited to “phantom units,” which mature into the right to receive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PAA common unit. The DERs terminate with the vesting or forfeiture of the underlying LTIP award.</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December 31, 2018, 6.8 million LTIP awards were outstanding. Of this amount, 4.3 million include DERs. The outstanding and probable LTIP awards are expected to vest at various dates between January 2019 and August 2023.</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Our accrued liability at December 31, 2018 related to all outstanding liability-classified LTIP awards and DERs was $27 million, of which $19 million was classified as short-term and $8 million was classified as long-term. These short- and long-term accrued LTIP liabilities are reflected in “Other current liabilities” and “Other long-term liabilities and deferred credits,” respectively, on our Consolidated Balance Sheets. At December 31, 2017, the accrued liability was $27 million, of which $15 million was classified as short-term and $12 million was classified as long-term.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126"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units is summarized in the following table (units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0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Fair Value per Unit</w:t>
            </w:r>
          </w:p>
        </w:tc>
        <w:tc>
          <w:tcPr>
            <w:tcW w:w="0" w:type="dxa"/>
            <w:vAlign w:val="bottom"/>
          </w:tcPr>
          <w:p>
            <w:pPr>
              <w:spacing w:after="0"/>
              <w:rPr>
                <w:sz w:val="1"/>
                <w:szCs w:val="1"/>
                <w:color w:val="auto"/>
              </w:rPr>
            </w:pPr>
          </w:p>
        </w:tc>
      </w:tr>
      <w:tr>
        <w:trPr>
          <w:trHeight w:val="26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0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43"/>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Modified</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Cancelled or forfeited</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2016</w:t>
            </w:r>
          </w:p>
        </w:tc>
        <w:tc>
          <w:tcPr>
            <w:tcW w:w="10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37"/>
        </w:trPr>
        <w:tc>
          <w:tcPr>
            <w:tcW w:w="9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43"/>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Modified</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0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43"/>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Modified</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Cancelled or forfeited</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0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jc w:val="both"/>
        <w:ind w:left="660" w:right="360" w:hanging="652"/>
        <w:spacing w:after="0" w:line="262" w:lineRule="auto"/>
        <w:tabs>
          <w:tab w:leader="none" w:pos="660" w:val="left"/>
        </w:tabs>
        <w:numPr>
          <w:ilvl w:val="0"/>
          <w:numId w:val="122"/>
        </w:numPr>
        <w:rPr>
          <w:rFonts w:ascii="Arial" w:cs="Arial" w:eastAsia="Arial" w:hAnsi="Arial"/>
          <w:sz w:val="22"/>
          <w:szCs w:val="22"/>
          <w:color w:val="auto"/>
          <w:vertAlign w:val="superscript"/>
        </w:rPr>
      </w:pPr>
      <w:r>
        <w:rPr>
          <w:rFonts w:ascii="Arial" w:cs="Arial" w:eastAsia="Arial" w:hAnsi="Arial"/>
          <w:sz w:val="16"/>
          <w:szCs w:val="16"/>
          <w:color w:val="auto"/>
        </w:rPr>
        <w:t>Approximately 0.6 million, 0.6 million and 0.5 million PAA common units were issued, net of tax withholding of approximately 0.2 million, 0.2 million and 0.3 million units during 2018, 2017 and 2016, respectively, in connection with the settlement of vested awards. The remaining PAA awards (approximately 0.9 million, 0.9 million and 1.1 million units) that vested during 2018, 2017 and 2016, respectively, were settled in cash.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Equity-Indexed Compensation Plan Information</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refer to all of the LTIPs as our “equity-indexed compensation plans.” The table below summarizes the expense recognized and the value of vested LTIP awards (settled both in common units and cash) under our equity-indexed compensation plans and includes both liability-classified and equity-classified awards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180" w:type="dxa"/>
            <w:vAlign w:val="bottom"/>
            <w:tcBorders>
              <w:bottom w:val="single" w:sz="8" w:color="CCEEFF"/>
            </w:tcBorders>
          </w:tcPr>
          <w:p>
            <w:pPr>
              <w:spacing w:after="0"/>
              <w:rPr>
                <w:sz w:val="22"/>
                <w:szCs w:val="22"/>
                <w:color w:val="auto"/>
              </w:rPr>
            </w:pPr>
          </w:p>
        </w:tc>
        <w:tc>
          <w:tcPr>
            <w:tcW w:w="25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Equity-indexed compensation expense</w:t>
            </w:r>
          </w:p>
        </w:tc>
        <w:tc>
          <w:tcPr>
            <w:tcW w:w="362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LTIP unit-settled vestings</w:t>
            </w:r>
          </w:p>
        </w:tc>
        <w:tc>
          <w:tcPr>
            <w:tcW w:w="36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w:t>
            </w:r>
          </w:p>
        </w:tc>
      </w:tr>
      <w:tr>
        <w:trPr>
          <w:trHeight w:val="27"/>
        </w:trPr>
        <w:tc>
          <w:tcPr>
            <w:tcW w:w="4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LTIP cash-settled vestings</w:t>
            </w:r>
          </w:p>
        </w:tc>
        <w:tc>
          <w:tcPr>
            <w:tcW w:w="362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675"/>
        </w:trPr>
        <w:tc>
          <w:tcPr>
            <w:tcW w:w="4180" w:type="dxa"/>
            <w:vAlign w:val="bottom"/>
          </w:tcPr>
          <w:p>
            <w:pPr>
              <w:spacing w:after="0"/>
              <w:rPr>
                <w:sz w:val="24"/>
                <w:szCs w:val="24"/>
                <w:color w:val="auto"/>
              </w:rPr>
            </w:pPr>
          </w:p>
        </w:tc>
        <w:tc>
          <w:tcPr>
            <w:tcW w:w="3620" w:type="dxa"/>
            <w:vAlign w:val="bottom"/>
            <w:gridSpan w:val="2"/>
          </w:tcPr>
          <w:p>
            <w:pPr>
              <w:jc w:val="right"/>
              <w:ind w:right="1848"/>
              <w:spacing w:after="0"/>
              <w:rPr>
                <w:sz w:val="20"/>
                <w:szCs w:val="20"/>
                <w:color w:val="auto"/>
              </w:rPr>
            </w:pPr>
            <w:r>
              <w:rPr>
                <w:rFonts w:ascii="Arial" w:cs="Arial" w:eastAsia="Arial" w:hAnsi="Arial"/>
                <w:sz w:val="18"/>
                <w:szCs w:val="18"/>
                <w:color w:val="auto"/>
              </w:rPr>
              <w:t>F-52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Based on the December 31, 2018 fair value measurement and probability assessment regarding future performance conditions based on distributable cash flow measures determined by management, we expect to recognize $48 million of additional expense over the life of our outstanding awards related to the remaining unrecognized fair value. Actual amounts may differ materially as a result of a change in the market price of our units and/or probability assessments regarding future distributions. We estimate that the remaining fair value will be recognized in expense as shown below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ind w:right="136"/>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49"/>
        </w:trPr>
        <w:tc>
          <w:tcPr>
            <w:tcW w:w="8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2"/>
                <w:szCs w:val="12"/>
                <w:color w:val="auto"/>
              </w:rPr>
            </w:pPr>
          </w:p>
        </w:tc>
        <w:tc>
          <w:tcPr>
            <w:tcW w:w="23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92"/>
        </w:trPr>
        <w:tc>
          <w:tcPr>
            <w:tcW w:w="8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2022 </w:t>
            </w:r>
            <w:r>
              <w:rPr>
                <w:rFonts w:ascii="Arial" w:cs="Arial" w:eastAsia="Arial" w:hAnsi="Arial"/>
                <w:sz w:val="25"/>
                <w:szCs w:val="25"/>
                <w:color w:val="auto"/>
                <w:vertAlign w:val="superscript"/>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2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9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5044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1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60" w:right="180" w:hanging="652"/>
        <w:spacing w:after="0" w:line="216" w:lineRule="auto"/>
        <w:tabs>
          <w:tab w:leader="none" w:pos="660" w:val="left"/>
        </w:tabs>
        <w:numPr>
          <w:ilvl w:val="0"/>
          <w:numId w:val="123"/>
        </w:numPr>
        <w:rPr>
          <w:rFonts w:ascii="Arial" w:cs="Arial" w:eastAsia="Arial" w:hAnsi="Arial"/>
          <w:sz w:val="25"/>
          <w:szCs w:val="25"/>
          <w:color w:val="auto"/>
          <w:vertAlign w:val="superscript"/>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2018.</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23"/>
        </w:numPr>
        <w:rPr>
          <w:rFonts w:ascii="Arial" w:cs="Arial" w:eastAsia="Arial" w:hAnsi="Arial"/>
          <w:sz w:val="25"/>
          <w:szCs w:val="25"/>
          <w:color w:val="auto"/>
          <w:vertAlign w:val="superscript"/>
        </w:rPr>
      </w:pPr>
      <w:r>
        <w:rPr>
          <w:rFonts w:ascii="Arial" w:cs="Arial" w:eastAsia="Arial" w:hAnsi="Arial"/>
          <w:sz w:val="18"/>
          <w:szCs w:val="18"/>
          <w:color w:val="auto"/>
        </w:rPr>
        <w:t>Less than $1 million of expense from amortized fair value during the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2018 are summarized below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70"/>
        </w:trPr>
        <w:tc>
          <w:tcPr>
            <w:tcW w:w="41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Leases, rights-of-way easements and other </w:t>
            </w:r>
            <w:r>
              <w:rPr>
                <w:rFonts w:ascii="Arial" w:cs="Arial" w:eastAsia="Arial" w:hAnsi="Arial"/>
                <w:sz w:val="25"/>
                <w:szCs w:val="25"/>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911</w:t>
            </w: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5"/>
                <w:szCs w:val="25"/>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951</w:t>
            </w: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1,862</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200" w:hanging="652"/>
        <w:spacing w:after="0" w:line="232" w:lineRule="auto"/>
        <w:tabs>
          <w:tab w:leader="none" w:pos="660" w:val="left"/>
        </w:tabs>
        <w:numPr>
          <w:ilvl w:val="0"/>
          <w:numId w:val="124"/>
        </w:numPr>
        <w:rPr>
          <w:rFonts w:ascii="Arial" w:cs="Arial" w:eastAsia="Arial" w:hAnsi="Arial"/>
          <w:sz w:val="25"/>
          <w:szCs w:val="25"/>
          <w:color w:val="auto"/>
          <w:vertAlign w:val="superscript"/>
        </w:rPr>
      </w:pPr>
      <w:r>
        <w:rPr>
          <w:rFonts w:ascii="Arial" w:cs="Arial" w:eastAsia="Arial" w:hAnsi="Arial"/>
          <w:sz w:val="18"/>
          <w:szCs w:val="18"/>
          <w:color w:val="auto"/>
        </w:rPr>
        <w:t>Includes operating and capital leases as defined by FASB guidance, as well as obligations for rights-of-way easements. Leases are primarily for (i) railcars, (ii) land and surface rentals, (iii) office buildings, (iv) pipeline assets and (v) vehicles and trailers. We recognize expense on a straight-line basis over the life of the agreement, as applicable. Lease expense for 2018, 2017 and 2016 was $199 million, $207 million and $198 million, respectively.</w:t>
      </w:r>
    </w:p>
    <w:p>
      <w:pPr>
        <w:spacing w:after="0" w:line="202" w:lineRule="exact"/>
        <w:rPr>
          <w:rFonts w:ascii="Arial" w:cs="Arial" w:eastAsia="Arial" w:hAnsi="Arial"/>
          <w:sz w:val="25"/>
          <w:szCs w:val="25"/>
          <w:color w:val="auto"/>
          <w:vertAlign w:val="superscript"/>
        </w:rPr>
      </w:pPr>
    </w:p>
    <w:p>
      <w:pPr>
        <w:ind w:left="660" w:right="40" w:hanging="652"/>
        <w:spacing w:after="0" w:line="235" w:lineRule="auto"/>
        <w:tabs>
          <w:tab w:leader="none" w:pos="660" w:val="left"/>
        </w:tabs>
        <w:numPr>
          <w:ilvl w:val="0"/>
          <w:numId w:val="124"/>
        </w:numPr>
        <w:rPr>
          <w:rFonts w:ascii="Arial" w:cs="Arial" w:eastAsia="Arial" w:hAnsi="Arial"/>
          <w:sz w:val="25"/>
          <w:szCs w:val="25"/>
          <w:color w:val="auto"/>
          <w:vertAlign w:val="superscript"/>
        </w:rPr>
      </w:pPr>
      <w:r>
        <w:rPr>
          <w:rFonts w:ascii="Arial" w:cs="Arial" w:eastAsia="Arial" w:hAnsi="Arial"/>
          <w:sz w:val="18"/>
          <w:szCs w:val="18"/>
          <w:color w:val="auto"/>
        </w:rPr>
        <w:t>Primarily includes third-party storage and transportation agreements and pipeline throughput agreements, as well as approximately $750 million associated with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 Expense associated with these storage, transportation and throughput agreements was approximately $228 million, $197 million and $157 million for 2018,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-1378585</wp:posOffset>
            </wp:positionV>
            <wp:extent cx="25044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125"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At December 31, 2018, our estimated undiscounted reserve for environmental liabilities (including liabilities related to the Line 901 incident, as discussed further below) totaled $135 million, of which $43 million was classified as short-term and $92 million was classified as long-term. Such short- and long-term environmental liabilities are reflected in “Other current liabilities” and “Other long-term liabilities and deferred credits,” respectively, on our Consolidated Balance Sheet. At December 31, 2017, our estimated undiscounted reserve for environmental liabilities (including liabilities related to the Line 901 incident) totaled $162 million, of which $72 million was classified as short-term and $90 million was classified as long-term. At December 31, 2018, we had recorded receivables totaling $61 million for amounts probable of recovery under insurance and from third parties under indemnification agreements, of which $28 million was short-term and reflected in “Trade accounts receivable and other receivables, net” and $33 million was long-term and reflected in “Other long-term assets, net” on our Consolidated Balance Sheet. At December 31, 2017, we had recorded $55 million of such receivables, of which $29 million was short-term and $26 million was long-term.</w:t>
      </w:r>
    </w:p>
    <w:p>
      <w:pPr>
        <w:spacing w:after="0" w:line="18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125" w:right="25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200"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we may have civil or criminal charges brought against us, in the future.</w:t>
      </w:r>
    </w:p>
    <w:p>
      <w:pPr>
        <w:spacing w:after="0" w:line="20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125"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one strict liability animal takings count. The jury deadlocked on three counts (including two felony discharge counts and one strict liability animal takings count), and two misdemeanor discharge counts were dropped. We are in the process of pursuing and evaluating our post-trial options, which include the possibility of an appeal. We do not anticipate that the fines or penalties imposed as a result of the jury’s decision will have a material adverse impact on the financial position or operations of the Partnership.</w:t>
      </w:r>
    </w:p>
    <w:p>
      <w:pPr>
        <w:spacing w:after="0" w:line="187" w:lineRule="exact"/>
        <w:rPr>
          <w:sz w:val="20"/>
          <w:szCs w:val="20"/>
          <w:color w:val="auto"/>
        </w:rPr>
      </w:pPr>
    </w:p>
    <w:p>
      <w:pPr>
        <w:ind w:right="220" w:firstLine="648"/>
        <w:spacing w:after="0" w:line="285" w:lineRule="auto"/>
        <w:rPr>
          <w:sz w:val="20"/>
          <w:szCs w:val="20"/>
          <w:color w:val="auto"/>
        </w:rPr>
      </w:pPr>
      <w:r>
        <w:rPr>
          <w:rFonts w:ascii="Arial" w:cs="Arial" w:eastAsia="Arial" w:hAnsi="Arial"/>
          <w:sz w:val="16"/>
          <w:szCs w:val="16"/>
          <w:color w:val="auto"/>
        </w:rPr>
        <w:t>Also in late May of 2015,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w:t>
      </w:r>
    </w:p>
    <w:p>
      <w:pPr>
        <w:spacing w:after="0" w:line="2" w:lineRule="exact"/>
        <w:rPr>
          <w:sz w:val="20"/>
          <w:szCs w:val="20"/>
          <w:color w:val="auto"/>
        </w:rPr>
      </w:pPr>
    </w:p>
    <w:p>
      <w:pPr>
        <w:ind w:right="120" w:firstLine="8"/>
        <w:spacing w:after="0" w:line="269" w:lineRule="auto"/>
        <w:tabs>
          <w:tab w:leader="none" w:pos="3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We have provided various responsive materials to date and we will continue to do so in the future in cooperation with the EPA. While to date no civil actions or criminal charges with respect to the Line 901 release, other than those brought pursuant to the May 2016 Indictment and a separate civil claim brought by the California Attorney General on behalf of the California State Lands Commission,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actions or criminal charges brought against us, our officers or our employees in the future, whether by those or other governmental agencies.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The sub-classes that have been certified include (i) commercial fishermen who landed fish in certain specified fishing blocks in the waters adjacent to Santa Barbara County or persons or businesses who resold commercial seafood landed in such areas; (ii) individuals or businesses who were employed by or had contracts with certain designated oil platforms and related onshore processing facilities in the vicinity of the release as of the date of the release and (iii) beachfront property and easement owners whose properties were oiled. The Ninth Circuit Court of Appeals has granted our petition for leave to appeal the oil industry class certification.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3"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have appealed the dismissal. Consistent with and subject to the terms of our governing organizational documents (and to the extent applicable, insurance policies), we have indemnified and funded the defense costs of our officers and directors in connection with this lawsuit; we have also indemnified and funded the defense costs of our underwriters pursuant to the terms of the underwriting agreements we previously entered into with such underwriters.</w:t>
      </w:r>
    </w:p>
    <w:p>
      <w:pPr>
        <w:spacing w:after="0" w:line="17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addition, four unitholder derivative lawsuits have been filed by certain purported investors in the Partnership against the Partnership, certain of its affiliates and certain officers and directors. One lawsuit was filed in State District Court in Harris County, Texas and subsequently dismissed by the</w:t>
      </w:r>
    </w:p>
    <w:p>
      <w:pPr>
        <w:ind w:right="120"/>
        <w:spacing w:after="0" w:line="290" w:lineRule="auto"/>
        <w:rPr>
          <w:sz w:val="20"/>
          <w:szCs w:val="20"/>
          <w:color w:val="auto"/>
        </w:rPr>
      </w:pPr>
      <w:r>
        <w:rPr>
          <w:rFonts w:ascii="Arial" w:cs="Arial" w:eastAsia="Arial" w:hAnsi="Arial"/>
          <w:sz w:val="17"/>
          <w:szCs w:val="17"/>
          <w:color w:val="auto"/>
        </w:rPr>
        <w:t>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125"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Following the order dismissing the Texas Federal Court suits, a new derivative suit brought by different plaintiffs was filed in Delaware Chancery Court. In general, these derivative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in the remaining lawsuit claim that the Partnership suffered unspecified damages as a result of the actions of the various defendants and seek to hold the defendants liable for such damages, in addition to other remedies. The defendants deny the allegations in this lawsuit and have responded accordingly. Consistent with and subject to the terms of our governing organizational documents (and to the extent applicable, insurance policies), we are indemnifying and funding the defense costs of our officers and directors in connection with this lawsuit.</w:t>
      </w:r>
    </w:p>
    <w:p>
      <w:pPr>
        <w:spacing w:after="0" w:line="16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December 31, 2018, we estimate that the aggregate total costs we have incurred or will incur with respect to the Line 901 incident will be approximately $355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Consolidated Statement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6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of December 31, 2018, we had a remaining undiscounted gross liability of $76 million related to this event, of which approximately $33 million is presented in “Other current liabilities” on our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2018, we had collected, subject to customary reservations, $187 million out of the approximate $240 million of release costs that we believe are probable of recovery from insurance carriers, net of deductibles. Therefore, as of December 31, 2018, we have recognized a receivable of approximately $53 million for the portion of the release costs that we believe is probable of recovery from insurance, net of deductibles and amounts already collected. Of this amount, approximately $22 million is recognized as a current asset in “Trade accounts receivable and other receivables, net” on our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360"/>
          </w:cols>
          <w:pgMar w:left="240" w:top="125" w:right="29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restoration of the impacted areas, as well as natural resource damage assessment and compensation, legal, professional and regulatory costs, in addition to fines and penalties, during future periods.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Bluewater NOPV. </w:t>
      </w:r>
      <w:r>
        <w:rPr>
          <w:rFonts w:ascii="Arial" w:cs="Arial" w:eastAsia="Arial" w:hAnsi="Arial"/>
          <w:sz w:val="18"/>
          <w:szCs w:val="18"/>
          <w:color w:val="auto"/>
        </w:rPr>
        <w:t>PAA Natural Gas Storage, LLC (“PNG”), the former owner of the Bluewater natural gas storage facility in Columbus, Michigan</w:t>
      </w:r>
      <w:r>
        <w:rPr>
          <w:rFonts w:ascii="Arial" w:cs="Arial" w:eastAsia="Arial" w:hAnsi="Arial"/>
          <w:sz w:val="18"/>
          <w:szCs w:val="18"/>
          <w:i w:val="1"/>
          <w:iCs w:val="1"/>
          <w:color w:val="auto"/>
        </w:rPr>
        <w:t xml:space="preserve"> </w:t>
      </w:r>
      <w:r>
        <w:rPr>
          <w:rFonts w:ascii="Arial" w:cs="Arial" w:eastAsia="Arial" w:hAnsi="Arial"/>
          <w:sz w:val="18"/>
          <w:szCs w:val="18"/>
          <w:color w:val="auto"/>
        </w:rPr>
        <w:t>(“Bluewater”), received a Notice of Probable Violation and Proposed Civil Penalty (the “Notice”), dated November 28, 2018, from PHMSA alleging various violations of the Pipeline Safety Act in connection with PNG’s operation of the Bluewater facility from 2013 through early 2016 and assessing cumulative civil penalties in the amount of $109,400. PNG sold its interest in the Bluewater facility effective June 30, 2017 and elected not to contest the items contained in the Notice and paid the civil penalties.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18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Assets we have acquired or will acquire in the future may have environmental remediation liabilities for which we are not indemnified. We have in the past experienced and in the future likely will experience releases of hydrocarbon products into the environment from our pipeline, rail, storage and other facility operations. We also may discover environmental impacts from past releases that were previously unidentified.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that we consider adequate under the circumstances to cover our operations and properties, and we self-insure certain risks, including gradual pollution and named windstorm. With respect to our insurance, our policies are subject to deductibles and retention levels that we consider reasonable and not excessive. However, such insurance does not cover every potential risk that might occur, associated with operating pipelines, terminals and other facilities and equipment, including the potential loss of significant revenues and cash flows.</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Additionally, we self-insure certain risks, including gradual pollution and named windstorm. With respect to our insurance coverage,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125"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19—Quarterly Financial Data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14"/>
                <w:szCs w:val="14"/>
                <w:color w:val="auto"/>
              </w:rPr>
            </w:pPr>
          </w:p>
        </w:tc>
        <w:tc>
          <w:tcPr>
            <w:tcW w:w="1060" w:type="dxa"/>
            <w:vAlign w:val="bottom"/>
          </w:tcPr>
          <w:p>
            <w:pPr>
              <w:jc w:val="center"/>
              <w:ind w:right="212"/>
              <w:spacing w:after="0"/>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4"/>
                <w:szCs w:val="14"/>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14"/>
                <w:szCs w:val="14"/>
                <w:color w:val="auto"/>
              </w:rPr>
            </w:pPr>
          </w:p>
        </w:tc>
        <w:tc>
          <w:tcPr>
            <w:tcW w:w="10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Quarter</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Quarter</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8"/>
              </w:rPr>
              <w:t>Quarter</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4"/>
          </w:tcPr>
          <w:p>
            <w:pPr>
              <w:jc w:val="center"/>
              <w:ind w:left="593"/>
              <w:spacing w:after="0"/>
              <w:rPr>
                <w:sz w:val="20"/>
                <w:szCs w:val="20"/>
                <w:color w:val="auto"/>
              </w:rPr>
            </w:pPr>
            <w:r>
              <w:rPr>
                <w:rFonts w:ascii="Arial" w:cs="Arial" w:eastAsia="Arial" w:hAnsi="Arial"/>
                <w:sz w:val="14"/>
                <w:szCs w:val="14"/>
                <w:b w:val="1"/>
                <w:bCs w:val="1"/>
                <w:color w:val="auto"/>
                <w:w w:val="92"/>
              </w:rPr>
              <w:t>(in millions, except per unit data)</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4"/>
              </w:rPr>
              <w:t>2018</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8,398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8,080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8,792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8,786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567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381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493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1,315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PAA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710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1,117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net income per common unit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Diluted net income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0.33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0.07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0.87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5"/>
                <w:szCs w:val="25"/>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0.30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w w:val="84"/>
              </w:rPr>
              <w:t>2017</w:t>
            </w:r>
          </w:p>
        </w:tc>
        <w:tc>
          <w:tcPr>
            <w:tcW w:w="4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6,667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6,078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5,873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7,605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591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PAA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net income/(loss) per common unit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Diluted net income/(loss)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0.58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0.21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5"/>
                <w:szCs w:val="25"/>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0.55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1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The sum of the four quarters may not equal the total year due to rounding.</w:t>
      </w:r>
    </w:p>
    <w:p>
      <w:pPr>
        <w:spacing w:after="0" w:line="98" w:lineRule="exact"/>
        <w:rPr>
          <w:rFonts w:ascii="Arial" w:cs="Arial" w:eastAsia="Arial" w:hAnsi="Arial"/>
          <w:sz w:val="25"/>
          <w:szCs w:val="25"/>
          <w:color w:val="auto"/>
          <w:vertAlign w:val="superscript"/>
        </w:rPr>
      </w:pPr>
    </w:p>
    <w:p>
      <w:pPr>
        <w:ind w:left="660" w:right="260" w:hanging="652"/>
        <w:spacing w:after="0" w:line="214" w:lineRule="auto"/>
        <w:tabs>
          <w:tab w:leader="none" w:pos="660"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Gross margin is calculated as Total revenues less (i) Purchases and related costs, (ii) Field operating costs, (iii) Depreciation and amortization and (iv) (Gains)/losses on asset sales and asset impairments, net.</w:t>
      </w:r>
    </w:p>
    <w:p>
      <w:pPr>
        <w:spacing w:after="0" w:line="37"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Represents cash distributions declared and paid in the period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20—Operating Segments</w:t>
      </w:r>
    </w:p>
    <w:p>
      <w:pPr>
        <w:spacing w:after="0" w:line="22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See Note 3 for a summary of the types of products and services from which each segment derives its revenues. Our Chief Operating Decision Maker (“CODM”) (our Chief Executive Officer) evaluates segment performance based on measures including Segment Adjusted EBITDA (as defined below) and maintenance capital investment.</w:t>
      </w:r>
    </w:p>
    <w:p>
      <w:pPr>
        <w:spacing w:after="0" w:line="14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and losses on significant asset sales by unconsolidated entities, and further adjusted for certain selected items including (i) 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125"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1,116</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32,819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32,822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13,288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25,511</w:t>
            </w: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2,594</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24"/>
                <w:szCs w:val="2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1,021</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27,956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12,661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5,377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25,351</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1"/>
              </w:rPr>
              <w:t>F-60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60" w:type="dxa"/>
            <w:vAlign w:val="bottom"/>
          </w:tcPr>
          <w:p>
            <w:pPr>
              <w:jc w:val="right"/>
              <w:ind w:right="273"/>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333"/>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19,004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19,018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1"/>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2C2C2C"/>
              </w:rPr>
              <w:t>10,917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C2C2C"/>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2C2C2C"/>
              </w:rPr>
              <w:t>7,556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C2C2C"/>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2C2C2C"/>
              </w:rPr>
              <w:t>5,737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5044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2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60" w:hanging="652"/>
        <w:spacing w:after="0" w:line="250" w:lineRule="auto"/>
        <w:tabs>
          <w:tab w:leader="none" w:pos="660" w:val="left"/>
        </w:tabs>
        <w:numPr>
          <w:ilvl w:val="0"/>
          <w:numId w:val="127"/>
        </w:numPr>
        <w:rPr>
          <w:rFonts w:ascii="Arial" w:cs="Arial" w:eastAsia="Arial" w:hAnsi="Arial"/>
          <w:sz w:val="24"/>
          <w:szCs w:val="24"/>
          <w:color w:val="auto"/>
          <w:vertAlign w:val="superscript"/>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for a discussion of our related accounting policy. We have included an estimate of the revenues from these inventory exchanges in our Transportation segment revenue from external customers presented above and adjusted those revenues out such that Total revenue from External customers reconciles to our Consolidated Statements of Operations. This presentation is consistent with the information provided to our CODM.</w:t>
      </w:r>
    </w:p>
    <w:p>
      <w:pPr>
        <w:spacing w:after="0" w:line="86" w:lineRule="exact"/>
        <w:rPr>
          <w:rFonts w:ascii="Arial" w:cs="Arial" w:eastAsia="Arial" w:hAnsi="Arial"/>
          <w:sz w:val="24"/>
          <w:szCs w:val="24"/>
          <w:color w:val="auto"/>
          <w:vertAlign w:val="superscript"/>
        </w:rPr>
      </w:pPr>
    </w:p>
    <w:p>
      <w:pPr>
        <w:ind w:left="660" w:right="120" w:hanging="652"/>
        <w:spacing w:after="0" w:line="238" w:lineRule="auto"/>
        <w:tabs>
          <w:tab w:leader="none" w:pos="660" w:val="left"/>
        </w:tabs>
        <w:numPr>
          <w:ilvl w:val="0"/>
          <w:numId w:val="127"/>
        </w:numPr>
        <w:rPr>
          <w:rFonts w:ascii="Arial" w:cs="Arial" w:eastAsia="Arial" w:hAnsi="Arial"/>
          <w:sz w:val="24"/>
          <w:szCs w:val="24"/>
          <w:color w:val="auto"/>
          <w:vertAlign w:val="superscript"/>
        </w:rPr>
      </w:pPr>
      <w:r>
        <w:rPr>
          <w:rFonts w:ascii="Arial" w:cs="Arial" w:eastAsia="Arial" w:hAnsi="Arial"/>
          <w:sz w:val="17"/>
          <w:szCs w:val="17"/>
          <w:color w:val="auto"/>
        </w:rPr>
        <w:t>Segment revenues include intersegment amounts that are eliminated in Purchases and related costs and Field operating costs in our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37"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27"/>
        </w:numPr>
        <w:rPr>
          <w:rFonts w:ascii="Arial" w:cs="Arial" w:eastAsia="Arial" w:hAnsi="Arial"/>
          <w:sz w:val="25"/>
          <w:szCs w:val="25"/>
          <w:color w:val="auto"/>
          <w:vertAlign w:val="superscript"/>
        </w:rPr>
      </w:pPr>
      <w:r>
        <w:rPr>
          <w:rFonts w:ascii="Arial" w:cs="Arial" w:eastAsia="Arial" w:hAnsi="Arial"/>
          <w:sz w:val="18"/>
          <w:szCs w:val="18"/>
          <w:color w:val="auto"/>
        </w:rPr>
        <w:t>Expenditures for acquisition capital and expansion capital, including investments in unconsolidated entities.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125"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reconciles Segment Adjusted EBITDA to net income attributable to PAA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w:t>
            </w:r>
          </w:p>
        </w:tc>
      </w:tr>
      <w:tr>
        <w:trPr>
          <w:trHeight w:val="270"/>
        </w:trPr>
        <w:tc>
          <w:tcPr>
            <w:tcW w:w="6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6400" w:type="dxa"/>
            <w:vAlign w:val="bottom"/>
          </w:tcPr>
          <w:p>
            <w:pPr>
              <w:ind w:left="280"/>
              <w:spacing w:after="0" w:line="270" w:lineRule="exact"/>
              <w:rPr>
                <w:sz w:val="20"/>
                <w:szCs w:val="20"/>
                <w:color w:val="auto"/>
              </w:rPr>
            </w:pPr>
            <w:r>
              <w:rPr>
                <w:rFonts w:ascii="Arial" w:cs="Arial" w:eastAsia="Arial" w:hAnsi="Arial"/>
                <w:sz w:val="18"/>
                <w:szCs w:val="18"/>
                <w:color w:val="auto"/>
                <w:w w:val="94"/>
              </w:rPr>
              <w:t xml:space="preserve">Gains/(losses) from derivative activities net of inventory valuation adjustments </w:t>
            </w:r>
            <w:r>
              <w:rPr>
                <w:rFonts w:ascii="Arial" w:cs="Arial" w:eastAsia="Arial" w:hAnsi="Arial"/>
                <w:sz w:val="25"/>
                <w:szCs w:val="25"/>
                <w:color w:val="auto"/>
                <w:w w:val="94"/>
                <w:vertAlign w:val="superscript"/>
              </w:rPr>
              <w:t>(3)</w:t>
            </w:r>
          </w:p>
        </w:tc>
        <w:tc>
          <w:tcPr>
            <w:tcW w:w="104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70"/>
        </w:trPr>
        <w:tc>
          <w:tcPr>
            <w:tcW w:w="64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64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10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(9)</w:t>
            </w:r>
          </w:p>
        </w:tc>
        <w:tc>
          <w:tcPr>
            <w:tcW w:w="104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investment in unconsolidated entities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before tax</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2,414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755</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2,216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2,216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726</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2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128"/>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and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128"/>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71" w:lineRule="auto"/>
        <w:tabs>
          <w:tab w:leader="none" w:pos="660" w:val="left"/>
        </w:tabs>
        <w:numPr>
          <w:ilvl w:val="0"/>
          <w:numId w:val="128"/>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125"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652"/>
        <w:spacing w:after="0" w:line="258" w:lineRule="auto"/>
        <w:tabs>
          <w:tab w:leader="none" w:pos="660" w:val="left"/>
        </w:tabs>
        <w:numPr>
          <w:ilvl w:val="0"/>
          <w:numId w:val="129"/>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29"/>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units.</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29"/>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240" w:hanging="652"/>
        <w:spacing w:after="0" w:line="214" w:lineRule="auto"/>
        <w:tabs>
          <w:tab w:leader="none" w:pos="660" w:val="left"/>
        </w:tabs>
        <w:numPr>
          <w:ilvl w:val="0"/>
          <w:numId w:val="129"/>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18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right="80" w:hanging="652"/>
        <w:spacing w:after="0" w:line="226" w:lineRule="auto"/>
        <w:tabs>
          <w:tab w:leader="none" w:pos="660" w:val="left"/>
        </w:tabs>
        <w:numPr>
          <w:ilvl w:val="0"/>
          <w:numId w:val="129"/>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7 for additional discussion. An adjustment for these non-recurring expenses is included in the calculation of Segment Adjusted EBITDA for the year ended December 31, 2017 as our CODM does not view such expenses as integral to understanding our core segment operating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28,362</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15,599</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5,693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4,583</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34,055</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20,182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2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25"/>
          <w:szCs w:val="25"/>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18,044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17,167</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3,904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4,179</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21,948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21,346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5540" w:right="5520" w:hanging="5532"/>
        <w:spacing w:after="0" w:line="851" w:lineRule="auto"/>
        <w:tabs>
          <w:tab w:leader="none" w:pos="652" w:val="left"/>
        </w:tabs>
        <w:numPr>
          <w:ilvl w:val="0"/>
          <w:numId w:val="131"/>
        </w:numPr>
        <w:rPr>
          <w:rFonts w:ascii="Arial" w:cs="Arial" w:eastAsia="Arial" w:hAnsi="Arial"/>
          <w:sz w:val="22"/>
          <w:szCs w:val="22"/>
          <w:color w:val="auto"/>
          <w:vertAlign w:val="superscript"/>
        </w:rPr>
      </w:pPr>
      <w:r>
        <w:rPr>
          <w:rFonts w:ascii="Arial" w:cs="Arial" w:eastAsia="Arial" w:hAnsi="Arial"/>
          <w:sz w:val="16"/>
          <w:szCs w:val="16"/>
          <w:color w:val="auto"/>
        </w:rPr>
        <w:t>Excludes long-term derivative assets and long-term deferred tax assets. F-63</w:t>
      </w:r>
    </w:p>
    <w:p>
      <w:pPr>
        <w:sectPr>
          <w:pgSz w:w="11900" w:h="16838" w:orient="portrait"/>
          <w:cols w:equalWidth="0" w:num="1">
            <w:col w:w="11400"/>
          </w:cols>
          <w:pgMar w:left="240" w:top="125" w:right="25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17145</wp:posOffset>
            </wp:positionV>
            <wp:extent cx="2306955" cy="557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24">
                      <a:extLst>
                        <a:ext uri="{28A0092B-C50C-407E-A947-70E740481C1C}"/>
                      </a:extLst>
                    </a:blip>
                    <a:srcRect/>
                    <a:stretch>
                      <a:fillRect/>
                    </a:stretch>
                  </pic:blipFill>
                  <pic:spPr bwMode="auto">
                    <a:xfrm>
                      <a:off x="0" y="0"/>
                      <a:ext cx="23069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2018 DIRECTOR GRANT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14, 2018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Class A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60"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I am pleased to inform you that you have been granted [amount]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88" w:lineRule="exact"/>
        <w:rPr>
          <w:sz w:val="20"/>
          <w:szCs w:val="20"/>
          <w:color w:val="auto"/>
        </w:rPr>
      </w:pPr>
    </w:p>
    <w:p>
      <w:pPr>
        <w:ind w:left="1300" w:right="40" w:hanging="968"/>
        <w:spacing w:after="0" w:line="343" w:lineRule="auto"/>
        <w:tabs>
          <w:tab w:leader="none" w:pos="65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Phantom Class A Shares shall vest (become payable in the form of one Class A Share of PAGP for each Phantom Class A Share that vests) on the August 2022 Distribution Date.</w:t>
      </w:r>
    </w:p>
    <w:p>
      <w:pPr>
        <w:spacing w:after="0" w:line="145" w:lineRule="exact"/>
        <w:rPr>
          <w:rFonts w:ascii="Arial" w:cs="Arial" w:eastAsia="Arial" w:hAnsi="Arial"/>
          <w:sz w:val="19"/>
          <w:szCs w:val="19"/>
          <w:color w:val="auto"/>
        </w:rPr>
      </w:pPr>
    </w:p>
    <w:p>
      <w:pPr>
        <w:ind w:left="1300" w:hanging="968"/>
        <w:spacing w:after="0" w:line="263" w:lineRule="auto"/>
        <w:tabs>
          <w:tab w:leader="none" w:pos="65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60" w:lineRule="exact"/>
        <w:rPr>
          <w:rFonts w:ascii="Arial" w:cs="Arial" w:eastAsia="Arial" w:hAnsi="Arial"/>
          <w:sz w:val="22"/>
          <w:szCs w:val="22"/>
          <w:color w:val="auto"/>
        </w:rPr>
      </w:pPr>
    </w:p>
    <w:p>
      <w:pPr>
        <w:ind w:left="1300" w:right="80" w:hanging="968"/>
        <w:spacing w:after="0" w:line="250" w:lineRule="auto"/>
        <w:tabs>
          <w:tab w:leader="none" w:pos="65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6"/>
          <w:szCs w:val="16"/>
          <w:color w:val="000080"/>
        </w:rPr>
        <w:t>g</w:t>
      </w:r>
      <w:r>
        <w:rPr>
          <w:rFonts w:ascii="Arial" w:cs="Arial" w:eastAsia="Arial" w:hAnsi="Arial"/>
          <w:sz w:val="20"/>
          <w:szCs w:val="20"/>
          <w:color w:val="000080"/>
        </w:rPr>
        <w:t xml:space="preserve"> Houston, Texas 77002 </w:t>
      </w:r>
      <w:r>
        <w:rPr>
          <w:rFonts w:ascii="Arial" w:cs="Arial" w:eastAsia="Arial" w:hAnsi="Arial"/>
          <w:sz w:val="16"/>
          <w:szCs w:val="16"/>
          <w:color w:val="000080"/>
        </w:rPr>
        <w:t>g</w:t>
      </w:r>
      <w:r>
        <w:rPr>
          <w:rFonts w:ascii="Arial" w:cs="Arial" w:eastAsia="Arial" w:hAnsi="Arial"/>
          <w:sz w:val="20"/>
          <w:szCs w:val="20"/>
          <w:color w:val="000080"/>
        </w:rPr>
        <w:t xml:space="preserve"> 713/646-4100 or 800-564-3036</w:t>
      </w:r>
    </w:p>
    <w:p>
      <w:pPr>
        <w:sectPr>
          <w:pgSz w:w="11900" w:h="16838" w:orient="portrait"/>
          <w:cols w:equalWidth="0" w:num="1">
            <w:col w:w="11420"/>
          </w:cols>
          <w:pgMar w:left="240" w:top="121" w:right="239" w:bottom="1440" w:gutter="0" w:footer="0" w:header="0"/>
        </w:sectPr>
      </w:pPr>
    </w:p>
    <w:bookmarkStart w:id="186" w:name="page187"/>
    <w:bookmarkEnd w:id="186"/>
    <w:p>
      <w:pPr>
        <w:ind w:left="40"/>
        <w:spacing w:after="0"/>
        <w:tabs>
          <w:tab w:leader="none" w:pos="5700" w:val="left"/>
          <w:tab w:leader="none" w:pos="9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August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right="40" w:hanging="968"/>
        <w:spacing w:after="0" w:line="297" w:lineRule="auto"/>
        <w:tabs>
          <w:tab w:leader="none" w:pos="65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(and any tandem DERs) shall immediately become nonforfeitable, and shall vest (or, in the case of DERs, be paid) in full as of the next following Distribution Date. Upon such payment, the tandem DERs associated with the Phantom Class A Shares that are vesting shall expire.</w:t>
      </w:r>
    </w:p>
    <w:p>
      <w:pPr>
        <w:spacing w:after="0" w:line="187" w:lineRule="exact"/>
        <w:rPr>
          <w:rFonts w:ascii="Arial" w:cs="Arial" w:eastAsia="Arial" w:hAnsi="Arial"/>
          <w:sz w:val="19"/>
          <w:szCs w:val="19"/>
          <w:color w:val="auto"/>
        </w:rPr>
      </w:pPr>
    </w:p>
    <w:p>
      <w:pPr>
        <w:ind w:left="1300" w:right="400" w:hanging="968"/>
        <w:spacing w:after="0" w:line="253" w:lineRule="auto"/>
        <w:tabs>
          <w:tab w:leader="none" w:pos="65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537" w:right="239" w:bottom="1440" w:gutter="0" w:footer="0" w:header="0"/>
        </w:sectPr>
      </w:pPr>
    </w:p>
    <w:bookmarkStart w:id="187" w:name="page188"/>
    <w:bookmarkEnd w:id="187"/>
    <w:p>
      <w:pPr>
        <w:ind w:left="40"/>
        <w:spacing w:after="0"/>
        <w:tabs>
          <w:tab w:leader="none" w:pos="5700" w:val="left"/>
          <w:tab w:leader="none" w:pos="9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August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Please execute and return a copy of this grant letter to me and retain a copy for your records.</w:t>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54875" cy="17494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5">
                      <a:extLst>
                        <a:ext uri="{28A0092B-C50C-407E-A947-70E740481C1C}"/>
                      </a:extLst>
                    </a:blip>
                    <a:srcRect/>
                    <a:stretch>
                      <a:fillRect/>
                    </a:stretch>
                  </pic:blipFill>
                  <pic:spPr bwMode="auto">
                    <a:xfrm>
                      <a:off x="0" y="0"/>
                      <a:ext cx="7254875" cy="174942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3960" w:type="dxa"/>
            <w:vAlign w:val="bottom"/>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3260" w:type="dxa"/>
            <w:vAlign w:val="bottom"/>
            <w:shd w:val="clear" w:color="auto" w:fill="C0C0C0"/>
          </w:tcPr>
          <w:p>
            <w:pPr>
              <w:ind w:left="1580"/>
              <w:spacing w:after="0"/>
              <w:rPr>
                <w:sz w:val="20"/>
                <w:szCs w:val="20"/>
                <w:color w:val="auto"/>
              </w:rPr>
            </w:pPr>
            <w:r>
              <w:rPr>
                <w:rFonts w:ascii="Arial" w:cs="Arial" w:eastAsia="Arial" w:hAnsi="Arial"/>
                <w:sz w:val="22"/>
                <w:szCs w:val="22"/>
                <w:color w:val="auto"/>
              </w:rPr>
              <w:t>Relationship</w:t>
            </w:r>
          </w:p>
        </w:tc>
        <w:tc>
          <w:tcPr>
            <w:tcW w:w="4200" w:type="dxa"/>
            <w:vAlign w:val="bottom"/>
            <w:shd w:val="clear" w:color="auto" w:fill="C0C0C0"/>
          </w:tcPr>
          <w:p>
            <w:pPr>
              <w:ind w:left="600"/>
              <w:spacing w:after="0"/>
              <w:rPr>
                <w:sz w:val="20"/>
                <w:szCs w:val="20"/>
                <w:color w:val="auto"/>
              </w:rPr>
            </w:pPr>
            <w:r>
              <w:rPr>
                <w:rFonts w:ascii="Arial" w:cs="Arial" w:eastAsia="Arial" w:hAnsi="Arial"/>
                <w:sz w:val="22"/>
                <w:szCs w:val="22"/>
                <w:color w:val="auto"/>
              </w:rPr>
              <w:t>Percent (Must total 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060" w:type="dxa"/>
            <w:vAlign w:val="bottom"/>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3160" w:type="dxa"/>
            <w:vAlign w:val="bottom"/>
            <w:shd w:val="clear" w:color="auto" w:fill="C0C0C0"/>
          </w:tcPr>
          <w:p>
            <w:pPr>
              <w:ind w:left="1480"/>
              <w:spacing w:after="0"/>
              <w:rPr>
                <w:sz w:val="20"/>
                <w:szCs w:val="20"/>
                <w:color w:val="auto"/>
              </w:rPr>
            </w:pPr>
            <w:r>
              <w:rPr>
                <w:rFonts w:ascii="Arial" w:cs="Arial" w:eastAsia="Arial" w:hAnsi="Arial"/>
                <w:sz w:val="22"/>
                <w:szCs w:val="22"/>
                <w:color w:val="auto"/>
              </w:rPr>
              <w:t>Relationship</w:t>
            </w:r>
          </w:p>
        </w:tc>
        <w:tc>
          <w:tcPr>
            <w:tcW w:w="4200" w:type="dxa"/>
            <w:vAlign w:val="bottom"/>
            <w:shd w:val="clear" w:color="auto" w:fill="C0C0C0"/>
          </w:tcPr>
          <w:p>
            <w:pPr>
              <w:ind w:left="600"/>
              <w:spacing w:after="0"/>
              <w:rPr>
                <w:sz w:val="20"/>
                <w:szCs w:val="20"/>
                <w:color w:val="auto"/>
              </w:rPr>
            </w:pPr>
            <w:r>
              <w:rPr>
                <w:rFonts w:ascii="Arial" w:cs="Arial" w:eastAsia="Arial" w:hAnsi="Arial"/>
                <w:sz w:val="22"/>
                <w:szCs w:val="22"/>
                <w:color w:val="auto"/>
              </w:rPr>
              <w:t>Percent (Must total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1355090</wp:posOffset>
            </wp:positionV>
            <wp:extent cx="10204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2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-17780</wp:posOffset>
            </wp:positionV>
            <wp:extent cx="640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27">
                      <a:extLst>
                        <a:ext uri="{28A0092B-C50C-407E-A947-70E740481C1C}"/>
                      </a:extLst>
                    </a:blip>
                    <a:srcRect/>
                    <a:stretch>
                      <a:fillRect/>
                    </a:stretch>
                  </pic:blipFill>
                  <pic:spPr bwMode="auto">
                    <a:xfrm>
                      <a:off x="0" y="0"/>
                      <a:ext cx="64008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2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17145</wp:posOffset>
            </wp:positionV>
            <wp:extent cx="2306955" cy="557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29">
                      <a:extLst>
                        <a:ext uri="{28A0092B-C50C-407E-A947-70E740481C1C}"/>
                      </a:extLst>
                    </a:blip>
                    <a:srcRect/>
                    <a:stretch>
                      <a:fillRect/>
                    </a:stretch>
                  </pic:blipFill>
                  <pic:spPr bwMode="auto">
                    <a:xfrm>
                      <a:off x="0" y="0"/>
                      <a:ext cx="23069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INITIAL DIRECTOR GRANT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10, 2018</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Ms. Alexandra Pruner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Class A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Alie:</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21,384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88" w:lineRule="exact"/>
        <w:rPr>
          <w:sz w:val="20"/>
          <w:szCs w:val="20"/>
          <w:color w:val="auto"/>
        </w:rPr>
      </w:pPr>
    </w:p>
    <w:p>
      <w:pPr>
        <w:ind w:left="1300" w:hanging="968"/>
        <w:spacing w:after="0" w:line="265" w:lineRule="auto"/>
        <w:tabs>
          <w:tab w:leader="none" w:pos="652" w:val="left"/>
        </w:tabs>
        <w:numPr>
          <w:ilvl w:val="0"/>
          <w:numId w:val="134"/>
        </w:numPr>
        <w:rPr>
          <w:rFonts w:ascii="Arial" w:cs="Arial" w:eastAsia="Arial" w:hAnsi="Arial"/>
          <w:sz w:val="21"/>
          <w:szCs w:val="21"/>
          <w:color w:val="auto"/>
        </w:rPr>
      </w:pPr>
      <w:r>
        <w:rPr>
          <w:rFonts w:ascii="Arial" w:cs="Arial" w:eastAsia="Arial" w:hAnsi="Arial"/>
          <w:sz w:val="21"/>
          <w:szCs w:val="21"/>
          <w:color w:val="auto"/>
        </w:rPr>
        <w:t>Subject to the further provisions of this Agreement, your Phantom Class A Shares shall vest (become payable in the form of one Class A Share of PAGP for each Phantom Class A Share that vests) as follows: (a) 3,936 will vest on the August 2019 Distribution Date, (b) 5,816 will vest on the August 2020 Distribution Date, (c) 5,816 will vest on the August 2021 Distribution Date, and (d) 5,816 will vest on the August 2022 Distribution Date.</w:t>
      </w:r>
    </w:p>
    <w:p>
      <w:pPr>
        <w:spacing w:after="0" w:line="216" w:lineRule="exact"/>
        <w:rPr>
          <w:rFonts w:ascii="Arial" w:cs="Arial" w:eastAsia="Arial" w:hAnsi="Arial"/>
          <w:sz w:val="21"/>
          <w:szCs w:val="21"/>
          <w:color w:val="auto"/>
        </w:rPr>
      </w:pPr>
    </w:p>
    <w:p>
      <w:pPr>
        <w:ind w:left="1300" w:hanging="968"/>
        <w:spacing w:after="0" w:line="263" w:lineRule="auto"/>
        <w:tabs>
          <w:tab w:leader="none" w:pos="65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60" w:lineRule="exact"/>
        <w:rPr>
          <w:rFonts w:ascii="Arial" w:cs="Arial" w:eastAsia="Arial" w:hAnsi="Arial"/>
          <w:sz w:val="22"/>
          <w:szCs w:val="22"/>
          <w:color w:val="auto"/>
        </w:rPr>
      </w:pPr>
    </w:p>
    <w:p>
      <w:pPr>
        <w:ind w:left="1300" w:hanging="968"/>
        <w:spacing w:after="0" w:line="250" w:lineRule="auto"/>
        <w:tabs>
          <w:tab w:leader="none" w:pos="65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80"/>
        </w:rPr>
        <w:t xml:space="preserve">333 Clay Street, Suite 1600 </w:t>
      </w:r>
      <w:r>
        <w:rPr>
          <w:rFonts w:ascii="Arial" w:cs="Arial" w:eastAsia="Arial" w:hAnsi="Arial"/>
          <w:sz w:val="16"/>
          <w:szCs w:val="16"/>
          <w:b w:val="1"/>
          <w:bCs w:val="1"/>
          <w:color w:val="000080"/>
        </w:rPr>
        <w:t>g</w:t>
      </w:r>
      <w:r>
        <w:rPr>
          <w:rFonts w:ascii="Arial" w:cs="Arial" w:eastAsia="Arial" w:hAnsi="Arial"/>
          <w:sz w:val="18"/>
          <w:szCs w:val="18"/>
          <w:b w:val="1"/>
          <w:bCs w:val="1"/>
          <w:color w:val="000080"/>
        </w:rPr>
        <w:t xml:space="preserve"> Houston, Texas 77002 </w:t>
      </w:r>
      <w:r>
        <w:rPr>
          <w:rFonts w:ascii="Arial" w:cs="Arial" w:eastAsia="Arial" w:hAnsi="Arial"/>
          <w:sz w:val="16"/>
          <w:szCs w:val="16"/>
          <w:b w:val="1"/>
          <w:bCs w:val="1"/>
          <w:color w:val="000080"/>
        </w:rPr>
        <w:t>g</w:t>
      </w:r>
      <w:r>
        <w:rPr>
          <w:rFonts w:ascii="Arial" w:cs="Arial" w:eastAsia="Arial" w:hAnsi="Arial"/>
          <w:sz w:val="18"/>
          <w:szCs w:val="18"/>
          <w:b w:val="1"/>
          <w:bCs w:val="1"/>
          <w:color w:val="000080"/>
        </w:rPr>
        <w:t xml:space="preserve"> 713/646-4100 or 800-564-3036</w:t>
      </w:r>
    </w:p>
    <w:p>
      <w:pPr>
        <w:sectPr>
          <w:pgSz w:w="11900" w:h="16838" w:orient="portrait"/>
          <w:cols w:equalWidth="0" w:num="1">
            <w:col w:w="11420"/>
          </w:cols>
          <w:pgMar w:left="240" w:top="121" w:right="239" w:bottom="1440" w:gutter="0" w:footer="0" w:header="0"/>
        </w:sectPr>
      </w:pPr>
    </w:p>
    <w:bookmarkStart w:id="189" w:name="page190"/>
    <w:bookmarkEnd w:id="189"/>
    <w:p>
      <w:pPr>
        <w:ind w:left="40"/>
        <w:spacing w:after="0"/>
        <w:tabs>
          <w:tab w:leader="none" w:pos="5700" w:val="left"/>
          <w:tab w:leader="none" w:pos="9680" w:val="left"/>
        </w:tabs>
        <w:rPr>
          <w:sz w:val="20"/>
          <w:szCs w:val="20"/>
          <w:color w:val="auto"/>
        </w:rPr>
      </w:pPr>
      <w:r>
        <w:rPr>
          <w:rFonts w:ascii="Arial" w:cs="Arial" w:eastAsia="Arial" w:hAnsi="Arial"/>
          <w:sz w:val="22"/>
          <w:szCs w:val="22"/>
          <w:color w:val="auto"/>
        </w:rPr>
        <w:t>Alexandra Pruner</w:t>
      </w:r>
      <w:r>
        <w:rPr>
          <w:sz w:val="20"/>
          <w:szCs w:val="20"/>
          <w:color w:val="auto"/>
        </w:rPr>
        <w:tab/>
      </w: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December 10, 2018</w:t>
      </w:r>
    </w:p>
    <w:p>
      <w:pPr>
        <w:spacing w:after="0" w:line="200" w:lineRule="exact"/>
        <w:rPr>
          <w:sz w:val="20"/>
          <w:szCs w:val="20"/>
          <w:color w:val="auto"/>
        </w:rPr>
      </w:pPr>
    </w:p>
    <w:p>
      <w:pPr>
        <w:spacing w:after="0" w:line="317" w:lineRule="exact"/>
        <w:rPr>
          <w:sz w:val="20"/>
          <w:szCs w:val="20"/>
          <w:color w:val="auto"/>
        </w:rPr>
      </w:pPr>
    </w:p>
    <w:p>
      <w:pPr>
        <w:ind w:left="1300" w:hanging="968"/>
        <w:spacing w:after="0" w:line="297" w:lineRule="auto"/>
        <w:tabs>
          <w:tab w:leader="none" w:pos="65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(and any tandem DERs) shall immediately become nonforfeitable, and shall vest in full as of the next following Distribution Date. Upon such payment, the tandem DERs associated with the Phantom Class A Shares that are vesting shall expire.</w:t>
      </w:r>
    </w:p>
    <w:p>
      <w:pPr>
        <w:spacing w:after="0" w:line="187" w:lineRule="exact"/>
        <w:rPr>
          <w:rFonts w:ascii="Arial" w:cs="Arial" w:eastAsia="Arial" w:hAnsi="Arial"/>
          <w:sz w:val="19"/>
          <w:szCs w:val="19"/>
          <w:color w:val="auto"/>
        </w:rPr>
      </w:pPr>
    </w:p>
    <w:p>
      <w:pPr>
        <w:ind w:left="1300" w:hanging="968"/>
        <w:spacing w:after="0" w:line="253" w:lineRule="auto"/>
        <w:tabs>
          <w:tab w:leader="none" w:pos="65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280" w:right="239" w:bottom="1440" w:gutter="0" w:footer="0" w:header="0"/>
        </w:sectPr>
      </w:pPr>
    </w:p>
    <w:bookmarkStart w:id="190" w:name="page191"/>
    <w:bookmarkEnd w:id="190"/>
    <w:p>
      <w:pPr>
        <w:ind w:left="40"/>
        <w:spacing w:after="0"/>
        <w:tabs>
          <w:tab w:leader="none" w:pos="5700" w:val="left"/>
          <w:tab w:leader="none" w:pos="9680" w:val="left"/>
        </w:tabs>
        <w:rPr>
          <w:sz w:val="20"/>
          <w:szCs w:val="20"/>
          <w:color w:val="auto"/>
        </w:rPr>
      </w:pPr>
      <w:r>
        <w:rPr>
          <w:rFonts w:ascii="Arial" w:cs="Arial" w:eastAsia="Arial" w:hAnsi="Arial"/>
          <w:sz w:val="22"/>
          <w:szCs w:val="22"/>
          <w:color w:val="auto"/>
        </w:rPr>
        <w:t>Alexandra Pruner</w:t>
      </w:r>
      <w:r>
        <w:rPr>
          <w:sz w:val="20"/>
          <w:szCs w:val="20"/>
          <w:color w:val="auto"/>
        </w:rPr>
        <w:tab/>
      </w: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December 10, 2018</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Please execute and return a copy of this grant letter to me and retain a copy for your records.</w:t>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54875" cy="17494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30">
                      <a:extLst>
                        <a:ext uri="{28A0092B-C50C-407E-A947-70E740481C1C}"/>
                      </a:extLst>
                    </a:blip>
                    <a:srcRect/>
                    <a:stretch>
                      <a:fillRect/>
                    </a:stretch>
                  </pic:blipFill>
                  <pic:spPr bwMode="auto">
                    <a:xfrm>
                      <a:off x="0" y="0"/>
                      <a:ext cx="7254875" cy="174942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3960" w:type="dxa"/>
            <w:vAlign w:val="bottom"/>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3260" w:type="dxa"/>
            <w:vAlign w:val="bottom"/>
            <w:shd w:val="clear" w:color="auto" w:fill="C0C0C0"/>
          </w:tcPr>
          <w:p>
            <w:pPr>
              <w:ind w:left="1580"/>
              <w:spacing w:after="0"/>
              <w:rPr>
                <w:sz w:val="20"/>
                <w:szCs w:val="20"/>
                <w:color w:val="auto"/>
              </w:rPr>
            </w:pPr>
            <w:r>
              <w:rPr>
                <w:rFonts w:ascii="Arial" w:cs="Arial" w:eastAsia="Arial" w:hAnsi="Arial"/>
                <w:sz w:val="22"/>
                <w:szCs w:val="22"/>
                <w:color w:val="auto"/>
              </w:rPr>
              <w:t>Relationship</w:t>
            </w:r>
          </w:p>
        </w:tc>
        <w:tc>
          <w:tcPr>
            <w:tcW w:w="4200" w:type="dxa"/>
            <w:vAlign w:val="bottom"/>
            <w:shd w:val="clear" w:color="auto" w:fill="C0C0C0"/>
          </w:tcPr>
          <w:p>
            <w:pPr>
              <w:ind w:left="600"/>
              <w:spacing w:after="0"/>
              <w:rPr>
                <w:sz w:val="20"/>
                <w:szCs w:val="20"/>
                <w:color w:val="auto"/>
              </w:rPr>
            </w:pPr>
            <w:r>
              <w:rPr>
                <w:rFonts w:ascii="Arial" w:cs="Arial" w:eastAsia="Arial" w:hAnsi="Arial"/>
                <w:sz w:val="22"/>
                <w:szCs w:val="22"/>
                <w:color w:val="auto"/>
              </w:rPr>
              <w:t>Percent (Must total 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060" w:type="dxa"/>
            <w:vAlign w:val="bottom"/>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3160" w:type="dxa"/>
            <w:vAlign w:val="bottom"/>
            <w:shd w:val="clear" w:color="auto" w:fill="C0C0C0"/>
          </w:tcPr>
          <w:p>
            <w:pPr>
              <w:ind w:left="1480"/>
              <w:spacing w:after="0"/>
              <w:rPr>
                <w:sz w:val="20"/>
                <w:szCs w:val="20"/>
                <w:color w:val="auto"/>
              </w:rPr>
            </w:pPr>
            <w:r>
              <w:rPr>
                <w:rFonts w:ascii="Arial" w:cs="Arial" w:eastAsia="Arial" w:hAnsi="Arial"/>
                <w:sz w:val="22"/>
                <w:szCs w:val="22"/>
                <w:color w:val="auto"/>
              </w:rPr>
              <w:t>Relationship</w:t>
            </w:r>
          </w:p>
        </w:tc>
        <w:tc>
          <w:tcPr>
            <w:tcW w:w="4200" w:type="dxa"/>
            <w:vAlign w:val="bottom"/>
            <w:shd w:val="clear" w:color="auto" w:fill="C0C0C0"/>
          </w:tcPr>
          <w:p>
            <w:pPr>
              <w:ind w:left="600"/>
              <w:spacing w:after="0"/>
              <w:rPr>
                <w:sz w:val="20"/>
                <w:szCs w:val="20"/>
                <w:color w:val="auto"/>
              </w:rPr>
            </w:pPr>
            <w:r>
              <w:rPr>
                <w:rFonts w:ascii="Arial" w:cs="Arial" w:eastAsia="Arial" w:hAnsi="Arial"/>
                <w:sz w:val="22"/>
                <w:szCs w:val="22"/>
                <w:color w:val="auto"/>
              </w:rPr>
              <w:t>Percent (Must total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1355090</wp:posOffset>
            </wp:positionV>
            <wp:extent cx="10204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Alexandra Pruner</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21,384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-17780</wp:posOffset>
            </wp:positionV>
            <wp:extent cx="5143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3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3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7600" w:type="dxa"/>
            <w:vAlign w:val="bottom"/>
            <w:gridSpan w:val="3"/>
          </w:tcPr>
          <w:p>
            <w:pPr>
              <w:jc w:val="center"/>
              <w:ind w:right="3710"/>
              <w:spacing w:after="0"/>
              <w:rPr>
                <w:sz w:val="20"/>
                <w:szCs w:val="20"/>
                <w:color w:val="auto"/>
              </w:rPr>
            </w:pPr>
            <w:r>
              <w:rPr>
                <w:rFonts w:ascii="Arial" w:cs="Arial" w:eastAsia="Arial" w:hAnsi="Arial"/>
                <w:sz w:val="18"/>
                <w:szCs w:val="18"/>
                <w:b w:val="1"/>
                <w:bCs w:val="1"/>
                <w:color w:val="auto"/>
                <w:w w:val="98"/>
              </w:rPr>
              <w:t>SUBSIDIARIES OF</w:t>
            </w:r>
          </w:p>
        </w:tc>
      </w:tr>
      <w:tr>
        <w:trPr>
          <w:trHeight w:val="220"/>
        </w:trPr>
        <w:tc>
          <w:tcPr>
            <w:tcW w:w="3820" w:type="dxa"/>
            <w:vAlign w:val="bottom"/>
          </w:tcPr>
          <w:p>
            <w:pPr>
              <w:spacing w:after="0"/>
              <w:rPr>
                <w:sz w:val="19"/>
                <w:szCs w:val="19"/>
                <w:color w:val="auto"/>
              </w:rPr>
            </w:pPr>
          </w:p>
        </w:tc>
        <w:tc>
          <w:tcPr>
            <w:tcW w:w="7600" w:type="dxa"/>
            <w:vAlign w:val="bottom"/>
            <w:gridSpan w:val="3"/>
          </w:tcPr>
          <w:p>
            <w:pPr>
              <w:jc w:val="center"/>
              <w:ind w:right="3730"/>
              <w:spacing w:after="0"/>
              <w:rPr>
                <w:sz w:val="20"/>
                <w:szCs w:val="20"/>
                <w:color w:val="auto"/>
              </w:rPr>
            </w:pPr>
            <w:r>
              <w:rPr>
                <w:rFonts w:ascii="Arial" w:cs="Arial" w:eastAsia="Arial" w:hAnsi="Arial"/>
                <w:sz w:val="18"/>
                <w:szCs w:val="18"/>
                <w:b w:val="1"/>
                <w:bCs w:val="1"/>
                <w:color w:val="auto"/>
              </w:rPr>
              <w:t>PLAINS ALL AMERICAN PIPELINE, L.P.</w:t>
            </w:r>
          </w:p>
        </w:tc>
      </w:tr>
      <w:tr>
        <w:trPr>
          <w:trHeight w:val="230"/>
        </w:trPr>
        <w:tc>
          <w:tcPr>
            <w:tcW w:w="3820" w:type="dxa"/>
            <w:vAlign w:val="bottom"/>
          </w:tcPr>
          <w:p>
            <w:pPr>
              <w:spacing w:after="0"/>
              <w:rPr>
                <w:sz w:val="20"/>
                <w:szCs w:val="20"/>
                <w:color w:val="auto"/>
              </w:rPr>
            </w:pPr>
          </w:p>
        </w:tc>
        <w:tc>
          <w:tcPr>
            <w:tcW w:w="7600" w:type="dxa"/>
            <w:vAlign w:val="bottom"/>
            <w:gridSpan w:val="3"/>
          </w:tcPr>
          <w:p>
            <w:pPr>
              <w:jc w:val="center"/>
              <w:ind w:right="3730"/>
              <w:spacing w:after="0"/>
              <w:rPr>
                <w:sz w:val="20"/>
                <w:szCs w:val="20"/>
                <w:color w:val="auto"/>
              </w:rPr>
            </w:pPr>
            <w:r>
              <w:rPr>
                <w:rFonts w:ascii="Arial" w:cs="Arial" w:eastAsia="Arial" w:hAnsi="Arial"/>
                <w:sz w:val="18"/>
                <w:szCs w:val="18"/>
                <w:i w:val="1"/>
                <w:iCs w:val="1"/>
                <w:color w:val="auto"/>
                <w:w w:val="92"/>
              </w:rPr>
              <w:t>(As of 1/1/2019)</w:t>
            </w:r>
          </w:p>
        </w:tc>
      </w:tr>
      <w:tr>
        <w:trPr>
          <w:trHeight w:val="399"/>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39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Organization</w:t>
            </w: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Aurora Pipeline Company Ltd.</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Bakersfield Crude Terminal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Cactus II Pipeline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Capline Pipeline Company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Eagle Ford Crude Terminal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Lone Star Trucking,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Niobrara Crude Terminal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PAA Finance Corp.</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Luxembourg S.a.r.l.</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PAA Midstream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Natural Gas Canada ULC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Alberta</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PAA Natural Gas Storage,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Natural Gas Storage, L.P.</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PAA Service Corp.</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PAA/Vulcan Gas Storage,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Pacific Energy Group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Pacific L.A. Marine Terminal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Pacific Pipeline System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Pine Prairie Energy Center,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w w:val="97"/>
              </w:rPr>
              <w:t>Plains All American Emergency Relief Fund, Inc.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Capline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Gas Solutions,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GP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LPG Services GP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LPG Services, L.P.</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Marketing Bondholder,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Marketing Canada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Marketing, L.P.</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Midstream Canada ULC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British Columbia</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Midstream Luxembourg S.a.r.l.</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Midstream Superior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Pipeline, L.P.</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Pipeline Montana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Products Terminals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Rail Holdings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South Texas Gathering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Terminals North Dakota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West Coast Terminals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PMC (Nova Scotia) Company</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Nova Scotia</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PNG Marketing,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PNGS GP LLC</w:t>
            </w:r>
          </w:p>
        </w:tc>
        <w:tc>
          <w:tcPr>
            <w:tcW w:w="3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Organization</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PPEC Bondholder, LLC</w:t>
            </w: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Rancho LPG Holdings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Rocky Mountain Pipeline Montana LLC</w:t>
            </w: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Rocky Mountain Pipeline System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SG Resources Mississippi, L.L.C.</w:t>
            </w: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 James Rail Terminal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Sunrise Pipeline LLC</w:t>
            </w: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Van Hook Crude Terminal LLC</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6"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333-138888, 333-155673, 333-162477, 333-214778, 333-221845, 333-227358 and 333-227359) and on Form S-8 (No. 333-91141, 333-74920, 333-122806, 333-141185, 333-193139, and 333-193140) of Plains All American Pipeline, L.P. of our report dated February 26, 2019 relating to the financial statements and the effectiveness of internal control over financial reporting, which appears in this Form 10-K.</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581"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right="180" w:firstLine="656"/>
        <w:spacing w:after="0" w:line="311" w:lineRule="auto"/>
        <w:tabs>
          <w:tab w:leader="none" w:pos="149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656"/>
        <w:spacing w:after="0" w:line="311" w:lineRule="auto"/>
        <w:tabs>
          <w:tab w:leader="none" w:pos="15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20" w:firstLine="656"/>
        <w:spacing w:after="0" w:line="357" w:lineRule="auto"/>
        <w:tabs>
          <w:tab w:leader="none" w:pos="149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7"/>
          <w:szCs w:val="17"/>
          <w:color w:val="auto"/>
        </w:rPr>
      </w:pPr>
    </w:p>
    <w:p>
      <w:pPr>
        <w:ind w:right="180" w:firstLine="656"/>
        <w:spacing w:after="0" w:line="311" w:lineRule="auto"/>
        <w:tabs>
          <w:tab w:leader="none" w:pos="15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sz w:val="20"/>
          <w:szCs w:val="20"/>
          <w:color w:val="auto"/>
        </w:rPr>
      </w:pPr>
    </w:p>
    <w:p>
      <w:pPr>
        <w:ind w:right="40" w:firstLine="656"/>
        <w:spacing w:after="0" w:line="308" w:lineRule="auto"/>
        <w:tabs>
          <w:tab w:leader="none" w:pos="87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420" w:firstLine="656"/>
        <w:spacing w:after="0" w:line="357" w:lineRule="auto"/>
        <w:tabs>
          <w:tab w:leader="none" w:pos="149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right="100" w:firstLine="656"/>
        <w:spacing w:after="0" w:line="324" w:lineRule="auto"/>
        <w:tabs>
          <w:tab w:leader="none" w:pos="150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right="180" w:firstLine="656"/>
        <w:spacing w:after="0" w:line="311" w:lineRule="auto"/>
        <w:tabs>
          <w:tab w:leader="none" w:pos="149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656"/>
        <w:spacing w:after="0" w:line="311" w:lineRule="auto"/>
        <w:tabs>
          <w:tab w:leader="none" w:pos="150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20" w:firstLine="656"/>
        <w:spacing w:after="0" w:line="357" w:lineRule="auto"/>
        <w:tabs>
          <w:tab w:leader="none" w:pos="149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7"/>
          <w:szCs w:val="17"/>
          <w:color w:val="auto"/>
        </w:rPr>
      </w:pPr>
    </w:p>
    <w:p>
      <w:pPr>
        <w:ind w:right="180" w:firstLine="656"/>
        <w:spacing w:after="0" w:line="311" w:lineRule="auto"/>
        <w:tabs>
          <w:tab w:leader="none" w:pos="150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sz w:val="20"/>
          <w:szCs w:val="20"/>
          <w:color w:val="auto"/>
        </w:rPr>
      </w:pPr>
    </w:p>
    <w:p>
      <w:pPr>
        <w:ind w:right="40" w:firstLine="656"/>
        <w:spacing w:after="0" w:line="308" w:lineRule="auto"/>
        <w:tabs>
          <w:tab w:leader="none" w:pos="873"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420" w:firstLine="656"/>
        <w:spacing w:after="0" w:line="357" w:lineRule="auto"/>
        <w:tabs>
          <w:tab w:leader="none" w:pos="149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right="100" w:firstLine="656"/>
        <w:spacing w:after="0" w:line="324" w:lineRule="auto"/>
        <w:tabs>
          <w:tab w:leader="none" w:pos="150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52" w:lineRule="exact"/>
        <w:rPr>
          <w:sz w:val="20"/>
          <w:szCs w:val="20"/>
          <w:color w:val="auto"/>
        </w:rPr>
      </w:pPr>
    </w:p>
    <w:p>
      <w:pPr>
        <w:ind w:right="40" w:firstLine="656"/>
        <w:spacing w:after="0" w:line="311" w:lineRule="auto"/>
        <w:tabs>
          <w:tab w:leader="none" w:pos="146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2018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1520" w:hanging="864"/>
        <w:spacing w:after="0"/>
        <w:tabs>
          <w:tab w:leader="none" w:pos="15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February 26, 2019</w:t>
      </w:r>
    </w:p>
    <w:p>
      <w:pPr>
        <w:sectPr>
          <w:pgSz w:w="11900" w:h="16838" w:orient="portrait"/>
          <w:cols w:equalWidth="0" w:num="1">
            <w:col w:w="11420"/>
          </w:cols>
          <w:pgMar w:left="240" w:top="580"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52" w:lineRule="exact"/>
        <w:rPr>
          <w:sz w:val="20"/>
          <w:szCs w:val="20"/>
          <w:color w:val="auto"/>
        </w:rPr>
      </w:pPr>
    </w:p>
    <w:p>
      <w:pPr>
        <w:ind w:right="40" w:firstLine="656"/>
        <w:spacing w:after="0" w:line="311" w:lineRule="auto"/>
        <w:tabs>
          <w:tab w:leader="none" w:pos="146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2018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1520" w:hanging="864"/>
        <w:spacing w:after="0"/>
        <w:tabs>
          <w:tab w:leader="none" w:pos="15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February 26,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x"/>
      <w:numFmt w:val="bullet"/>
      <w:start w:val="1"/>
    </w:lvl>
  </w:abstractNum>
  <w:abstractNum w:abstractNumId="1">
    <w:nsid w:val="661E3F1E"/>
    <w:multiLevelType w:val="hybridMultilevel"/>
    <w:lvl w:ilvl="0">
      <w:lvlJc w:val="left"/>
      <w:lvlText w:val="o"/>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1)"/>
      <w:numFmt w:val="decimal"/>
      <w:start w:val="1"/>
    </w:lvl>
  </w:abstractNum>
  <w:abstractNum w:abstractNumId="5">
    <w:nsid w:val="51D9C564"/>
    <w:multiLevelType w:val="hybridMultilevel"/>
    <w:lvl w:ilvl="0">
      <w:lvlJc w:val="left"/>
      <w:lvlText w:val="(%1)"/>
      <w:numFmt w:val="decimal"/>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1)"/>
      <w:numFmt w:val="decimal"/>
      <w:start w:val="1"/>
    </w:lvl>
  </w:abstractNum>
  <w:abstractNum w:abstractNumId="11">
    <w:nsid w:val="8F2B15E"/>
    <w:multiLevelType w:val="hybridMultilevel"/>
    <w:lvl w:ilvl="0">
      <w:lvlJc w:val="left"/>
      <w:lvlText w:val="(%1)"/>
      <w:numFmt w:val="decimal"/>
      <w:start w:val="1"/>
    </w:lvl>
  </w:abstractNum>
  <w:abstractNum w:abstractNumId="12">
    <w:nsid w:val="1A32234B"/>
    <w:multiLevelType w:val="hybridMultilevel"/>
    <w:lvl w:ilvl="0">
      <w:lvlJc w:val="left"/>
      <w:lvlText w:val="(%1)"/>
      <w:numFmt w:val="decimal"/>
      <w:start w:val="1"/>
    </w:lvl>
  </w:abstractNum>
  <w:abstractNum w:abstractNumId="13">
    <w:nsid w:val="3B0FD379"/>
    <w:multiLevelType w:val="hybridMultilevel"/>
    <w:lvl w:ilvl="0">
      <w:lvlJc w:val="left"/>
      <w:lvlText w:val="(%1)"/>
      <w:numFmt w:val="decimal"/>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1)"/>
      <w:numFmt w:val="lowerRoman"/>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1)"/>
      <w:numFmt w:val="decimal"/>
      <w:start w:val="1"/>
    </w:lvl>
  </w:abstractNum>
  <w:abstractNum w:abstractNumId="19">
    <w:nsid w:val="7FFFCA11"/>
    <w:multiLevelType w:val="hybridMultilevel"/>
    <w:lvl w:ilvl="0">
      <w:lvlJc w:val="left"/>
      <w:lvlText w:val="(%1)"/>
      <w:numFmt w:val="decimal"/>
      <w:start w:val="2"/>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1)"/>
      <w:numFmt w:val="lowerRoman"/>
      <w:start w:val="2"/>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1)"/>
      <w:numFmt w:val="decimal"/>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1)"/>
      <w:numFmt w:val="lowerRoman"/>
      <w:start w:val="3"/>
    </w:lvl>
  </w:abstractNum>
  <w:abstractNum w:abstractNumId="28">
    <w:nsid w:val="76272110"/>
    <w:multiLevelType w:val="hybridMultilevel"/>
    <w:lvl w:ilvl="0">
      <w:lvlJc w:val="left"/>
      <w:lvlText w:val="(%1)"/>
      <w:numFmt w:val="lowerRoman"/>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1)"/>
      <w:numFmt w:val="decimal"/>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
      <w:numFmt w:val="bullet"/>
      <w:start w:val="1"/>
    </w:lvl>
  </w:abstractNum>
  <w:abstractNum w:abstractNumId="42">
    <w:nsid w:val="60EF0119"/>
    <w:multiLevelType w:val="hybridMultilevel"/>
    <w:lvl w:ilvl="0">
      <w:lvlJc w:val="left"/>
      <w:lvlText w:val="(%1)"/>
      <w:numFmt w:val="decimal"/>
      <w:start w:val="1"/>
    </w:lvl>
  </w:abstractNum>
  <w:abstractNum w:abstractNumId="43">
    <w:nsid w:val="26F324BA"/>
    <w:multiLevelType w:val="hybridMultilevel"/>
    <w:lvl w:ilvl="0">
      <w:lvlJc w:val="left"/>
      <w:lvlText w:val="(%1)"/>
      <w:numFmt w:val="decimal"/>
      <w:start w:val="1"/>
    </w:lvl>
  </w:abstractNum>
  <w:abstractNum w:abstractNumId="44">
    <w:nsid w:val="7F01579B"/>
    <w:multiLevelType w:val="hybridMultilevel"/>
    <w:lvl w:ilvl="0">
      <w:lvlJc w:val="left"/>
      <w:lvlText w:val="(%1)"/>
      <w:numFmt w:val="decimal"/>
      <w:start w:val="1"/>
    </w:lvl>
  </w:abstractNum>
  <w:abstractNum w:abstractNumId="45">
    <w:nsid w:val="49DA307D"/>
    <w:multiLevelType w:val="hybridMultilevel"/>
    <w:lvl w:ilvl="0">
      <w:lvlJc w:val="left"/>
      <w:lvlText w:val="(%1)"/>
      <w:numFmt w:val="lowerRoman"/>
      <w:start w:val="4"/>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1)"/>
      <w:numFmt w:val="decimal"/>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1)"/>
      <w:numFmt w:val="decimal"/>
      <w:start w:val="1"/>
    </w:lvl>
  </w:abstractNum>
  <w:abstractNum w:abstractNumId="51">
    <w:nsid w:val="6AA78F7F"/>
    <w:multiLevelType w:val="hybridMultilevel"/>
    <w:lvl w:ilvl="0">
      <w:lvlJc w:val="left"/>
      <w:lvlText w:val="(%1)"/>
      <w:numFmt w:val="decimal"/>
      <w:start w:val="9"/>
    </w:lvl>
  </w:abstractNum>
  <w:abstractNum w:abstractNumId="52">
    <w:nsid w:val="7672BD23"/>
    <w:multiLevelType w:val="hybridMultilevel"/>
    <w:lvl w:ilvl="0">
      <w:lvlJc w:val="left"/>
      <w:lvlText w:val="(%1)"/>
      <w:numFmt w:val="decimal"/>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1)"/>
      <w:numFmt w:val="decimal"/>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
      <w:numFmt w:val="bullet"/>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1)"/>
      <w:numFmt w:val="decimal"/>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1)"/>
      <w:numFmt w:val="decimal"/>
      <w:start w:val="1"/>
    </w:lvl>
  </w:abstractNum>
  <w:abstractNum w:abstractNumId="64">
    <w:nsid w:val="9DAF632"/>
    <w:multiLevelType w:val="hybridMultilevel"/>
    <w:lvl w:ilvl="0">
      <w:lvlJc w:val="left"/>
      <w:lvlText w:val="(%1)"/>
      <w:numFmt w:val="decimal"/>
      <w:start w:val="1"/>
    </w:lvl>
  </w:abstractNum>
  <w:abstractNum w:abstractNumId="65">
    <w:nsid w:val="53299938"/>
    <w:multiLevelType w:val="hybridMultilevel"/>
    <w:lvl w:ilvl="0">
      <w:lvlJc w:val="left"/>
      <w:lvlText w:val="(%1)"/>
      <w:numFmt w:val="decimal"/>
      <w:start w:val="1"/>
    </w:lvl>
  </w:abstractNum>
  <w:abstractNum w:abstractNumId="66">
    <w:nsid w:val="1FBFE8E0"/>
    <w:multiLevelType w:val="hybridMultilevel"/>
    <w:lvl w:ilvl="0">
      <w:lvlJc w:val="left"/>
      <w:lvlText w:val="(%1)"/>
      <w:numFmt w:val="lowerRoman"/>
      <w:start w:val="2"/>
    </w:lvl>
  </w:abstractNum>
  <w:abstractNum w:abstractNumId="67">
    <w:nsid w:val="5092CA79"/>
    <w:multiLevelType w:val="hybridMultilevel"/>
    <w:lvl w:ilvl="0">
      <w:lvlJc w:val="left"/>
      <w:lvlText w:val="(%1)"/>
      <w:numFmt w:val="decimal"/>
      <w:start w:val="1"/>
    </w:lvl>
  </w:abstractNum>
  <w:abstractNum w:abstractNumId="68">
    <w:nsid w:val="1D545C4D"/>
    <w:multiLevelType w:val="hybridMultilevel"/>
    <w:lvl w:ilvl="0">
      <w:lvlJc w:val="left"/>
      <w:lvlText w:val="(%1)"/>
      <w:numFmt w:val="decimal"/>
      <w:start w:val="1"/>
    </w:lvl>
  </w:abstractNum>
  <w:abstractNum w:abstractNumId="69">
    <w:nsid w:val="59ADEA3D"/>
    <w:multiLevelType w:val="hybridMultilevel"/>
    <w:lvl w:ilvl="0">
      <w:lvlJc w:val="left"/>
      <w:lvlText w:val="(%1)"/>
      <w:numFmt w:val="decimal"/>
      <w:start w:val="1"/>
    </w:lvl>
  </w:abstractNum>
  <w:abstractNum w:abstractNumId="70">
    <w:nsid w:val="288F1A34"/>
    <w:multiLevelType w:val="hybridMultilevel"/>
    <w:lvl w:ilvl="0">
      <w:lvlJc w:val="left"/>
      <w:lvlText w:val="(%1)"/>
      <w:numFmt w:val="decimal"/>
      <w:start w:val="1"/>
    </w:lvl>
  </w:abstractNum>
  <w:abstractNum w:abstractNumId="71">
    <w:nsid w:val="2A155DBC"/>
    <w:multiLevelType w:val="hybridMultilevel"/>
    <w:lvl w:ilvl="0">
      <w:lvlJc w:val="left"/>
      <w:lvlText w:val="(%1)"/>
      <w:numFmt w:val="decimal"/>
      <w:start w:val="1"/>
    </w:lvl>
  </w:abstractNum>
  <w:abstractNum w:abstractNumId="72">
    <w:nsid w:val="1D9F6E5F"/>
    <w:multiLevelType w:val="hybridMultilevel"/>
    <w:lvl w:ilvl="0">
      <w:lvlJc w:val="left"/>
      <w:lvlText w:val="(%1)"/>
      <w:numFmt w:val="decimal"/>
      <w:start w:val="4"/>
    </w:lvl>
  </w:abstractNum>
  <w:abstractNum w:abstractNumId="73">
    <w:nsid w:val="97E1B4E"/>
    <w:multiLevelType w:val="hybridMultilevel"/>
    <w:lvl w:ilvl="0">
      <w:lvlJc w:val="left"/>
      <w:lvlText w:val="(%1)"/>
      <w:numFmt w:val="decimal"/>
      <w:start w:val="1"/>
    </w:lvl>
  </w:abstractNum>
  <w:abstractNum w:abstractNumId="74">
    <w:nsid w:val="51088277"/>
    <w:multiLevelType w:val="hybridMultilevel"/>
    <w:lvl w:ilvl="0">
      <w:lvlJc w:val="left"/>
      <w:lvlText w:val="•"/>
      <w:numFmt w:val="bullet"/>
      <w:start w:val="1"/>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1)"/>
      <w:numFmt w:val="decimal"/>
      <w:start w:val="1"/>
    </w:lvl>
  </w:abstractNum>
  <w:abstractNum w:abstractNumId="77">
    <w:nsid w:val="415E286C"/>
    <w:multiLevelType w:val="hybridMultilevel"/>
    <w:lvl w:ilvl="0">
      <w:lvlJc w:val="left"/>
      <w:lvlText w:val="(%1)"/>
      <w:numFmt w:val="lowerLetter"/>
      <w:start w:val="1"/>
    </w:lvl>
  </w:abstractNum>
  <w:abstractNum w:abstractNumId="78">
    <w:nsid w:val="7C58FD05"/>
    <w:multiLevelType w:val="hybridMultilevel"/>
    <w:lvl w:ilvl="0">
      <w:lvlJc w:val="left"/>
      <w:lvlText w:val="(%1)"/>
      <w:numFmt w:val="decimal"/>
      <w:start w:val="2"/>
    </w:lvl>
  </w:abstractNum>
  <w:abstractNum w:abstractNumId="79">
    <w:nsid w:val="23D86AAC"/>
    <w:multiLevelType w:val="hybridMultilevel"/>
    <w:lvl w:ilvl="0">
      <w:lvlJc w:val="left"/>
      <w:lvlText w:val="(%1)"/>
      <w:numFmt w:val="decimal"/>
      <w:start w:val="3"/>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
      <w:numFmt w:val="bullet"/>
      <w:start w:val="1"/>
    </w:lvl>
  </w:abstractNum>
  <w:abstractNum w:abstractNumId="87">
    <w:nsid w:val="2B0D8DBE"/>
    <w:multiLevelType w:val="hybridMultilevel"/>
    <w:lvl w:ilvl="0">
      <w:lvlJc w:val="left"/>
      <w:lvlText w:val="(%1)"/>
      <w:numFmt w:val="lowerRoman"/>
      <w:start w:val="3"/>
    </w:lvl>
  </w:abstractNum>
  <w:abstractNum w:abstractNumId="88">
    <w:nsid w:val="6C80EC70"/>
    <w:multiLevelType w:val="hybridMultilevel"/>
    <w:lvl w:ilvl="0">
      <w:lvlJc w:val="left"/>
      <w:lvlText w:val="(%1)"/>
      <w:numFmt w:val="lowerRoman"/>
      <w:start w:val="3"/>
    </w:lvl>
  </w:abstractNum>
  <w:abstractNum w:abstractNumId="89">
    <w:nsid w:val="379E21B5"/>
    <w:multiLevelType w:val="hybridMultilevel"/>
    <w:lvl w:ilvl="0">
      <w:lvlJc w:val="left"/>
      <w:lvlText w:val="(%1)"/>
      <w:numFmt w:val="lowerRoman"/>
      <w:start w:val="11"/>
    </w:lvl>
  </w:abstractNum>
  <w:abstractNum w:abstractNumId="90">
    <w:nsid w:val="69E373"/>
    <w:multiLevelType w:val="hybridMultilevel"/>
    <w:lvl w:ilvl="0">
      <w:lvlJc w:val="left"/>
      <w:lvlText w:val="(%1)"/>
      <w:numFmt w:val="decimal"/>
      <w:start w:val="1"/>
    </w:lvl>
  </w:abstractNum>
  <w:abstractNum w:abstractNumId="91">
    <w:nsid w:val="2C27173B"/>
    <w:multiLevelType w:val="hybridMultilevel"/>
    <w:lvl w:ilvl="0">
      <w:lvlJc w:val="left"/>
      <w:lvlText w:val="(%1)"/>
      <w:numFmt w:val="decimal"/>
      <w:start w:val="1"/>
    </w:lvl>
  </w:abstractNum>
  <w:abstractNum w:abstractNumId="92">
    <w:nsid w:val="4C9B0904"/>
    <w:multiLevelType w:val="hybridMultilevel"/>
    <w:lvl w:ilvl="0">
      <w:lvlJc w:val="left"/>
      <w:lvlText w:val="•"/>
      <w:numFmt w:val="bullet"/>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1)"/>
      <w:numFmt w:val="decimal"/>
      <w:start w:val="1"/>
    </w:lvl>
  </w:abstractNum>
  <w:abstractNum w:abstractNumId="95">
    <w:nsid w:val="5675FF36"/>
    <w:multiLevelType w:val="hybridMultilevel"/>
    <w:lvl w:ilvl="0">
      <w:lvlJc w:val="left"/>
      <w:lvlText w:val="(%1)"/>
      <w:numFmt w:val="decimal"/>
      <w:start w:val="1"/>
    </w:lvl>
  </w:abstractNum>
  <w:abstractNum w:abstractNumId="96">
    <w:nsid w:val="3DD15094"/>
    <w:multiLevelType w:val="hybridMultilevel"/>
    <w:lvl w:ilvl="0">
      <w:lvlJc w:val="left"/>
      <w:lvlText w:val="(%1)"/>
      <w:numFmt w:val="lowerRoman"/>
      <w:start w:val="1"/>
    </w:lvl>
  </w:abstractNum>
  <w:abstractNum w:abstractNumId="97">
    <w:nsid w:val="3DB012B3"/>
    <w:multiLevelType w:val="hybridMultilevel"/>
    <w:lvl w:ilvl="0">
      <w:lvlJc w:val="left"/>
      <w:lvlText w:val="(%1)"/>
      <w:numFmt w:val="decimal"/>
      <w:start w:val="1"/>
    </w:lvl>
  </w:abstractNum>
  <w:abstractNum w:abstractNumId="98">
    <w:nsid w:val="2708C9AF"/>
    <w:multiLevelType w:val="hybridMultilevel"/>
    <w:lvl w:ilvl="0">
      <w:lvlJc w:val="left"/>
      <w:lvlText w:val="(%1)"/>
      <w:numFmt w:val="decimal"/>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
      <w:numFmt w:val="bullet"/>
      <w:start w:val="1"/>
    </w:lvl>
  </w:abstractNum>
  <w:abstractNum w:abstractNumId="101">
    <w:nsid w:val="4F97E3E4"/>
    <w:multiLevelType w:val="hybridMultilevel"/>
    <w:lvl w:ilvl="0">
      <w:lvlJc w:val="left"/>
      <w:lvlText w:val="•"/>
      <w:numFmt w:val="bullet"/>
      <w:start w:val="1"/>
    </w:lvl>
  </w:abstractNum>
  <w:abstractNum w:abstractNumId="102">
    <w:nsid w:val="53B0A9E"/>
    <w:multiLevelType w:val="hybridMultilevel"/>
    <w:lvl w:ilvl="0">
      <w:lvlJc w:val="left"/>
      <w:lvlText w:val="(%1)"/>
      <w:numFmt w:val="decimal"/>
      <w:start w:val="1"/>
    </w:lvl>
  </w:abstractNum>
  <w:abstractNum w:abstractNumId="103">
    <w:nsid w:val="34FD6B4F"/>
    <w:multiLevelType w:val="hybridMultilevel"/>
    <w:lvl w:ilvl="0">
      <w:lvlJc w:val="left"/>
      <w:lvlText w:val="(%1)"/>
      <w:numFmt w:val="decimal"/>
      <w:start w:val="1"/>
    </w:lvl>
  </w:abstractNum>
  <w:abstractNum w:abstractNumId="104">
    <w:nsid w:val="5915FF32"/>
    <w:multiLevelType w:val="hybridMultilevel"/>
    <w:lvl w:ilvl="0">
      <w:lvlJc w:val="left"/>
      <w:lvlText w:val="(%1)"/>
      <w:numFmt w:val="decimal"/>
      <w:start w:val="1"/>
    </w:lvl>
  </w:abstractNum>
  <w:abstractNum w:abstractNumId="105">
    <w:nsid w:val="56438D15"/>
    <w:multiLevelType w:val="hybridMultilevel"/>
    <w:lvl w:ilvl="0">
      <w:lvlJc w:val="left"/>
      <w:lvlText w:val="(%1)"/>
      <w:numFmt w:val="decimal"/>
      <w:start w:val="1"/>
    </w:lvl>
  </w:abstractNum>
  <w:abstractNum w:abstractNumId="106">
    <w:nsid w:val="519E3149"/>
    <w:multiLevelType w:val="hybridMultilevel"/>
    <w:lvl w:ilvl="0">
      <w:lvlJc w:val="left"/>
      <w:lvlText w:val="(%1)"/>
      <w:numFmt w:val="decimal"/>
      <w:start w:val="1"/>
    </w:lvl>
  </w:abstractNum>
  <w:abstractNum w:abstractNumId="107">
    <w:nsid w:val="2C6E4AFD"/>
    <w:multiLevelType w:val="hybridMultilevel"/>
    <w:lvl w:ilvl="0">
      <w:lvlJc w:val="left"/>
      <w:lvlText w:val="(%1)"/>
      <w:numFmt w:val="decimal"/>
      <w:start w:val="1"/>
    </w:lvl>
  </w:abstractNum>
  <w:abstractNum w:abstractNumId="108">
    <w:nsid w:val="17A1B582"/>
    <w:multiLevelType w:val="hybridMultilevel"/>
    <w:lvl w:ilvl="0">
      <w:lvlJc w:val="left"/>
      <w:lvlText w:val="•"/>
      <w:numFmt w:val="bullet"/>
      <w:start w:val="1"/>
    </w:lvl>
  </w:abstractNum>
  <w:abstractNum w:abstractNumId="109">
    <w:nsid w:val="4DF72E4E"/>
    <w:multiLevelType w:val="hybridMultilevel"/>
    <w:lvl w:ilvl="0">
      <w:lvlJc w:val="left"/>
      <w:lvlText w:val="(%1)"/>
      <w:numFmt w:val="decimal"/>
      <w:start w:val="1"/>
    </w:lvl>
  </w:abstractNum>
  <w:abstractNum w:abstractNumId="110">
    <w:nsid w:val="5046B5A9"/>
    <w:multiLevelType w:val="hybridMultilevel"/>
    <w:lvl w:ilvl="0">
      <w:lvlJc w:val="left"/>
      <w:lvlText w:val="(%1)"/>
      <w:numFmt w:val="decimal"/>
      <w:start w:val="1"/>
    </w:lvl>
  </w:abstractNum>
  <w:abstractNum w:abstractNumId="111">
    <w:nsid w:val="5D888A08"/>
    <w:multiLevelType w:val="hybridMultilevel"/>
    <w:lvl w:ilvl="0">
      <w:lvlJc w:val="left"/>
      <w:lvlText w:val="(%1)"/>
      <w:numFmt w:val="decimal"/>
      <w:start w:val="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
      <w:numFmt w:val="bullet"/>
      <w:start w:val="1"/>
    </w:lvl>
  </w:abstractNum>
  <w:abstractNum w:abstractNumId="114">
    <w:nsid w:val="19E21BB2"/>
    <w:multiLevelType w:val="hybridMultilevel"/>
    <w:lvl w:ilvl="0">
      <w:lvlJc w:val="left"/>
      <w:lvlText w:val="(%1)"/>
      <w:numFmt w:val="decimal"/>
      <w:start w:val="1"/>
    </w:lvl>
  </w:abstractNum>
  <w:abstractNum w:abstractNumId="115">
    <w:nsid w:val="75E0858A"/>
    <w:multiLevelType w:val="hybridMultilevel"/>
    <w:lvl w:ilvl="0">
      <w:lvlJc w:val="left"/>
      <w:lvlText w:val="(%1)"/>
      <w:numFmt w:val="decimal"/>
      <w:start w:val="1"/>
    </w:lvl>
  </w:abstractNum>
  <w:abstractNum w:abstractNumId="116">
    <w:nsid w:val="57A61A29"/>
    <w:multiLevelType w:val="hybridMultilevel"/>
    <w:lvl w:ilvl="0">
      <w:lvlJc w:val="left"/>
      <w:lvlText w:val="(%1)"/>
      <w:numFmt w:val="decimal"/>
      <w:start w:val="1"/>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1)"/>
      <w:numFmt w:val="decimal"/>
      <w:start w:val="1"/>
    </w:lvl>
  </w:abstractNum>
  <w:abstractNum w:abstractNumId="119">
    <w:nsid w:val="4427069A"/>
    <w:multiLevelType w:val="hybridMultilevel"/>
    <w:lvl w:ilvl="0">
      <w:lvlJc w:val="left"/>
      <w:lvlText w:val="(%1)"/>
      <w:numFmt w:val="decimal"/>
      <w:start w:val="1"/>
    </w:lvl>
  </w:abstractNum>
  <w:abstractNum w:abstractNumId="120">
    <w:nsid w:val="B37E80A"/>
    <w:multiLevelType w:val="hybridMultilevel"/>
    <w:lvl w:ilvl="0">
      <w:lvlJc w:val="left"/>
      <w:lvlText w:val="(%1)"/>
      <w:numFmt w:val="decimal"/>
      <w:start w:val="1"/>
    </w:lvl>
  </w:abstractNum>
  <w:abstractNum w:abstractNumId="121">
    <w:nsid w:val="2157F6BC"/>
    <w:multiLevelType w:val="hybridMultilevel"/>
    <w:lvl w:ilvl="0">
      <w:lvlJc w:val="left"/>
      <w:lvlText w:val="(%1)"/>
      <w:numFmt w:val="decimal"/>
      <w:start w:val="1"/>
    </w:lvl>
  </w:abstractNum>
  <w:abstractNum w:abstractNumId="122">
    <w:nsid w:val="704E1DD5"/>
    <w:multiLevelType w:val="hybridMultilevel"/>
    <w:lvl w:ilvl="0">
      <w:lvlJc w:val="left"/>
      <w:lvlText w:val="(%1)"/>
      <w:numFmt w:val="decimal"/>
      <w:start w:val="1"/>
    </w:lvl>
  </w:abstractNum>
  <w:abstractNum w:abstractNumId="123">
    <w:nsid w:val="57D2F10E"/>
    <w:multiLevelType w:val="hybridMultilevel"/>
    <w:lvl w:ilvl="0">
      <w:lvlJc w:val="left"/>
      <w:lvlText w:val="(%1)"/>
      <w:numFmt w:val="decimal"/>
      <w:start w:val="1"/>
    </w:lvl>
  </w:abstractNum>
  <w:abstractNum w:abstractNumId="124">
    <w:nsid w:val="BFFAE18"/>
    <w:multiLevelType w:val="hybridMultilevel"/>
    <w:lvl w:ilvl="0">
      <w:lvlJc w:val="left"/>
      <w:lvlText w:val="%1."/>
      <w:numFmt w:val="decimal"/>
      <w:start w:val="901"/>
    </w:lvl>
  </w:abstractNum>
  <w:abstractNum w:abstractNumId="125">
    <w:nsid w:val="E3E47A8"/>
    <w:multiLevelType w:val="hybridMultilevel"/>
    <w:lvl w:ilvl="0">
      <w:lvlJc w:val="left"/>
      <w:lvlText w:val="(%1)"/>
      <w:numFmt w:val="decimal"/>
      <w:start w:val="1"/>
    </w:lvl>
  </w:abstractNum>
  <w:abstractNum w:abstractNumId="126">
    <w:nsid w:val="2E48F044"/>
    <w:multiLevelType w:val="hybridMultilevel"/>
    <w:lvl w:ilvl="0">
      <w:lvlJc w:val="left"/>
      <w:lvlText w:val="(%1)"/>
      <w:numFmt w:val="decimal"/>
      <w:start w:val="1"/>
    </w:lvl>
  </w:abstractNum>
  <w:abstractNum w:abstractNumId="127">
    <w:nsid w:val="49D0FEAC"/>
    <w:multiLevelType w:val="hybridMultilevel"/>
    <w:lvl w:ilvl="0">
      <w:lvlJc w:val="left"/>
      <w:lvlText w:val="(%1)"/>
      <w:numFmt w:val="decimal"/>
      <w:start w:val="1"/>
    </w:lvl>
  </w:abstractNum>
  <w:abstractNum w:abstractNumId="128">
    <w:nsid w:val="4BEE5A5B"/>
    <w:multiLevelType w:val="hybridMultilevel"/>
    <w:lvl w:ilvl="0">
      <w:lvlJc w:val="left"/>
      <w:lvlText w:val="(%1)"/>
      <w:numFmt w:val="decimal"/>
      <w:start w:val="5"/>
    </w:lvl>
  </w:abstractNum>
  <w:abstractNum w:abstractNumId="129">
    <w:nsid w:val="5551B9F3"/>
    <w:multiLevelType w:val="hybridMultilevel"/>
    <w:lvl w:ilvl="0">
      <w:lvlJc w:val="left"/>
      <w:lvlText w:val="(%1)"/>
      <w:numFmt w:val="decimal"/>
      <w:start w:val="1"/>
    </w:lvl>
  </w:abstractNum>
  <w:abstractNum w:abstractNumId="130">
    <w:nsid w:val="24F6AB8E"/>
    <w:multiLevelType w:val="hybridMultilevel"/>
    <w:lvl w:ilvl="0">
      <w:lvlJc w:val="left"/>
      <w:lvlText w:val="(%1)"/>
      <w:numFmt w:val="decimal"/>
      <w:start w:val="1"/>
    </w:lvl>
  </w:abstractNum>
  <w:abstractNum w:abstractNumId="131">
    <w:nsid w:val="634C574C"/>
    <w:multiLevelType w:val="hybridMultilevel"/>
    <w:lvl w:ilvl="0">
      <w:lvlJc w:val="left"/>
      <w:lvlText w:val="%1."/>
      <w:numFmt w:val="decimal"/>
      <w:start w:val="1"/>
    </w:lvl>
  </w:abstractNum>
  <w:abstractNum w:abstractNumId="132">
    <w:nsid w:val="24E99DD7"/>
    <w:multiLevelType w:val="hybridMultilevel"/>
    <w:lvl w:ilvl="0">
      <w:lvlJc w:val="left"/>
      <w:lvlText w:val="%1."/>
      <w:numFmt w:val="decimal"/>
      <w:start w:val="6"/>
    </w:lvl>
  </w:abstractNum>
  <w:abstractNum w:abstractNumId="133">
    <w:nsid w:val="2A31B62D"/>
    <w:multiLevelType w:val="hybridMultilevel"/>
    <w:lvl w:ilvl="0">
      <w:lvlJc w:val="left"/>
      <w:lvlText w:val="%1."/>
      <w:numFmt w:val="decimal"/>
      <w:start w:val="1"/>
    </w:lvl>
  </w:abstractNum>
  <w:abstractNum w:abstractNumId="134">
    <w:nsid w:val="1849C29B"/>
    <w:multiLevelType w:val="hybridMultilevel"/>
    <w:lvl w:ilvl="0">
      <w:lvlJc w:val="left"/>
      <w:lvlText w:val="%1."/>
      <w:numFmt w:val="decimal"/>
      <w:start w:val="6"/>
    </w:lvl>
  </w:abstractNum>
  <w:abstractNum w:abstractNumId="135">
    <w:nsid w:val="7DFF9D09"/>
    <w:multiLevelType w:val="hybridMultilevel"/>
    <w:lvl w:ilvl="0">
      <w:lvlJc w:val="left"/>
      <w:lvlText w:val="%1."/>
      <w:numFmt w:val="decimal"/>
      <w:start w:val="1"/>
    </w:lvl>
  </w:abstractNum>
  <w:abstractNum w:abstractNumId="136">
    <w:nsid w:val="754342"/>
    <w:multiLevelType w:val="hybridMultilevel"/>
    <w:lvl w:ilvl="0">
      <w:lvlJc w:val="left"/>
      <w:lvlText w:val="(%1)"/>
      <w:numFmt w:val="lowerLetter"/>
      <w:start w:val="1"/>
    </w:lvl>
  </w:abstractNum>
  <w:abstractNum w:abstractNumId="137">
    <w:nsid w:val="69E7F3E5"/>
    <w:multiLevelType w:val="hybridMultilevel"/>
    <w:lvl w:ilvl="0">
      <w:lvlJc w:val="left"/>
      <w:lvlText w:val="%1."/>
      <w:numFmt w:val="decimal"/>
      <w:start w:val="5"/>
    </w:lvl>
  </w:abstractNum>
  <w:abstractNum w:abstractNumId="138">
    <w:nsid w:val="2A6DE806"/>
    <w:multiLevelType w:val="hybridMultilevel"/>
    <w:lvl w:ilvl="0">
      <w:lvlJc w:val="left"/>
      <w:lvlText w:val="(%1)"/>
      <w:numFmt w:val="lowerLetter"/>
      <w:start w:val="1"/>
    </w:lvl>
  </w:abstractNum>
  <w:abstractNum w:abstractNumId="139">
    <w:nsid w:val="1816F8C4"/>
    <w:multiLevelType w:val="hybridMultilevel"/>
    <w:lvl w:ilvl="0">
      <w:lvlJc w:val="left"/>
      <w:lvlText w:val="%1."/>
      <w:numFmt w:val="decimal"/>
      <w:start w:val="1"/>
    </w:lvl>
  </w:abstractNum>
  <w:abstractNum w:abstractNumId="140">
    <w:nsid w:val="37DF2233"/>
    <w:multiLevelType w:val="hybridMultilevel"/>
    <w:lvl w:ilvl="0">
      <w:lvlJc w:val="left"/>
      <w:lvlText w:val="(%1)"/>
      <w:numFmt w:val="lowerLetter"/>
      <w:start w:val="1"/>
    </w:lvl>
  </w:abstractNum>
  <w:abstractNum w:abstractNumId="141">
    <w:nsid w:val="7AB49DAF"/>
    <w:multiLevelType w:val="hybridMultilevel"/>
    <w:lvl w:ilvl="0">
      <w:lvlJc w:val="left"/>
      <w:lvlText w:val="%1."/>
      <w:numFmt w:val="decimal"/>
      <w:start w:val="5"/>
    </w:lvl>
  </w:abstractNum>
  <w:abstractNum w:abstractNumId="142">
    <w:nsid w:val="759F82CD"/>
    <w:multiLevelType w:val="hybridMultilevel"/>
    <w:lvl w:ilvl="0">
      <w:lvlJc w:val="left"/>
      <w:lvlText w:val="(%1)"/>
      <w:numFmt w:val="lowerLetter"/>
      <w:start w:val="1"/>
    </w:lvl>
  </w:abstractNum>
  <w:abstractNum w:abstractNumId="143">
    <w:nsid w:val="61E74EA3"/>
    <w:multiLevelType w:val="hybridMultilevel"/>
    <w:lvl w:ilvl="0">
      <w:lvlJc w:val="left"/>
      <w:lvlText w:val="(%1)"/>
      <w:numFmt w:val="lowerRoman"/>
      <w:start w:val="1"/>
    </w:lvl>
  </w:abstractNum>
  <w:abstractNum w:abstractNumId="144">
    <w:nsid w:val="597B4D8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174" Type="http://schemas.openxmlformats.org/officeDocument/2006/relationships/image" Target="media/image61.png"/><Relationship Id="rId175" Type="http://schemas.openxmlformats.org/officeDocument/2006/relationships/image" Target="media/image62.png"/><Relationship Id="rId176" Type="http://schemas.openxmlformats.org/officeDocument/2006/relationships/image" Target="media/image63.png"/><Relationship Id="rId177" Type="http://schemas.openxmlformats.org/officeDocument/2006/relationships/image" Target="media/image64.png"/><Relationship Id="rId178" Type="http://schemas.openxmlformats.org/officeDocument/2006/relationships/image" Target="media/image65.png"/><Relationship Id="rId179" Type="http://schemas.openxmlformats.org/officeDocument/2006/relationships/image" Target="media/image66.png"/><Relationship Id="rId180" Type="http://schemas.openxmlformats.org/officeDocument/2006/relationships/image" Target="media/image67.png"/><Relationship Id="rId181" Type="http://schemas.openxmlformats.org/officeDocument/2006/relationships/image" Target="media/image68.png"/><Relationship Id="rId182" Type="http://schemas.openxmlformats.org/officeDocument/2006/relationships/image" Target="media/image69.png"/><Relationship Id="rId183" Type="http://schemas.openxmlformats.org/officeDocument/2006/relationships/image" Target="media/image70.png"/><Relationship Id="rId184" Type="http://schemas.openxmlformats.org/officeDocument/2006/relationships/image" Target="media/image71.png"/><Relationship Id="rId185" Type="http://schemas.openxmlformats.org/officeDocument/2006/relationships/image" Target="media/image72.png"/><Relationship Id="rId186" Type="http://schemas.openxmlformats.org/officeDocument/2006/relationships/image" Target="media/image73.png"/><Relationship Id="rId187" Type="http://schemas.openxmlformats.org/officeDocument/2006/relationships/image" Target="media/image74.png"/><Relationship Id="rId188" Type="http://schemas.openxmlformats.org/officeDocument/2006/relationships/image" Target="media/image75.png"/><Relationship Id="rId189" Type="http://schemas.openxmlformats.org/officeDocument/2006/relationships/image" Target="media/image76.png"/><Relationship Id="rId190" Type="http://schemas.openxmlformats.org/officeDocument/2006/relationships/image" Target="media/image77.png"/><Relationship Id="rId191" Type="http://schemas.openxmlformats.org/officeDocument/2006/relationships/image" Target="media/image78.png"/><Relationship Id="rId192" Type="http://schemas.openxmlformats.org/officeDocument/2006/relationships/image" Target="media/image79.png"/><Relationship Id="rId193" Type="http://schemas.openxmlformats.org/officeDocument/2006/relationships/image" Target="media/image80.png"/><Relationship Id="rId194" Type="http://schemas.openxmlformats.org/officeDocument/2006/relationships/image" Target="media/image81.png"/><Relationship Id="rId195" Type="http://schemas.openxmlformats.org/officeDocument/2006/relationships/image" Target="media/image82.png"/><Relationship Id="rId196" Type="http://schemas.openxmlformats.org/officeDocument/2006/relationships/image" Target="media/image83.png"/><Relationship Id="rId197" Type="http://schemas.openxmlformats.org/officeDocument/2006/relationships/image" Target="media/image84.png"/><Relationship Id="rId198" Type="http://schemas.openxmlformats.org/officeDocument/2006/relationships/image" Target="media/image85.png"/><Relationship Id="rId199" Type="http://schemas.openxmlformats.org/officeDocument/2006/relationships/image" Target="media/image86.png"/><Relationship Id="rId200" Type="http://schemas.openxmlformats.org/officeDocument/2006/relationships/image" Target="media/image87.png"/><Relationship Id="rId201" Type="http://schemas.openxmlformats.org/officeDocument/2006/relationships/image" Target="media/image88.png"/><Relationship Id="rId202" Type="http://schemas.openxmlformats.org/officeDocument/2006/relationships/image" Target="media/image89.png"/><Relationship Id="rId203" Type="http://schemas.openxmlformats.org/officeDocument/2006/relationships/image" Target="media/image90.png"/><Relationship Id="rId204" Type="http://schemas.openxmlformats.org/officeDocument/2006/relationships/image" Target="media/image91.png"/><Relationship Id="rId205" Type="http://schemas.openxmlformats.org/officeDocument/2006/relationships/image" Target="media/image92.png"/><Relationship Id="rId206" Type="http://schemas.openxmlformats.org/officeDocument/2006/relationships/image" Target="media/image93.png"/><Relationship Id="rId207" Type="http://schemas.openxmlformats.org/officeDocument/2006/relationships/image" Target="media/image94.png"/><Relationship Id="rId208" Type="http://schemas.openxmlformats.org/officeDocument/2006/relationships/image" Target="media/image95.png"/><Relationship Id="rId209" Type="http://schemas.openxmlformats.org/officeDocument/2006/relationships/image" Target="media/image96.png"/><Relationship Id="rId210" Type="http://schemas.openxmlformats.org/officeDocument/2006/relationships/image" Target="media/image97.png"/><Relationship Id="rId211" Type="http://schemas.openxmlformats.org/officeDocument/2006/relationships/image" Target="media/image98.png"/><Relationship Id="rId212" Type="http://schemas.openxmlformats.org/officeDocument/2006/relationships/image" Target="media/image99.png"/><Relationship Id="rId213" Type="http://schemas.openxmlformats.org/officeDocument/2006/relationships/image" Target="media/image100.png"/><Relationship Id="rId214" Type="http://schemas.openxmlformats.org/officeDocument/2006/relationships/image" Target="media/image101.png"/><Relationship Id="rId215" Type="http://schemas.openxmlformats.org/officeDocument/2006/relationships/image" Target="media/image102.png"/><Relationship Id="rId216" Type="http://schemas.openxmlformats.org/officeDocument/2006/relationships/image" Target="media/image103.png"/><Relationship Id="rId217" Type="http://schemas.openxmlformats.org/officeDocument/2006/relationships/image" Target="media/image104.png"/><Relationship Id="rId218" Type="http://schemas.openxmlformats.org/officeDocument/2006/relationships/image" Target="media/image105.png"/><Relationship Id="rId219" Type="http://schemas.openxmlformats.org/officeDocument/2006/relationships/image" Target="media/image106.png"/><Relationship Id="rId220" Type="http://schemas.openxmlformats.org/officeDocument/2006/relationships/image" Target="media/image107.png"/><Relationship Id="rId221" Type="http://schemas.openxmlformats.org/officeDocument/2006/relationships/image" Target="media/image108.png"/><Relationship Id="rId222" Type="http://schemas.openxmlformats.org/officeDocument/2006/relationships/image" Target="media/image109.png"/><Relationship Id="rId223" Type="http://schemas.openxmlformats.org/officeDocument/2006/relationships/image" Target="media/image110.png"/><Relationship Id="rId224" Type="http://schemas.openxmlformats.org/officeDocument/2006/relationships/image" Target="media/image111.jpeg"/><Relationship Id="rId225" Type="http://schemas.openxmlformats.org/officeDocument/2006/relationships/image" Target="media/image112.png"/><Relationship Id="rId226" Type="http://schemas.openxmlformats.org/officeDocument/2006/relationships/image" Target="media/image113.png"/><Relationship Id="rId227" Type="http://schemas.openxmlformats.org/officeDocument/2006/relationships/image" Target="media/image114.png"/><Relationship Id="rId228" Type="http://schemas.openxmlformats.org/officeDocument/2006/relationships/image" Target="media/image115.png"/><Relationship Id="rId229" Type="http://schemas.openxmlformats.org/officeDocument/2006/relationships/image" Target="media/image116.jpeg"/><Relationship Id="rId230" Type="http://schemas.openxmlformats.org/officeDocument/2006/relationships/image" Target="media/image117.png"/><Relationship Id="rId231" Type="http://schemas.openxmlformats.org/officeDocument/2006/relationships/image" Target="media/image118.png"/><Relationship Id="rId232" Type="http://schemas.openxmlformats.org/officeDocument/2006/relationships/image" Target="media/image119.png"/><Relationship Id="rId233" Type="http://schemas.openxmlformats.org/officeDocument/2006/relationships/image" Target="media/image120.png"/><Relationship Id="rId234" Type="http://schemas.openxmlformats.org/officeDocument/2006/relationships/image" Target="media/image121.png"/><Relationship Id="rId235" Type="http://schemas.openxmlformats.org/officeDocument/2006/relationships/image" Target="media/image122.png"/><Relationship Id="rId236" Type="http://schemas.openxmlformats.org/officeDocument/2006/relationships/image" Target="media/image123.png"/><Relationship Id="rId237" Type="http://schemas.openxmlformats.org/officeDocument/2006/relationships/image" Target="media/image124.png"/><Relationship Id="rId68" Type="http://schemas.openxmlformats.org/officeDocument/2006/relationships/hyperlink" Target="http://www.sec.gov/Archives/edgar/data/1070423/000110465912013480/a11-30215_1ex2d1.htm" TargetMode="External"/><Relationship Id="rId69" Type="http://schemas.openxmlformats.org/officeDocument/2006/relationships/hyperlink" Target="http://www.sec.gov/Archives/edgar/data/1070423/000110465913077387/a13-22640_1ex2d1.htm" TargetMode="External"/><Relationship Id="rId70" Type="http://schemas.openxmlformats.org/officeDocument/2006/relationships/hyperlink" Target="http://www.sec.gov/Archives/edgar/data/1070423/000110465916132668/a16-14925_1ex2d1.htm" TargetMode="External"/><Relationship Id="rId71" Type="http://schemas.openxmlformats.org/officeDocument/2006/relationships/hyperlink" Target="http://www.sec.gov/Archives/edgar/data/1070423/000107042317000009/paa03312017exhibit21.htm" TargetMode="External"/><Relationship Id="rId72" Type="http://schemas.openxmlformats.org/officeDocument/2006/relationships/hyperlink" Target="http://www.sec.gov/Archives/edgar/data/1070423/000107042317000009/paa03312017exhibit22.htm" TargetMode="External"/><Relationship Id="rId73" Type="http://schemas.openxmlformats.org/officeDocument/2006/relationships/hyperlink" Target="http://www.sec.gov/Archives/edgar/data/1070423/000110465917061889/a17-22685_5ex3d1.htm" TargetMode="External"/><Relationship Id="rId74" Type="http://schemas.openxmlformats.org/officeDocument/2006/relationships/hyperlink" Target="http://www.sec.gov/Archives/edgar/data/1070423/000104746904016502/a2135501zex-3_2.htm" TargetMode="External"/><Relationship Id="rId75" Type="http://schemas.openxmlformats.org/officeDocument/2006/relationships/hyperlink" Target="http://www.sec.gov/Archives/edgar/data/1070423/000110465911010359/a11-2319_1ex3d9.htm" TargetMode="External"/><Relationship Id="rId76" Type="http://schemas.openxmlformats.org/officeDocument/2006/relationships/hyperlink" Target="http://www.sec.gov/Archives/edgar/data/1070423/000110465911010359/a11-2319_1ex3d10.htm" TargetMode="External"/><Relationship Id="rId77" Type="http://schemas.openxmlformats.org/officeDocument/2006/relationships/hyperlink" Target="http://www.sec.gov/Archives/edgar/data/1070423/000110465914014322/a13-25941_1ex3d7.htm" TargetMode="External"/><Relationship Id="rId78" Type="http://schemas.openxmlformats.org/officeDocument/2006/relationships/hyperlink" Target="http://www.sec.gov/Archives/edgar/data/1070423/000110465914014322/a13-25941_1ex3d8.htm" TargetMode="External"/><Relationship Id="rId79" Type="http://schemas.openxmlformats.org/officeDocument/2006/relationships/hyperlink" Target="http://www.sec.gov/Archives/edgar/data/1070423/000104746904016502/a2135501zex-3_3.htm" TargetMode="External"/><Relationship Id="rId80" Type="http://schemas.openxmlformats.org/officeDocument/2006/relationships/hyperlink" Target="http://www.sec.gov/Archives/edgar/data/1070423/000110465914014322/a13-25941_1ex3d10.htm" TargetMode="External"/><Relationship Id="rId81" Type="http://schemas.openxmlformats.org/officeDocument/2006/relationships/hyperlink" Target="http://www.sec.gov/Archives/edgar/data/1070423/000110465916158355/a16-21841_1ex3d3.htm" TargetMode="External"/><Relationship Id="rId82" Type="http://schemas.openxmlformats.org/officeDocument/2006/relationships/hyperlink" Target="http://www.sec.gov/Archives/edgar/data/1070423/000110465916158355/a16-21841_1ex3d4.htm" TargetMode="External"/><Relationship Id="rId83" Type="http://schemas.openxmlformats.org/officeDocument/2006/relationships/hyperlink" Target="http://www.sec.gov/Archives/edgar/data/1070423/000110465918060011/a18-36196_1ex3d1.htm" TargetMode="External"/><Relationship Id="rId84" Type="http://schemas.openxmlformats.org/officeDocument/2006/relationships/hyperlink" Target="http://www.sec.gov/Archives/edgar/data/1070423/000095012907001096/h43224exv3w10.htm" TargetMode="External"/><Relationship Id="rId85" Type="http://schemas.openxmlformats.org/officeDocument/2006/relationships/hyperlink" Target="http://www.sec.gov/Archives/edgar/data/1070423/000095012907001096/h43224exv3w11.htm" TargetMode="External"/><Relationship Id="rId86" Type="http://schemas.openxmlformats.org/officeDocument/2006/relationships/hyperlink" Target="http://www.sec.gov/Archives/edgar/data/1070423/000095012908000071/h52770exv3w3.htm" TargetMode="External"/><Relationship Id="rId87" Type="http://schemas.openxmlformats.org/officeDocument/2006/relationships/hyperlink" Target="http://www.sec.gov/Archives/edgar/data/1581990/000104746913007875/a2216069zex-3_1.htm" TargetMode="External"/><Relationship Id="rId88" Type="http://schemas.openxmlformats.org/officeDocument/2006/relationships/hyperlink" Target="http://www.sec.gov/Archives/edgar/data/1581990/000110465916158356/a16-21845_1ex3d2.htm" TargetMode="External"/><Relationship Id="rId89" Type="http://schemas.openxmlformats.org/officeDocument/2006/relationships/hyperlink" Target="http://www.sec.gov/Archives/edgar/data/1581990/000104746913007875/a2216069zex-3_3.htm" TargetMode="External"/><Relationship Id="rId90" Type="http://schemas.openxmlformats.org/officeDocument/2006/relationships/hyperlink" Target="http://www.sec.gov/Archives/edgar/data/1581990/000110465917010602/a17-6893_1ex3d1.htm" TargetMode="External"/><Relationship Id="rId91" Type="http://schemas.openxmlformats.org/officeDocument/2006/relationships/hyperlink" Target="http://www.sec.gov/Archives/edgar/data/1070423/000110465918052848/a18-18381_3ex3d1.htm" TargetMode="External"/><Relationship Id="rId92" Type="http://schemas.openxmlformats.org/officeDocument/2006/relationships/hyperlink" Target="http://www.sec.gov/Archives/edgar/data/1070423/000110465918072384/a18-41341_1ex3d1.htm" TargetMode="External"/><Relationship Id="rId93" Type="http://schemas.openxmlformats.org/officeDocument/2006/relationships/hyperlink" Target="http://www.sec.gov/Archives/edgar/data/1070423/000089924302002834/dex41.txt" TargetMode="External"/><Relationship Id="rId94" Type="http://schemas.openxmlformats.org/officeDocument/2006/relationships/hyperlink" Target="http://www.sec.gov/Archives/edgar/data/1070423/000110465906034368/a06-11663_1ex4d1.htm" TargetMode="External"/><Relationship Id="rId95" Type="http://schemas.openxmlformats.org/officeDocument/2006/relationships/hyperlink" Target="http://www.sec.gov/Archives/edgar/data/1070423/000095012906009235/h40667exv4w2.htm" TargetMode="External"/><Relationship Id="rId96" Type="http://schemas.openxmlformats.org/officeDocument/2006/relationships/hyperlink" Target="http://www.sec.gov/Archives/edgar/data/1070423/000095012309041075/h67912exv4w1.htm" TargetMode="External"/><Relationship Id="rId97" Type="http://schemas.openxmlformats.org/officeDocument/2006/relationships/hyperlink" Target="http://www.sec.gov/Archives/edgar/data/1070423/000095012311002051/h78739exv4w1.htm" TargetMode="External"/><Relationship Id="rId98" Type="http://schemas.openxmlformats.org/officeDocument/2006/relationships/hyperlink" Target="http://www.sec.gov/Archives/edgar/data/1070423/000119312512132295/d321017dex41.htm" TargetMode="External"/><Relationship Id="rId99" Type="http://schemas.openxmlformats.org/officeDocument/2006/relationships/hyperlink" Target="http://www.sec.gov/Archives/edgar/data/1070423/000119312512132295/d321017dex43.htm" TargetMode="External"/><Relationship Id="rId100" Type="http://schemas.openxmlformats.org/officeDocument/2006/relationships/hyperlink" Target="http://www.sec.gov/Archives/edgar/data/1070423/000119312512499932/d453762dex41.htm" TargetMode="External"/><Relationship Id="rId101" Type="http://schemas.openxmlformats.org/officeDocument/2006/relationships/hyperlink" Target="http://www.sec.gov/Archives/edgar/data/1070423/000119312512499932/d453762dex43.htm" TargetMode="External"/><Relationship Id="rId102" Type="http://schemas.openxmlformats.org/officeDocument/2006/relationships/hyperlink" Target="http://www.sec.gov/Archives/edgar/data/1070423/000119312513336066/d581734dex41.htm" TargetMode="External"/><Relationship Id="rId103" Type="http://schemas.openxmlformats.org/officeDocument/2006/relationships/hyperlink" Target="http://www.sec.gov/Archives/edgar/data/1070423/000119312514164183/d713938dex41.htm" TargetMode="External"/><Relationship Id="rId104" Type="http://schemas.openxmlformats.org/officeDocument/2006/relationships/hyperlink" Target="http://www.sec.gov/Archives/edgar/data/1070423/000119312514338289/d787160dex41.htm" TargetMode="External"/><Relationship Id="rId105" Type="http://schemas.openxmlformats.org/officeDocument/2006/relationships/hyperlink" Target="http://www.sec.gov/Archives/edgar/data/1070423/000119312514440007/d833885dex41.htm" TargetMode="External"/><Relationship Id="rId106" Type="http://schemas.openxmlformats.org/officeDocument/2006/relationships/hyperlink" Target="http://www.sec.gov/Archives/edgar/data/1070423/000119312514440007/d833885dex43.htm" TargetMode="External"/><Relationship Id="rId107" Type="http://schemas.openxmlformats.org/officeDocument/2006/relationships/hyperlink" Target="http://www.sec.gov/Archives/edgar/data/1070423/000119312515302829/d45393dex41.htm" TargetMode="External"/><Relationship Id="rId108" Type="http://schemas.openxmlformats.org/officeDocument/2006/relationships/hyperlink" Target="http://www.sec.gov/Archives/edgar/data/1070423/000110465916159593/a16-22232_1ex4d1.htm" TargetMode="External"/><Relationship Id="rId109" Type="http://schemas.openxmlformats.org/officeDocument/2006/relationships/hyperlink" Target="http://www.sec.gov/Archives/edgar/data/1070423/000095012309050401/h68193exv4w1.htm" TargetMode="External"/><Relationship Id="rId110" Type="http://schemas.openxmlformats.org/officeDocument/2006/relationships/hyperlink" Target="http://www.sec.gov/Archives/edgar/data/1070423/000110465916093299/a16-3362_1ex4d1.htm" TargetMode="External"/><Relationship Id="rId111" Type="http://schemas.openxmlformats.org/officeDocument/2006/relationships/hyperlink" Target="http://www.sec.gov/Archives/edgar/data/1070423/000110465916158355/a16-21841_1ex10d4.htm" TargetMode="External"/><Relationship Id="rId112" Type="http://schemas.openxmlformats.org/officeDocument/2006/relationships/hyperlink" Target="http://www.sec.gov/Archives/edgar/data/1070423/000095012311080225/h84381exv10w1.htm" TargetMode="External"/><Relationship Id="rId113" Type="http://schemas.openxmlformats.org/officeDocument/2006/relationships/hyperlink" Target="http://www.sec.gov/Archives/edgar/data/1070423/000119312512293769/d374172dex102.htm" TargetMode="External"/><Relationship Id="rId114" Type="http://schemas.openxmlformats.org/officeDocument/2006/relationships/hyperlink" Target="http://www.sec.gov/Archives/edgar/data/1070423/000119312513340586/d585794dex102.htm" TargetMode="External"/><Relationship Id="rId115" Type="http://schemas.openxmlformats.org/officeDocument/2006/relationships/hyperlink" Target="http://www.sec.gov/Archives/edgar/data/1070423/000110465916140243/a16-16900_1ex10d1.htm" TargetMode="External"/><Relationship Id="rId116" Type="http://schemas.openxmlformats.org/officeDocument/2006/relationships/hyperlink" Target="http://www.sec.gov/Archives/edgar/data/1070423/000095012311080225/h84381exv10w2.htm" TargetMode="External"/><Relationship Id="rId117" Type="http://schemas.openxmlformats.org/officeDocument/2006/relationships/hyperlink" Target="http://www.sec.gov/Archives/edgar/data/1070423/000119312512293769/d374172dex101.htm" TargetMode="External"/><Relationship Id="rId118" Type="http://schemas.openxmlformats.org/officeDocument/2006/relationships/hyperlink" Target="http://www.sec.gov/Archives/edgar/data/1070423/000119312513340586/d585794dex101.htm" TargetMode="External"/><Relationship Id="rId119" Type="http://schemas.openxmlformats.org/officeDocument/2006/relationships/hyperlink" Target="http://www.sec.gov/Archives/edgar/data/1070423/000110465916140243/a16-16900_1ex10d3.htm" TargetMode="External"/><Relationship Id="rId120" Type="http://schemas.openxmlformats.org/officeDocument/2006/relationships/hyperlink" Target="http://www.sec.gov/Archives/edgar/data/1070423/000107042317000021/paa09302017exhibit106.htm" TargetMode="External"/><Relationship Id="rId121" Type="http://schemas.openxmlformats.org/officeDocument/2006/relationships/hyperlink" Target="http://www.sec.gov/Archives/edgar/data/1070423/0000899243-99-000614.txt" TargetMode="External"/><Relationship Id="rId122" Type="http://schemas.openxmlformats.org/officeDocument/2006/relationships/hyperlink" Target="http://www.sec.gov/Archives/edgar/data/1070423/000089924301500835/dex101.txt" TargetMode="External"/><Relationship Id="rId123" Type="http://schemas.openxmlformats.org/officeDocument/2006/relationships/hyperlink" Target="http://www.sec.gov/Archives/edgar/data/1070423/000089924301500767/dex101.txt" TargetMode="External"/><Relationship Id="rId124" Type="http://schemas.openxmlformats.org/officeDocument/2006/relationships/hyperlink" Target="http://www.sec.gov/Archives/edgar/data/1070423/000089924301500767/dex102.txt" TargetMode="External"/><Relationship Id="rId125" Type="http://schemas.openxmlformats.org/officeDocument/2006/relationships/hyperlink" Target="http://www.sec.gov/Archives/edgar/data/1070423/000089924301500767/dex103.txt" TargetMode="External"/><Relationship Id="rId126" Type="http://schemas.openxmlformats.org/officeDocument/2006/relationships/hyperlink" Target="http://www.sec.gov/Archives/edgar/data/1070423/000095012908000071/h52770exv10w2.htm" TargetMode="External"/><Relationship Id="rId127" Type="http://schemas.openxmlformats.org/officeDocument/2006/relationships/hyperlink" Target="http://www.sec.gov/Archives/edgar/data/1070423/000089924301500419/dex991.txt" TargetMode="External"/><Relationship Id="rId128" Type="http://schemas.openxmlformats.org/officeDocument/2006/relationships/hyperlink" Target="http://www.sec.gov/Archives/edgar/data/1070423/0000899243-98-001792.txt" TargetMode="External"/><Relationship Id="rId129" Type="http://schemas.openxmlformats.org/officeDocument/2006/relationships/hyperlink" Target="http://www.sec.gov/Archives/edgar/data/1070423/000110465905044729/a05-16431_1ex1d2.htm" TargetMode="External"/><Relationship Id="rId130" Type="http://schemas.openxmlformats.org/officeDocument/2006/relationships/hyperlink" Target="http://www.sec.gov/Archives/edgar/data/1481506/000095012310043694/h72693exv10w1.htm" TargetMode="External"/><Relationship Id="rId131" Type="http://schemas.openxmlformats.org/officeDocument/2006/relationships/hyperlink" Target="http://www.sec.gov/Archives/edgar/data/1481506/000095012310047963/h72950exv10w1.htm" TargetMode="External"/><Relationship Id="rId132" Type="http://schemas.openxmlformats.org/officeDocument/2006/relationships/hyperlink" Target="http://www.sec.gov/Archives/edgar/data/1070423/000110465916158355/a16-21841_1ex10d1.htm" TargetMode="External"/><Relationship Id="rId133" Type="http://schemas.openxmlformats.org/officeDocument/2006/relationships/hyperlink" Target="http://www.sec.gov/Archives/edgar/data/1070423/000110465916158355/a16-21841_1ex10d2.htm" TargetMode="External"/><Relationship Id="rId134" Type="http://schemas.openxmlformats.org/officeDocument/2006/relationships/hyperlink" Target="http://www.sec.gov/Archives/edgar/data/1070423/000089924301501783/dex101.txt" TargetMode="External"/><Relationship Id="rId135" Type="http://schemas.openxmlformats.org/officeDocument/2006/relationships/hyperlink" Target="http://www.sec.gov/Archives/edgar/data/1070423/000104746909001897/a2190434zex-10_49.htm" TargetMode="External"/><Relationship Id="rId136" Type="http://schemas.openxmlformats.org/officeDocument/2006/relationships/hyperlink" Target="http://www.sec.gov/Archives/edgar/data/1070423/000110465911010359/a11-2319_1ex10d31.htm" TargetMode="External"/><Relationship Id="rId137" Type="http://schemas.openxmlformats.org/officeDocument/2006/relationships/hyperlink" Target="http://www.sec.gov/Archives/edgar/data/1070423/000110465913078056/a13-22862_1ex10d2.htm" TargetMode="External"/><Relationship Id="rId138" Type="http://schemas.openxmlformats.org/officeDocument/2006/relationships/hyperlink" Target="http://www.sec.gov/Archives/edgar/data/1070423/000107042318000015/paaq32018exhibit106.htm" TargetMode="External"/><Relationship Id="rId139" Type="http://schemas.openxmlformats.org/officeDocument/2006/relationships/hyperlink" Target="http://www.sec.gov/Archives/edgar/data/1070423/000089924301501783/dex102.txt" TargetMode="External"/><Relationship Id="rId140" Type="http://schemas.openxmlformats.org/officeDocument/2006/relationships/hyperlink" Target="http://www.sec.gov/Archives/edgar/data/1070423/000104746909001897/a2190434zex-10_50.htm" TargetMode="External"/><Relationship Id="rId141" Type="http://schemas.openxmlformats.org/officeDocument/2006/relationships/hyperlink" Target="http://www.sec.gov/Archives/edgar/data/1070423/000110465911010359/a11-2319_1ex10d32.htm" TargetMode="External"/><Relationship Id="rId142" Type="http://schemas.openxmlformats.org/officeDocument/2006/relationships/hyperlink" Target="http://www.sec.gov/Archives/edgar/data/1070423/000110465913078056/a13-22862_1ex10d3.htm" TargetMode="External"/><Relationship Id="rId143" Type="http://schemas.openxmlformats.org/officeDocument/2006/relationships/hyperlink" Target="http://www.sec.gov/Archives/edgar/data/1070423/000110465916100030/a15-24557_1ex10d53.htm" TargetMode="External"/><Relationship Id="rId144" Type="http://schemas.openxmlformats.org/officeDocument/2006/relationships/hyperlink" Target="http://www.sec.gov/Archives/edgar/data/1070423/000107042318000015/paaq32018exhibit107.htm" TargetMode="External"/><Relationship Id="rId145" Type="http://schemas.openxmlformats.org/officeDocument/2006/relationships/hyperlink" Target="http://www.sec.gov/Archives/edgar/data/1070423/000107042316000004/paa09302016exhibit108.htm" TargetMode="External"/><Relationship Id="rId146" Type="http://schemas.openxmlformats.org/officeDocument/2006/relationships/hyperlink" Target="http://www.sec.gov/Archives/edgar/data/1070423/000107042318000009/paaq12018exhibit101.htm" TargetMode="External"/><Relationship Id="rId147" Type="http://schemas.openxmlformats.org/officeDocument/2006/relationships/hyperlink" Target="http://www.sec.gov/Archives/edgar/data/1070423/000107042316000004/paa09302016exhibit107.htm" TargetMode="External"/><Relationship Id="rId148" Type="http://schemas.openxmlformats.org/officeDocument/2006/relationships/hyperlink" Target="http://www.sec.gov/Archives/edgar/data/1070423/000107042318000009/paaq12018exhibit103.htm" TargetMode="External"/><Relationship Id="rId149" Type="http://schemas.openxmlformats.org/officeDocument/2006/relationships/hyperlink" Target="http://www.sec.gov/Archives/edgar/data/1070423/000107042318000015/paaq32018exhibit108.htm" TargetMode="External"/><Relationship Id="rId150" Type="http://schemas.openxmlformats.org/officeDocument/2006/relationships/hyperlink" Target="http://www.sec.gov/Archives/edgar/data/1070423/000095012901504458/h92828ex99-1.txt" TargetMode="External"/><Relationship Id="rId151" Type="http://schemas.openxmlformats.org/officeDocument/2006/relationships/hyperlink" Target="http://www.sec.gov/Archives/edgar/data/1070423/000119312503033153/dex101.htm" TargetMode="External"/><Relationship Id="rId152" Type="http://schemas.openxmlformats.org/officeDocument/2006/relationships/hyperlink" Target="http://www.sec.gov/Archives/edgar/data/1070423/000104746909001897/a2190434zex-10_52.htm" TargetMode="External"/><Relationship Id="rId153" Type="http://schemas.openxmlformats.org/officeDocument/2006/relationships/hyperlink" Target="http://www.sec.gov/Archives/edgar/data/1070423/000095012905000593/h21990exv10w1.htm" TargetMode="External"/><Relationship Id="rId154" Type="http://schemas.openxmlformats.org/officeDocument/2006/relationships/hyperlink" Target="http://www.sec.gov/Archives/edgar/data/1070423/000104746909001897/a2190434zex-10_51.htm" TargetMode="External"/><Relationship Id="rId155" Type="http://schemas.openxmlformats.org/officeDocument/2006/relationships/hyperlink" Target="http://www.sec.gov/Archives/edgar/data/1070423/000095012907001096/h43224exv10w45.htm" TargetMode="External"/><Relationship Id="rId156" Type="http://schemas.openxmlformats.org/officeDocument/2006/relationships/hyperlink" Target="http://www.sec.gov/Archives/edgar/data/1070423/000119312513390367/d597666ddef14a.htm#rom597666_10" TargetMode="External"/><Relationship Id="rId157" Type="http://schemas.openxmlformats.org/officeDocument/2006/relationships/hyperlink" Target="http://www.sec.gov/Archives/edgar/data/1070423/000110465913093006/a13-26950_1ex4d4.htm" TargetMode="External"/><Relationship Id="rId158" Type="http://schemas.openxmlformats.org/officeDocument/2006/relationships/hyperlink" Target="http://www.sec.gov/Archives/edgar/data/1481506/000095012310047963/h72950exv10w2.htm" TargetMode="External"/><Relationship Id="rId159" Type="http://schemas.openxmlformats.org/officeDocument/2006/relationships/hyperlink" Target="http://www.sec.gov/Archives/edgar/data/1581990/000110465913078057/a13-22338_2ex10d3.htm" TargetMode="External"/><Relationship Id="rId160" Type="http://schemas.openxmlformats.org/officeDocument/2006/relationships/hyperlink" Target="http://www.sec.gov/Archives/edgar/data/1070423/000095012908000071/h52770exv10w1.htm" TargetMode="External"/><Relationship Id="rId161" Type="http://schemas.openxmlformats.org/officeDocument/2006/relationships/hyperlink" Target="http://www.sec.gov/Archives/edgar/data/1070423/000110465913078056/a13-22862_1ex10d4.htm" TargetMode="External"/><Relationship Id="rId162" Type="http://schemas.openxmlformats.org/officeDocument/2006/relationships/hyperlink" Target="http://www.sec.gov/Archives/edgar/data/1070423/000107042316000004/paa09302016exhibit106.htm" TargetMode="External"/><Relationship Id="rId163" Type="http://schemas.openxmlformats.org/officeDocument/2006/relationships/hyperlink" Target="http://www.sec.gov/Archives/edgar/data/1070423/000107042318000009/paaq12018exhibit102.htm" TargetMode="External"/><Relationship Id="rId164" Type="http://schemas.openxmlformats.org/officeDocument/2006/relationships/hyperlink" Target="http://www.sec.gov/Archives/edgar/data/1070423/000107042316000004/paa09302016exhibit105.htm" TargetMode="External"/><Relationship Id="rId165" Type="http://schemas.openxmlformats.org/officeDocument/2006/relationships/hyperlink" Target="http://www.sec.gov/Archives/edgar/data/1070423/000107042318000009/paaq12018exhibit104.htm" TargetMode="External"/><Relationship Id="rId166" Type="http://schemas.openxmlformats.org/officeDocument/2006/relationships/hyperlink" Target="http://www.sec.gov/Archives/edgar/data/1070423/000107042317000015/paa06302017exhibit104.htm" TargetMode="External"/><Relationship Id="rId167" Type="http://schemas.openxmlformats.org/officeDocument/2006/relationships/hyperlink" Target="http://www.sec.gov/Archives/edgar/data/1070423/000107042318000009/paaq12018exhibit105.htm" TargetMode="External"/><Relationship Id="rId168" Type="http://schemas.openxmlformats.org/officeDocument/2006/relationships/hyperlink" Target="http://www.sec.gov/Archives/edgar/data/1070423/000107042317000009/paa03312017exhibit101.htm" TargetMode="External"/><Relationship Id="rId169" Type="http://schemas.openxmlformats.org/officeDocument/2006/relationships/hyperlink" Target="http://www.sec.gov/Archives/edgar/data/1070423/000107042317000009/paa03312017exhibit102.htm" TargetMode="External"/><Relationship Id="rId170" Type="http://schemas.openxmlformats.org/officeDocument/2006/relationships/hyperlink" Target="http://www.sec.gov/Archives/edgar/data/1070423/000107042317000009/paa03312017exhibit103.htm" TargetMode="External"/><Relationship Id="rId171" Type="http://schemas.openxmlformats.org/officeDocument/2006/relationships/hyperlink" Target="http://www.sec.gov/Archives/edgar/data/1581990/000158199017000009/pagp03312017exhibit101.htm" TargetMode="External"/><Relationship Id="rId172" Type="http://schemas.openxmlformats.org/officeDocument/2006/relationships/hyperlink" Target="http://www.sec.gov/Archives/edgar/data/1581990/000158199017000009/pagp03312017exhibit102.htm" TargetMode="External"/><Relationship Id="rId173" Type="http://schemas.openxmlformats.org/officeDocument/2006/relationships/hyperlink" Target="http://www.sec.gov/Archives/edgar/data/1581990/000158199017000009/pagp03312017exhibit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2020-01-10T00:10:35Z</dcterms:created>
  <dcterms:modified xsi:type="dcterms:W3CDTF">2020-01-10T00:10:35Z</dcterms:modified>
</cp:coreProperties>
</file>