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205" w:right="1039" w:bottom="1440" w:gutter="0" w:footer="0" w:header="0"/>
        </w:sectPr>
      </w:pP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58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and the accompanying base prospectus are not an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sale is not permitted.</w:t>
            </w:r>
          </w:p>
        </w:tc>
      </w:tr>
      <w:tr>
        <w:trPr>
          <w:trHeight w:val="247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 changed.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 or</w:t>
            </w:r>
          </w:p>
        </w:tc>
      </w:tr>
      <w:tr>
        <w:trPr>
          <w:trHeight w:val="281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soliciting an offer to buy these securities</w:t>
            </w:r>
          </w:p>
        </w:tc>
      </w:tr>
      <w:tr>
        <w:trPr>
          <w:trHeight w:val="47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are not</w:t>
            </w:r>
          </w:p>
        </w:tc>
      </w:tr>
      <w:tr>
        <w:trPr>
          <w:trHeight w:val="108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and</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424(b)(5)​</w:t>
      </w:r>
    </w:p>
    <w:p>
      <w:pPr>
        <w:jc w:val="right"/>
        <w:spacing w:after="0" w:line="206" w:lineRule="auto"/>
        <w:rPr>
          <w:sz w:val="20"/>
          <w:szCs w:val="20"/>
          <w:color w:val="auto"/>
        </w:rPr>
      </w:pPr>
      <w:r>
        <w:rPr>
          <w:rFonts w:ascii="Times New Roman" w:cs="Times New Roman" w:eastAsia="Times New Roman" w:hAnsi="Times New Roman"/>
          <w:sz w:val="18"/>
          <w:szCs w:val="18"/>
          <w:b w:val="1"/>
          <w:bCs w:val="1"/>
          <w:color w:val="auto"/>
        </w:rPr>
        <w:t> Registration No. 333-281967​</w:t>
      </w:r>
    </w:p>
    <w:p>
      <w:pPr>
        <w:ind w:left="2960"/>
        <w:spacing w:after="0"/>
        <w:rPr>
          <w:sz w:val="20"/>
          <w:szCs w:val="20"/>
          <w:color w:val="auto"/>
        </w:rPr>
      </w:pPr>
      <w:r>
        <w:rPr>
          <w:rFonts w:ascii="Times New Roman" w:cs="Times New Roman" w:eastAsia="Times New Roman" w:hAnsi="Times New Roman"/>
          <w:sz w:val="16"/>
          <w:szCs w:val="16"/>
          <w:b w:val="1"/>
          <w:bCs w:val="1"/>
          <w:color w:val="FC0014"/>
        </w:rPr>
        <w:t>Subject to completion, dated November 10, 2025</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September 6, 2024)</w:t>
      </w:r>
    </w:p>
    <w:p>
      <w:pPr>
        <w:spacing w:after="0" w:line="3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2065020</wp:posOffset>
            </wp:positionH>
            <wp:positionV relativeFrom="paragraph">
              <wp:posOffset>56515</wp:posOffset>
            </wp:positionV>
            <wp:extent cx="164592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auto"/>
        </w:rPr>
        <w:t>Plains All American Pipeline, L.P.</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PAA Finance Corp.</w:t>
      </w: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            4.700% Senior Notes due 2031</w:t>
      </w:r>
    </w:p>
    <w:p>
      <w:pPr>
        <w:ind w:left="2840"/>
        <w:spacing w:after="0"/>
        <w:rPr>
          <w:sz w:val="20"/>
          <w:szCs w:val="20"/>
          <w:color w:val="auto"/>
        </w:rPr>
      </w:pPr>
      <w:r>
        <w:rPr>
          <w:rFonts w:ascii="Times New Roman" w:cs="Times New Roman" w:eastAsia="Times New Roman" w:hAnsi="Times New Roman"/>
          <w:sz w:val="22"/>
          <w:szCs w:val="22"/>
          <w:b w:val="1"/>
          <w:bCs w:val="1"/>
          <w:color w:val="auto"/>
        </w:rPr>
        <w:t>$            5.600% Senior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73025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3" w:lineRule="exact"/>
        <w:rPr>
          <w:sz w:val="24"/>
          <w:szCs w:val="24"/>
          <w:color w:val="auto"/>
        </w:rPr>
      </w:pPr>
    </w:p>
    <w:p>
      <w:pPr>
        <w:ind w:right="200" w:firstLine="360"/>
        <w:spacing w:after="0" w:line="231" w:lineRule="auto"/>
        <w:rPr>
          <w:sz w:val="20"/>
          <w:szCs w:val="20"/>
          <w:color w:val="auto"/>
        </w:rPr>
      </w:pPr>
      <w:r>
        <w:rPr>
          <w:rFonts w:ascii="Times New Roman" w:cs="Times New Roman" w:eastAsia="Times New Roman" w:hAnsi="Times New Roman"/>
          <w:sz w:val="16"/>
          <w:szCs w:val="16"/>
          <w:color w:val="auto"/>
        </w:rPr>
        <w:t>Plains All American Pipeline, L.P. and PAA Finance Corp. are offering $            aggregate principal amount of debt securities, consisting of $            aggregate principal amount of 4.700% Senior Notes due 2031 (the “2031 Notes”) and $            aggregate</w:t>
      </w:r>
    </w:p>
    <w:p>
      <w:pPr>
        <w:spacing w:after="0" w:line="230" w:lineRule="auto"/>
        <w:rPr>
          <w:sz w:val="20"/>
          <w:szCs w:val="20"/>
          <w:color w:val="auto"/>
        </w:rPr>
      </w:pPr>
      <w:r>
        <w:rPr>
          <w:rFonts w:ascii="Times New Roman" w:cs="Times New Roman" w:eastAsia="Times New Roman" w:hAnsi="Times New Roman"/>
          <w:sz w:val="16"/>
          <w:szCs w:val="16"/>
          <w:color w:val="auto"/>
        </w:rPr>
        <w:t>principal amount of 5.600% Senior Notes due 2036 (the “2036 Notes,” and together with the 2031 Notes, the “Notes”). The 2031</w:t>
      </w:r>
    </w:p>
    <w:p>
      <w:pPr>
        <w:spacing w:after="0" w:line="1" w:lineRule="exact"/>
        <w:rPr>
          <w:sz w:val="24"/>
          <w:szCs w:val="24"/>
          <w:color w:val="auto"/>
        </w:rPr>
      </w:pPr>
    </w:p>
    <w:p>
      <w:pPr>
        <w:ind w:right="300"/>
        <w:spacing w:after="0" w:line="220" w:lineRule="auto"/>
        <w:rPr>
          <w:sz w:val="20"/>
          <w:szCs w:val="20"/>
          <w:color w:val="auto"/>
        </w:rPr>
      </w:pPr>
      <w:r>
        <w:rPr>
          <w:rFonts w:ascii="Times New Roman" w:cs="Times New Roman" w:eastAsia="Times New Roman" w:hAnsi="Times New Roman"/>
          <w:sz w:val="16"/>
          <w:szCs w:val="16"/>
          <w:color w:val="auto"/>
        </w:rPr>
        <w:t>Notes offered hereby and the 2036 Notes offered hereby are being offered as additional issuances of our 4.700% Senior Notes due 2031 and 5.600% Senior Notes due 2036, of which we issued $700 million and $550 million aggregate principal amount,</w:t>
      </w:r>
    </w:p>
    <w:p>
      <w:pPr>
        <w:spacing w:after="0" w:line="229" w:lineRule="auto"/>
        <w:rPr>
          <w:sz w:val="20"/>
          <w:szCs w:val="20"/>
          <w:color w:val="auto"/>
        </w:rPr>
      </w:pPr>
      <w:r>
        <w:rPr>
          <w:rFonts w:ascii="Times New Roman" w:cs="Times New Roman" w:eastAsia="Times New Roman" w:hAnsi="Times New Roman"/>
          <w:sz w:val="16"/>
          <w:szCs w:val="16"/>
          <w:color w:val="auto"/>
        </w:rPr>
        <w:t>respectively, on September 8, 2025. The 2031 Notes and 2036 Notes offered hereby will form a single series with the initial notes of</w:t>
      </w:r>
    </w:p>
    <w:p>
      <w:pPr>
        <w:ind w:right="180"/>
        <w:spacing w:after="0" w:line="220" w:lineRule="auto"/>
        <w:rPr>
          <w:sz w:val="20"/>
          <w:szCs w:val="20"/>
          <w:color w:val="auto"/>
        </w:rPr>
      </w:pPr>
      <w:r>
        <w:rPr>
          <w:rFonts w:ascii="Times New Roman" w:cs="Times New Roman" w:eastAsia="Times New Roman" w:hAnsi="Times New Roman"/>
          <w:sz w:val="16"/>
          <w:szCs w:val="16"/>
          <w:color w:val="auto"/>
        </w:rPr>
        <w:t>their respective series, will have identical terms as the initial notes of their respective series, and will have the same CUSIP number as and will trade interchangeably with the initial notes of their respective series. Immediately following the issuance of the 2031</w:t>
      </w:r>
    </w:p>
    <w:p>
      <w:pPr>
        <w:ind w:right="300"/>
        <w:spacing w:after="0" w:line="239" w:lineRule="auto"/>
        <w:rPr>
          <w:sz w:val="20"/>
          <w:szCs w:val="20"/>
          <w:color w:val="auto"/>
        </w:rPr>
      </w:pPr>
      <w:r>
        <w:rPr>
          <w:rFonts w:ascii="Times New Roman" w:cs="Times New Roman" w:eastAsia="Times New Roman" w:hAnsi="Times New Roman"/>
          <w:sz w:val="16"/>
          <w:szCs w:val="16"/>
          <w:color w:val="auto"/>
        </w:rPr>
        <w:t>Notes offered hereby, there will be $            aggregate principal amount of the 2031 Notes outstanding. Immediately following the issuance of the 2036 Notes offered hereby, there will be $            aggregate principal amount of the 2036 Notes outstanding.</w:t>
      </w:r>
    </w:p>
    <w:p>
      <w:pPr>
        <w:spacing w:after="0" w:line="2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We will pay interest on the Notes semi-annually in arrears on January 15 and July 15 of each year, beginning on January 15,</w:t>
      </w:r>
    </w:p>
    <w:p>
      <w:pPr>
        <w:spacing w:after="0" w:line="10" w:lineRule="exact"/>
        <w:rPr>
          <w:sz w:val="24"/>
          <w:szCs w:val="24"/>
          <w:color w:val="auto"/>
        </w:rPr>
      </w:pPr>
    </w:p>
    <w:p>
      <w:pPr>
        <w:ind w:right="240"/>
        <w:spacing w:after="0" w:line="220" w:lineRule="auto"/>
        <w:rPr>
          <w:sz w:val="20"/>
          <w:szCs w:val="20"/>
          <w:color w:val="auto"/>
        </w:rPr>
      </w:pPr>
      <w:r>
        <w:rPr>
          <w:rFonts w:ascii="Times New Roman" w:cs="Times New Roman" w:eastAsia="Times New Roman" w:hAnsi="Times New Roman"/>
          <w:sz w:val="16"/>
          <w:szCs w:val="16"/>
          <w:color w:val="auto"/>
        </w:rPr>
        <w:t>2026. Interest on the Notes offered hereby will accrue from September 8, 2025. The 2031 Notes will mature on January 15, 2031, unless redeemed prior to the maturity date. The 2036 Notes will mature on January 15, 2036, unless redeemed prior to the maturity</w:t>
      </w: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8" w:lineRule="exact"/>
        <w:rPr>
          <w:sz w:val="24"/>
          <w:szCs w:val="24"/>
          <w:color w:val="auto"/>
        </w:rPr>
      </w:pPr>
    </w:p>
    <w:p>
      <w:pPr>
        <w:ind w:right="220" w:firstLine="360"/>
        <w:spacing w:after="0" w:line="263" w:lineRule="auto"/>
        <w:rPr>
          <w:sz w:val="20"/>
          <w:szCs w:val="20"/>
          <w:color w:val="auto"/>
        </w:rPr>
      </w:pPr>
      <w:r>
        <w:rPr>
          <w:rFonts w:ascii="Times New Roman" w:cs="Times New Roman" w:eastAsia="Times New Roman" w:hAnsi="Times New Roman"/>
          <w:sz w:val="16"/>
          <w:szCs w:val="16"/>
          <w:color w:val="auto"/>
        </w:rPr>
        <w:t>We may, at our option, redeem the Notes of either series at any time in whole or from time to time in part, prior to maturity, at the redemption prices as described herein under “Description of Notes — Optional Redemption.”</w:t>
      </w:r>
    </w:p>
    <w:p>
      <w:pPr>
        <w:spacing w:after="0" w:line="2" w:lineRule="exact"/>
        <w:rPr>
          <w:sz w:val="24"/>
          <w:szCs w:val="24"/>
          <w:color w:val="auto"/>
        </w:rPr>
      </w:pPr>
    </w:p>
    <w:p>
      <w:pPr>
        <w:ind w:right="200" w:firstLine="360"/>
        <w:spacing w:after="0" w:line="263" w:lineRule="auto"/>
        <w:rPr>
          <w:sz w:val="20"/>
          <w:szCs w:val="20"/>
          <w:color w:val="auto"/>
        </w:rPr>
      </w:pPr>
      <w:r>
        <w:rPr>
          <w:rFonts w:ascii="Times New Roman" w:cs="Times New Roman" w:eastAsia="Times New Roman" w:hAnsi="Times New Roman"/>
          <w:sz w:val="16"/>
          <w:szCs w:val="16"/>
          <w:color w:val="auto"/>
        </w:rPr>
        <w:t>The Notes are the unsecured senior obligations of Plains All American Pipeline, L.P. and PAA Finance Corp. and rank equally in right of payment with their other senior indebtedness from time to time outstanding.</w:t>
      </w:r>
    </w:p>
    <w:p>
      <w:pPr>
        <w:spacing w:after="0" w:line="2" w:lineRule="exact"/>
        <w:rPr>
          <w:sz w:val="24"/>
          <w:szCs w:val="24"/>
          <w:color w:val="auto"/>
        </w:rPr>
      </w:pPr>
    </w:p>
    <w:p>
      <w:pPr>
        <w:ind w:right="260" w:firstLine="360"/>
        <w:spacing w:after="0" w:line="262" w:lineRule="auto"/>
        <w:rPr>
          <w:sz w:val="20"/>
          <w:szCs w:val="20"/>
          <w:color w:val="auto"/>
        </w:rPr>
      </w:pPr>
      <w:r>
        <w:rPr>
          <w:rFonts w:ascii="Times New Roman" w:cs="Times New Roman" w:eastAsia="Times New Roman" w:hAnsi="Times New Roman"/>
          <w:sz w:val="16"/>
          <w:szCs w:val="16"/>
          <w:color w:val="auto"/>
        </w:rPr>
        <w:t>There is a limited trading market for the Notes. We do not currently intend to apply for listing of either series of the Notes on any securities exchange or to have either series of the Notes quoted on any automated quotation system.</w:t>
      </w:r>
    </w:p>
    <w:p>
      <w:pPr>
        <w:spacing w:after="0" w:line="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Investing in the Notes involves risks. See “Risk Factors” beginning on page </w:t>
      </w:r>
      <w:r>
        <w:rPr>
          <w:rFonts w:ascii="Times New Roman" w:cs="Times New Roman" w:eastAsia="Times New Roman" w:hAnsi="Times New Roman"/>
          <w:sz w:val="16"/>
          <w:szCs w:val="16"/>
          <w:b w:val="1"/>
          <w:bCs w:val="1"/>
          <w:u w:val="single" w:color="auto"/>
          <w:color w:val="0000EE"/>
        </w:rPr>
        <w:t>S-6</w:t>
      </w:r>
      <w:r>
        <w:rPr>
          <w:rFonts w:ascii="Times New Roman" w:cs="Times New Roman" w:eastAsia="Times New Roman" w:hAnsi="Times New Roman"/>
          <w:sz w:val="16"/>
          <w:szCs w:val="16"/>
          <w:b w:val="1"/>
          <w:bCs w:val="1"/>
          <w:color w:val="auto"/>
        </w:rPr>
        <w:t xml:space="preserve"> of this prospectus supplement.</w:t>
      </w:r>
    </w:p>
    <w:p>
      <w:pPr>
        <w:spacing w:after="0" w:line="6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Neither the U.S. Securities and Exchange Commission nor any state securities commission has approved or disapproved of</w:t>
      </w:r>
    </w:p>
    <w:p>
      <w:pPr>
        <w:spacing w:after="0" w:line="10" w:lineRule="exact"/>
        <w:rPr>
          <w:sz w:val="24"/>
          <w:szCs w:val="24"/>
          <w:color w:val="auto"/>
        </w:rPr>
      </w:pPr>
    </w:p>
    <w:p>
      <w:pPr>
        <w:ind w:right="560"/>
        <w:spacing w:after="0" w:line="231" w:lineRule="auto"/>
        <w:rPr>
          <w:sz w:val="20"/>
          <w:szCs w:val="20"/>
          <w:color w:val="auto"/>
        </w:rPr>
      </w:pPr>
      <w:r>
        <w:rPr>
          <w:rFonts w:ascii="Times New Roman" w:cs="Times New Roman" w:eastAsia="Times New Roman" w:hAnsi="Times New Roman"/>
          <w:sz w:val="16"/>
          <w:szCs w:val="16"/>
          <w:color w:val="auto"/>
        </w:rPr>
        <w:t>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72390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Per 2031 Note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2031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Per 2036 Note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2036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Notes offered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Notes offered</w:t>
            </w:r>
          </w:p>
        </w:tc>
        <w:tc>
          <w:tcPr>
            <w:tcW w:w="0" w:type="dxa"/>
            <w:vAlign w:val="bottom"/>
          </w:tcPr>
          <w:p>
            <w:pPr>
              <w:spacing w:after="0"/>
              <w:rPr>
                <w:sz w:val="1"/>
                <w:szCs w:val="1"/>
                <w:color w:val="auto"/>
              </w:rPr>
            </w:pPr>
          </w:p>
        </w:tc>
      </w:tr>
      <w:tr>
        <w:trPr>
          <w:trHeight w:val="205"/>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 offered hereby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hereby</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 offered hereby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hereby</w:t>
            </w:r>
          </w:p>
        </w:tc>
        <w:tc>
          <w:tcPr>
            <w:tcW w:w="1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3"/>
        </w:trPr>
        <w:tc>
          <w:tcPr>
            <w:tcW w:w="340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Public Offering Price</w:t>
            </w:r>
            <w:r>
              <w:rPr>
                <w:rFonts w:ascii="Times New Roman" w:cs="Times New Roman" w:eastAsia="Times New Roman" w:hAnsi="Times New Roman"/>
                <w:sz w:val="19"/>
                <w:szCs w:val="19"/>
                <w:color w:val="auto"/>
                <w:vertAlign w:val="superscript"/>
              </w:rPr>
              <w:t>(1)</w:t>
            </w:r>
          </w:p>
        </w:tc>
        <w:tc>
          <w:tcPr>
            <w:tcW w:w="1180" w:type="dxa"/>
            <w:vAlign w:val="bottom"/>
            <w:tcBorders>
              <w:top w:val="single" w:sz="8" w:color="CCEEFF"/>
            </w:tcBorders>
            <w:shd w:val="clear" w:color="auto" w:fill="CCEEFF"/>
          </w:tcPr>
          <w:p>
            <w:pPr>
              <w:ind w:left="11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gridSpan w:val="2"/>
            <w:shd w:val="clear" w:color="auto" w:fill="CCEEFF"/>
          </w:tcPr>
          <w:p>
            <w:pPr>
              <w:jc w:val="right"/>
              <w:ind w:right="59"/>
              <w:spacing w:after="0" w:line="183"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p>
        </w:tc>
        <w:tc>
          <w:tcPr>
            <w:tcW w:w="1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ind w:left="100"/>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gridSpan w:val="2"/>
            <w:shd w:val="clear" w:color="auto" w:fill="CCEEFF"/>
          </w:tcPr>
          <w:p>
            <w:pPr>
              <w:jc w:val="right"/>
              <w:ind w:right="59"/>
              <w:spacing w:after="0" w:line="183"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p>
        </w:tc>
        <w:tc>
          <w:tcPr>
            <w:tcW w:w="14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ind w:left="100"/>
              <w:spacing w:after="0" w:line="183" w:lineRule="exact"/>
              <w:rPr>
                <w:sz w:val="20"/>
                <w:szCs w:val="20"/>
                <w:color w:val="auto"/>
              </w:rPr>
            </w:pPr>
            <w:r>
              <w:rPr>
                <w:rFonts w:ascii="Times New Roman" w:cs="Times New Roman" w:eastAsia="Times New Roman" w:hAnsi="Times New Roman"/>
                <w:sz w:val="16"/>
                <w:szCs w:val="16"/>
                <w:color w:val="auto"/>
              </w:rPr>
              <w:t xml:space="preserve">​$               </w:t>
            </w: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Underwriting Discount</w:t>
            </w:r>
          </w:p>
        </w:tc>
        <w:tc>
          <w:tcPr>
            <w:tcW w:w="126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12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49"/>
        </w:trPr>
        <w:tc>
          <w:tcPr>
            <w:tcW w:w="1940" w:type="dxa"/>
            <w:vAlign w:val="bottom"/>
            <w:tcBorders>
              <w:bottom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5048250</wp:posOffset>
            </wp:positionH>
            <wp:positionV relativeFrom="paragraph">
              <wp:posOffset>-479425</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-479425</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-479425</wp:posOffset>
            </wp:positionV>
            <wp:extent cx="3711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01" w:lineRule="exact"/>
        <w:rPr>
          <w:sz w:val="24"/>
          <w:szCs w:val="24"/>
          <w:color w:val="auto"/>
        </w:rPr>
      </w:pPr>
    </w:p>
    <w:p>
      <w:pPr>
        <w:ind w:left="360" w:hanging="360"/>
        <w:spacing w:after="0"/>
        <w:tabs>
          <w:tab w:leader="none" w:pos="3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accrued interest on the applicable series of Notes from September 8, 2025.</w:t>
      </w:r>
    </w:p>
    <w:p>
      <w:pPr>
        <w:spacing w:after="0" w:line="73" w:lineRule="exact"/>
        <w:rPr>
          <w:sz w:val="24"/>
          <w:szCs w:val="24"/>
          <w:color w:val="auto"/>
        </w:rPr>
      </w:pPr>
    </w:p>
    <w:p>
      <w:pPr>
        <w:ind w:right="420" w:firstLine="360"/>
        <w:spacing w:after="0" w:line="231" w:lineRule="auto"/>
        <w:rPr>
          <w:sz w:val="20"/>
          <w:szCs w:val="20"/>
          <w:color w:val="auto"/>
        </w:rPr>
      </w:pPr>
      <w:r>
        <w:rPr>
          <w:rFonts w:ascii="Times New Roman" w:cs="Times New Roman" w:eastAsia="Times New Roman" w:hAnsi="Times New Roman"/>
          <w:sz w:val="16"/>
          <w:szCs w:val="16"/>
          <w:color w:val="auto"/>
        </w:rPr>
        <w:t>This prospectus supplement and the accompanying base prospectus are not intended to constitute an offer to, and the Notes should not be purchased, held or otherwise acquired by, a “specified foreign entity” as defined in Section 7701(a)(51)(B) of the</w:t>
      </w:r>
    </w:p>
    <w:p>
      <w:pPr>
        <w:spacing w:after="0" w:line="230" w:lineRule="auto"/>
        <w:rPr>
          <w:sz w:val="20"/>
          <w:szCs w:val="20"/>
          <w:color w:val="auto"/>
        </w:rPr>
      </w:pPr>
      <w:r>
        <w:rPr>
          <w:rFonts w:ascii="Times New Roman" w:cs="Times New Roman" w:eastAsia="Times New Roman" w:hAnsi="Times New Roman"/>
          <w:sz w:val="16"/>
          <w:szCs w:val="16"/>
          <w:color w:val="auto"/>
        </w:rPr>
        <w:t>Internal Revenue Code of 1986, as amended (an “SFE”). By purchasing the Notes, any investor in the Notes (including all affiliated</w:t>
      </w:r>
    </w:p>
    <w:p>
      <w:pPr>
        <w:spacing w:after="0" w:line="1" w:lineRule="exact"/>
        <w:rPr>
          <w:sz w:val="24"/>
          <w:szCs w:val="24"/>
          <w:color w:val="auto"/>
        </w:rPr>
      </w:pPr>
    </w:p>
    <w:p>
      <w:pPr>
        <w:ind w:right="220"/>
        <w:spacing w:after="0" w:line="231" w:lineRule="auto"/>
        <w:rPr>
          <w:sz w:val="20"/>
          <w:szCs w:val="20"/>
          <w:color w:val="auto"/>
        </w:rPr>
      </w:pPr>
      <w:r>
        <w:rPr>
          <w:rFonts w:ascii="Times New Roman" w:cs="Times New Roman" w:eastAsia="Times New Roman" w:hAnsi="Times New Roman"/>
          <w:sz w:val="16"/>
          <w:szCs w:val="16"/>
          <w:color w:val="auto"/>
        </w:rPr>
        <w:t>entities that participate in such purchase) will be deemed to represent and warrant to us that it is not, and will not be, for its taxable year that includes the date of the original issuance of the Notes, an SFE.</w:t>
      </w:r>
    </w:p>
    <w:p>
      <w:pPr>
        <w:spacing w:after="0" w:line="33" w:lineRule="exact"/>
        <w:rPr>
          <w:sz w:val="24"/>
          <w:szCs w:val="24"/>
          <w:color w:val="auto"/>
        </w:rPr>
      </w:pPr>
    </w:p>
    <w:p>
      <w:pPr>
        <w:ind w:right="240" w:firstLine="360"/>
        <w:spacing w:after="0" w:line="231" w:lineRule="auto"/>
        <w:rPr>
          <w:sz w:val="20"/>
          <w:szCs w:val="20"/>
          <w:color w:val="auto"/>
        </w:rPr>
      </w:pPr>
      <w:r>
        <w:rPr>
          <w:rFonts w:ascii="Times New Roman" w:cs="Times New Roman" w:eastAsia="Times New Roman" w:hAnsi="Times New Roman"/>
          <w:sz w:val="16"/>
          <w:szCs w:val="16"/>
          <w:color w:val="auto"/>
        </w:rPr>
        <w:t xml:space="preserve">The underwriters expect to deliver the Notes in book-entry form only through facilities of The Depository Trust Company for the account of its participants, including Clearstream Banking,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and Euroclear Bank SA/NV, as operator of the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Euroclear System, against payment on or about 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69215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Joint Book-Running Managers</w:t>
      </w:r>
    </w:p>
    <w:p>
      <w:pPr>
        <w:spacing w:after="0" w:line="46" w:lineRule="exact"/>
        <w:rPr>
          <w:sz w:val="24"/>
          <w:szCs w:val="24"/>
          <w:color w:val="auto"/>
        </w:rPr>
      </w:pPr>
    </w:p>
    <w:p>
      <w:pPr>
        <w:spacing w:after="0"/>
        <w:tabs>
          <w:tab w:leader="none" w:pos="1300" w:val="left"/>
          <w:tab w:leader="none" w:pos="1620" w:val="left"/>
          <w:tab w:leader="none" w:pos="4340" w:val="left"/>
          <w:tab w:leader="none" w:pos="4660" w:val="left"/>
          <w:tab w:leader="none" w:pos="7280" w:val="left"/>
          <w:tab w:leader="none" w:pos="7600" w:val="left"/>
        </w:tabs>
        <w:rPr>
          <w:sz w:val="20"/>
          <w:szCs w:val="20"/>
          <w:color w:val="auto"/>
        </w:rPr>
      </w:pPr>
      <w:r>
        <w:rPr>
          <w:rFonts w:ascii="Times New Roman" w:cs="Times New Roman" w:eastAsia="Times New Roman" w:hAnsi="Times New Roman"/>
          <w:sz w:val="25"/>
          <w:szCs w:val="25"/>
          <w:b w:val="1"/>
          <w:bCs w:val="1"/>
          <w:color w:val="auto"/>
        </w:rPr>
        <w:t>​Citigroup​</w:t>
        <w:tab/>
        <w:t>​</w:t>
        <w:tab/>
        <w:t>CIBC Capital Markets ​</w:t>
        <w:tab/>
        <w:t>​</w:t>
        <w:tab/>
        <w:t>RBC Capital Markets ​</w:t>
        <w:tab/>
        <w:t>​</w:t>
        <w:tab/>
        <w:t>SMBC Nikko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2270760</wp:posOffset>
            </wp:positionH>
            <wp:positionV relativeFrom="paragraph">
              <wp:posOffset>50165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7" w:lineRule="exact"/>
        <w:rPr>
          <w:sz w:val="24"/>
          <w:szCs w:val="24"/>
          <w:color w:val="auto"/>
        </w:rPr>
      </w:pPr>
    </w:p>
    <w:p>
      <w:pPr>
        <w:sectPr>
          <w:pgSz w:w="11900" w:h="16838" w:orient="portrait"/>
          <w:cols w:equalWidth="0" w:num="2">
            <w:col w:w="740" w:space="400"/>
            <w:col w:w="9140"/>
          </w:cols>
          <w:pgMar w:left="580" w:top="205" w:right="10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6"/>
          <w:szCs w:val="16"/>
          <w:color w:val="auto"/>
        </w:rPr>
        <w:t>The date of this prospectus supplement is 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247650</wp:posOffset>
            </wp:positionV>
            <wp:extent cx="68065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8"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8"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Important notice about information in this prospectus supplement and the accompanying base prospectus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supplement 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Book-entry, delivery and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U.S. federal income tax consequences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Underwriting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15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Forward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About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common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Cash</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distribution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our partnership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Material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Plan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distribution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Legal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S-ii</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S-iii</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S-42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iii</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ectPr>
          <w:pgSz w:w="11900" w:h="16838" w:orient="portrait"/>
          <w:cols w:equalWidth="0" w:num="2">
            <w:col w:w="8320" w:space="560"/>
            <w:col w:w="99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Important notice about information in this prospectus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supplement and the accompanying base prospectus</w:t>
      </w:r>
    </w:p>
    <w:p>
      <w:pPr>
        <w:spacing w:after="0" w:line="1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340"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If the description of the offering varies between the prospectus supplement and the accompanying base prospectus, you should rely on the information in the prospectus supplement.</w:t>
      </w:r>
    </w:p>
    <w:p>
      <w:pPr>
        <w:spacing w:after="0" w:line="8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1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subject to a number of risks and uncertainties, many of which are beyond our control. See “Forward-looking statements” and “Risk factors.”</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2025, which is the third business day following the date of pricing of the Notes (such settlement being referred to as “T+3”). Under Rule 15c6-1 of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96" w:lineRule="exact"/>
        <w:rPr>
          <w:sz w:val="20"/>
          <w:szCs w:val="20"/>
          <w:color w:val="auto"/>
        </w:rPr>
      </w:pPr>
    </w:p>
    <w:p>
      <w:pPr>
        <w:ind w:left="1800" w:right="45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Divestiture (as defined herein), including the risk that the Canadian NGL Divestiture is not consummated on the terms expected or on the anticipated schedule, or at all, and the effect of the announcement or the pendency of the Canadian NGL Divestiture on our business relationships, operating results, employees, stakeholders and business generally;</w:t>
      </w:r>
    </w:p>
    <w:p>
      <w:pPr>
        <w:spacing w:after="0" w:line="85"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w:t>
      </w:r>
    </w:p>
    <w:p>
      <w:pPr>
        <w:spacing w:after="0" w:line="2" w:lineRule="exact"/>
        <w:rPr>
          <w:rFonts w:ascii="Times New Roman" w:cs="Times New Roman" w:eastAsia="Times New Roman" w:hAnsi="Times New Roman"/>
          <w:sz w:val="18"/>
          <w:szCs w:val="18"/>
          <w:color w:val="auto"/>
        </w:rPr>
      </w:pPr>
    </w:p>
    <w:p>
      <w:pPr>
        <w:ind w:left="1800" w:right="11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demand for crude oil, drilling and production activities and therefore the demand for the midstream services we provide and (ii) commercial opportunities available to us;</w:t>
      </w:r>
    </w:p>
    <w:p>
      <w:pPr>
        <w:spacing w:after="0" w:line="73"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99"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 including the transactions described below under “Prospectus Supplement Summary — Recent Developments”;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 including the EPIC Acquisitions, as described below under “Prospectus Supplement Summary — Recent Developments”;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6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1800" w:right="59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6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91"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jc w:val="both"/>
        <w:ind w:left="1800" w:right="5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94" w:lineRule="exact"/>
        <w:rPr>
          <w:sz w:val="20"/>
          <w:szCs w:val="20"/>
          <w:color w:val="auto"/>
        </w:rPr>
      </w:pPr>
    </w:p>
    <w:p>
      <w:pPr>
        <w:ind w:left="1260" w:right="45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Other factors described or incorporated by reference herein, as well as factors that are unknown or unpredictable, could also have a material adverse effect on future results. See “Risk Factors” beginning on </w:t>
      </w:r>
      <w:hyperlink r:id="rId36">
        <w:r>
          <w:rPr>
            <w:rFonts w:ascii="Times New Roman" w:cs="Times New Roman" w:eastAsia="Times New Roman" w:hAnsi="Times New Roman"/>
            <w:sz w:val="18"/>
            <w:szCs w:val="18"/>
            <w:color w:val="auto"/>
          </w:rPr>
          <w:t xml:space="preserve">page S-6 of this prospectus supplement and in Item 1A. “Risk Factors” in </w:t>
        </w:r>
        <w:r>
          <w:rPr>
            <w:rFonts w:ascii="Times New Roman" w:cs="Times New Roman" w:eastAsia="Times New Roman" w:hAnsi="Times New Roman"/>
            <w:sz w:val="18"/>
            <w:szCs w:val="18"/>
            <w:u w:val="single" w:color="auto"/>
            <w:color w:val="0000EE"/>
          </w:rPr>
          <w:t>our Annual Report on Form 10-K</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for the fiscal year 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001-14569) and in any of our subsequent quarterly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current reports, which are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56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516245" cy="815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419" w:firstLine="360"/>
        <w:spacing w:after="0" w:line="24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S- 6 of this prospectus supplement and in Item 1A. “Risk Factors” in </w:t>
      </w:r>
      <w:hyperlink r:id="rId36">
        <w:r>
          <w:rPr>
            <w:rFonts w:ascii="Times New Roman" w:cs="Times New Roman" w:eastAsia="Times New Roman" w:hAnsi="Times New Roman"/>
            <w:sz w:val="18"/>
            <w:szCs w:val="18"/>
            <w:i w:val="1"/>
            <w:iCs w:val="1"/>
            <w:u w:val="single" w:color="auto"/>
            <w:color w:val="0000EE"/>
          </w:rPr>
          <w:t>our Annual Report on Form 10-K for the fiscal year ended December 31, 2024</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(File No. 001-14569) and in any of our subsequent quarterly or current reports, which are incorporated in this prospectus supplement by reference, for information regarding risks you should consider before making a decision to purchase any Notes in this offering.</w:t>
      </w:r>
    </w:p>
    <w:p>
      <w:pPr>
        <w:spacing w:after="0" w:line="328" w:lineRule="exact"/>
        <w:rPr>
          <w:sz w:val="20"/>
          <w:szCs w:val="20"/>
          <w:color w:val="auto"/>
        </w:rPr>
      </w:pPr>
    </w:p>
    <w:p>
      <w:pPr>
        <w:ind w:left="128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148" w:lineRule="exact"/>
        <w:rPr>
          <w:sz w:val="20"/>
          <w:szCs w:val="20"/>
          <w:color w:val="auto"/>
        </w:rPr>
      </w:pPr>
    </w:p>
    <w:p>
      <w:pPr>
        <w:ind w:left="1280" w:right="479" w:firstLine="360"/>
        <w:spacing w:after="0" w:line="246" w:lineRule="auto"/>
        <w:rPr>
          <w:sz w:val="20"/>
          <w:szCs w:val="20"/>
          <w:color w:val="auto"/>
        </w:rPr>
      </w:pPr>
      <w:r>
        <w:rPr>
          <w:rFonts w:ascii="Times New Roman" w:cs="Times New Roman" w:eastAsia="Times New Roman" w:hAnsi="Times New Roman"/>
          <w:sz w:val="18"/>
          <w:szCs w:val="18"/>
          <w:color w:val="auto"/>
        </w:rPr>
        <w:t>We are a publicly traded Delaware limited partnership. Our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 and NGL and conducted through two operating segments: Crude Oil and NGL.</w:t>
      </w:r>
    </w:p>
    <w:p>
      <w:pPr>
        <w:spacing w:after="0" w:line="3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The Canadian NGL Divestiture</w:t>
      </w:r>
    </w:p>
    <w:p>
      <w:pPr>
        <w:spacing w:after="0" w:line="160" w:lineRule="exact"/>
        <w:rPr>
          <w:sz w:val="20"/>
          <w:szCs w:val="20"/>
          <w:color w:val="auto"/>
        </w:rPr>
      </w:pPr>
    </w:p>
    <w:p>
      <w:pPr>
        <w:ind w:left="1280" w:right="439" w:firstLine="360"/>
        <w:spacing w:after="0" w:line="241" w:lineRule="auto"/>
        <w:rPr>
          <w:sz w:val="20"/>
          <w:szCs w:val="20"/>
          <w:color w:val="auto"/>
        </w:rPr>
      </w:pPr>
      <w:r>
        <w:rPr>
          <w:rFonts w:ascii="Times New Roman" w:cs="Times New Roman" w:eastAsia="Times New Roman" w:hAnsi="Times New Roman"/>
          <w:sz w:val="18"/>
          <w:szCs w:val="18"/>
          <w:color w:val="auto"/>
        </w:rPr>
        <w:t>On June 17, 2025, a wholly -owned subsidiary (the “Seller”) of the Partnership entered into a definitive Share Purchase Agreement with Keyera Corp., an Alberta Corporation (“Keyera”), pursuant to which Keyera will purchase from Seller all of the issued and outstanding shares of Plains Midstream Canada ULC, a subsidiary of the Partnership that owns substantially all of its NGL business, for a cash purchase price of approximately C$5.15 billion, subject to adjustments (the “Canadian NGL Divestiture”) . We will retain substantially all NGL assets located in the United States and all crude oil assets located in Canada. The Canadian NGL Divestiture is expected to close in the first quarter of 2026, subject to the satisfaction or waiver of customary closing conditions, including regulatory approvals. The closing of this offering is not contingent on the consummation of the Canadian NGL Divestiture, and the consummation of the Canadian NGL Divestiture is not contingent on the closing of this offering. No assurance can be given that the Canadian NGL Divestiture will ultimately be consummated on the terms and schedule currently contemplated, or at all.</w:t>
      </w: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EPIC Acquisitions</w:t>
      </w:r>
    </w:p>
    <w:p>
      <w:pPr>
        <w:spacing w:after="0" w:line="146" w:lineRule="exact"/>
        <w:rPr>
          <w:sz w:val="20"/>
          <w:szCs w:val="20"/>
          <w:color w:val="auto"/>
        </w:rPr>
      </w:pPr>
    </w:p>
    <w:p>
      <w:pPr>
        <w:ind w:left="1280" w:right="479" w:firstLine="360"/>
        <w:spacing w:after="0" w:line="243" w:lineRule="auto"/>
        <w:rPr>
          <w:sz w:val="20"/>
          <w:szCs w:val="20"/>
          <w:color w:val="auto"/>
        </w:rPr>
      </w:pPr>
      <w:r>
        <w:rPr>
          <w:rFonts w:ascii="Times New Roman" w:cs="Times New Roman" w:eastAsia="Times New Roman" w:hAnsi="Times New Roman"/>
          <w:sz w:val="18"/>
          <w:szCs w:val="18"/>
          <w:color w:val="auto"/>
        </w:rPr>
        <w:t>On October 31, 2025, a wholly-owned subsidiary (the “Buyer”) of the Partnership completed the purchase of an aggregate 55% non-operated equity interest in EPIC Crude Holdings, LP (“EPIC Crude”), the entity that owns and operates the EPIC Crude Oil Pipeline (the “EPIC Pipeline”), and an aggregate 55% of the membership interests in EPIC Crude Holdings GP, LLC (“EPIC GP”), the general partner of EPIC Crude, for a purchase price of approximately $ 1.57 billion, inclusive of approximately $600 million of debt under the EPIC Term Loan (as defined below) (the “55% EPIC Acquisition”). The purchase price is subject to certain post-closing adjustments, and the Buyer has also agreed to a potential earnout payment of approximately $193 million should an expansion of the EPIC Pipeline to a capacity of at least 900,000</w:t>
      </w:r>
    </w:p>
    <w:p>
      <w:pPr>
        <w:sectPr>
          <w:pgSz w:w="11900" w:h="16838" w:orient="portrait"/>
          <w:cols w:equalWidth="0" w:num="1">
            <w:col w:w="9879"/>
          </w:cols>
          <w:pgMar w:left="580" w:top="97" w:right="1440" w:bottom="1440" w:gutter="0" w:footer="0" w:header="0"/>
        </w:sectPr>
      </w:pPr>
    </w:p>
    <w:p>
      <w:pPr>
        <w:spacing w:after="0" w:line="38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1599"/>
        <w:spacing w:after="0" w:line="282" w:lineRule="auto"/>
        <w:rPr>
          <w:sz w:val="20"/>
          <w:szCs w:val="20"/>
          <w:color w:val="auto"/>
        </w:rPr>
      </w:pPr>
      <w:r>
        <w:rPr>
          <w:rFonts w:ascii="Times New Roman" w:cs="Times New Roman" w:eastAsia="Times New Roman" w:hAnsi="Times New Roman"/>
          <w:sz w:val="18"/>
          <w:szCs w:val="18"/>
          <w:color w:val="auto"/>
        </w:rPr>
        <w:t>barrels per day be formally sanctioned before the end of 2027. The Partnership has agreed to guaranty certain of the Buyer’s obligations pursuant to the 55% EPIC Acquisition.</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Effective November 1, 2025, in a separate transaction from the 55% EPIC Acquisition, the Buyer also</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completed the purchase of the remaining 45% equity interest in EPIC Crude and the remaining 45% of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membership interests in EPIC GP, for a purchase price of approximately $1.33 billion, inclusive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approximately $500 million of debt under the EPIC Term Loan (the “EPIC 45% Acquisition,” and, together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the EPIC 55% Acquisition, the “EPIC Acquisitions”). The purchase price is subject to certain post-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closing adjustments, and the Buyer has agreed to a potential earnout payment of up to approximately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$157 million depending on the timing and amount of incremental expansion capacity up to 300,000 barrels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per day in excess of 650,000 barrels per day that is sanctioned before the end of 2028.</w:t>
      </w:r>
    </w:p>
    <w:p>
      <w:pPr>
        <w:spacing w:after="0" w:line="139" w:lineRule="exact"/>
        <w:rPr>
          <w:sz w:val="20"/>
          <w:szCs w:val="20"/>
          <w:color w:val="auto"/>
        </w:rPr>
      </w:pPr>
    </w:p>
    <w:p>
      <w:pPr>
        <w:ind w:left="1280" w:right="499" w:firstLine="360"/>
        <w:spacing w:after="0" w:line="255" w:lineRule="auto"/>
        <w:rPr>
          <w:sz w:val="20"/>
          <w:szCs w:val="20"/>
          <w:color w:val="auto"/>
        </w:rPr>
      </w:pPr>
      <w:r>
        <w:rPr>
          <w:rFonts w:ascii="Times New Roman" w:cs="Times New Roman" w:eastAsia="Times New Roman" w:hAnsi="Times New Roman"/>
          <w:sz w:val="18"/>
          <w:szCs w:val="18"/>
          <w:color w:val="auto"/>
        </w:rPr>
        <w:t>As a result of the EPIC Acquisitions, the Partnership indirectly owns 100% of the equity interests in EPIC Crude and 100% of the membership interests in EPIC GP and will serve as operator of record of the EPIC Pipeline. The EPIC Pipeline provides long-haul crude oil takeaway from the Permian and Eagle Ford basins to the Gulf Coast market at Corpus Christi. EPIC Crude’s assets include approximately 800 miles of long-haul pipelines (including the EPIC Pipeline), capacity of over 600,000 barrels per day with low-cost expansion capabilities, approximately 7 million barrels of operational storage, and over 200,000 barrels per day of export capacity.</w:t>
      </w:r>
    </w:p>
    <w:p>
      <w:pPr>
        <w:spacing w:after="0" w:line="108"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Also as a result of the EPIC Acquisitions, the Partnership indirectly holds all equity interests in EPIC Crude Services, LP (the “Borrower”), which, along with EPIC Crude, is a party to a credit agreement (as amended, the “EPIC Credit Agreement”), by and among EPIC Crude, the Borrower, Goldman Sachs Bank USA, as administrative and collateral agent, and the lenders and letters of credit issuers party thereto from time to time.</w:t>
      </w:r>
    </w:p>
    <w:p>
      <w:pPr>
        <w:spacing w:after="0" w:line="116" w:lineRule="exact"/>
        <w:rPr>
          <w:sz w:val="20"/>
          <w:szCs w:val="20"/>
          <w:color w:val="auto"/>
        </w:rPr>
      </w:pPr>
    </w:p>
    <w:p>
      <w:pPr>
        <w:ind w:left="1280" w:right="959" w:firstLine="360"/>
        <w:spacing w:after="0" w:line="261" w:lineRule="auto"/>
        <w:rPr>
          <w:sz w:val="20"/>
          <w:szCs w:val="20"/>
          <w:color w:val="auto"/>
        </w:rPr>
      </w:pPr>
      <w:r>
        <w:rPr>
          <w:rFonts w:ascii="Times New Roman" w:cs="Times New Roman" w:eastAsia="Times New Roman" w:hAnsi="Times New Roman"/>
          <w:sz w:val="18"/>
          <w:szCs w:val="18"/>
          <w:color w:val="auto"/>
        </w:rPr>
        <w:t>The EPIC Credit Agreement provides for a $1.2 billion term loan (the “EPIC Term Loan”) and a $125.0 million revolving credit facility (the “EPIC Revolver”). The EPIC Term Loan and the</w:t>
      </w:r>
    </w:p>
    <w:p>
      <w:pPr>
        <w:ind w:left="1280" w:right="419"/>
        <w:spacing w:after="0" w:line="252" w:lineRule="auto"/>
        <w:rPr>
          <w:sz w:val="20"/>
          <w:szCs w:val="20"/>
          <w:color w:val="auto"/>
        </w:rPr>
      </w:pPr>
      <w:r>
        <w:rPr>
          <w:rFonts w:ascii="Times New Roman" w:cs="Times New Roman" w:eastAsia="Times New Roman" w:hAnsi="Times New Roman"/>
          <w:sz w:val="18"/>
          <w:szCs w:val="18"/>
          <w:color w:val="auto"/>
        </w:rPr>
        <w:t>EPIC Revolver have scheduled maturity dates of October 15, 2031 and 2029, respectively, subject to certain extensions and other terms and conditions set forth in the EPIC Credit Agreement. As of November 1, 2025, there were approximately $1.1 billion of borrowings outstanding under the EPIC Term Loan and no borrowings outstanding under the EPIC Revolver. The Partnership does not guarantee the obligations under the EPIC Credit Agreement. The obligations under the EPIC Credit Agreement are guaranteed by, and secured by substantially all assets of, EPIC Crude, the Borrower and their subsidiaries.</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162" w:lineRule="exact"/>
        <w:rPr>
          <w:sz w:val="20"/>
          <w:szCs w:val="20"/>
          <w:color w:val="auto"/>
        </w:rPr>
      </w:pPr>
    </w:p>
    <w:p>
      <w:pPr>
        <w:ind w:left="1280" w:right="439" w:firstLine="360"/>
        <w:spacing w:after="0" w:line="259" w:lineRule="auto"/>
        <w:rPr>
          <w:sz w:val="20"/>
          <w:szCs w:val="20"/>
          <w:color w:val="auto"/>
        </w:rPr>
      </w:pPr>
      <w:r>
        <w:rPr>
          <w:rFonts w:ascii="Times New Roman" w:cs="Times New Roman" w:eastAsia="Times New Roman" w:hAnsi="Times New Roman"/>
          <w:sz w:val="18"/>
          <w:szCs w:val="18"/>
          <w:color w:val="auto"/>
        </w:rPr>
        <w:t>Our executive offices are located at 333 Clay Street, Suite 1600, Houston, Texas 77002. Our telephone number is (713) 646-4100. We maintain a website at www.plains.com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left="1280" w:right="419" w:firstLine="36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about us, including our partnership structure and management, please refer to the documents set forth under “Where you can find more information” in this prospectus supplement, including our </w:t>
      </w:r>
      <w:hyperlink r:id="rId36">
        <w:r>
          <w:rPr>
            <w:rFonts w:ascii="Times New Roman" w:cs="Times New Roman" w:eastAsia="Times New Roman" w:hAnsi="Times New Roman"/>
            <w:sz w:val="18"/>
            <w:szCs w:val="18"/>
            <w:u w:val="single" w:color="auto"/>
            <w:color w:val="0000EE"/>
          </w:rPr>
          <w:t>Annual Report on Form 10-K for the fiscal year ended December 31,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001-14569), our Quarterly Reports on Form 10-Q for the periods ended </w:t>
      </w:r>
      <w:hyperlink r:id="rId41">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3">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any subsequent Current Reports on Form 8-K (other than, in each case, information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furnished rather than filed), each of which is incorporated by reference herein.</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42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5516245" cy="824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6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64"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Issuers</w:t>
      </w:r>
      <w:r>
        <w:rPr>
          <w:sz w:val="20"/>
          <w:szCs w:val="20"/>
          <w:color w:val="auto"/>
        </w:rPr>
        <w:tab/>
      </w:r>
      <w:r>
        <w:rPr>
          <w:rFonts w:ascii="Times New Roman" w:cs="Times New Roman" w:eastAsia="Times New Roman" w:hAnsi="Times New Roman"/>
          <w:sz w:val="18"/>
          <w:szCs w:val="18"/>
          <w:color w:val="auto"/>
        </w:rPr>
        <w:t>Plains All American Pipeline, L.P. and PAA Finance Corp.</w:t>
      </w:r>
    </w:p>
    <w:p>
      <w:pPr>
        <w:spacing w:after="0" w:line="1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PAA Finance Corp., a Delaware corporation, is a wholly owned</w:t>
      </w:r>
    </w:p>
    <w:p>
      <w:pPr>
        <w:spacing w:after="0" w:line="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subsidiary of Plains All American Pipeline, L.P. that has been</w:t>
      </w:r>
    </w:p>
    <w:p>
      <w:pPr>
        <w:spacing w:after="0" w:line="7" w:lineRule="exact"/>
        <w:rPr>
          <w:sz w:val="20"/>
          <w:szCs w:val="20"/>
          <w:color w:val="auto"/>
        </w:rPr>
      </w:pPr>
    </w:p>
    <w:p>
      <w:pPr>
        <w:ind w:left="4300" w:right="419"/>
        <w:spacing w:after="0"/>
        <w:rPr>
          <w:sz w:val="20"/>
          <w:szCs w:val="20"/>
          <w:color w:val="auto"/>
        </w:rPr>
      </w:pPr>
      <w:r>
        <w:rPr>
          <w:rFonts w:ascii="Times New Roman" w:cs="Times New Roman" w:eastAsia="Times New Roman" w:hAnsi="Times New Roman"/>
          <w:sz w:val="18"/>
          <w:szCs w:val="18"/>
          <w:color w:val="auto"/>
        </w:rPr>
        <w:t>organized for the purpose of co-issuing our existing notes, the Notes offered hereby and the notes issued in any future offerings. PAA Finance Corp. does not have operations of any kind and will not</w:t>
      </w:r>
    </w:p>
    <w:p>
      <w:pPr>
        <w:ind w:left="4300" w:right="499"/>
        <w:spacing w:after="0" w:line="245" w:lineRule="auto"/>
        <w:rPr>
          <w:sz w:val="20"/>
          <w:szCs w:val="20"/>
          <w:color w:val="auto"/>
        </w:rPr>
      </w:pPr>
      <w:r>
        <w:rPr>
          <w:rFonts w:ascii="Times New Roman" w:cs="Times New Roman" w:eastAsia="Times New Roman" w:hAnsi="Times New Roman"/>
          <w:sz w:val="18"/>
          <w:szCs w:val="18"/>
          <w:color w:val="auto"/>
        </w:rPr>
        <w:t>have any revenue other than as may be incidental to its activities as a co-issuer of our debt securities.</w:t>
      </w:r>
    </w:p>
    <w:p>
      <w:pPr>
        <w:spacing w:after="0" w:line="68"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Future guarantees</w:t>
      </w:r>
      <w:r>
        <w:rPr>
          <w:sz w:val="20"/>
          <w:szCs w:val="20"/>
          <w:color w:val="auto"/>
        </w:rPr>
        <w:tab/>
      </w:r>
      <w:r>
        <w:rPr>
          <w:rFonts w:ascii="Times New Roman" w:cs="Times New Roman" w:eastAsia="Times New Roman" w:hAnsi="Times New Roman"/>
          <w:sz w:val="18"/>
          <w:szCs w:val="18"/>
          <w:color w:val="auto"/>
        </w:rPr>
        <w:t>The Notes are not guaranteed by any subsidiaries of the issuers. In</w:t>
      </w:r>
    </w:p>
    <w:p>
      <w:pPr>
        <w:spacing w:after="0" w:line="31" w:lineRule="exact"/>
        <w:rPr>
          <w:sz w:val="20"/>
          <w:szCs w:val="20"/>
          <w:color w:val="auto"/>
        </w:rPr>
      </w:pPr>
    </w:p>
    <w:p>
      <w:pPr>
        <w:ind w:left="4300" w:right="439"/>
        <w:spacing w:after="0" w:line="253" w:lineRule="auto"/>
        <w:rPr>
          <w:sz w:val="20"/>
          <w:szCs w:val="20"/>
          <w:color w:val="auto"/>
        </w:rPr>
      </w:pPr>
      <w:r>
        <w:rPr>
          <w:rFonts w:ascii="Times New Roman" w:cs="Times New Roman" w:eastAsia="Times New Roman" w:hAnsi="Times New Roman"/>
          <w:sz w:val="18"/>
          <w:szCs w:val="18"/>
          <w:color w:val="auto"/>
        </w:rPr>
        <w:t>the future, however, if any subsidiary guarantees any of the issuers’ other debt, then such subsidiary will, jointly and severally, fully and unconditionally guarantee the issuers’ payment obligations under the Notes. See “Description of notes — Possible future guarantees.”</w:t>
      </w:r>
    </w:p>
    <w:p>
      <w:pPr>
        <w:spacing w:after="0" w:line="7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Notes offered</w:t>
      </w:r>
      <w:r>
        <w:rPr>
          <w:sz w:val="20"/>
          <w:szCs w:val="20"/>
          <w:color w:val="auto"/>
        </w:rPr>
        <w:tab/>
      </w:r>
      <w:r>
        <w:rPr>
          <w:rFonts w:ascii="Times New Roman" w:cs="Times New Roman" w:eastAsia="Times New Roman" w:hAnsi="Times New Roman"/>
          <w:sz w:val="18"/>
          <w:szCs w:val="18"/>
          <w:color w:val="auto"/>
        </w:rPr>
        <w:t>$               aggregate principal amount of 4.700% Senior Notes due</w:t>
      </w:r>
    </w:p>
    <w:p>
      <w:pPr>
        <w:spacing w:after="0" w:line="31" w:lineRule="exact"/>
        <w:rPr>
          <w:sz w:val="20"/>
          <w:szCs w:val="20"/>
          <w:color w:val="auto"/>
        </w:rPr>
      </w:pPr>
    </w:p>
    <w:p>
      <w:pPr>
        <w:ind w:left="4300" w:right="599"/>
        <w:spacing w:after="0" w:line="260" w:lineRule="auto"/>
        <w:rPr>
          <w:sz w:val="20"/>
          <w:szCs w:val="20"/>
          <w:color w:val="auto"/>
        </w:rPr>
      </w:pPr>
      <w:r>
        <w:rPr>
          <w:rFonts w:ascii="Times New Roman" w:cs="Times New Roman" w:eastAsia="Times New Roman" w:hAnsi="Times New Roman"/>
          <w:sz w:val="18"/>
          <w:szCs w:val="18"/>
          <w:color w:val="auto"/>
        </w:rPr>
        <w:t>2031 and $               aggregate principal amount of 5.600% Senior Notes due 2036.</w:t>
      </w:r>
    </w:p>
    <w:p>
      <w:pPr>
        <w:spacing w:after="0" w:line="114" w:lineRule="exact"/>
        <w:rPr>
          <w:sz w:val="20"/>
          <w:szCs w:val="20"/>
          <w:color w:val="auto"/>
        </w:rPr>
      </w:pPr>
    </w:p>
    <w:p>
      <w:pPr>
        <w:ind w:left="4300" w:right="399"/>
        <w:spacing w:after="0" w:line="252" w:lineRule="auto"/>
        <w:rPr>
          <w:sz w:val="20"/>
          <w:szCs w:val="20"/>
          <w:color w:val="auto"/>
        </w:rPr>
      </w:pPr>
      <w:r>
        <w:rPr>
          <w:rFonts w:ascii="Times New Roman" w:cs="Times New Roman" w:eastAsia="Times New Roman" w:hAnsi="Times New Roman"/>
          <w:sz w:val="18"/>
          <w:szCs w:val="18"/>
          <w:color w:val="auto"/>
        </w:rPr>
        <w:t>The 2031 Notes offered hereby and the 2036 Notes offered hereby are being offered as additional issuances of our 4.700% Senior Notes due 2031 and 5.600% Senior Notes due 2036, of which we issued $700 million and $550 million aggregate principal amount, respectively, on September 8, 2025. The 2031 Notes and 2036 Notes offered hereby will form a single series with the initial notes of their respective series, will have identical terms as the initial notes of their respective series, and will have the same CUSIP number as and will trade interchangeably with the initial notes of their respective series. Immediately following the issuance of the 2031 Notes offered hereby, there will be $               aggregate principal amount of the 2031 Notes outstanding. Immediately following the issuance of the 2036 Notes offered hereby, there will be $               aggregate principal amount of the 2036 Notes outstanding.</w:t>
      </w:r>
    </w:p>
    <w:p>
      <w:pPr>
        <w:spacing w:after="0" w:line="30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Maturity date</w:t>
      </w:r>
      <w:r>
        <w:rPr>
          <w:sz w:val="20"/>
          <w:szCs w:val="20"/>
          <w:color w:val="auto"/>
        </w:rPr>
        <w:tab/>
      </w:r>
      <w:r>
        <w:rPr>
          <w:rFonts w:ascii="Times New Roman" w:cs="Times New Roman" w:eastAsia="Times New Roman" w:hAnsi="Times New Roman"/>
          <w:sz w:val="18"/>
          <w:szCs w:val="18"/>
          <w:color w:val="auto"/>
        </w:rPr>
        <w:t>The 2031 Notes will mature on January 15, 2031. The 2036 Notes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will mature on January 15, 2036.</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Interest rate</w:t>
      </w:r>
      <w:r>
        <w:rPr>
          <w:sz w:val="20"/>
          <w:szCs w:val="20"/>
          <w:color w:val="auto"/>
        </w:rPr>
        <w:tab/>
      </w:r>
      <w:r>
        <w:rPr>
          <w:rFonts w:ascii="Times New Roman" w:cs="Times New Roman" w:eastAsia="Times New Roman" w:hAnsi="Times New Roman"/>
          <w:sz w:val="18"/>
          <w:szCs w:val="18"/>
          <w:color w:val="auto"/>
        </w:rPr>
        <w:t>4.700% for the 2031 Notes and 5.600% for the 2036 Notes, in each</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case, accruing from September 8, 2025.</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Interest payment dates</w:t>
      </w:r>
      <w:r>
        <w:rPr>
          <w:sz w:val="20"/>
          <w:szCs w:val="20"/>
          <w:color w:val="auto"/>
        </w:rPr>
        <w:tab/>
      </w:r>
      <w:r>
        <w:rPr>
          <w:rFonts w:ascii="Times New Roman" w:cs="Times New Roman" w:eastAsia="Times New Roman" w:hAnsi="Times New Roman"/>
          <w:sz w:val="18"/>
          <w:szCs w:val="18"/>
          <w:color w:val="auto"/>
        </w:rPr>
        <w:t>We will pay interest on the Notes semi-annually in arrears on</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January 15 and July 15 of each year, beginning on January 15, 2026.</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Optional redemption</w:t>
      </w:r>
      <w:r>
        <w:rPr>
          <w:sz w:val="20"/>
          <w:szCs w:val="20"/>
          <w:color w:val="auto"/>
        </w:rPr>
        <w:tab/>
      </w:r>
      <w:r>
        <w:rPr>
          <w:rFonts w:ascii="Times New Roman" w:cs="Times New Roman" w:eastAsia="Times New Roman" w:hAnsi="Times New Roman"/>
          <w:sz w:val="18"/>
          <w:szCs w:val="18"/>
          <w:color w:val="auto"/>
        </w:rPr>
        <w:t>We may redeem either or both series of the Notes, in whole or in</w:t>
      </w:r>
    </w:p>
    <w:p>
      <w:pPr>
        <w:spacing w:after="0" w:line="31" w:lineRule="exact"/>
        <w:rPr>
          <w:sz w:val="20"/>
          <w:szCs w:val="20"/>
          <w:color w:val="auto"/>
        </w:rPr>
      </w:pPr>
    </w:p>
    <w:p>
      <w:pPr>
        <w:ind w:left="4300" w:right="539"/>
        <w:spacing w:after="0" w:line="251" w:lineRule="auto"/>
        <w:rPr>
          <w:sz w:val="20"/>
          <w:szCs w:val="20"/>
          <w:color w:val="auto"/>
        </w:rPr>
      </w:pPr>
      <w:r>
        <w:rPr>
          <w:rFonts w:ascii="Times New Roman" w:cs="Times New Roman" w:eastAsia="Times New Roman" w:hAnsi="Times New Roman"/>
          <w:sz w:val="18"/>
          <w:szCs w:val="18"/>
          <w:color w:val="auto"/>
        </w:rPr>
        <w:t>part, at any time and from time to time prior to maturity. If we redeem the 2031 Notes before December 15, 2030 or the 2036 Notes before October 15, 2035 (each date, a “Par Call Date” with respect to the applicable series of the Notes), then the redemption price will equal the applicable make-whole price described in this prospectus supplement under “Description of notes — Optional redemption.” If we redeem the Notes on or after the applicable Par Call Date, we will pay an amount equal to 100% of the principal amount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328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516245" cy="832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Notes to be redeemed plus accrued and unpaid interest to the</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redemption date. See “Description of notes — Optional</w:t>
            </w:r>
          </w:p>
        </w:tc>
      </w:tr>
      <w:tr>
        <w:trPr>
          <w:trHeight w:val="234"/>
        </w:trPr>
        <w:tc>
          <w:tcPr>
            <w:tcW w:w="26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redemption.”</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Notes are senior unsecured obligations of the issuers and rank</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equally in right of payment with the existing and future senior</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unsecured indebtedness of the issuers. The Notes are effectively</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junior to all of our existing and future secured indebtedness,</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including indebtedness under the EPIC Credit Agreement, to the</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extent of the value of the collateral securing such secured</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indebtedness, and are structurally junior to debt and other</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obligations of subsidiaries that do not guarantee the Notes,</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including the EPIC Credit Agreement. As of November 1, 2025,</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there were approximately $1.1 billion of term loan borrowings</w:t>
            </w:r>
          </w:p>
        </w:tc>
      </w:tr>
      <w:tr>
        <w:trPr>
          <w:trHeight w:val="234"/>
        </w:trPr>
        <w:tc>
          <w:tcPr>
            <w:tcW w:w="26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outstanding under the EPIC Credit Agreement.</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Notes will be issued under an indenture containing covenants</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for your benefit. These covenants restrict our ability, with certain</w:t>
            </w:r>
          </w:p>
        </w:tc>
      </w:tr>
      <w:tr>
        <w:trPr>
          <w:trHeight w:val="234"/>
        </w:trPr>
        <w:tc>
          <w:tcPr>
            <w:tcW w:w="26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exceptions, to:</w:t>
            </w:r>
          </w:p>
        </w:tc>
      </w:tr>
      <w:tr>
        <w:trPr>
          <w:trHeight w:val="392"/>
        </w:trPr>
        <w:tc>
          <w:tcPr>
            <w:tcW w:w="2620" w:type="dxa"/>
            <w:vAlign w:val="bottom"/>
          </w:tcPr>
          <w:p>
            <w:pPr>
              <w:spacing w:after="0"/>
              <w:rPr>
                <w:sz w:val="24"/>
                <w:szCs w:val="24"/>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incur liens on principal properties to secure debt;</w:t>
            </w:r>
          </w:p>
        </w:tc>
      </w:tr>
      <w:tr>
        <w:trPr>
          <w:trHeight w:val="378"/>
        </w:trPr>
        <w:tc>
          <w:tcPr>
            <w:tcW w:w="2620" w:type="dxa"/>
            <w:vAlign w:val="bottom"/>
          </w:tcPr>
          <w:p>
            <w:pPr>
              <w:spacing w:after="0"/>
              <w:rPr>
                <w:sz w:val="24"/>
                <w:szCs w:val="24"/>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engage in sale-leaseback transactions; and</w:t>
            </w:r>
          </w:p>
        </w:tc>
      </w:tr>
      <w:tr>
        <w:trPr>
          <w:trHeight w:val="360"/>
        </w:trPr>
        <w:tc>
          <w:tcPr>
            <w:tcW w:w="2620" w:type="dxa"/>
            <w:vAlign w:val="bottom"/>
          </w:tcPr>
          <w:p>
            <w:pPr>
              <w:spacing w:after="0"/>
              <w:rPr>
                <w:sz w:val="24"/>
                <w:szCs w:val="24"/>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 or consolidate with another entity or sell, lease</w:t>
            </w:r>
          </w:p>
        </w:tc>
      </w:tr>
      <w:tr>
        <w:trPr>
          <w:trHeight w:val="216"/>
        </w:trPr>
        <w:tc>
          <w:tcPr>
            <w:tcW w:w="2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transfer substantially all of our properties or assets to</w:t>
            </w:r>
          </w:p>
        </w:tc>
      </w:tr>
      <w:tr>
        <w:trPr>
          <w:trHeight w:val="234"/>
        </w:trPr>
        <w:tc>
          <w:tcPr>
            <w:tcW w:w="2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another entity.</w:t>
            </w:r>
          </w:p>
        </w:tc>
      </w:tr>
      <w:tr>
        <w:trPr>
          <w:trHeight w:val="364"/>
        </w:trPr>
        <w:tc>
          <w:tcPr>
            <w:tcW w:w="2620" w:type="dxa"/>
            <w:vAlign w:val="bottom"/>
          </w:tcPr>
          <w:p>
            <w:pPr>
              <w:spacing w:after="0"/>
              <w:rPr>
                <w:sz w:val="24"/>
                <w:szCs w:val="24"/>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See “Description of notes — Covenants.”</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net proceeds of this offering will be approximately</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after deducting the underwriting discounts and our</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estimated offering expenses, and excluding accrued interest. We</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intend to use the net proceeds from the offering for general</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partnership purposes, which may include, among other things,</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repayment of indebtedness, intra-group lending and related</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transactions, capital expenditures and additions to working capital.</w:t>
            </w:r>
          </w:p>
        </w:tc>
      </w:tr>
      <w:tr>
        <w:trPr>
          <w:trHeight w:val="234"/>
        </w:trPr>
        <w:tc>
          <w:tcPr>
            <w:tcW w:w="26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See “Use of proceeds.”</w:t>
            </w:r>
          </w:p>
        </w:tc>
      </w:tr>
      <w:tr>
        <w:trPr>
          <w:trHeight w:val="346"/>
        </w:trPr>
        <w:tc>
          <w:tcPr>
            <w:tcW w:w="2620" w:type="dxa"/>
            <w:vAlign w:val="bottom"/>
          </w:tcPr>
          <w:p>
            <w:pPr>
              <w:spacing w:after="0"/>
              <w:rPr>
                <w:sz w:val="24"/>
                <w:szCs w:val="24"/>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Affiliates of certain underwriters are lenders under our credit</w:t>
            </w:r>
          </w:p>
        </w:tc>
      </w:tr>
      <w:tr>
        <w:trPr>
          <w:trHeight w:val="230"/>
        </w:trPr>
        <w:tc>
          <w:tcPr>
            <w:tcW w:w="2620" w:type="dxa"/>
            <w:vAlign w:val="bottom"/>
          </w:tcPr>
          <w:p>
            <w:pPr>
              <w:spacing w:after="0"/>
              <w:rPr>
                <w:sz w:val="19"/>
                <w:szCs w:val="19"/>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facilities and/or dealers under our commercial paper program and</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may hold commercial paper notes thereunder. To the extent we use</w:t>
            </w:r>
          </w:p>
        </w:tc>
      </w:tr>
      <w:tr>
        <w:trPr>
          <w:trHeight w:val="230"/>
        </w:trPr>
        <w:tc>
          <w:tcPr>
            <w:tcW w:w="2620" w:type="dxa"/>
            <w:vAlign w:val="bottom"/>
          </w:tcPr>
          <w:p>
            <w:pPr>
              <w:spacing w:after="0"/>
              <w:rPr>
                <w:sz w:val="19"/>
                <w:szCs w:val="19"/>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proceeds from this offering to repay indebtedness under our credit</w:t>
            </w:r>
          </w:p>
        </w:tc>
      </w:tr>
      <w:tr>
        <w:trPr>
          <w:trHeight w:val="230"/>
        </w:trPr>
        <w:tc>
          <w:tcPr>
            <w:tcW w:w="2620" w:type="dxa"/>
            <w:vAlign w:val="bottom"/>
          </w:tcPr>
          <w:p>
            <w:pPr>
              <w:spacing w:after="0"/>
              <w:rPr>
                <w:sz w:val="19"/>
                <w:szCs w:val="19"/>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facilities and/or commercial paper program, such underwriters</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and/or their affiliates may receive proceeds from this offering. See</w:t>
            </w:r>
          </w:p>
        </w:tc>
      </w:tr>
      <w:tr>
        <w:trPr>
          <w:trHeight w:val="234"/>
        </w:trPr>
        <w:tc>
          <w:tcPr>
            <w:tcW w:w="26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“Underwriting (Conflicts of Interest).”</w:t>
            </w:r>
          </w:p>
        </w:tc>
      </w:tr>
      <w:tr>
        <w:trPr>
          <w:trHeight w:val="319"/>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Notes of each series are represented by one or more permanent</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global certificates in fully registered form deposited with</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 custodian for, and registered in the name of, a nominee of The</w:t>
            </w:r>
          </w:p>
        </w:tc>
      </w:tr>
      <w:tr>
        <w:trPr>
          <w:trHeight w:val="234"/>
        </w:trPr>
        <w:tc>
          <w:tcPr>
            <w:tcW w:w="26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Depository Trust Company.</w:t>
            </w:r>
          </w:p>
        </w:tc>
      </w:tr>
      <w:tr>
        <w:trPr>
          <w:trHeight w:val="306"/>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Further issuances</w:t>
            </w: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 may create and issue additional Notes of either series ranking</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equally and ratably in all respects with the Notes of that series</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offered by this prospectus supplement, so that such additional Notes</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will be consolidated and form a single series with the applicable</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series of Notes offered by this prospectus supplement and will have</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the same terms, as to status, redemption or otherwise, except for the</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issue date, the initial interest payment date, if applicable, and the</w:t>
            </w:r>
          </w:p>
        </w:tc>
      </w:tr>
      <w:tr>
        <w:trPr>
          <w:trHeight w:val="216"/>
        </w:trPr>
        <w:tc>
          <w:tcPr>
            <w:tcW w:w="2620" w:type="dxa"/>
            <w:vAlign w:val="bottom"/>
          </w:tcPr>
          <w:p>
            <w:pPr>
              <w:spacing w:after="0"/>
              <w:rPr>
                <w:sz w:val="18"/>
                <w:szCs w:val="18"/>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payment of interest accruing prior to the issue date of such</w:t>
            </w:r>
          </w:p>
        </w:tc>
      </w:tr>
      <w:tr>
        <w:trPr>
          <w:trHeight w:val="234"/>
        </w:trPr>
        <w:tc>
          <w:tcPr>
            <w:tcW w:w="2620" w:type="dxa"/>
            <w:vAlign w:val="bottom"/>
          </w:tcPr>
          <w:p>
            <w:pPr>
              <w:spacing w:after="0"/>
              <w:rPr>
                <w:sz w:val="20"/>
                <w:szCs w:val="20"/>
                <w:color w:val="auto"/>
              </w:rPr>
            </w:pPr>
          </w:p>
        </w:tc>
        <w:tc>
          <w:tcPr>
            <w:tcW w:w="5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additional Notes.</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No listing</w:t>
      </w:r>
      <w:r>
        <w:rPr>
          <w:sz w:val="20"/>
          <w:szCs w:val="20"/>
          <w:color w:val="auto"/>
        </w:rPr>
        <w:tab/>
      </w:r>
      <w:r>
        <w:rPr>
          <w:rFonts w:ascii="Times New Roman" w:cs="Times New Roman" w:eastAsia="Times New Roman" w:hAnsi="Times New Roman"/>
          <w:sz w:val="18"/>
          <w:szCs w:val="18"/>
          <w:color w:val="auto"/>
        </w:rPr>
        <w:t>There is a limited trading market for the Notes. We do not currently</w:t>
      </w:r>
    </w:p>
    <w:p>
      <w:pPr>
        <w:spacing w:after="0" w:line="31" w:lineRule="exact"/>
        <w:rPr>
          <w:sz w:val="20"/>
          <w:szCs w:val="20"/>
          <w:color w:val="auto"/>
        </w:rPr>
      </w:pPr>
    </w:p>
    <w:p>
      <w:pPr>
        <w:ind w:left="4300" w:right="399"/>
        <w:spacing w:after="0" w:line="253" w:lineRule="auto"/>
        <w:rPr>
          <w:sz w:val="20"/>
          <w:szCs w:val="20"/>
          <w:color w:val="auto"/>
        </w:rPr>
      </w:pPr>
      <w:r>
        <w:rPr>
          <w:rFonts w:ascii="Times New Roman" w:cs="Times New Roman" w:eastAsia="Times New Roman" w:hAnsi="Times New Roman"/>
          <w:sz w:val="18"/>
          <w:szCs w:val="18"/>
          <w:color w:val="auto"/>
        </w:rPr>
        <w:t>intend to apply for listing of either series of the Notes on any securities exchange or to have either series of the Notes quoted on any automated quotation system. See “Risk Factors — Risks Related to the Notes — Your ability to transfer the Notes may be limited by the absence of an organized trading market.”</w:t>
      </w:r>
    </w:p>
    <w:p>
      <w:pPr>
        <w:spacing w:after="0" w:line="7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Governing law</w:t>
      </w:r>
      <w:r>
        <w:rPr>
          <w:sz w:val="20"/>
          <w:szCs w:val="20"/>
          <w:color w:val="auto"/>
        </w:rPr>
        <w:tab/>
      </w:r>
      <w:r>
        <w:rPr>
          <w:rFonts w:ascii="Times New Roman" w:cs="Times New Roman" w:eastAsia="Times New Roman" w:hAnsi="Times New Roman"/>
          <w:sz w:val="18"/>
          <w:szCs w:val="18"/>
          <w:color w:val="auto"/>
        </w:rPr>
        <w:t>State of New York.</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Trustee</w:t>
      </w:r>
      <w:r>
        <w:rPr>
          <w:sz w:val="20"/>
          <w:szCs w:val="20"/>
          <w:color w:val="auto"/>
        </w:rPr>
        <w:tab/>
      </w:r>
      <w:r>
        <w:rPr>
          <w:rFonts w:ascii="Times New Roman" w:cs="Times New Roman" w:eastAsia="Times New Roman" w:hAnsi="Times New Roman"/>
          <w:sz w:val="18"/>
          <w:szCs w:val="18"/>
          <w:color w:val="auto"/>
        </w:rPr>
        <w:t>U.S. Bank Trust Company, National Association.</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the Notes involves risks. You should consider carefully</w:t>
      </w:r>
    </w:p>
    <w:p>
      <w:pPr>
        <w:spacing w:after="0" w:line="31" w:lineRule="exact"/>
        <w:rPr>
          <w:sz w:val="20"/>
          <w:szCs w:val="20"/>
          <w:color w:val="auto"/>
        </w:rPr>
      </w:pPr>
    </w:p>
    <w:p>
      <w:pPr>
        <w:ind w:left="4300" w:right="459"/>
        <w:spacing w:after="0" w:line="252" w:lineRule="auto"/>
        <w:rPr>
          <w:sz w:val="20"/>
          <w:szCs w:val="20"/>
          <w:color w:val="auto"/>
        </w:rPr>
      </w:pPr>
      <w:r>
        <w:rPr>
          <w:rFonts w:ascii="Times New Roman" w:cs="Times New Roman" w:eastAsia="Times New Roman" w:hAnsi="Times New Roman"/>
          <w:sz w:val="18"/>
          <w:szCs w:val="18"/>
          <w:color w:val="auto"/>
        </w:rPr>
        <w:t>all of the information in this prospectus supplement, the accompanying base prospectus, any free writing prospectus relating to this offering and the documents incorporated by reference herein and therein. In particular, you should consider carefully the specific risks set forth in “Risk Factors” beginning on page S-6 of this prospectus supplement.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19" w:firstLine="360"/>
        <w:spacing w:after="0" w:line="24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Before making an investment in the Notes offered hereby, you should carefully consider the risk factors </w:t>
      </w:r>
      <w:hyperlink r:id="rId36">
        <w:r>
          <w:rPr>
            <w:rFonts w:ascii="Times New Roman" w:cs="Times New Roman" w:eastAsia="Times New Roman" w:hAnsi="Times New Roman"/>
            <w:sz w:val="18"/>
            <w:szCs w:val="18"/>
            <w:i w:val="1"/>
            <w:iCs w:val="1"/>
            <w:color w:val="auto"/>
          </w:rPr>
          <w:t xml:space="preserve">discussed herein and those included in Item 1A. “Risk Factors” in </w:t>
        </w:r>
        <w:r>
          <w:rPr>
            <w:rFonts w:ascii="Times New Roman" w:cs="Times New Roman" w:eastAsia="Times New Roman" w:hAnsi="Times New Roman"/>
            <w:sz w:val="18"/>
            <w:szCs w:val="18"/>
            <w:i w:val="1"/>
            <w:iCs w:val="1"/>
            <w:u w:val="single" w:color="auto"/>
            <w:color w:val="0000EE"/>
          </w:rPr>
          <w:t>our Annual Report on Form 10-K for the</w:t>
        </w:r>
      </w:hyperlink>
      <w:r>
        <w:rPr>
          <w:rFonts w:ascii="Times New Roman" w:cs="Times New Roman" w:eastAsia="Times New Roman" w:hAnsi="Times New Roman"/>
          <w:sz w:val="18"/>
          <w:szCs w:val="18"/>
          <w:i w:val="1"/>
          <w:iCs w:val="1"/>
          <w:color w:val="auto"/>
        </w:rPr>
        <w:t xml:space="preserve"> </w:t>
      </w:r>
      <w:hyperlink r:id="rId36">
        <w:r>
          <w:rPr>
            <w:rFonts w:ascii="Times New Roman" w:cs="Times New Roman" w:eastAsia="Times New Roman" w:hAnsi="Times New Roman"/>
            <w:sz w:val="18"/>
            <w:szCs w:val="18"/>
            <w:i w:val="1"/>
            <w:iCs w:val="1"/>
            <w:u w:val="single" w:color="auto"/>
            <w:color w:val="0000EE"/>
          </w:rPr>
          <w:t>fiscal year ended December 31, 2024</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(File No. 001-14569), and in any of our subsequent quarterly or</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current reports,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Notes is unsecured and will be effectively junior to our existing and future secured indebtedness, including indebtedness under the EPIC Credit Agreement.</w:t>
      </w:r>
    </w:p>
    <w:p>
      <w:pPr>
        <w:spacing w:after="0" w:line="9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Notes are effectively junior to claims of our secured creditors. As of September 30, 2025, on an as further adjusted basis as described under “Capitalization,” the Notes would have been effectively junior to approximately $1.1 billion of term loan borrowings outstanding under the EPIC Credit Agreement, to the extent of the value of the assets of the obligors under the EPIC Credit Agreement.</w:t>
      </w:r>
    </w:p>
    <w:p>
      <w:pPr>
        <w:spacing w:after="0" w:line="173" w:lineRule="exact"/>
        <w:rPr>
          <w:sz w:val="20"/>
          <w:szCs w:val="20"/>
          <w:color w:val="auto"/>
        </w:rPr>
      </w:pPr>
    </w:p>
    <w:p>
      <w:pPr>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Notes will be structurally junior as to any existing and future indebtedness and other obligations of our subsidiaries, other than subsidiaries that may guarantee the Notes in the future, including indebtedness under the EPIC Credit Agreement.</w:t>
      </w:r>
    </w:p>
    <w:p>
      <w:pPr>
        <w:spacing w:after="0" w:line="101"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Notes are effectively junior to any existing and future indebtedness and other obligations of our subsidiaries, including trade payables, other than subsidiaries that guarantee the Notes in the future, including the obligors under the EPIC Credit Agreement.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76" w:lineRule="exact"/>
        <w:rPr>
          <w:sz w:val="20"/>
          <w:szCs w:val="20"/>
          <w:color w:val="auto"/>
        </w:rPr>
      </w:pPr>
    </w:p>
    <w:p>
      <w:pPr>
        <w:ind w:left="1260" w:right="10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9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leverage is significant in relation to our partners’ capital. As of September 30, 2025, on an as further adjusted basis as described under “Capitalization,” our total outstanding long-term debt was approximately $               , and our total outstanding short-term debt was approximately $               .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1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either series of the Notes may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33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terms of our indebtedness. Our leverage may also make our results of operations more susceptible</w:t>
      </w:r>
    </w:p>
    <w:p>
      <w:pPr>
        <w:spacing w:after="0" w:line="27" w:lineRule="exact"/>
        <w:rPr>
          <w:sz w:val="20"/>
          <w:szCs w:val="20"/>
          <w:color w:val="auto"/>
        </w:rPr>
      </w:pPr>
    </w:p>
    <w:p>
      <w:pPr>
        <w:ind w:left="1260" w:right="959"/>
        <w:spacing w:after="0"/>
        <w:rPr>
          <w:sz w:val="20"/>
          <w:szCs w:val="20"/>
          <w:color w:val="auto"/>
        </w:rPr>
      </w:pPr>
      <w:r>
        <w:rPr>
          <w:rFonts w:ascii="Times New Roman" w:cs="Times New Roman" w:eastAsia="Times New Roman" w:hAnsi="Times New Roman"/>
          <w:sz w:val="18"/>
          <w:szCs w:val="18"/>
          <w:color w:val="auto"/>
        </w:rPr>
        <w:t>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an organized trading market.</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There is a limited trading market for the Notes. We do not currently intend to apply for listing of either series of the Notes on any securities exchange or to have either series of the Notes quoted on any automated quotation system. Although certain of the underwriters have informed us that they currently intend to continue to make a market in each series of the Notes, they are not obligated to do so. In addition, the underwriters may discontinue any such market making at any time without notice. The liquidity of any market for either series of the Notes will depend on the number of holders of such series of the Notes, the interest of securities dealers in making a market in such series of the Notes and other factors. Accordingly, we can give no assurance as to the development, continuation or liquidity of any market for either series of the Notes.</w:t>
      </w:r>
    </w:p>
    <w:p>
      <w:pPr>
        <w:spacing w:after="0" w:line="392"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7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with respect to either series of the Notes, we may be required to adopt one or more alternatives, such as a refinancing of either series of the Notes. We cannot assure you that we would be able to refinance the Notes.</w:t>
      </w:r>
    </w:p>
    <w:p>
      <w:pPr>
        <w:spacing w:after="0" w:line="182"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rating or outlook or in the rating assigned by a rating agency to the Notes of either series could adversely affect the market price or liquidity of such Notes.</w:t>
      </w:r>
    </w:p>
    <w:p>
      <w:pPr>
        <w:spacing w:after="0" w:line="90"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of either series. A negative change in our ratings or outlook could have an adverse effect on the price of such Notes.</w:t>
      </w:r>
    </w:p>
    <w:p>
      <w:pPr>
        <w:spacing w:after="0" w:line="1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Each series of the Notes has been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such Notes.</w:t>
      </w:r>
    </w:p>
    <w:p>
      <w:pPr>
        <w:spacing w:after="0" w:line="173" w:lineRule="exact"/>
        <w:rPr>
          <w:sz w:val="20"/>
          <w:szCs w:val="20"/>
          <w:color w:val="auto"/>
        </w:rPr>
      </w:pPr>
    </w:p>
    <w:p>
      <w:pPr>
        <w:ind w:left="1260" w:right="9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the Notes or to repay the Notes at their respective maturities.</w:t>
      </w:r>
    </w:p>
    <w:p>
      <w:pPr>
        <w:spacing w:after="0" w:line="9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256" w:lineRule="exact"/>
        <w:rPr>
          <w:sz w:val="20"/>
          <w:szCs w:val="20"/>
          <w:color w:val="auto"/>
        </w:rPr>
      </w:pPr>
    </w:p>
    <w:p>
      <w:pPr>
        <w:ind w:left="1800" w:right="8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 of our operating partnerships (including reserves for future capital expenditures and for our anticipated future credit needs);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loan agreement, security agreement, mortgage, debt instrument or other agreement or obligation;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preferred unitholders; or</w:t>
      </w:r>
    </w:p>
    <w:p>
      <w:pPr>
        <w:spacing w:after="0" w:line="130"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common unitholders for any one or more of the next four calendar quarters.</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you, the value of our units may decrease in direct correlation with decreases in the amount we distribute per unit. Accordingly, if we experience a liquidity problem in the future, we may not be able to issue equity to recapitalize.</w:t>
      </w:r>
    </w:p>
    <w:p>
      <w:pPr>
        <w:spacing w:after="0" w:line="176" w:lineRule="exact"/>
        <w:rPr>
          <w:sz w:val="20"/>
          <w:szCs w:val="20"/>
          <w:color w:val="auto"/>
        </w:rPr>
      </w:pPr>
    </w:p>
    <w:p>
      <w:pPr>
        <w:ind w:left="1260" w:right="69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tax treatment depends on our status as a partnership for U.S. federal income tax purposes and not being subject to a material amount of entity-level taxation by individual states or foreign jurisdictions. If the Internal Revenue Service (“IRS”) were to treat us as a corporation for U.S. federal income tax purposes, or if we become subject to entity-level taxation for state or foreign tax purposes, our cash available for payment of principal and interest on the Notes and our other indebtedness could be substantially reduced.</w:t>
      </w:r>
    </w:p>
    <w:p>
      <w:pPr>
        <w:spacing w:after="0" w:line="1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publicly traded partnership such as us may be treated as a corporation for federal income</w:t>
      </w:r>
    </w:p>
    <w:p>
      <w:pPr>
        <w:spacing w:after="0" w:line="27"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tax purposes unless it satisfies a “qualifying income” requirement as defined in Section 7704 of the Internal Revenue Code of 1986, as amended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 and our cash available for payment of principal and interest on the Notes and other indebtedness could be substantially reduced.</w:t>
      </w:r>
    </w:p>
    <w:p>
      <w:pPr>
        <w:spacing w:after="0" w:line="33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or additional federal or foreign taxes on us could substantially reduce our cash available for payment of principal and interest on the Notes and our other indebtedness.</w:t>
      </w:r>
    </w:p>
    <w:p>
      <w:pPr>
        <w:spacing w:after="0" w:line="179" w:lineRule="exact"/>
        <w:rPr>
          <w:sz w:val="20"/>
          <w:szCs w:val="20"/>
          <w:color w:val="auto"/>
        </w:rPr>
      </w:pPr>
    </w:p>
    <w:p>
      <w:pPr>
        <w:ind w:left="1260" w:right="5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IRS makes audit adjustments to our income tax returns, it (and some states) may assess</w:t>
      </w:r>
    </w:p>
    <w:p>
      <w:pPr>
        <w:spacing w:after="0" w:line="27"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Canadian NGL Divestiture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assurances when or if the Canadian NGL Divestiture will be completed.</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Although we expect to complete the Canadian NGL Divestiture in the first quarter of 2026, there can be no assurances as to the exact timing of the consummation of the Canadian NGL Divestiture or that it will be completed at all. The consummation of the Canadian NGL Divestiture is subject to numerous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conditions, including, among others, (i) the absence of any law, order or injunction prohibiting such transaction, (ii) obtaining applicable regulatory approvals, (iii) the accuracy of each party’s representations and warranties, subject to certain materiality thresholds set forth in the transaction agreement related thereto and (iv) each party’s compliance with its covenants and agreements contained in the transaction agreement related thereto. There can be no assurance that the conditions required to complete the Canadian NGL Divestiture, some of which are beyond the control of us and the other parties to the transactions, will be satisfied or waived on the anticipated schedule, or at all. This offering is not contingent on the consummation of the Canadian NGL Divestiture, and the Canadian NGL Divestiture is not contingent 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The net proceeds of this offering will be approximately $            after deducting the underwriting discounts and our estimated offering expenses, and excluding accrued interest. We intend to use the net proceeds from the offering for general partnership purposes, which may include, among other things, repayment of indebtedness, intra-group lending and related transactions, capital expenditures and additions to working capital.</w:t>
      </w:r>
    </w:p>
    <w:p>
      <w:pPr>
        <w:spacing w:after="0" w:line="33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September 30, 2025, we had no borrowings outstanding under our commercial paper program. As of November 7, 2025, we had approximately $1.719 billion outstanding borrowings under our commercial paper program with a weighted average interest rate of 4.19% and a weighted average maturity of 15 days.</w:t>
      </w:r>
    </w:p>
    <w:p>
      <w:pPr>
        <w:spacing w:after="0" w:line="9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commercial paper program is backstopped by our senior secured hedged inventory facility and our senior unsecured revolving credit facility that primarily mature in August 2027 and August 2029, respectively. Borrowings from our credit facilities and our commercial paper program were used to fund a portion of the EPIC Acquisitions and are used to meet our ongoing operating, investing and financing needs. See “Prospectus supplement summary — Recent Developments — EPIC Acquisitions.”</w:t>
      </w:r>
    </w:p>
    <w:p>
      <w:pPr>
        <w:spacing w:after="0" w:line="116"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Affiliates of certain underwriters are lenders under our credit facilities and/or dealers under our commercial paper program and may hold commercial paper notes thereunder. To the extent we use proceeds from this offering to repay indebtedness under our credit facilities and/or commercial paper program, such underwriters and/or their affiliates may receive proceeds from this offering. See “Underwriting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September 30, 2025:</w:t>
      </w:r>
    </w:p>
    <w:p>
      <w:pPr>
        <w:spacing w:after="0" w:line="117"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historical basis;</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(i) the repayment on October 3, 2025 of the 4.65% senior notes due October 2025 and (ii) the consummation of the transactions described under “Prospectus supplement summary — Recent Developments — EPIC Acquisitions,” including the funding of $1.8 billion of cash consideration through borrowings under our credit facilities, including our commercial paper program; and</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adjusted to give effect to the sale of the Notes offered hereby and the application of the net proceeds therefrom as described under “Use of proceeds” in this prospectus supplement, subject to the exclusion described below.</w:t>
      </w:r>
    </w:p>
    <w:p>
      <w:pPr>
        <w:spacing w:after="0" w:line="95"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table below does not give effect to the pending Canadian NGL Divestiture. This offering is not contingent on the consummation of the Canadian NGL Divestiture, and the consummation of the Canadian NGL Divestiture is not contingent on the closing of this offering.</w:t>
      </w:r>
    </w:p>
    <w:p>
      <w:pPr>
        <w:spacing w:after="0" w:line="10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This table should be read in conjunction with our financial statements and the notes thereto that are incorporated by reference into this prospectus supplement.</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10"/>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As of September 30, 2025</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w w:val="92"/>
              </w:rPr>
              <w:t>As further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Historical </w:t>
            </w:r>
            <w:r>
              <w:rPr>
                <w:rFonts w:ascii="Times New Roman" w:cs="Times New Roman" w:eastAsia="Times New Roman" w:hAnsi="Times New Roman"/>
                <w:sz w:val="24"/>
                <w:szCs w:val="24"/>
                <w:b w:val="1"/>
                <w:bCs w:val="1"/>
                <w:color w:val="auto"/>
                <w:vertAlign w:val="subscript"/>
              </w:rPr>
              <w:t>​</w:t>
            </w:r>
          </w:p>
        </w:tc>
        <w:tc>
          <w:tcPr>
            <w:tcW w:w="92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As adjusted </w:t>
            </w:r>
            <w:r>
              <w:rPr>
                <w:rFonts w:ascii="Times New Roman" w:cs="Times New Roman" w:eastAsia="Times New Roman" w:hAnsi="Times New Roman"/>
                <w:sz w:val="24"/>
                <w:szCs w:val="24"/>
                <w:b w:val="1"/>
                <w:bCs w:val="1"/>
                <w:color w:val="auto"/>
                <w:vertAlign w:val="subscript"/>
              </w:rPr>
              <w:t>​</w:t>
            </w:r>
          </w:p>
        </w:tc>
        <w:tc>
          <w:tcPr>
            <w:tcW w:w="70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5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7"/>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gridSpan w:val="5"/>
            <w:shd w:val="clear" w:color="auto" w:fill="CCEEFF"/>
          </w:tcPr>
          <w:p>
            <w:pPr>
              <w:ind w:left="60"/>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$ 1,180</w:t>
            </w:r>
            <w:r>
              <w:rPr>
                <w:rFonts w:ascii="Times New Roman" w:cs="Times New Roman" w:eastAsia="Times New Roman" w:hAnsi="Times New Roman"/>
                <w:sz w:val="32"/>
                <w:szCs w:val="32"/>
                <w:color w:val="auto"/>
                <w:vertAlign w:val="subscript"/>
              </w:rPr>
              <w:t>​​</w:t>
            </w:r>
          </w:p>
        </w:tc>
        <w:tc>
          <w:tcPr>
            <w:tcW w:w="240" w:type="dxa"/>
            <w:vAlign w:val="bottom"/>
            <w:gridSpan w:val="2"/>
            <w:shd w:val="clear" w:color="auto" w:fill="CCEEFF"/>
          </w:tcPr>
          <w:p>
            <w:pPr>
              <w:ind w:left="20"/>
              <w:spacing w:after="0" w:line="276"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20"/>
              <w:spacing w:after="0" w:line="276"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0"/>
        </w:trPr>
        <w:tc>
          <w:tcPr>
            <w:tcW w:w="5620" w:type="dxa"/>
            <w:vAlign w:val="bottom"/>
            <w:vMerge w:val="continue"/>
          </w:tcPr>
          <w:p>
            <w:pPr>
              <w:spacing w:after="0"/>
              <w:rPr>
                <w:sz w:val="16"/>
                <w:szCs w:val="16"/>
                <w:color w:val="auto"/>
              </w:rPr>
            </w:pPr>
          </w:p>
        </w:tc>
        <w:tc>
          <w:tcPr>
            <w:tcW w:w="440" w:type="dxa"/>
            <w:vAlign w:val="bottom"/>
            <w:gridSpan w:val="3"/>
          </w:tcPr>
          <w:p>
            <w:pPr>
              <w:ind w:left="60"/>
              <w:spacing w:after="0" w:line="190" w:lineRule="exact"/>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facilities</w:t>
            </w:r>
            <w:r>
              <w:rPr>
                <w:rFonts w:ascii="Times New Roman" w:cs="Times New Roman" w:eastAsia="Times New Roman" w:hAnsi="Times New Roman"/>
                <w:sz w:val="23"/>
                <w:szCs w:val="23"/>
                <w:color w:val="auto"/>
                <w:vertAlign w:val="superscript"/>
              </w:rPr>
              <w:t>(1)</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4.65% senior notes due October 2025</w:t>
            </w:r>
          </w:p>
        </w:tc>
        <w:tc>
          <w:tcPr>
            <w:tcW w:w="9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​1,000​​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gridSpan w:val="3"/>
            <w:shd w:val="clear" w:color="auto" w:fill="CCEEFF"/>
          </w:tcPr>
          <w:p>
            <w:pPr>
              <w:ind w:left="60"/>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500" w:type="dxa"/>
            <w:vAlign w:val="bottom"/>
            <w:gridSpan w:val="2"/>
            <w:shd w:val="clear" w:color="auto" w:fill="CCEEFF"/>
          </w:tcPr>
          <w:p>
            <w:pPr>
              <w:jc w:val="right"/>
              <w:spacing w:after="0" w:line="297" w:lineRule="exact"/>
              <w:rPr>
                <w:sz w:val="20"/>
                <w:szCs w:val="20"/>
                <w:color w:val="auto"/>
              </w:rPr>
            </w:pPr>
            <w:r>
              <w:rPr>
                <w:rFonts w:ascii="Times New Roman" w:cs="Times New Roman" w:eastAsia="Times New Roman" w:hAnsi="Times New Roman"/>
                <w:sz w:val="34"/>
                <w:szCs w:val="34"/>
                <w:color w:val="auto"/>
                <w:vertAlign w:val="superscript"/>
              </w:rPr>
              <w:t>10</w:t>
            </w: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20"/>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short-term debt</w:t>
            </w:r>
          </w:p>
        </w:tc>
        <w:tc>
          <w:tcPr>
            <w:tcW w:w="940" w:type="dxa"/>
            <w:vAlign w:val="bottom"/>
            <w:gridSpan w:val="5"/>
          </w:tcPr>
          <w:p>
            <w:pPr>
              <w:ind w:left="60"/>
              <w:spacing w:after="0" w:line="290" w:lineRule="exact"/>
              <w:rPr>
                <w:sz w:val="20"/>
                <w:szCs w:val="20"/>
                <w:color w:val="auto"/>
              </w:rPr>
            </w:pP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$ 1,010</w:t>
            </w:r>
            <w:r>
              <w:rPr>
                <w:rFonts w:ascii="Times New Roman" w:cs="Times New Roman" w:eastAsia="Times New Roman" w:hAnsi="Times New Roman"/>
                <w:sz w:val="33"/>
                <w:szCs w:val="33"/>
                <w:color w:val="auto"/>
                <w:vertAlign w:val="subscript"/>
              </w:rPr>
              <w:t>​​</w:t>
            </w:r>
          </w:p>
        </w:tc>
        <w:tc>
          <w:tcPr>
            <w:tcW w:w="720" w:type="dxa"/>
            <w:vAlign w:val="bottom"/>
            <w:gridSpan w:val="4"/>
          </w:tcPr>
          <w:p>
            <w:pPr>
              <w:jc w:val="right"/>
              <w:spacing w:after="0" w:line="290" w:lineRule="exact"/>
              <w:rPr>
                <w:sz w:val="20"/>
                <w:szCs w:val="20"/>
                <w:color w:val="auto"/>
              </w:rPr>
            </w:pPr>
            <w:r>
              <w:rPr>
                <w:rFonts w:ascii="Times New Roman" w:cs="Times New Roman" w:eastAsia="Times New Roman" w:hAnsi="Times New Roman"/>
                <w:sz w:val="33"/>
                <w:szCs w:val="33"/>
                <w:color w:val="auto"/>
                <w:vertAlign w:val="subscript"/>
              </w:rPr>
              <w:t>​ ​</w:t>
            </w:r>
            <w:r>
              <w:rPr>
                <w:rFonts w:ascii="Times New Roman" w:cs="Times New Roman" w:eastAsia="Times New Roman" w:hAnsi="Times New Roman"/>
                <w:sz w:val="17"/>
                <w:szCs w:val="17"/>
                <w:color w:val="auto"/>
              </w:rPr>
              <w:t>$ 1,807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29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3"/>
                <w:szCs w:val="33"/>
                <w:color w:val="auto"/>
                <w:vertAlign w:val="superscript"/>
              </w:rPr>
              <w: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4.50% senior notes due December 2026</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3.55% senior notes due December 2029</w:t>
            </w:r>
          </w:p>
        </w:tc>
        <w:tc>
          <w:tcPr>
            <w:tcW w:w="9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​1,000​​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1,000</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3.80% senior notes due September 2030</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5.70% senior notes due September 2034</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5.95% senior notes due June 2035</w:t>
            </w:r>
          </w:p>
        </w:tc>
        <w:tc>
          <w:tcPr>
            <w:tcW w:w="9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6.70% senior notes due May 2036</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6.65% senior notes due January 2037</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5.15% senior notes due June 2042</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4.30% senior notes due January 2043</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4.70% senior notes due June 2044</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4.90% senior notes due February 2045</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5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4.70% senior notes due January 2031 (including the 2031 Notes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offered hereby)</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700​​ ​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5.60% senior notes due January 2036 (including the 2036 Notes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offered hereby)</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550​​ ​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5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(62​​) ​ ​ ​</w:t>
            </w:r>
          </w:p>
        </w:tc>
        <w:tc>
          <w:tcPr>
            <w:tcW w:w="92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(62)​​ ​​ ​</w:t>
            </w:r>
          </w:p>
        </w:tc>
        <w:tc>
          <w:tcPr>
            <w:tcW w:w="3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EPIC Term Loan</w:t>
            </w:r>
            <w:r>
              <w:rPr>
                <w:rFonts w:ascii="Times New Roman" w:cs="Times New Roman" w:eastAsia="Times New Roman" w:hAnsi="Times New Roman"/>
                <w:sz w:val="23"/>
                <w:szCs w:val="23"/>
                <w:color w:val="auto"/>
                <w:vertAlign w:val="superscript"/>
              </w:rPr>
              <w:t>(2)</w:t>
            </w:r>
          </w:p>
        </w:tc>
        <w:tc>
          <w:tcPr>
            <w:tcW w:w="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2120" w:type="dxa"/>
            <w:vAlign w:val="bottom"/>
            <w:gridSpan w:val="11"/>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​1,103 ​​ ​​ ​ 1,103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-3814445</wp:posOffset>
            </wp:positionV>
            <wp:extent cx="521208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-650875</wp:posOffset>
            </wp:positionV>
            <wp:extent cx="521208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-3085465</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-3282315</wp:posOffset>
            </wp:positionV>
            <wp:extent cx="17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-4354195</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-4354195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As of September 30, 2025</w:t>
            </w:r>
          </w:p>
        </w:tc>
        <w:tc>
          <w:tcPr>
            <w:tcW w:w="420" w:type="dxa"/>
            <w:vAlign w:val="bottom"/>
            <w:tcBorders>
              <w:bottom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2"/>
              </w:rPr>
              <w:t>As further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Historical</w:t>
            </w:r>
          </w:p>
        </w:tc>
        <w:tc>
          <w:tcPr>
            <w:tcW w:w="106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 adjusted </w:t>
            </w:r>
            <w:r>
              <w:rPr>
                <w:rFonts w:ascii="Times New Roman" w:cs="Times New Roman" w:eastAsia="Times New Roman" w:hAnsi="Times New Roman"/>
                <w:sz w:val="24"/>
                <w:szCs w:val="24"/>
                <w:b w:val="1"/>
                <w:bCs w:val="1"/>
                <w:color w:val="auto"/>
                <w:vertAlign w:val="subscript"/>
              </w:rPr>
              <w:t>​</w:t>
            </w:r>
          </w:p>
        </w:tc>
        <w:tc>
          <w:tcPr>
            <w:tcW w:w="7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440" w:type="dxa"/>
            <w:vAlign w:val="bottom"/>
            <w:gridSpan w:val="2"/>
          </w:tcPr>
          <w:p>
            <w:pPr>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unitholders</w:t>
            </w:r>
          </w:p>
        </w:tc>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1,247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B preferred unitholders</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unitholders</w:t>
            </w:r>
          </w:p>
        </w:tc>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7,729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7,729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7,729</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3,226</w:t>
            </w:r>
          </w:p>
        </w:tc>
        <w:tc>
          <w:tcPr>
            <w:tcW w:w="106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3,226</w:t>
            </w:r>
            <w:r>
              <w:rPr>
                <w:rFonts w:ascii="Times New Roman" w:cs="Times New Roman" w:eastAsia="Times New Roman" w:hAnsi="Times New Roman"/>
                <w:sz w:val="17"/>
                <w:szCs w:val="17"/>
                <w:color w:val="auto"/>
              </w:rPr>
              <w:t xml:space="preserve"> ​​</w:t>
            </w:r>
          </w:p>
        </w:tc>
        <w:tc>
          <w:tcPr>
            <w:tcW w:w="700" w:type="dxa"/>
            <w:vAlign w:val="bottom"/>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 3,226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12,989</w:t>
            </w:r>
          </w:p>
        </w:tc>
        <w:tc>
          <w:tcPr>
            <w:tcW w:w="10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12,989 </w:t>
            </w:r>
            <w:r>
              <w:rPr>
                <w:rFonts w:ascii="Times New Roman" w:cs="Times New Roman" w:eastAsia="Times New Roman" w:hAnsi="Times New Roman"/>
                <w:sz w:val="30"/>
                <w:szCs w:val="30"/>
                <w:color w:val="auto"/>
                <w:vertAlign w:val="subscript"/>
              </w:rPr>
              <w:t>​​</w:t>
            </w:r>
          </w:p>
        </w:tc>
        <w:tc>
          <w:tcPr>
            <w:tcW w:w="78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12,989</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capitalization</w:t>
            </w:r>
          </w:p>
        </w:tc>
        <w:tc>
          <w:tcPr>
            <w:tcW w:w="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ind w:left="2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$21,428</w:t>
            </w:r>
          </w:p>
        </w:tc>
        <w:tc>
          <w:tcPr>
            <w:tcW w:w="106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 xml:space="preserve">$22,531 </w:t>
            </w:r>
            <w:r>
              <w:rPr>
                <w:rFonts w:ascii="Times New Roman" w:cs="Times New Roman" w:eastAsia="Times New Roman" w:hAnsi="Times New Roman"/>
                <w:sz w:val="32"/>
                <w:szCs w:val="32"/>
                <w:color w:val="auto"/>
                <w:vertAlign w:val="subscript"/>
              </w:rPr>
              <w:t>​​</w:t>
            </w:r>
          </w:p>
        </w:tc>
        <w:tc>
          <w:tcPr>
            <w:tcW w:w="280" w:type="dxa"/>
            <w:vAlign w:val="bottom"/>
            <w:gridSpan w:val="2"/>
          </w:tcPr>
          <w:p>
            <w:pPr>
              <w:ind w:left="20"/>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420" w:type="dxa"/>
            <w:vAlign w:val="bottom"/>
          </w:tcPr>
          <w:p>
            <w:pPr>
              <w:spacing w:after="0"/>
              <w:rPr>
                <w:sz w:val="24"/>
                <w:szCs w:val="24"/>
                <w:color w:val="auto"/>
              </w:rPr>
            </w:pPr>
          </w:p>
        </w:tc>
        <w:tc>
          <w:tcPr>
            <w:tcW w:w="80" w:type="dxa"/>
            <w:vAlign w:val="bottom"/>
          </w:tcPr>
          <w:p>
            <w:pPr>
              <w:jc w:val="right"/>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-368300</wp:posOffset>
            </wp:positionV>
            <wp:extent cx="17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-1379220</wp:posOffset>
            </wp:positionV>
            <wp:extent cx="17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-1713865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-1713865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779" w:hanging="360"/>
        <w:spacing w:after="0" w:line="261"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borrowings under our senior secured hedged inventory facility and our senior unsecured revolving credit facility, including under our commercial paper program that is backstopped by our credit facilities. As of September 30, 2025, we had approximately $2.7 billion in available credit capacity under such facilities.</w:t>
      </w:r>
    </w:p>
    <w:p>
      <w:pPr>
        <w:spacing w:after="0" w:line="31"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under “Prospectus supplement summary — Recent Developments — EPIC Acquisitions,” we acquired all of the equity interests of EPIC Crude and the Borrower, which are parties to the EPIC Credit Agreement. As of November 1, 2025, there were approximately $1.1 billion of secured term loan borrowings outstanding under the EPIC Term Loan. The Partnership does not guarantee the EPIC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We will issue the Notes under an indenture (the “Base Indenture”) dated as of September 25, 2002, among us and U.S. Bank Trust Company, National Association, as successor trustee, and a supplemental indenture thereto with respect to each series of the Notes dated as of September 8, 2025 (the Base Indenture, as supplemented by such supplemental indentures with respect to each series of the Notes, the “Indenture”). Multiple other series are now outstanding under the Base Indenture, issued under various supplemental indentures. The 2031 Notes offered hereby and the 2036 Notes offered hereby are being offered as additional issuances of our 4.700% Senior Notes due 2031 and 5.600% Senior Notes due 2036, of which we issued $700 million and $550 million aggregate principal amount, respectively, on September 8, 2025. The 2031 Notes and 2036 Notes offered hereby will form a single series with the initial notes of the respective series, will have identical terms as the initial notes of the respective series, and will have the same CUSIP number as and will trade interchangeably with the initial notes of the respective series. Immediately following the issuance of the 2031 Notes offered hereby, there will be $            aggregate principal amount of the 2031 Notes outstanding. Immediately following the issuance of the 2036 Notes offered hereby, there will be $            aggregate principal amount of the 2036 Notes outstanding.</w:t>
      </w:r>
    </w:p>
    <w:p>
      <w:pPr>
        <w:spacing w:after="0" w:line="11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32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indentures creating the Notes from us as set forth under “Where you can find more information.”</w:t>
      </w:r>
    </w:p>
    <w:p>
      <w:pPr>
        <w:spacing w:after="0" w:line="32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Description of Each Series of the Notes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series of the Notes will be:</w:t>
      </w:r>
    </w:p>
    <w:p>
      <w:pPr>
        <w:spacing w:after="0" w:line="117" w:lineRule="exact"/>
        <w:rPr>
          <w:sz w:val="20"/>
          <w:szCs w:val="20"/>
          <w:color w:val="auto"/>
        </w:rPr>
      </w:pPr>
    </w:p>
    <w:p>
      <w:pPr>
        <w:ind w:left="1800" w:right="6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unsecured indebtedness ranking equally in right of payment with all of our existing and future unsubordinated indebtedness;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series of debt securities issued under the Base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non-recourse to our general partner;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future subordinated indebtedness;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any of our existing and future secured indebtedness, to the extent of the security for that debt; and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junior to existing and future indebtedness and other obligations of our Subsidiaries, including trade payables, other than Subsidiaries that guarantee the Notes in the future.</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As of September 30, 2025, on an as further adjusted basis as described under “Capitalization,” the Notes would not have been effectively subordinated to any secured indebtedness and would not have been structurally subordinated to any of our subsidiaries’ indebtedness. See “Risk Factors — Risks Related to the Notes — Your right to receive payments on the Notes is unsecured and will be effectively subordinated to</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our existing and future secured indebtedness and will be structurally subordinated as to any existing and future indebtedness and other obligations of our subsidiaries, other than subsidiaries that may guarantee the Notes in the future.”</w:t>
      </w:r>
    </w:p>
    <w:p>
      <w:pPr>
        <w:spacing w:after="0" w:line="10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 Covenants,” the Indenture does not limit our ability or the ability of our subsidiaries to incur either secured or unsecured additional indebtedness.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of either series, create and issue additional Notes of either series ranking equally and ratably in all respects with the Notes of that series offered by this prospectus supplement, so that such additional Notes will be consolidated and form a single series with the applicable series of the Notes offered by this prospectus supplement and will have the same terms as to status, redemption or otherwise as such Notes (except for the issue date, the initial interest payment date, if applicable, and the payment of interest accruing prior to the issue date of such additional Notes).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There are currently outstanding $700 million aggregate principal amount of 4.700% Senior Notes due 2031 and $550 million aggregate principal amount of 5.600% Senior Notes due 2036. We will issue an additional $            aggregate principal amount of the 2031 Notes and an additional $            aggregate principal amount of the 2036 Notes in this offering. The 2031 Notes will mature on January 15, 2031 and the 2036 Notes will mature on January 15, 2036. The 2031 Notes will bear interest at an annual rate of</w:t>
      </w:r>
    </w:p>
    <w:p>
      <w:pPr>
        <w:spacing w:after="0" w:line="1"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4.700%. The 2036 Notes bear interest at an annual rate of 5.600%. Interest on the Notes will accrue from September 8, 2025 and will be payable semi-annually in arrears on January 15 and July 15 of each year, beginning January 15, 2026 (the “interest payment dates”). We will make each interest payment to the holders of record at the close of business on January 1 and July 1 preceding such interest payment dates, as applicable. Interest will be computed on the basis of a 360- day year consisting of twelve 30-day months. We will issue the Notes in minimum denominations of  $2,000 and integral multiples of  $1,000 in excess thereof.</w:t>
      </w:r>
    </w:p>
    <w:p>
      <w:pPr>
        <w:spacing w:after="0" w:line="319"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liability of general partner</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Provided that no default shall have occurred and shall be continuing under the Indenture, a future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Guarantor will be unconditionally released and discharged from its guarantee:</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or other disposition of all of our direct or indirect equity interests in that Subsidiary Guarantor to any Person that is not our affiliate; or</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48"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Either series of the Notes will be redeemable, in whole or in part, at our option at any time and from time to time prior to maturity. If we redeem the 2031 Notes before December 15, 2030 or the 2036 Notes before October 15, 2035 (each, a “Par Call Date” with respect to such series of Notes), we will pay an amount equal to the greater of  (i) 100% of the principal amount of the applicable series of the Notes to be redeemed and (ii) (a) the sum of the present values of the remaining scheduled payments of principal and interest thereon discounted to the redemption date (assuming the applicable series of the Notes matured on the applicable Par Call Date) on a semi-annual basis (assuming a 360-day year consisting of twelve 30-day months) at the Treasury Rate plus 20 basis points for the 2031 Notes and 25 basis points for the 2036 Notes, less (b) interest accrued to the date of redemption, plus, in either case, accrued and unpaid interest thereon to the date of redemption.</w:t>
      </w:r>
    </w:p>
    <w:p>
      <w:pPr>
        <w:spacing w:after="0" w:line="337"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we redeem either series of the Notes on or after the applicable Par Call Date, we will pay an amount equal to 100% of the principal amount of such Notes to be redeemed plus accrued and unpaid interest to the redemption date.</w:t>
      </w:r>
    </w:p>
    <w:p>
      <w:pPr>
        <w:spacing w:after="0" w:line="106"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with respect to each series of the Notes, means, with respect to any redemption date, the yield determined by us in accordance with the following two paragraphs.</w:t>
      </w:r>
    </w:p>
    <w:p>
      <w:pPr>
        <w:spacing w:after="0" w:line="7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applicable Par Call Date for such Notes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4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Par Call Date, one with a maturity date preceding the Par Call Date and one with a maturity date following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applicable Par Call Date, we shall select the United States Treasury security with a maturity date preceding such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4" w:lineRule="exact"/>
        <w:rPr>
          <w:sz w:val="20"/>
          <w:szCs w:val="20"/>
          <w:color w:val="auto"/>
        </w:rPr>
      </w:pPr>
    </w:p>
    <w:p>
      <w:pPr>
        <w:ind w:left="1260" w:right="1019"/>
        <w:spacing w:after="0" w:line="243" w:lineRule="auto"/>
        <w:rPr>
          <w:sz w:val="20"/>
          <w:szCs w:val="20"/>
          <w:color w:val="auto"/>
        </w:rPr>
      </w:pPr>
      <w:r>
        <w:rPr>
          <w:rFonts w:ascii="Times New Roman" w:cs="Times New Roman" w:eastAsia="Times New Roman" w:hAnsi="Times New Roman"/>
          <w:sz w:val="18"/>
          <w:szCs w:val="18"/>
          <w:color w:val="auto"/>
        </w:rPr>
        <w:t>a percentage of principal amount) at 11:00 a.m., New York City time, of such United States Treasury security, and rounded to three decimal places.</w:t>
      </w:r>
    </w:p>
    <w:p>
      <w:pPr>
        <w:spacing w:after="0" w:line="11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8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date of redemption, interest will cease to accrue on the Notes or portions thereof called for redemption.</w:t>
      </w:r>
    </w:p>
    <w:p>
      <w:pPr>
        <w:spacing w:after="0" w:line="95"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On or before a redemption date, we will deposit with a paying agent (or with the trustee) sufficient money to pay the redemption price and accrued interest on the Notes to be redeemed.</w:t>
      </w:r>
    </w:p>
    <w:p>
      <w:pPr>
        <w:spacing w:after="0" w:line="9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less than all of the Notes of either series are to be redeemed at any time, the trustee will select Notes (or any portion of Notes in integral multiples of  $1,000) for redemption as follows:</w:t>
      </w:r>
    </w:p>
    <w:p>
      <w:pPr>
        <w:spacing w:after="0" w:line="40" w:lineRule="exact"/>
        <w:rPr>
          <w:sz w:val="20"/>
          <w:szCs w:val="20"/>
          <w:color w:val="auto"/>
        </w:rPr>
      </w:pPr>
    </w:p>
    <w:p>
      <w:pPr>
        <w:ind w:left="1800" w:right="9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listed, in compliance with the requirements of the principal national securities exchange on which such Notes are listed; or</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not so listed or there are no such requirements, on a pro rata basis, by lot or, if the Notes are in the form of Global Notes, by such method as the depositary shall require.</w:t>
      </w:r>
    </w:p>
    <w:p>
      <w:pPr>
        <w:spacing w:after="0" w:line="9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following is an “Event of Default” with respect to the Notes of either series:</w:t>
      </w:r>
    </w:p>
    <w:p>
      <w:pPr>
        <w:spacing w:after="0" w:line="117" w:lineRule="exact"/>
        <w:rPr>
          <w:sz w:val="20"/>
          <w:szCs w:val="20"/>
          <w:color w:val="auto"/>
        </w:rPr>
      </w:pPr>
    </w:p>
    <w:p>
      <w:pPr>
        <w:ind w:left="1800" w:right="10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the principal of or any premium on any Note of that series at maturity, upon redemption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60 days in the payment when due of interest on any Note of that series;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if and so long as the Notes of that series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 Consolidation, Merger or Sale”);</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w:t>
      </w:r>
    </w:p>
    <w:p>
      <w:pPr>
        <w:spacing w:after="0" w:line="2" w:lineRule="exact"/>
        <w:rPr>
          <w:rFonts w:ascii="Times New Roman" w:cs="Times New Roman" w:eastAsia="Times New Roman" w:hAnsi="Times New Roman"/>
          <w:sz w:val="18"/>
          <w:szCs w:val="18"/>
          <w:color w:val="auto"/>
        </w:rPr>
      </w:pPr>
    </w:p>
    <w:p>
      <w:pPr>
        <w:ind w:left="180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in each case described in clause (x) or (y) above, the principal amount of any such debt, together with the principal amount of any other such debt under which there has been a Payment Default or the maturity of which has been so accelerated, aggregates $150 million or more; provided that if any such default is cured or waived or any such acceleration rescinded, or such debt is repaid, within</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spacing w:after="0" w:line="261" w:lineRule="auto"/>
        <w:rPr>
          <w:sz w:val="20"/>
          <w:szCs w:val="20"/>
          <w:color w:val="auto"/>
        </w:rPr>
      </w:pPr>
      <w:r>
        <w:rPr>
          <w:rFonts w:ascii="Times New Roman" w:cs="Times New Roman" w:eastAsia="Times New Roman" w:hAnsi="Times New Roman"/>
          <w:sz w:val="18"/>
          <w:szCs w:val="18"/>
          <w:color w:val="auto"/>
        </w:rPr>
        <w:t>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72" w:lineRule="exact"/>
        <w:rPr>
          <w:sz w:val="20"/>
          <w:szCs w:val="20"/>
          <w:color w:val="auto"/>
        </w:rPr>
      </w:pPr>
    </w:p>
    <w:p>
      <w:pPr>
        <w:ind w:left="1800" w:right="6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 bankruptcy, insolvency or reorganization of us or, if and so long as the Notes of that series are guaranteed by a Subsidiary Guarantor, by such Subsidiary Guarantor;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so long as the Notes of that series are guaranteed by a Subsidiary Guarantor:</w:t>
      </w:r>
    </w:p>
    <w:p>
      <w:pPr>
        <w:spacing w:after="0" w:line="157" w:lineRule="exact"/>
        <w:rPr>
          <w:rFonts w:ascii="Times New Roman" w:cs="Times New Roman" w:eastAsia="Times New Roman" w:hAnsi="Times New Roman"/>
          <w:sz w:val="18"/>
          <w:szCs w:val="18"/>
          <w:color w:val="auto"/>
        </w:rPr>
      </w:pPr>
    </w:p>
    <w:p>
      <w:pPr>
        <w:ind w:left="2340" w:right="759" w:hanging="360"/>
        <w:spacing w:after="0" w:line="282"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ceases to be in full force and effect, except as otherwise provided in the Indenture;</w:t>
      </w:r>
    </w:p>
    <w:p>
      <w:pPr>
        <w:spacing w:after="0" w:line="94" w:lineRule="exact"/>
        <w:rPr>
          <w:rFonts w:ascii="Times New Roman" w:cs="Times New Roman" w:eastAsia="Times New Roman" w:hAnsi="Times New Roman"/>
          <w:sz w:val="18"/>
          <w:szCs w:val="18"/>
          <w:color w:val="auto"/>
        </w:rPr>
      </w:pPr>
    </w:p>
    <w:p>
      <w:pPr>
        <w:ind w:left="2340" w:right="439" w:hanging="360"/>
        <w:spacing w:after="0" w:line="261"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Subsidiary Guarantor is declared null and void in a judicial proceeding; or</w:t>
      </w:r>
    </w:p>
    <w:p>
      <w:pPr>
        <w:spacing w:after="0" w:line="341" w:lineRule="exact"/>
        <w:rPr>
          <w:rFonts w:ascii="Times New Roman" w:cs="Times New Roman" w:eastAsia="Times New Roman" w:hAnsi="Times New Roman"/>
          <w:sz w:val="18"/>
          <w:szCs w:val="18"/>
          <w:color w:val="auto"/>
        </w:rPr>
      </w:pPr>
    </w:p>
    <w:p>
      <w:pPr>
        <w:ind w:left="2340" w:right="899" w:hanging="360"/>
        <w:spacing w:after="0" w:line="282"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Guarantor denies or disaffirms its obligations under the Indenture or its guarantee.</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 Event of Default regarding the Notes of either series will not necessarily constitute an Event of Default for the other series or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of either series, the trustee or the holders of at least 25% in principal amount of the then outstanding Notes of that series may declare all the Notes of such series to be due and payable immediately.</w:t>
      </w:r>
    </w:p>
    <w:p>
      <w:pPr>
        <w:spacing w:after="0" w:line="33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08"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If a Default with respect to the Notes of either series occurs and is continuing and is known to the trustee, the trustee must mail to each holder of such series of the Notes a notice of the Default within</w:t>
      </w:r>
    </w:p>
    <w:p>
      <w:pPr>
        <w:jc w:val="both"/>
        <w:ind w:left="1260" w:right="619"/>
        <w:spacing w:after="0" w:line="253" w:lineRule="auto"/>
        <w:rPr>
          <w:sz w:val="20"/>
          <w:szCs w:val="20"/>
          <w:color w:val="auto"/>
        </w:rPr>
      </w:pPr>
      <w:r>
        <w:rPr>
          <w:rFonts w:ascii="Times New Roman" w:cs="Times New Roman" w:eastAsia="Times New Roman" w:hAnsi="Times New Roman"/>
          <w:sz w:val="18"/>
          <w:szCs w:val="18"/>
          <w:color w:val="auto"/>
        </w:rPr>
        <w:t>90 days after the Default occurs. Except in the case of a Default in the payment of principal, premium, if any, or interest with respect to the Notes of either series, the trustee may withhold such notice, but only if and so long as a committee of responsible officers of the trustee in good faith determines that withholding such notice is in the interests of such 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62"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72"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in the case of a merger, or the surviving Person:</w:t>
      </w:r>
    </w:p>
    <w:p>
      <w:pPr>
        <w:spacing w:after="0" w:line="157" w:lineRule="exact"/>
        <w:rPr>
          <w:rFonts w:ascii="Times New Roman" w:cs="Times New Roman" w:eastAsia="Times New Roman" w:hAnsi="Times New Roman"/>
          <w:sz w:val="18"/>
          <w:szCs w:val="18"/>
          <w:color w:val="auto"/>
        </w:rPr>
      </w:pPr>
    </w:p>
    <w:p>
      <w:pPr>
        <w:ind w:left="2340" w:right="619" w:hanging="360"/>
        <w:spacing w:after="0" w:line="258" w:lineRule="auto"/>
        <w:tabs>
          <w:tab w:leader="none" w:pos="23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99" w:hanging="360"/>
        <w:spacing w:after="0" w:line="261" w:lineRule="auto"/>
        <w:tabs>
          <w:tab w:leader="none" w:pos="23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71"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Generally, we, any Subsidiary Guarantors and the trustee may amend or supplement the Indenture, any guarantees and either series of the Notes with the consent of the holders of at least a majority in principal amount of the then outstanding Notes of the applicable series. However, without the consent of each holder affected, an amendment, supplement or waiver may not (with respect to any Notes held by a nonconsenting holder):</w:t>
      </w:r>
    </w:p>
    <w:p>
      <w:pPr>
        <w:spacing w:after="0" w:line="75" w:lineRule="exact"/>
        <w:rPr>
          <w:sz w:val="20"/>
          <w:szCs w:val="20"/>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such Note;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other provisions with respect to the redemption of any such Notes;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security that may have been granted with respect to such Notes;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currency other than that stated in such Notes;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75"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such Notes to receive payments of principal of or premium, if any, or interest on the Notes;</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such Note;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Subsidiary Guarantor from its obligations with respect to such Notes under its guarantee or the Indenture or change any guarantee in any manner that would adversely affect the rights of holders; or</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Notwithstanding the preceding paragraph, without the consent of any holder of Notes, we, any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Subsidiary Guarantors and the trustee may amend or supplement the Indenture or the Notes:</w:t>
      </w:r>
    </w:p>
    <w:p>
      <w:pPr>
        <w:spacing w:after="0" w:line="85"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268"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Subsidiary Guarantors as permitted pursuant to the terms of the Indenture (see “— Possible Future Guarantees”);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75"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such Notes that do not, taken as a whole, adversely affect the rights under the Indenture of any holder of such Notes;</w:t>
      </w:r>
    </w:p>
    <w:p>
      <w:pPr>
        <w:spacing w:after="0" w:line="281"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such Notes and/or any guarantees;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under the Base Indenture.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72"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103"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58"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58"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of our property or assets or the property or assets of any Restricted Subsidiary in existence on December 10, 2003 or provided for pursuant to agreements existing on December 10, 2003;</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3"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78" w:lineRule="exact"/>
        <w:rPr>
          <w:rFonts w:ascii="Times New Roman" w:cs="Times New Roman" w:eastAsia="Times New Roman" w:hAnsi="Times New Roman"/>
          <w:sz w:val="18"/>
          <w:szCs w:val="18"/>
          <w:color w:val="auto"/>
        </w:rPr>
      </w:pPr>
    </w:p>
    <w:p>
      <w:pPr>
        <w:ind w:left="1800" w:right="539" w:hanging="180"/>
        <w:spacing w:after="0" w:line="254"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66"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our debt or debt of any Restricted Subsidiary.</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 Limitations on Sale-leasebacks,” does not exceed 15% of Consolidated Net Tangible Assets.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Sale-leasebacks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will not, and will not permit any Subsidiary of Plains All American Pipeline to, engage in a Sale-leaseback Transaction, unless:</w:t>
      </w:r>
    </w:p>
    <w:p>
      <w:pPr>
        <w:spacing w:after="0" w:line="54" w:lineRule="exact"/>
        <w:rPr>
          <w:sz w:val="20"/>
          <w:szCs w:val="20"/>
          <w:color w:val="auto"/>
        </w:rPr>
      </w:pPr>
    </w:p>
    <w:p>
      <w:pPr>
        <w:ind w:left="1800" w:right="719" w:hanging="180"/>
        <w:spacing w:after="0" w:line="261"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58"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Sale-leaseback Transaction involves a lease for a period, including renewals, of not more than three years;</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33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Notwithstanding the preceding, we may, and may permit any Subsidiary of Plains All American Pipeline to, effect any Sale-leaseback Transaction that is not excepted above, provided that the Attributable Indebtedness from such Sale -leaseback Transaction, together with the aggregate principal amount of then outstanding debt (other than debt securities issued under the Base Indenture) secured by liens upon Principal Properties not excepted in the first paragraph under “— Limitations on Liens,” does not exceed 15% of Consolidated Net Tangible Assets.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 reports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Regardless of whether Plains All American Pipeline is required to remain subject to the reporting requirements of Section 13 or 15(d) of the Exchange Act, it will electronically file with the SEC, so long as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10"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At any time we may terminate all our obligations under the Indenture as they relate to either series of the Notes (“legal defeasance”), except for certain obligations, including those respecting the defeasance trust and timely payments therefrom and obligations to register the transfer of or exchange the Notes of that series, to replace mutilated, destroyed, lost or stolen Notes and to maintain a registrar and paying agent for the Notes.</w:t>
      </w:r>
    </w:p>
    <w:p>
      <w:pPr>
        <w:spacing w:after="0" w:line="32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Also, at any time, we may terminate our obligations under covenants described in the first paragraph of “— Possible Future Guarantees,” under “— Covenants” and under “— SEC Reports” with respect to the Notes of the defeased series (“covenant defeasance”), and thereafter our failure to comply with any of such covenants would not constitute an Event of Default with respect to that series.</w:t>
      </w:r>
    </w:p>
    <w:p>
      <w:pPr>
        <w:spacing w:after="0" w:line="11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 with respect to the Notes of the defeased series.</w:t>
      </w:r>
    </w:p>
    <w:p>
      <w:pPr>
        <w:spacing w:after="0" w:line="8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Notes of the defeased series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18"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In the event of any legal defeasance, holders of the Notes of the defeased series would be entitled to look only to the defeasance trust for payment of principal of and any premium and interest on their Notes until maturity.</w:t>
      </w:r>
    </w:p>
    <w:p>
      <w:pPr>
        <w:spacing w:after="0" w:line="10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Although the amount of money and U.S. Government Obligations on deposit with the trustee would be intended to be sufficient to pay amounts due on the Notes of the defeased series at the time of their stated maturity, if we exercise our covenant defeasance option for the Notes of either series and the Notes of that series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we may satisfy and discharge all our obligations under the Indenture with respect to either series of the Notes, other than certain obligations to the trustee and our obligation to register the transfer of or exchange the Notes, provided that we either:</w:t>
      </w:r>
    </w:p>
    <w:p>
      <w:pPr>
        <w:spacing w:after="0" w:line="61"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all outstanding Notes of the applicable series to the trustee for cancellation; or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the applicable series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66" w:lineRule="auto"/>
        <w:rPr>
          <w:sz w:val="20"/>
          <w:szCs w:val="20"/>
          <w:color w:val="auto"/>
        </w:rPr>
      </w:pPr>
      <w:r>
        <w:rPr>
          <w:rFonts w:ascii="Times New Roman" w:cs="Times New Roman" w:eastAsia="Times New Roman" w:hAnsi="Times New Roman"/>
          <w:sz w:val="18"/>
          <w:szCs w:val="18"/>
          <w:color w:val="auto"/>
        </w:rPr>
        <w:t>sufficient to pay the entire indebtedness of the Notes of the applicable series, including interest and premium, if any, to the stated maturity or applicable redemption date; and comply with the other requirements of the Indenture in relation to satisfaction and discharge.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Indebtedness,</w:t>
      </w:r>
      <w:r>
        <w:rPr>
          <w:rFonts w:ascii="Times New Roman" w:cs="Times New Roman" w:eastAsia="Times New Roman" w:hAnsi="Times New Roman"/>
          <w:sz w:val="18"/>
          <w:szCs w:val="18"/>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2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99"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Interests</w:t>
      </w:r>
      <w:r>
        <w:rPr>
          <w:rFonts w:ascii="Times New Roman" w:cs="Times New Roman" w:eastAsia="Times New Roman" w:hAnsi="Times New Roman"/>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12" w:lineRule="exact"/>
        <w:rPr>
          <w:sz w:val="20"/>
          <w:szCs w:val="20"/>
          <w:color w:val="auto"/>
        </w:rPr>
      </w:pPr>
    </w:p>
    <w:p>
      <w:pPr>
        <w:ind w:left="1260" w:right="79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after deducting therefrom:</w:t>
      </w:r>
    </w:p>
    <w:p>
      <w:pPr>
        <w:spacing w:after="0" w:line="93" w:lineRule="exact"/>
        <w:rPr>
          <w:sz w:val="20"/>
          <w:szCs w:val="20"/>
          <w:color w:val="auto"/>
        </w:rPr>
      </w:pPr>
    </w:p>
    <w:p>
      <w:pPr>
        <w:ind w:left="1980" w:hanging="360"/>
        <w:spacing w:after="0"/>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w:t>
      </w:r>
    </w:p>
    <w:p>
      <w:pPr>
        <w:spacing w:after="0" w:line="157" w:lineRule="exact"/>
        <w:rPr>
          <w:rFonts w:ascii="Times New Roman" w:cs="Times New Roman" w:eastAsia="Times New Roman" w:hAnsi="Times New Roman"/>
          <w:sz w:val="18"/>
          <w:szCs w:val="18"/>
          <w:color w:val="auto"/>
        </w:rPr>
      </w:pPr>
    </w:p>
    <w:p>
      <w:pPr>
        <w:ind w:left="2340" w:right="579" w:hanging="360"/>
        <w:spacing w:after="0" w:line="266" w:lineRule="auto"/>
        <w:tabs>
          <w:tab w:leader="none" w:pos="2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of long-term debt; and</w:t>
      </w:r>
    </w:p>
    <w:p>
      <w:pPr>
        <w:spacing w:after="0" w:line="157"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net of any applicable reserves, of all goodwill, trade names, trademarks, patents and other like intangible assets,</w:t>
      </w:r>
    </w:p>
    <w:p>
      <w:pPr>
        <w:spacing w:after="0" w:line="81" w:lineRule="exact"/>
        <w:rPr>
          <w:sz w:val="20"/>
          <w:szCs w:val="20"/>
          <w:color w:val="auto"/>
        </w:rPr>
      </w:pPr>
    </w:p>
    <w:p>
      <w:pPr>
        <w:ind w:left="1260" w:right="939"/>
        <w:spacing w:after="0" w:line="282" w:lineRule="auto"/>
        <w:rPr>
          <w:sz w:val="20"/>
          <w:szCs w:val="20"/>
          <w:color w:val="auto"/>
        </w:rPr>
      </w:pPr>
      <w:r>
        <w:rPr>
          <w:rFonts w:ascii="Times New Roman" w:cs="Times New Roman" w:eastAsia="Times New Roman" w:hAnsi="Times New Roman"/>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Funded Debt</w:t>
      </w:r>
      <w:r>
        <w:rPr>
          <w:rFonts w:ascii="Times New Roman" w:cs="Times New Roman" w:eastAsia="Times New Roman" w:hAnsi="Times New Roman"/>
          <w:sz w:val="18"/>
          <w:szCs w:val="18"/>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date on which the Notes are initially issued.</w:t>
      </w:r>
    </w:p>
    <w:p>
      <w:pPr>
        <w:spacing w:after="0" w:line="158" w:lineRule="exact"/>
        <w:rPr>
          <w:sz w:val="20"/>
          <w:szCs w:val="20"/>
          <w:color w:val="auto"/>
        </w:rPr>
      </w:pPr>
    </w:p>
    <w:p>
      <w:pPr>
        <w:jc w:val="both"/>
        <w:ind w:left="1260" w:right="81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Managing General Partner</w:t>
      </w:r>
      <w:r>
        <w:rPr>
          <w:rFonts w:ascii="Times New Roman" w:cs="Times New Roman" w:eastAsia="Times New Roman" w:hAnsi="Times New Roman"/>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82" w:lineRule="auto"/>
        <w:rPr>
          <w:sz w:val="20"/>
          <w:szCs w:val="20"/>
          <w:color w:val="auto"/>
        </w:rPr>
      </w:pPr>
      <w:r>
        <w:rPr>
          <w:rFonts w:ascii="Times New Roman" w:cs="Times New Roman" w:eastAsia="Times New Roman" w:hAnsi="Times New Roman"/>
          <w:sz w:val="18"/>
          <w:szCs w:val="18"/>
          <w:color w:val="auto"/>
        </w:rPr>
        <w:t>successors and permitted assigns), as general partner of Plains All American Pipeline or (ii) the business entity with the ultimate authority to manage the business and operations of Plains All American Pipeline.</w:t>
      </w:r>
    </w:p>
    <w:p>
      <w:pPr>
        <w:spacing w:after="0" w:line="9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Debt</w:t>
      </w:r>
      <w:r>
        <w:rPr>
          <w:rFonts w:ascii="Times New Roman" w:cs="Times New Roman" w:eastAsia="Times New Roman" w:hAnsi="Times New Roman"/>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46" w:lineRule="exact"/>
        <w:rPr>
          <w:sz w:val="20"/>
          <w:szCs w:val="20"/>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157" w:lineRule="exact"/>
        <w:rPr>
          <w:rFonts w:ascii="Times New Roman" w:cs="Times New Roman" w:eastAsia="Times New Roman" w:hAnsi="Times New Roman"/>
          <w:sz w:val="18"/>
          <w:szCs w:val="18"/>
          <w:color w:val="auto"/>
        </w:rPr>
      </w:pPr>
    </w:p>
    <w:p>
      <w:pPr>
        <w:ind w:left="1980" w:right="799" w:hanging="360"/>
        <w:spacing w:after="0" w:line="258"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15" w:lineRule="exact"/>
        <w:rPr>
          <w:rFonts w:ascii="Times New Roman" w:cs="Times New Roman" w:eastAsia="Times New Roman" w:hAnsi="Times New Roman"/>
          <w:sz w:val="18"/>
          <w:szCs w:val="18"/>
          <w:color w:val="auto"/>
        </w:rPr>
      </w:pPr>
    </w:p>
    <w:p>
      <w:pPr>
        <w:jc w:val="both"/>
        <w:ind w:left="1980" w:right="59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94"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w:t>
      </w:r>
    </w:p>
    <w:p>
      <w:pPr>
        <w:spacing w:after="0" w:line="157"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in favor of any surety company or clerk of court for the purpose of obtaining indemnity or stay of judicial proceedings;</w:t>
      </w:r>
    </w:p>
    <w:p>
      <w:pPr>
        <w:spacing w:after="0" w:line="80"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us or any Restricted Subsidiary resulting from the exercise of any rights arising out of defaults on receivables;</w:t>
      </w:r>
    </w:p>
    <w:p>
      <w:pPr>
        <w:spacing w:after="0" w:line="94" w:lineRule="exact"/>
        <w:rPr>
          <w:rFonts w:ascii="Times New Roman" w:cs="Times New Roman" w:eastAsia="Times New Roman" w:hAnsi="Times New Roman"/>
          <w:sz w:val="18"/>
          <w:szCs w:val="18"/>
          <w:color w:val="auto"/>
        </w:rPr>
      </w:pPr>
    </w:p>
    <w:p>
      <w:pPr>
        <w:jc w:val="both"/>
        <w:ind w:left="1980" w:right="71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Restricted Subsidiary;</w:t>
      </w:r>
    </w:p>
    <w:p>
      <w:pPr>
        <w:spacing w:after="0" w:line="144"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1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industrial development, pollution control or similar revenue bonds;</w:t>
      </w:r>
    </w:p>
    <w:p>
      <w:pPr>
        <w:spacing w:after="0" w:line="157" w:lineRule="exact"/>
        <w:rPr>
          <w:rFonts w:ascii="Times New Roman" w:cs="Times New Roman" w:eastAsia="Times New Roman" w:hAnsi="Times New Roman"/>
          <w:sz w:val="18"/>
          <w:szCs w:val="18"/>
          <w:color w:val="auto"/>
        </w:rPr>
      </w:pPr>
    </w:p>
    <w:p>
      <w:pPr>
        <w:ind w:left="1980" w:right="479" w:hanging="360"/>
        <w:spacing w:after="0" w:line="254"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08" w:lineRule="exact"/>
        <w:rPr>
          <w:rFonts w:ascii="Times New Roman" w:cs="Times New Roman" w:eastAsia="Times New Roman" w:hAnsi="Times New Roman"/>
          <w:sz w:val="18"/>
          <w:szCs w:val="18"/>
          <w:color w:val="auto"/>
        </w:rPr>
      </w:pPr>
    </w:p>
    <w:p>
      <w:pPr>
        <w:ind w:left="1980" w:right="73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or deposits of any assets to secure performance of bids, trade contracts, leases or statutory obligations;</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06" w:lineRule="exact"/>
        <w:rPr>
          <w:rFonts w:ascii="Times New Roman" w:cs="Times New Roman" w:eastAsia="Times New Roman" w:hAnsi="Times New Roman"/>
          <w:sz w:val="18"/>
          <w:szCs w:val="18"/>
          <w:color w:val="auto"/>
        </w:rPr>
      </w:pPr>
    </w:p>
    <w:p>
      <w:pPr>
        <w:ind w:left="1980" w:right="839" w:hanging="360"/>
        <w:spacing w:after="0" w:line="25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19"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19" w:lineRule="exact"/>
        <w:rPr>
          <w:rFonts w:ascii="Times New Roman" w:cs="Times New Roman" w:eastAsia="Times New Roman" w:hAnsi="Times New Roman"/>
          <w:sz w:val="18"/>
          <w:szCs w:val="18"/>
          <w:color w:val="auto"/>
        </w:rPr>
      </w:pPr>
    </w:p>
    <w:p>
      <w:pPr>
        <w:ind w:left="1980" w:right="111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duties to any municipality or public authority with respect to any lease, easement, right-of-way, license, franchise, privilege, permit or grant.</w:t>
      </w:r>
    </w:p>
    <w:p>
      <w:pPr>
        <w:spacing w:after="0" w:line="79" w:lineRule="exact"/>
        <w:rPr>
          <w:sz w:val="20"/>
          <w:szCs w:val="20"/>
          <w:color w:val="auto"/>
        </w:rPr>
      </w:pPr>
    </w:p>
    <w:p>
      <w:pPr>
        <w:jc w:val="both"/>
        <w:ind w:left="1260" w:right="87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Issue Date or thereafter acquired:</w:t>
      </w:r>
    </w:p>
    <w:p>
      <w:pPr>
        <w:spacing w:after="0" w:line="160" w:lineRule="exact"/>
        <w:rPr>
          <w:sz w:val="20"/>
          <w:szCs w:val="20"/>
          <w:color w:val="auto"/>
        </w:rPr>
      </w:pPr>
    </w:p>
    <w:p>
      <w:pPr>
        <w:ind w:left="1980" w:right="539" w:hanging="360"/>
        <w:spacing w:after="0" w:line="261"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98"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19"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Plains All American Pipeline owning or leasing, directly or indirectly through ownership in another Subsidiary, any Principal Property.</w:t>
      </w:r>
    </w:p>
    <w:p>
      <w:pPr>
        <w:spacing w:after="0" w:line="9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60" w:lineRule="exact"/>
        <w:rPr>
          <w:sz w:val="20"/>
          <w:szCs w:val="20"/>
          <w:color w:val="auto"/>
        </w:rPr>
      </w:pPr>
    </w:p>
    <w:p>
      <w:pPr>
        <w:ind w:left="1980" w:right="559" w:hanging="360"/>
        <w:spacing w:after="0" w:line="258"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02" w:lineRule="exact"/>
        <w:rPr>
          <w:rFonts w:ascii="Times New Roman" w:cs="Times New Roman" w:eastAsia="Times New Roman" w:hAnsi="Times New Roman"/>
          <w:sz w:val="18"/>
          <w:szCs w:val="18"/>
          <w:color w:val="auto"/>
        </w:rPr>
      </w:pPr>
    </w:p>
    <w:p>
      <w:pPr>
        <w:ind w:left="1980" w:right="919" w:hanging="360"/>
        <w:spacing w:after="0" w:line="261"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10"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any Subsidiary of Plains All American Pipeline that executes a supplemental indenture to provide a guarantee of either or both series of the Notes in accordance with the provisions of the Indenture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will issue each series of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(“DTC”) in the United States and by Euroclear Bank SA/NV (the “Euroclear Operator”), as an operator of the Euroclear System (“Euroclear”),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w:t>
      </w:r>
    </w:p>
    <w:p>
      <w:pPr>
        <w:spacing w:after="0" w:line="32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4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direct Participants.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w:t>
      </w:r>
    </w:p>
    <w:p>
      <w:pPr>
        <w:spacing w:after="0" w:line="347"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ownership interest and transfer of ownership interest of each actual purchaser of each security held by or on behalf of DTC is recorded on the records of the Participants and the Indirect Participants.</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Investors in the Global Notes may hold their interests therein directly through DTC, if they are Participants in such system, or indirectly through organizations (including Euroclear and Clearstream) that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1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 Exchange of Book-Entry Notes for Certificated Notes.”</w:t>
      </w:r>
    </w:p>
    <w:p>
      <w:pPr>
        <w:spacing w:after="0" w:line="183"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01"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left="1260" w:right="499"/>
        <w:spacing w:after="0"/>
        <w:tabs>
          <w:tab w:leader="none" w:pos="15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1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84"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7"/>
          <w:szCs w:val="17"/>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9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4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 Exchange of Book-Entry Notes for Certificated Notes” occurs, DTC reserves the right to exchange the Global Notes for Notes in certificated form and to distribute such Notes to its Participants.</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book-entry notes for certificated notes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if  (1) DTC</w:t>
      </w:r>
    </w:p>
    <w:p>
      <w:pPr>
        <w:spacing w:after="0" w:line="27" w:lineRule="exact"/>
        <w:rPr>
          <w:sz w:val="20"/>
          <w:szCs w:val="20"/>
          <w:color w:val="auto"/>
        </w:rPr>
      </w:pPr>
    </w:p>
    <w:p>
      <w:pPr>
        <w:ind w:left="1260" w:right="459"/>
        <w:spacing w:after="0" w:line="253" w:lineRule="auto"/>
        <w:tabs>
          <w:tab w:leader="none" w:pos="15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consequences that may be relevant to the acquisition, ownership and disposition of the Notes. This discussion is based on the Code, applicable U.S. Treasury Regulations promulgated thereunder, judicial authority and administrative interpretations, all as of the date of this document, and all of which are subject to change, possibly with retroactive effect, or are subject to differing interpretations. We cannot assure you that the IRS will not challenge one or more of the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1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intend, and the following discussion assumes, that the 2031 Notes offered hereby will be treated as part of the same issue as the 4.700% Senior Notes due 2031 (the “Existing 2031 Notes”) and will have the same issue date and the same issue price as the Existing 2031 Notes for U.S. federal income tax purposes, and the 2036 Notes offered hereby will be treated as part of the same issue as the 5.600% Senior Notes due 2036 (the “Existing 2036 Notes”) and will have the same issue date and the same issue price as the Existing 2036 Notes for U.S. federal income tax purposes.</w:t>
      </w:r>
    </w:p>
    <w:p>
      <w:pPr>
        <w:spacing w:after="0" w:line="12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discussion is limited to holders who purchase the applicable series of Notes offered hereby in the offering for cash at the price set forth on the cover of this prospectus supplement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foreign, state, local or other jurisdiction or any income tax treaty. In addition, this discussion does not address all tax consequences that may be important to a particular holder in light of the holder’s special circumstances, or to certain categories of holders that may be subject to special rules, such as:</w:t>
      </w:r>
    </w:p>
    <w:p>
      <w:pPr>
        <w:spacing w:after="0" w:line="84"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hold Notes through non-U.S. brokers or other non-U.S. intermediaries;</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conversion or other “synthetic security” or integrated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tax-exempt for U.S. federal income tax purposes;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Notes through individual retirement accounts and other tax-deferred accounts;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the Notes</w:t>
      </w:r>
    </w:p>
    <w:p>
      <w:pPr>
        <w:spacing w:after="0" w:line="27" w:lineRule="exact"/>
        <w:rPr>
          <w:rFonts w:ascii="Times New Roman" w:cs="Times New Roman" w:eastAsia="Times New Roman" w:hAnsi="Times New Roman"/>
          <w:sz w:val="18"/>
          <w:szCs w:val="18"/>
          <w:color w:val="auto"/>
        </w:rPr>
      </w:pPr>
    </w:p>
    <w:p>
      <w:pPr>
        <w:ind w:left="1800" w:right="9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such income being recognized on an “applicable financial statement” (within​ the meaning of Section 451(b) of the Code); and</w:t>
      </w:r>
    </w:p>
    <w:p>
      <w:pPr>
        <w:spacing w:after="0" w:line="7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treated as pass-through entities for U.S. federal income tax purposes and holders of interests therein.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as to the particular U.S. federal income tax consequences of acquiring, owning and disposing of the Notes.</w:t>
      </w:r>
    </w:p>
    <w:p>
      <w:pPr>
        <w:spacing w:after="0" w:line="33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DISCUSSION IS FOR INFORMATION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FOREIGN, OR OTHER TAXING JURISDICTION OR UNDER ANY APPLICABLE INCOME TAX TREATY.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certain circumstances (see “Description of Notes — Optional Redemption”), we may elect to redeem the Notes prior to maturity or to pay amounts on the Notes that are in excess of the stated interest or principal on the Notes. If any of these contingencies were to occur, it would affect the amount and timing of income recognized by you. Further, these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might take a different position, in which case, if the IRS’s position is sustained, you may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will apply to you if you are a U.S. Holder of the Notes. You are a “U.S. Holder” for purposes of this discussion if you are a beneficial owner of a Note and you are for U.S. federal income tax purposes:</w:t>
      </w:r>
    </w:p>
    <w:p>
      <w:pPr>
        <w:spacing w:after="0" w:line="81"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U.S. Treasury Regulations to be treated as a United States person.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Interest on a Note (other than pre-issuance accrued interest on the applicable series of the Notes offered hereby, as described below) generally will be taxable to you as ordinary income at the time it is received or accrued in accordance with your regular method of accounting for U.S. federal income tax purposes.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Pre-issuance accrued interest</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 portion of the purchase price of the applicable series of the Notes offered hereby is attributable to the amount of interest accrued for the period from September 8, 2025 until the date of issuance (collectively, the “pre-issuance accrued interest”). You generally may treat the Notes offered hereby for U.S. federal income tax purposes as having been purchased for a price that does not include any pre-issuance accrued interest, and the following discussion assumes the Notes offered hereby will be so treated. Based on this treatment, the portion of the first stated interest payment equal to the pre-issuance accrued interest will be treated as a non-taxable return of such pre-issuance accrued interest and, accordingly, will not be taxable as interest on the Notes offered hereby.</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Amortizable bond premium</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your purchase price for a Note offered hereby (excluding any amount of pre-issuance accrued interest) exceeds such Note’s stated principal amount, you will be treated as having purchased such Note with “amortizable bond premium” equal in amount to such excess. You generally may elect to amortize such bond premium using a constant yield method over the remaining term of such Note offered hereby and may offset interest income otherwise required to be included in respect of such Note during any taxable year by the amortized amount of such excess for the taxable year. However, because the Notes offered hereby may be redeemed by us prior to maturity at a premium, special rules apply that may reduce or eliminate the amount of bond premium that you may amortize with respect to the Notes offered hereby. If you elect to amortize any bond premium on the Notes offered hereby, you must reduce your adjusted tax basis in such Notes by the amount of the bond premium amortized in any year. An election to amortize bond premium applies to all taxable debt instruments having bond premium then owned and thereafter acquired by a holder and may be revoked only with the consent of the IRS. If you do not elect to amortize bond premium, that bond premium will decrease the gain or increase the loss you would otherwise recognize on a disposition of the Notes offered hereby. You should consult your own tax advisor about the advisability and effects of making such an election and any special rules that may apply as a result of our right to redeem the applicable series of the Notes offered hereby prior to maturity of such series of the Notes.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the sale, redemption, exchange, retirement or other taxable disposition of a Note is attributable to accrued but unpaid interest on a Note (other than pre-issuance accrued interest), this amount generally will not be included in the “amount realized” but will instead be treated in the same manner as described above in “— Tax Consequences to U.S. Holders — Interest on the Notes.”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Your adjusted tax basis in a Note will generally equal the amount you paid for the Note (other than with respect to any pre-issuance accrued interest), decreased by, if applicable, the amount of any amortizable bond premium previously amortized.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Information reporting generally will apply to payments of interest on, and the proceeds of the sale or other disposition (including a redemption, exchange, or retirement) of, Notes held by you, and backup withholding generally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58" w:lineRule="auto"/>
        <w:rPr>
          <w:sz w:val="20"/>
          <w:szCs w:val="20"/>
          <w:color w:val="auto"/>
        </w:rPr>
      </w:pPr>
      <w:r>
        <w:rPr>
          <w:rFonts w:ascii="Times New Roman" w:cs="Times New Roman" w:eastAsia="Times New Roman" w:hAnsi="Times New Roman"/>
          <w:sz w:val="18"/>
          <w:szCs w:val="18"/>
          <w:color w:val="auto"/>
        </w:rPr>
        <w:t>federal income tax liability, if any, and a refund may be obtained from the IRS if the amounts withheld exceed your actual U.S. federal income tax liability and you timely provide the required information or appropriate claim form to the IRS.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62"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Notes, less certain deductions. You should consult your own tax advisor with respect to this additional tax and its applicability in your particular circumstances.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48"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summary will apply to you if you are a non-U.S. holder of Notes. You are a “non-U.S. Holder” for purposes of this discussion if you are a beneficial owner of a Note that is, for U.S. federal income tax purposes, an individual, corporation, estate or trust that is not a U.S. Holder.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on the Notes</w:t>
      </w:r>
    </w:p>
    <w:p>
      <w:pPr>
        <w:spacing w:after="0" w:line="16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Subject to the discussion below of backup withholding and FATCA (as defined below) withholding payments to you of interest on a Note (including for this purpose any pre-issuance accrued interest) generally will not be subject to U.S. federal income tax and will be exempt from withholding of U.S. federal income tax under the “portfolio interest” exemption if you properly certify as to your foreign status, as described below, and:</w:t>
      </w:r>
    </w:p>
    <w:p>
      <w:pPr>
        <w:spacing w:after="0" w:line="282"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our capital or profits interests;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(actually or constructively);</w:t>
      </w:r>
    </w:p>
    <w:p>
      <w:pPr>
        <w:spacing w:after="0" w:line="117" w:lineRule="exact"/>
        <w:rPr>
          <w:rFonts w:ascii="Times New Roman" w:cs="Times New Roman" w:eastAsia="Times New Roman" w:hAnsi="Times New Roman"/>
          <w:sz w:val="18"/>
          <w:szCs w:val="18"/>
          <w:color w:val="auto"/>
        </w:rPr>
      </w:pPr>
    </w:p>
    <w:p>
      <w:pPr>
        <w:jc w:val="both"/>
        <w:ind w:left="1800" w:right="5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 is in connection with an extension of credit made pursuant to a loan agreement entered into in the ordinary course of your trade or business;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is not effectively connected with your conduct of a U.S. trade or business.</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portfolio interest exemption generally applies only if you also appropriately certify as to your foreign status. You can generally meet the certification requirement by providing a properly executed IRS Form W-8BEN or IRS Form W-8BEN -E (or other applicable form or successor form) to the applicable withholding agent. If you hold a Note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11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withholding tax at a 30% rate, unless (i) you provide the applicable withholding agent with a properly executed IRS Form W- 8BEN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 Tax Consequences to Non-U.S. Holders — Income or Gain Effectively Connected with a U.S. Trade or Business.”)</w:t>
      </w:r>
    </w:p>
    <w:p>
      <w:pPr>
        <w:spacing w:after="0" w:line="118"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from (or a reduced rate</w:t>
      </w: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of) withholding under an applicable income tax treaty, you may obtain a refund of any excess amounts withheld if you timely provide the required information or appropriate claim form to the IRS.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the Notes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69"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you of a U.S. trade or business;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9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If your gain is described in the first bullet point above, you generally will be subject to U.S. federal income tax in the manner described below under “— Tax Consequences to Non-U.S. Holders — Income or Gain Effectively Connected with a U.S. Trade or Business.” If you are a non-U.S. Holder described in the second bullet point above, you will be subject to a U.S. federal income tax rate of 30% (or a lower applicable income tax treaty rate) on the gain derived from the sale or other disposition of a Note, which may be offset by certain U.S. source capital losses. To the extent that any portion of the amount recognized on a sale, redemption, exchange, retirement or other taxable disposition of the Notes is attributable to accrued but unpaid interest on the Notes, this amount generally will be treated in the same manner as described above in “Tax Consequences to U.S. Holders — Interest on the Notes.”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or gain effectively connected with a U.S. trade or business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any interest on the Notes (excluding any pre-issuance accrued interest) or gain from the sale, redemption, exchange, retirement or other taxable disposition of the Notes is effectively connected with a U.S. trade or business conducted by you, such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subject to adjustments,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the conduct by you of a U.S. trade or business.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110"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generally will not apply to payments to you of interest on a Note if the certification described in “— Tax Consequences to Non-U.S. Holders — Interest on the Notes” is duly provided or you otherwise establish an exemption.</w:t>
      </w:r>
    </w:p>
    <w:p>
      <w:pPr>
        <w:spacing w:after="0" w:line="10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Payment of the proceeds from a taxable disposition (including a redemption, exchange or retirement) of a Note effected by the U.S. office of a U.S. or foreign broker will be subject to information reporting requirements and backup withholding unless you properly certify under penalties of perjury as to your foreign status on IRS Form W-8BEN or IRS Form W-8BEN -E,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you are not a United States person and certain other conditions are met, or you otherwise establish an exemption, information reporting will apply to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payment of the proceeds of the taxable disposition of a Note effected outside the United States by such a broker if it has certain relationships with the United States.</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Withholding on payments to certain foreign entities</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(referred to as “FATCA”) impose a 30% U.S. federal withholding tax on “withholdable payments” (as​ defined in the Code), including payments of interest on the Notes if paid to a</w:t>
      </w:r>
    </w:p>
    <w:p>
      <w:pPr>
        <w:spacing w:after="0" w:line="1"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w:t>
      </w:r>
    </w:p>
    <w:p>
      <w:pPr>
        <w:spacing w:after="0" w:line="4" w:lineRule="exact"/>
        <w:rPr>
          <w:sz w:val="20"/>
          <w:szCs w:val="20"/>
          <w:color w:val="auto"/>
        </w:rPr>
      </w:pPr>
    </w:p>
    <w:p>
      <w:pPr>
        <w:ind w:left="1260" w:right="679"/>
        <w:spacing w:after="0" w:line="253" w:lineRule="auto"/>
        <w:rPr>
          <w:sz w:val="20"/>
          <w:szCs w:val="20"/>
          <w:color w:val="auto"/>
        </w:rPr>
      </w:pPr>
      <w:r>
        <w:rPr>
          <w:rFonts w:ascii="Times New Roman" w:cs="Times New Roman" w:eastAsia="Times New Roman" w:hAnsi="Times New Roman"/>
          <w:sz w:val="18"/>
          <w:szCs w:val="18"/>
          <w:color w:val="auto"/>
        </w:rPr>
        <w:t>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10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11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PRECEDING DISCUSSION OF CERTAIN U.S. FEDERAL INCOME TAX CONSEQUENCES IS FOR GENERAL INFORMATION ONLY AND IS NOT TAX ADVICE. YOU SHOULD CONSULT YOUR OWN TAX ADVISOR REGARDING THE PARTICULAR U.S. FEDERAL, STATE, LOCAL AND FOREIGN TAX CONSEQUENCES OF ACQUIRING, OWNING AND DISPOSING OF THE NOTES,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the date of this prospectus supplement, between us and the underwriters named below, we have agreed to sell to each of the underwriters, for whom Citigroup Global Markets Inc., CIBC World Markets Corp., RBC Capital Markets, LLC and SMBC Nikko Securities America, Inc. are acting as representatives, and the underwriters have agreed, severally and not jointly, to purchase the principal amount of the Notes of each series set forth opposite their respective names below:</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Principal Amount</w:t>
            </w:r>
          </w:p>
        </w:tc>
        <w:tc>
          <w:tcPr>
            <w:tcW w:w="1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2031 Notes</w:t>
            </w: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2036 Notes</w:t>
            </w:r>
          </w:p>
        </w:tc>
        <w:tc>
          <w:tcPr>
            <w:tcW w:w="40" w:type="dxa"/>
            <w:vAlign w:val="bottom"/>
          </w:tcPr>
          <w:p>
            <w:pPr>
              <w:spacing w:after="0"/>
              <w:rPr>
                <w:sz w:val="14"/>
                <w:szCs w:val="14"/>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200" w:type="dxa"/>
            <w:vAlign w:val="bottom"/>
          </w:tcPr>
          <w:p>
            <w:pPr>
              <w:spacing w:after="0"/>
              <w:rPr>
                <w:sz w:val="18"/>
                <w:szCs w:val="1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120" w:type="dxa"/>
            <w:vAlign w:val="bottom"/>
            <w:gridSpan w:val="11"/>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offered hereby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offered hereby</w:t>
            </w:r>
            <w:r>
              <w:rPr>
                <w:rFonts w:ascii="Times New Roman" w:cs="Times New Roman" w:eastAsia="Times New Roman" w:hAnsi="Times New Roman"/>
                <w:sz w:val="24"/>
                <w:szCs w:val="24"/>
                <w:b w:val="1"/>
                <w:bCs w:val="1"/>
                <w:color w:val="auto"/>
                <w:vertAlign w:val="subscript"/>
              </w:rPr>
              <w:t>​</w:t>
            </w:r>
          </w:p>
        </w:tc>
      </w:tr>
      <w:tr>
        <w:trPr>
          <w:trHeight w:val="250"/>
        </w:trPr>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2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top w:val="single" w:sz="8" w:color="auto"/>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CIBC World Markets Corp.</w:t>
            </w:r>
          </w:p>
        </w:tc>
        <w:tc>
          <w:tcPr>
            <w:tcW w:w="1200" w:type="dxa"/>
            <w:vAlign w:val="bottom"/>
          </w:tcPr>
          <w:p>
            <w:pPr>
              <w:spacing w:after="0"/>
              <w:rPr>
                <w:sz w:val="22"/>
                <w:szCs w:val="22"/>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2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200" w:type="dxa"/>
            <w:vAlign w:val="bottom"/>
          </w:tcPr>
          <w:p>
            <w:pPr>
              <w:spacing w:after="0"/>
              <w:rPr>
                <w:sz w:val="23"/>
                <w:szCs w:val="23"/>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-882015</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-882015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Underwriting discounts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underwriters propose initially to offer the Notes to the public at the public offering prices set forth on the cover page of this prospectus supplement and may offer the Notes to certain dealers at a price less a concession not in excess of         % of the principal amount of the 2031 Notes, with respect to the 2031 Notes, or         % of the principal amount of the 2036 Notes, with respect to the 2036 Notes. The underwriters may allow a discount not in excess of         % of the principal amount of the 2031 Notes, with respect to the 2031 Notes, or         % of the principal amount of the 2036 Notes, with respect to the 2036 Notes, on sales to certain other brokers and dealers. After this initial public offering, the public offering price, concession and discount for either series of the Notes may be changed.</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summarizes the compensation to be paid by us to the underwriters.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Underwriting</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2031 Note</w:t>
            </w:r>
          </w:p>
        </w:tc>
        <w:tc>
          <w:tcPr>
            <w:tcW w:w="2900" w:type="dxa"/>
            <w:vAlign w:val="bottom"/>
            <w:tcBorders>
              <w:top w:val="single" w:sz="8" w:color="CCEEFF"/>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2036 Note</w:t>
            </w:r>
          </w:p>
        </w:tc>
        <w:tc>
          <w:tcPr>
            <w:tcW w:w="290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2087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83"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discounts, will be approximately $              million.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There is a limited trading market for the Notes. We do not currently intend to apply for listing of either series of the Notes on any securities exchange or to have either series of the Notes quoted on any automated quotation system. We have been advised by the underwriters that the underwriters intend to continue to make a market in each series of the Notes but are not obligated to do so and may discontinue market making</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at any time without notice. No assurance can be given as to whether or not a trading market for either series of the Notes will develop or as to the liquidity of any trading market for either series of the Notes which may develop. If an active public trading market for either series of the Notes does not develop, the market price and liquidity of such series of Notes may be adversely affected. If either series of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4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32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323"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2025, which is the third business day following the date of pricing of the Notes (such settlement being referred to as “T+3”). Under Rule 15c6-1 of the Exchange Act, trades in the secondary market generally are required to settle in one business day unless the parties to any such trade expressly agree otherwise. Accordingly, purchasers who wish to trade the Notes on any date prior to the business day before delivery will be required, by virtue of the fact that the Notes initially will settle in T+3, to specify an alternate settlement cycle at the time of any such trade to prevent failed settlement and should consult their own advisors.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w:t>
      </w:r>
    </w:p>
    <w:p>
      <w:pPr>
        <w:spacing w:after="0" w:line="16" w:lineRule="exact"/>
        <w:rPr>
          <w:sz w:val="20"/>
          <w:szCs w:val="20"/>
          <w:color w:val="auto"/>
        </w:rPr>
      </w:pPr>
    </w:p>
    <w:p>
      <w:pPr>
        <w:ind w:left="1260" w:right="699"/>
        <w:spacing w:after="0" w:line="242" w:lineRule="auto"/>
        <w:rPr>
          <w:sz w:val="20"/>
          <w:szCs w:val="20"/>
          <w:color w:val="auto"/>
        </w:rPr>
      </w:pPr>
      <w:r>
        <w:rPr>
          <w:rFonts w:ascii="Times New Roman" w:cs="Times New Roman" w:eastAsia="Times New Roman" w:hAnsi="Times New Roman"/>
          <w:sz w:val="18"/>
          <w:szCs w:val="18"/>
          <w:color w:val="auto"/>
        </w:rPr>
        <w:t>offered, sold or otherwise made available to any retail investor in the United Kingdom (“UK”). For these purposes, a retail investor means a person who is one (or more) of: (i) a retail client, as defined in point</w:t>
      </w:r>
    </w:p>
    <w:p>
      <w:pPr>
        <w:spacing w:after="0" w:line="1" w:lineRule="exact"/>
        <w:rPr>
          <w:sz w:val="20"/>
          <w:szCs w:val="20"/>
          <w:color w:val="auto"/>
        </w:rPr>
      </w:pPr>
    </w:p>
    <w:p>
      <w:pPr>
        <w:ind w:left="1260" w:right="479"/>
        <w:spacing w:after="0"/>
        <w:tabs>
          <w:tab w:leader="none" w:pos="15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2 of Regulation (EU) No 2017/565 as it forms part of domestic law by virtue of the European Union (Withdrawal) Act 2018 (as amended,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2017/1129/EU as it forms part of domestic law by virtue of the EUWA (the “UK Prospectus Regulation”).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w:t>
      </w: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from the requirement to publish a prospectus. This prospectus supplement and the accompanying prospectus are not prospectuses for the purposes of the UK Prospectus Regulation or the FSMA.</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the UK, this prospectus supplement and the accompanying prospectus are being distributed only to, and are directed only at, and any offer subsequently made may only be directed at persons (i) who are “qualified investors” (as​ defined in the UK Prospectus Regulation), (ii) who have professional experience in matters relating to investments falling within Article 19 (5) of the Financial Services and Markets Act 2000 (Financial Promotion) Order 2005, as amended (the “Order”) and/or (iii) who are high net worth companies (or persons to whom it may otherwise be lawfully communicated) falling within Article 49(2)(a) to (e) of the Order (all such persons together being referred to as “relevant persons”) or otherwise in circumstances which have not resulted and will not result in an offer to the public of the Notes in the UK within the meaning of the FSMA.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member states of the European Economic Area</w:t>
      </w:r>
    </w:p>
    <w:p>
      <w:pPr>
        <w:spacing w:after="0" w:line="162"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 For these purposes, a retail investor means a person who is one (or more) of: (i) a retail client as defined in point (11) of Article 4(1) of Directive 2014/65/EU (as amended, “MiFID II”); or (ii) a customer within the meaning of Directive (EU) 2016/97,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or for the account or benefit of, any resident of Japan, except pursuant to an exemption from the registration requirements of, and in compliance with, the Financial Instruments and Exchange Law and any other applicable requirements of Japanese law.</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3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84" w:lineRule="exact"/>
        <w:rPr>
          <w:sz w:val="20"/>
          <w:szCs w:val="20"/>
          <w:color w:val="auto"/>
        </w:rPr>
      </w:pPr>
    </w:p>
    <w:p>
      <w:pPr>
        <w:jc w:val="both"/>
        <w:ind w:left="1800" w:right="75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4"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w:t>
      </w:r>
    </w:p>
    <w:p>
      <w:pPr>
        <w:ind w:left="180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64"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Section 275(1A), and in accordance with the conditions specified in Section 275 of the SFA;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90" w:lineRule="exact"/>
        <w:rPr>
          <w:sz w:val="20"/>
          <w:szCs w:val="20"/>
          <w:color w:val="auto"/>
        </w:rPr>
      </w:pPr>
    </w:p>
    <w:p>
      <w:pPr>
        <w:ind w:left="1260" w:right="559" w:firstLine="360"/>
        <w:spacing w:after="0" w:line="235"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4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This prospectus supplement and the accompanying base prospectus is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and the accompanying base prospectus nor any other offering or marketing material relating to the Notes constitutes a prospectus pursuant to the FinSA, and neither this prospectus supplement and the accompanying base prospectus nor any other offering or marketing material relating to the Notes may be publicly distributed or otherwise made publicly available in Switzerland.</w:t>
      </w: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6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w:t>
      </w:r>
    </w:p>
    <w:p>
      <w:pPr>
        <w:spacing w:after="0" w:line="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Supervisory Commission of Taiwan pursuant to relevant securities laws and regulations and may not be</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sold, issued, or offered within Taiwan through a public offering or in circumstances which constitute an offer within the meaning of the Securities and Exchange Act of Taiwan that requires a registration or filing with or approval of the Financial Supervisory Commission of Taiwan. No person or entity in Taiwan has been authorized or will be authorized to offer, sell, give advice regarding or otherwise intermediate the offering and sale of the Notes in Taiwan.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is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Korea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Abu Dhabi Global Market</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(a) are outside the Abu Dhabi Global Market, or (b) are Authorised Persons or Recognised Bodies (as such terms are defined in the Financial Services 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offer in Australia of the Notes may only be made to persons (the “Exempt Investors”) who are</w:t>
      </w:r>
    </w:p>
    <w:p>
      <w:pPr>
        <w:spacing w:after="0" w:line="27" w:lineRule="exact"/>
        <w:rPr>
          <w:sz w:val="20"/>
          <w:szCs w:val="20"/>
          <w:color w:val="auto"/>
        </w:rPr>
      </w:pPr>
    </w:p>
    <w:p>
      <w:pPr>
        <w:ind w:left="1260" w:right="719"/>
        <w:spacing w:after="0" w:line="245" w:lineRule="auto"/>
        <w:rPr>
          <w:sz w:val="20"/>
          <w:szCs w:val="20"/>
          <w:color w:val="auto"/>
        </w:rPr>
      </w:pPr>
      <w:r>
        <w:rPr>
          <w:rFonts w:ascii="Times New Roman" w:cs="Times New Roman" w:eastAsia="Times New Roman" w:hAnsi="Times New Roman"/>
          <w:sz w:val="18"/>
          <w:szCs w:val="18"/>
          <w:color w:val="auto"/>
        </w:rPr>
        <w:t>“sophisticated investors” (within​ the meaning of section 708(8) of the Corporations Act), “professional investors” ​(within the meaning of 708(11) of the Corporations Act) or otherwise pursuant to one or more</w:t>
      </w:r>
    </w:p>
    <w:p>
      <w:pPr>
        <w:spacing w:after="0" w:line="3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exemptions contained in section 708 of the Corporations Act so that it is lawful to offer the Notes without disclosure to investors under Chapter 6D of the Corporations Act.</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Affiliates of certain underwriters are lenders under our credit facilities or dealers under our commercial paper program and may hold commercial paper notes thereunder. Accordingly, such underwriters or affiliates may receive a portion of the net proceeds from this offering to the extent any of such net proceeds are used to repay any commercial paper notes held by such underwriters or affiliates.</w:t>
      </w:r>
    </w:p>
    <w:p>
      <w:pPr>
        <w:spacing w:after="0" w:line="3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of either series.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Affiliates of certain underwriters are lenders under our credit facilities and/or dealers under our commercial paper program and may hold commercial paper notes thereunder. To the extent we use proceeds from this offering to repay indebtedness under our credit facilities and/or commercial paper program, such underwriters and/or their affiliates may receive proceeds from this offering. Because certain of the underwriters and/or their affiliates may receive at least 5% of the net offering proceeds of this offering, such underwriters and/or their affiliates could be deemed to have a “conflict of interest” under Rule 5121 of the Financial Industry Regulatory Authority, Inc. (“Rule 5121”). See “Use of Proceeds.”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36">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ended December 31,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40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are “incorporating by reference” into this prospectus supplement information we file with the U.S.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8-K) until the offering and sale of the Notes contemplated by this prospectus supplement are complete:</w:t>
      </w:r>
    </w:p>
    <w:p>
      <w:pPr>
        <w:spacing w:after="0" w:line="99" w:lineRule="exact"/>
        <w:rPr>
          <w:sz w:val="20"/>
          <w:szCs w:val="20"/>
          <w:color w:val="auto"/>
        </w:rPr>
      </w:pPr>
    </w:p>
    <w:p>
      <w:pPr>
        <w:ind w:left="1800" w:right="699" w:hanging="180"/>
        <w:spacing w:after="0" w:line="282" w:lineRule="auto"/>
        <w:tabs>
          <w:tab w:leader="none" w:pos="1800" w:val="left"/>
        </w:tabs>
        <w:numPr>
          <w:ilvl w:val="0"/>
          <w:numId w:val="35"/>
        </w:numPr>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u w:val="single" w:color="auto"/>
            <w:color w:val="0000EE"/>
          </w:rPr>
          <w:t>Annual Report on Form 10-K for the fiscal year ended December 31, 2024, including information</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specifically incorporated by reference from our Proxy Statement for our 2025 Annual Meeting</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1239" w:hanging="180"/>
        <w:spacing w:after="0" w:line="282" w:lineRule="auto"/>
        <w:tabs>
          <w:tab w:leader="none" w:pos="1800" w:val="left"/>
        </w:tabs>
        <w:numPr>
          <w:ilvl w:val="0"/>
          <w:numId w:val="3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periods ended </w:t>
      </w:r>
      <w:hyperlink r:id="rId41">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3">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ind w:left="1800" w:right="559" w:hanging="180"/>
        <w:spacing w:after="0" w:line="266" w:lineRule="auto"/>
        <w:tabs>
          <w:tab w:leader="none" w:pos="1800" w:val="left"/>
        </w:tabs>
        <w:numPr>
          <w:ilvl w:val="0"/>
          <w:numId w:val="35"/>
        </w:numPr>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26,</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5">
        <w:r>
          <w:rPr>
            <w:rFonts w:ascii="Times New Roman" w:cs="Times New Roman" w:eastAsia="Times New Roman" w:hAnsi="Times New Roman"/>
            <w:sz w:val="18"/>
            <w:szCs w:val="18"/>
            <w:u w:val="single" w:color="auto"/>
            <w:color w:val="0000EE"/>
          </w:rPr>
          <w:t>May 23, 2025</w:t>
        </w:r>
      </w:hyperlink>
      <w:hyperlink r:id="rId10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6">
        <w:r>
          <w:rPr>
            <w:rFonts w:ascii="Times New Roman" w:cs="Times New Roman" w:eastAsia="Times New Roman" w:hAnsi="Times New Roman"/>
            <w:sz w:val="18"/>
            <w:szCs w:val="18"/>
            <w:u w:val="single" w:color="auto"/>
            <w:color w:val="0000EE"/>
          </w:rPr>
          <w:t>June 17, 2025</w:t>
        </w:r>
      </w:hyperlink>
      <w:hyperlink r:id="rId10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7">
        <w:r>
          <w:rPr>
            <w:rFonts w:ascii="Times New Roman" w:cs="Times New Roman" w:eastAsia="Times New Roman" w:hAnsi="Times New Roman"/>
            <w:sz w:val="18"/>
            <w:szCs w:val="18"/>
            <w:u w:val="single" w:color="auto"/>
            <w:color w:val="0000EE"/>
          </w:rPr>
          <w:t>August 18, 2025</w:t>
        </w:r>
      </w:hyperlink>
      <w:hyperlink r:id="rId10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8">
        <w:r>
          <w:rPr>
            <w:rFonts w:ascii="Times New Roman" w:cs="Times New Roman" w:eastAsia="Times New Roman" w:hAnsi="Times New Roman"/>
            <w:sz w:val="18"/>
            <w:szCs w:val="18"/>
            <w:u w:val="single" w:color="auto"/>
            <w:color w:val="0000EE"/>
          </w:rPr>
          <w:t>September 2, 2025</w:t>
        </w:r>
      </w:hyperlink>
      <w:hyperlink r:id="rId10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9">
        <w:r>
          <w:rPr>
            <w:rFonts w:ascii="Times New Roman" w:cs="Times New Roman" w:eastAsia="Times New Roman" w:hAnsi="Times New Roman"/>
            <w:sz w:val="18"/>
            <w:szCs w:val="18"/>
            <w:u w:val="single" w:color="auto"/>
            <w:color w:val="0000EE"/>
          </w:rPr>
          <w:t xml:space="preserve">September 8, 2025 </w:t>
        </w:r>
      </w:hyperlink>
      <w:hyperlink r:id="rId104">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p>
    <w:p>
      <w:pPr>
        <w:spacing w:after="0" w:line="108" w:lineRule="exact"/>
        <w:rPr>
          <w:rFonts w:ascii="Times New Roman" w:cs="Times New Roman" w:eastAsia="Times New Roman" w:hAnsi="Times New Roman"/>
          <w:sz w:val="18"/>
          <w:szCs w:val="18"/>
          <w:color w:val="0000EE"/>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08" w:lineRule="exact"/>
        <w:rPr>
          <w:rFonts w:ascii="Times New Roman" w:cs="Times New Roman" w:eastAsia="Times New Roman" w:hAnsi="Times New Roman"/>
          <w:sz w:val="18"/>
          <w:szCs w:val="18"/>
          <w:color w:val="0000EE"/>
        </w:rPr>
      </w:pPr>
    </w:p>
    <w:p>
      <w:pPr>
        <w:ind w:left="40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0000EE"/>
        </w:rPr>
      </w:pPr>
    </w:p>
    <w:p>
      <w:pPr>
        <w:ind w:left="4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rFonts w:ascii="Times New Roman" w:cs="Times New Roman" w:eastAsia="Times New Roman" w:hAnsi="Times New Roman"/>
          <w:sz w:val="18"/>
          <w:szCs w:val="18"/>
          <w:color w:val="0000EE"/>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0000EE"/>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0000EE"/>
        </w:rPr>
      </w:pPr>
    </w:p>
    <w:p>
      <w:pPr>
        <w:ind w:left="4340"/>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26" w:lineRule="exact"/>
        <w:rPr>
          <w:rFonts w:ascii="Times New Roman" w:cs="Times New Roman" w:eastAsia="Times New Roman" w:hAnsi="Times New Roman"/>
          <w:sz w:val="18"/>
          <w:szCs w:val="18"/>
          <w:color w:val="0000EE"/>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regarding us. The SEC’s website address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60"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PAA FINANCE CORP.</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Units</w:t>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Preferred Units</w:t>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8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1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318"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Investing in our common units, preferred units and debt securities involves risks. Limited partnerships are inherently different from corporations. You should carefully consider the risk factors described under “Risk Factors” beginning on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this prospectus before you make an investment in our securities.</w:t>
      </w:r>
    </w:p>
    <w:p>
      <w:pPr>
        <w:spacing w:after="0" w:line="89"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Our common units are traded on the Nasdaq Global Select Market under the symbol “PAA.” We will provide information in the prospectus supplement for the trading market, if any, for any preferred units or debt securities we may offer.</w:t>
      </w:r>
    </w:p>
    <w:p>
      <w:pPr>
        <w:spacing w:after="0" w:line="104"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these securities or determined if this prospectus is truthful or complete. Any representation to the contrary is a criminal offense.</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3058795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72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4720" w:type="dxa"/>
            <w:vAlign w:val="bottom"/>
            <w:gridSpan w:val="9"/>
            <w:shd w:val="clear" w:color="auto" w:fill="CCEEFF"/>
          </w:tcPr>
          <w:p>
            <w:pPr>
              <w:spacing w:after="0"/>
              <w:rPr>
                <w:sz w:val="14"/>
                <w:szCs w:val="14"/>
                <w:color w:val="auto"/>
              </w:rPr>
            </w:pPr>
          </w:p>
        </w:tc>
        <w:tc>
          <w:tcPr>
            <w:tcW w:w="176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ii</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tcBorders>
              <w:left w:val="single" w:sz="8" w:color="CCEEFF"/>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580" w:type="dxa"/>
            <w:vAlign w:val="bottom"/>
          </w:tcPr>
          <w:p>
            <w:pPr>
              <w:spacing w:after="0"/>
              <w:rPr>
                <w:sz w:val="17"/>
                <w:szCs w:val="17"/>
                <w:color w:val="auto"/>
              </w:rPr>
            </w:pPr>
          </w:p>
        </w:tc>
        <w:tc>
          <w:tcPr>
            <w:tcW w:w="1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0000EE"/>
              </w:rPr>
              <w:t>iii</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shd w:val="clear" w:color="auto" w:fill="0000EE"/>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r>
              <w:rPr>
                <w:rFonts w:ascii="Times New Roman" w:cs="Times New Roman" w:eastAsia="Times New Roman" w:hAnsi="Times New Roman"/>
                <w:sz w:val="1"/>
                <w:szCs w:val="1"/>
                <w:b w:val="1"/>
                <w:bCs w:val="1"/>
                <w:color w:val="auto"/>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5"/>
              </w:rPr>
              <w:t>iv</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20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About Plains All American Pipeline, L.P.</w:t>
            </w:r>
          </w:p>
        </w:tc>
        <w:tc>
          <w:tcPr>
            <w:tcW w:w="162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20" w:type="dxa"/>
            <w:vAlign w:val="bottom"/>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940" w:type="dxa"/>
            <w:vAlign w:val="bottom"/>
            <w:tcBorders>
              <w:bottom w:val="single" w:sz="8" w:color="CCEEFF"/>
            </w:tcBorders>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2"/>
            <w:shd w:val="clear" w:color="auto" w:fill="CCEEFF"/>
          </w:tcPr>
          <w:p>
            <w:pPr>
              <w:spacing w:after="0"/>
              <w:rPr>
                <w:sz w:val="2"/>
                <w:szCs w:val="2"/>
                <w:color w:val="auto"/>
              </w:rPr>
            </w:pPr>
          </w:p>
        </w:tc>
        <w:tc>
          <w:tcPr>
            <w:tcW w:w="7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2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Debt Securities</w:t>
            </w:r>
          </w:p>
        </w:tc>
        <w:tc>
          <w:tcPr>
            <w:tcW w:w="162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tcBorders>
              <w:bottom w:val="single" w:sz="8" w:color="CCEEFF"/>
            </w:tcBorders>
            <w:gridSpan w:val="3"/>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6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left w:val="single" w:sz="8" w:color="CCEEFF"/>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Our Preferred Units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4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Common Units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2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600" w:type="dxa"/>
            <w:vAlign w:val="bottom"/>
            <w:tcBorders>
              <w:bottom w:val="single" w:sz="8" w:color="CCEEFF"/>
            </w:tcBorders>
            <w:gridSpan w:val="4"/>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Cash Distribution Policy</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36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Our Partnership Agreement</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220" w:type="dxa"/>
            <w:vAlign w:val="bottom"/>
            <w:tcBorders>
              <w:bottom w:val="single" w:sz="8" w:color="CCEEFF"/>
            </w:tcBorders>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Borders>
              <w:bottom w:val="single" w:sz="8" w:color="CCEEFF"/>
            </w:tcBorders>
            <w:shd w:val="clear" w:color="auto" w:fill="CCEEFF"/>
          </w:tcPr>
          <w:p>
            <w:pPr>
              <w:spacing w:after="0"/>
              <w:rPr>
                <w:sz w:val="2"/>
                <w:szCs w:val="2"/>
                <w:color w:val="auto"/>
              </w:rPr>
            </w:pPr>
          </w:p>
        </w:tc>
        <w:tc>
          <w:tcPr>
            <w:tcW w:w="274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740" w:type="dxa"/>
            <w:vAlign w:val="bottom"/>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50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940" w:type="dxa"/>
            <w:vAlign w:val="bottom"/>
            <w:tcBorders>
              <w:bottom w:val="single" w:sz="8" w:color="CCEEFF"/>
            </w:tcBorders>
            <w:gridSpan w:val="10"/>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2"/>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4"/>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4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w w:val="4294942296"/>
              </w:rPr>
              <w:t>​</w:t>
            </w:r>
          </w:p>
        </w:tc>
        <w:tc>
          <w:tcPr>
            <w:tcW w:w="60" w:type="dxa"/>
            <w:vAlign w:val="bottom"/>
            <w:tcBorders>
              <w:left w:val="single" w:sz="8" w:color="0000EE"/>
              <w:bottom w:val="single" w:sz="8" w:color="CCEEFF"/>
            </w:tcBorders>
            <w:shd w:val="clear" w:color="auto" w:fill="0000EE"/>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1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and PAA Finance Corp. have filed with the U.S.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Our business, financial condition, results of operations and prospects may have changed since such dates.</w:t>
      </w:r>
    </w:p>
    <w:p>
      <w:pPr>
        <w:spacing w:after="0" w:line="12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any future filings we make with the SEC under Section 13(a), 13(c), 14 or 15(d) of the Securities Exchange Act of 1934, as amended (the “Exchange Act”) (excluding, in each case, any information furnished pursuant to Item 2.02 or 7.01 of any Current Report on Form 8-K) until all offerings under the registration statement and the prospectus are completed:</w:t>
      </w:r>
    </w:p>
    <w:p>
      <w:pPr>
        <w:spacing w:after="0" w:line="72"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u w:val="single" w:color="auto"/>
            <w:color w:val="0000EE"/>
          </w:rPr>
          <w:t>our Annual Report on Form 10-K for the fiscal year ended December 31, 2023</w:t>
        </w:r>
      </w:hyperlink>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color w:val="0000EE"/>
        </w:rPr>
      </w:pPr>
    </w:p>
    <w:p>
      <w:pPr>
        <w:ind w:left="1800" w:right="679" w:hanging="180"/>
        <w:spacing w:after="0" w:line="282" w:lineRule="auto"/>
        <w:tabs>
          <w:tab w:leader="none" w:pos="1800" w:val="left"/>
        </w:tabs>
        <w:numPr>
          <w:ilvl w:val="0"/>
          <w:numId w:val="36"/>
        </w:numPr>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auto"/>
          </w:rPr>
          <w:t xml:space="preserve">our Quarterly Reports on Form 10-Q for the quarterly periods ended </w:t>
        </w:r>
        <w:r>
          <w:rPr>
            <w:rFonts w:ascii="Times New Roman" w:cs="Times New Roman" w:eastAsia="Times New Roman" w:hAnsi="Times New Roman"/>
            <w:sz w:val="18"/>
            <w:szCs w:val="18"/>
            <w:u w:val="single" w:color="auto"/>
            <w:color w:val="0000EE"/>
          </w:rPr>
          <w:t>March 31,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30,</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800" w:right="1199" w:hanging="180"/>
        <w:spacing w:after="0" w:line="282" w:lineRule="auto"/>
        <w:tabs>
          <w:tab w:leader="none" w:pos="1800" w:val="left"/>
        </w:tabs>
        <w:numPr>
          <w:ilvl w:val="0"/>
          <w:numId w:val="3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117">
        <w:r>
          <w:rPr>
            <w:rFonts w:ascii="Times New Roman" w:cs="Times New Roman" w:eastAsia="Times New Roman" w:hAnsi="Times New Roman"/>
            <w:sz w:val="18"/>
            <w:szCs w:val="18"/>
            <w:u w:val="single" w:color="auto"/>
            <w:color w:val="0000EE"/>
          </w:rPr>
          <w:t>May 28, 2024</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June 20, 2024</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June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0">
        <w:r>
          <w:rPr>
            <w:rFonts w:ascii="Times New Roman" w:cs="Times New Roman" w:eastAsia="Times New Roman" w:hAnsi="Times New Roman"/>
            <w:sz w:val="18"/>
            <w:szCs w:val="18"/>
            <w:u w:val="single" w:color="auto"/>
            <w:color w:val="0000EE"/>
          </w:rPr>
          <w:t>August 22,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800" w:right="439" w:hanging="180"/>
        <w:spacing w:after="0" w:line="266" w:lineRule="auto"/>
        <w:tabs>
          <w:tab w:leader="none" w:pos="1800" w:val="left"/>
        </w:tabs>
        <w:numPr>
          <w:ilvl w:val="0"/>
          <w:numId w:val="36"/>
        </w:numPr>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auto"/>
          </w:rPr>
          <w:t xml:space="preserve">information specifically incorporated by reference into </w:t>
        </w:r>
        <w:r>
          <w:rPr>
            <w:rFonts w:ascii="Times New Roman" w:cs="Times New Roman" w:eastAsia="Times New Roman" w:hAnsi="Times New Roman"/>
            <w:sz w:val="18"/>
            <w:szCs w:val="18"/>
            <w:u w:val="single" w:color="auto"/>
            <w:color w:val="0000EE"/>
          </w:rPr>
          <w:t>our Annual Report on Form 10-K for the year</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our proxy statement, on Schedule 14A, filed with the SEC on</w:t>
        </w:r>
      </w:hyperlink>
      <w:r>
        <w:rPr>
          <w:rFonts w:ascii="Times New Roman" w:cs="Times New Roman" w:eastAsia="Times New Roman" w:hAnsi="Times New Roman"/>
          <w:sz w:val="18"/>
          <w:szCs w:val="18"/>
          <w:color w:val="0000EE"/>
        </w:rPr>
        <w:t xml:space="preserve"> </w:t>
      </w:r>
      <w:hyperlink r:id="rId121">
        <w:r>
          <w:rPr>
            <w:rFonts w:ascii="Times New Roman" w:cs="Times New Roman" w:eastAsia="Times New Roman" w:hAnsi="Times New Roman"/>
            <w:sz w:val="18"/>
            <w:szCs w:val="18"/>
            <w:u w:val="single" w:color="auto"/>
            <w:color w:val="0000EE"/>
          </w:rPr>
          <w:t>April 12, 2024</w:t>
        </w:r>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jc w:val="both"/>
        <w:ind w:left="1800" w:right="599" w:hanging="180"/>
        <w:spacing w:after="0" w:line="261" w:lineRule="auto"/>
        <w:tabs>
          <w:tab w:leader="none" w:pos="1800" w:val="left"/>
        </w:tabs>
        <w:numPr>
          <w:ilvl w:val="0"/>
          <w:numId w:val="3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units contained in </w:t>
      </w:r>
      <w:hyperlink r:id="rId122">
        <w:r>
          <w:rPr>
            <w:rFonts w:ascii="Times New Roman" w:cs="Times New Roman" w:eastAsia="Times New Roman" w:hAnsi="Times New Roman"/>
            <w:sz w:val="18"/>
            <w:szCs w:val="18"/>
            <w:u w:val="single" w:color="auto"/>
            <w:color w:val="0000EE"/>
          </w:rPr>
          <w:t>Exhibit 4.16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w:t>
      </w:r>
      <w:hyperlink r:id="rId123">
        <w:r>
          <w:rPr>
            <w:rFonts w:ascii="Times New Roman" w:cs="Times New Roman" w:eastAsia="Times New Roman" w:hAnsi="Times New Roman"/>
            <w:sz w:val="18"/>
            <w:szCs w:val="18"/>
            <w:color w:val="auto"/>
          </w:rPr>
          <w:t xml:space="preserve">for the year ended December 31, 2023, </w:t>
        </w:r>
        <w:r>
          <w:rPr>
            <w:rFonts w:ascii="Times New Roman" w:cs="Times New Roman" w:eastAsia="Times New Roman" w:hAnsi="Times New Roman"/>
            <w:sz w:val="18"/>
            <w:szCs w:val="18"/>
            <w:u w:val="single" w:color="auto"/>
            <w:color w:val="0000EE"/>
          </w:rPr>
          <w:t>Form 8-A/A dated November 16, 2016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Form 8-A dated</w:t>
        </w:r>
      </w:hyperlink>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EE"/>
          </w:rPr>
          <w:t>December 11, 2020</w:t>
        </w:r>
        <w:r>
          <w:rPr>
            <w:rFonts w:ascii="Times New Roman" w:cs="Times New Roman" w:eastAsia="Times New Roman" w:hAnsi="Times New Roman"/>
            <w:sz w:val="18"/>
            <w:szCs w:val="18"/>
            <w:color w:val="000000"/>
          </w:rPr>
          <w:t>, and any subsequent amendment thereto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99" w:lineRule="exact"/>
        <w:rPr>
          <w:rFonts w:ascii="Times New Roman" w:cs="Times New Roman" w:eastAsia="Times New Roman" w:hAnsi="Times New Roman"/>
          <w:sz w:val="18"/>
          <w:szCs w:val="18"/>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incorporated by reference into this prospectus and any exhibit specifically incorporated by reference in those documents, at no cost, by writing or telephoning us at the following address or phone number:</w:t>
      </w:r>
    </w:p>
    <w:p>
      <w:pPr>
        <w:spacing w:after="0" w:line="108" w:lineRule="exact"/>
        <w:rPr>
          <w:rFonts w:ascii="Times New Roman" w:cs="Times New Roman" w:eastAsia="Times New Roman" w:hAnsi="Times New Roman"/>
          <w:sz w:val="18"/>
          <w:szCs w:val="18"/>
          <w:color w:val="auto"/>
        </w:rPr>
      </w:pPr>
    </w:p>
    <w:p>
      <w:pPr>
        <w:ind w:left="404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4300"/>
        <w:spacing w:after="0"/>
        <w:rPr>
          <w:sz w:val="20"/>
          <w:szCs w:val="20"/>
          <w:color w:val="auto"/>
        </w:rPr>
      </w:pPr>
      <w:r>
        <w:rPr>
          <w:rFonts w:ascii="Times New Roman" w:cs="Times New Roman" w:eastAsia="Times New Roman" w:hAnsi="Times New Roman"/>
          <w:sz w:val="18"/>
          <w:szCs w:val="18"/>
          <w:color w:val="auto"/>
        </w:rPr>
        <w:t>333 Clay Street, Suite 1600</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ind w:left="418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ind w:left="4340"/>
        <w:spacing w:after="0"/>
        <w:rPr>
          <w:sz w:val="20"/>
          <w:szCs w:val="20"/>
          <w:color w:val="auto"/>
        </w:rPr>
      </w:pPr>
      <w:r>
        <w:rPr>
          <w:rFonts w:ascii="Times New Roman" w:cs="Times New Roman" w:eastAsia="Times New Roman" w:hAnsi="Times New Roman"/>
          <w:sz w:val="18"/>
          <w:szCs w:val="18"/>
          <w:color w:val="auto"/>
        </w:rPr>
        <w:t>Telephone: (713) 646-4100</w:t>
      </w:r>
    </w:p>
    <w:p>
      <w:pPr>
        <w:spacing w:after="0" w:line="139" w:lineRule="exact"/>
        <w:rPr>
          <w:rFonts w:ascii="Times New Roman" w:cs="Times New Roman" w:eastAsia="Times New Roman" w:hAnsi="Times New Roman"/>
          <w:sz w:val="18"/>
          <w:szCs w:val="18"/>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file periodic reports, current reports, proxy statements and other information with the SEC. The SEC maintains an internet site that contains information we have filed electronically with the SEC, which you can access over the internet at http://www.sec.gov. Our SEC filings are also available free of charge on our website at www.plains.com under “Investor Relations”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7" w:lineRule="exact"/>
        <w:rPr>
          <w:sz w:val="20"/>
          <w:szCs w:val="20"/>
          <w:color w:val="auto"/>
        </w:rPr>
      </w:pPr>
    </w:p>
    <w:p>
      <w:pPr>
        <w:ind w:left="1800" w:right="539" w:hanging="180"/>
        <w:spacing w:after="0" w:line="25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2"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272"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8"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26"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4"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wildfires and drought);</w:t>
      </w:r>
    </w:p>
    <w:p>
      <w:pPr>
        <w:spacing w:after="0" w:line="26" w:lineRule="exact"/>
        <w:rPr>
          <w:rFonts w:ascii="Times New Roman" w:cs="Times New Roman" w:eastAsia="Times New Roman" w:hAnsi="Times New Roman"/>
          <w:sz w:val="18"/>
          <w:szCs w:val="18"/>
          <w:color w:val="auto"/>
        </w:rPr>
      </w:pPr>
    </w:p>
    <w:p>
      <w:pPr>
        <w:ind w:left="1800" w:right="93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accounting standards and statements, and related interpretations that</w:t>
      </w:r>
    </w:p>
    <w:p>
      <w:pPr>
        <w:ind w:left="180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prohibit, restrict or regulate the development of oil and gas resources and the related infrastructure on lands dedicated to or served by our pipelines or (ii) negatively impact our ability to develop, operate or repair midstream assets;</w:t>
      </w:r>
    </w:p>
    <w:p>
      <w:pPr>
        <w:spacing w:after="0" w:line="64"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4"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w:t>
      </w:r>
    </w:p>
    <w:p>
      <w:pPr>
        <w:spacing w:after="0" w:line="40" w:lineRule="exact"/>
        <w:rPr>
          <w:rFonts w:ascii="Times New Roman" w:cs="Times New Roman" w:eastAsia="Times New Roman" w:hAnsi="Times New Roman"/>
          <w:sz w:val="18"/>
          <w:szCs w:val="18"/>
          <w:color w:val="auto"/>
        </w:rPr>
      </w:pPr>
    </w:p>
    <w:p>
      <w:pPr>
        <w:ind w:left="1800" w:right="559" w:hanging="180"/>
        <w:spacing w:after="0" w:line="25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5" w:lineRule="exact"/>
        <w:rPr>
          <w:rFonts w:ascii="Times New Roman" w:cs="Times New Roman" w:eastAsia="Times New Roman" w:hAnsi="Times New Roman"/>
          <w:sz w:val="18"/>
          <w:szCs w:val="18"/>
          <w:color w:val="auto"/>
        </w:rPr>
      </w:pPr>
    </w:p>
    <w:p>
      <w:pPr>
        <w:ind w:left="1800" w:right="619" w:hanging="180"/>
        <w:spacing w:after="0" w:line="263"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278"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26"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40"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4"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26"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jc w:val="both"/>
        <w:ind w:left="1800" w:right="619" w:hanging="180"/>
        <w:spacing w:after="0" w:line="275"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infrastructure and its impact on expected crude oil production growth in the Permian Basin; and</w:t>
      </w:r>
    </w:p>
    <w:p>
      <w:pPr>
        <w:spacing w:after="0" w:line="40" w:lineRule="exact"/>
        <w:rPr>
          <w:rFonts w:ascii="Times New Roman" w:cs="Times New Roman" w:eastAsia="Times New Roman" w:hAnsi="Times New Roman"/>
          <w:sz w:val="18"/>
          <w:szCs w:val="18"/>
          <w:color w:val="auto"/>
        </w:rPr>
      </w:pPr>
    </w:p>
    <w:p>
      <w:pPr>
        <w:jc w:val="both"/>
        <w:ind w:left="1800" w:right="55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Other factors described or incorporated by reference herein, as well as factors that are unknown or unpredictable, could also have a material adverse effect on future results. See “Risk Factors” beginning on </w:t>
      </w:r>
      <w:hyperlink r:id="rId115">
        <w:r>
          <w:rPr>
            <w:rFonts w:ascii="Times New Roman" w:cs="Times New Roman" w:eastAsia="Times New Roman" w:hAnsi="Times New Roman"/>
            <w:sz w:val="18"/>
            <w:szCs w:val="18"/>
            <w:color w:val="auto"/>
          </w:rPr>
          <w:t xml:space="preserve">page 3 of this prospectus and discussed in Item 1A. “Risk Factors” in </w:t>
        </w:r>
        <w:r>
          <w:rPr>
            <w:rFonts w:ascii="Times New Roman" w:cs="Times New Roman" w:eastAsia="Times New Roman" w:hAnsi="Times New Roman"/>
            <w:sz w:val="18"/>
            <w:szCs w:val="18"/>
            <w:u w:val="single" w:color="auto"/>
            <w:color w:val="0000EE"/>
          </w:rPr>
          <w:t>our Annual Report on Form 10-K for</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the 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001-14569) and in any of our subsequent quarterly or current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which are incorporated into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ABOUT PLAINS ALL AMERICAN PIPELINE, L.P.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We are a Delaware limited partnership formed in 1998. Our operations are conducted directly and indirectly through our primary operating subsidiaries.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and conducted through two operating segments: Crude Oil and NGL.</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whose sole member is AAP. In addition to its ownership of PAA GP, as of June 30, 2024, AAP also owned a limited partner interest in us through its ownership of approximately 232.7 million of our common units (approximately 30% of our total outstanding common units and Series A preferred units combined). GP LLC is AAP’s general partner. PAGP is the sole and managing member of GP LLC, and, at June 30, 2024, owned an approximate 85% limited partner interest in AAP. PAGP GP is the general partner of PAGP.</w:t>
      </w:r>
    </w:p>
    <w:p>
      <w:pPr>
        <w:spacing w:after="0" w:line="120"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Executive Offices and Internet Address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at 333 Clay Street, Suite 1600, Houston, Texas 77002 and our telephone number is (713) 646-4100. We maintain a website at www.plains.com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left="1260" w:right="43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additional information about us please refer to the documents set forth under “Where You Can Find </w:t>
      </w:r>
      <w:hyperlink r:id="rId115">
        <w:r>
          <w:rPr>
            <w:rFonts w:ascii="Times New Roman" w:cs="Times New Roman" w:eastAsia="Times New Roman" w:hAnsi="Times New Roman"/>
            <w:sz w:val="18"/>
            <w:szCs w:val="18"/>
            <w:color w:val="auto"/>
          </w:rPr>
          <w:t xml:space="preserve">More Information” in this prospectus, including </w:t>
        </w:r>
        <w:r>
          <w:rPr>
            <w:rFonts w:ascii="Times New Roman" w:cs="Times New Roman" w:eastAsia="Times New Roman" w:hAnsi="Times New Roman"/>
            <w:sz w:val="18"/>
            <w:szCs w:val="18"/>
            <w:u w:val="single" w:color="auto"/>
            <w:color w:val="0000EE"/>
          </w:rPr>
          <w:t>our Annual Report on Form 10-K for the fiscal year ended</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001-14569) and any of our subsequent quarterly reports or current reports,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An investment in our securities involves a high degree of risk. Before you invest in our securities, you </w:t>
      </w:r>
      <w:hyperlink r:id="rId115">
        <w:r>
          <w:rPr>
            <w:rFonts w:ascii="Times New Roman" w:cs="Times New Roman" w:eastAsia="Times New Roman" w:hAnsi="Times New Roman"/>
            <w:sz w:val="18"/>
            <w:szCs w:val="18"/>
            <w:color w:val="auto"/>
          </w:rPr>
          <w:t xml:space="preserve">should carefully consider the risk factors included in Item 1A. “Risk Factors” in </w:t>
        </w:r>
        <w:r>
          <w:rPr>
            <w:rFonts w:ascii="Times New Roman" w:cs="Times New Roman" w:eastAsia="Times New Roman" w:hAnsi="Times New Roman"/>
            <w:sz w:val="18"/>
            <w:szCs w:val="18"/>
            <w:u w:val="single" w:color="auto"/>
            <w:color w:val="0000EE"/>
          </w:rPr>
          <w:t>our Annual Report on Form</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10-K for the 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001-14569) and in any of our subsequent quarterly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or current reports, which are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to the contrary in an applicable prospectus supplement, we intend to use the net proceeds we receive from the sale of securities covered by this prospectus and any prospectus supplement for general partnership purposes, which may include, among other things, repayment of indebtedness, acquisitions, capital expenditures and additions to working capital.</w:t>
      </w:r>
    </w:p>
    <w:p>
      <w:pPr>
        <w:spacing w:after="0" w:line="11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debt securities will be:</w:t>
      </w:r>
    </w:p>
    <w:p>
      <w:pPr>
        <w:spacing w:after="0" w:line="117"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general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senior debt securities or subordinated debt securities; and</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under separate indentures (which may be existing indentures) among Plains All American Pipeline, PAA Finance and U.S. Bank Trust Company, National Association, as successor Trustee.</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2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Terms of Each Series of Debt Securities in the Prospectus Supplement</w:t>
      </w:r>
    </w:p>
    <w:p>
      <w:pPr>
        <w:spacing w:after="0" w:line="148"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68"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PAA Finance will be a co-issuer of the debt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if any, that are pledged as security for the payment of the debt securities;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issue the debt securities;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if the maturity of the debt securities is accelerated;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 in which the debt securities will be payable, if not U.S. dollars;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17" w:lineRule="exact"/>
        <w:rPr>
          <w:rFonts w:ascii="Times New Roman" w:cs="Times New Roman" w:eastAsia="Times New Roman" w:hAnsi="Times New Roman"/>
          <w:sz w:val="18"/>
          <w:szCs w:val="18"/>
          <w:color w:val="auto"/>
        </w:rPr>
      </w:pPr>
    </w:p>
    <w:p>
      <w:pPr>
        <w:ind w:left="1800" w:right="11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or additional events of default or covenants;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Future Guarantees</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14"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1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Asset Sale</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61" w:lineRule="exact"/>
        <w:rPr>
          <w:sz w:val="20"/>
          <w:szCs w:val="20"/>
          <w:color w:val="auto"/>
        </w:rPr>
      </w:pPr>
    </w:p>
    <w:p>
      <w:pPr>
        <w:ind w:left="1800" w:right="41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 acquiring entity must assume the issuer’s obligations under the indenture;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(as defined under “— Events of Default and Remedies” below) may exist.</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set forth in the prospectus supplement, the debt securities will not contain any</w:t>
      </w:r>
    </w:p>
    <w:p>
      <w:pPr>
        <w:spacing w:after="0" w:line="27"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provisions that protect the holders of the debt securities in the event of a change of control of us or in the event of a highly leveraged transaction, whether or not such transaction results in a change of control of us.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Indentures</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78" w:lineRule="exact"/>
        <w:rPr>
          <w:sz w:val="20"/>
          <w:szCs w:val="20"/>
          <w:color w:val="auto"/>
        </w:rPr>
      </w:pPr>
    </w:p>
    <w:p>
      <w:pPr>
        <w:ind w:left="1800" w:right="10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w:t>
      </w:r>
    </w:p>
    <w:p>
      <w:pPr>
        <w:spacing w:after="0" w:line="103"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debt security;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8"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under the indenture, release any security that may have been granted with respect to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currency other than that stated in the debt securities;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make any change in the subordination provisions that adversely affects the rights of any holder under those provisions;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may be permitted in the case of a particular series of debt securities);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supplement and waiver provisions (except to increase any percentage set forth therein).</w:t>
      </w:r>
    </w:p>
    <w:p>
      <w:pPr>
        <w:spacing w:after="0" w:line="94"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may supplement or amend an indenture without the consent of any holders of the debt securities in certain circumstances, including:</w:t>
      </w:r>
    </w:p>
    <w:p>
      <w:pPr>
        <w:spacing w:after="0" w:line="5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of terms of any series of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an issuer’s obligations to holders of debt securities in the case of a merger or consolidation or disposition of all or substantially all of such issuer’s assets;</w:t>
      </w:r>
    </w:p>
    <w:p>
      <w:pPr>
        <w:spacing w:after="0" w:line="53" w:lineRule="exact"/>
        <w:rPr>
          <w:rFonts w:ascii="Times New Roman" w:cs="Times New Roman" w:eastAsia="Times New Roman" w:hAnsi="Times New Roman"/>
          <w:sz w:val="18"/>
          <w:szCs w:val="18"/>
          <w:color w:val="auto"/>
        </w:rPr>
      </w:pPr>
    </w:p>
    <w:p>
      <w:pPr>
        <w:jc w:val="both"/>
        <w:ind w:left="1800" w:right="69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release any guarantors pursuant to the terms of the indenture;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or provide for the acceptance of appointment under the indenture of a successor Trustee;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 and/or any guarantees.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“Event of Default,” when used in an indenture, will mean any of the following with respect to the debt securities of any series:</w:t>
      </w:r>
    </w:p>
    <w:p>
      <w:pPr>
        <w:spacing w:after="0" w:line="40"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the principal of or any premium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within 60 days of the due date, interest on any debt security of that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when due any sinking fund payment with respect to any debt securities of that series;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the part of the issuers to comply with the covenant described under “— Consolidation, Merger or Asset Sale;”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that continues for 30 days after written notice is given to the issuers;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an issuer;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under the terms of the debt securities of that series.</w:t>
      </w:r>
    </w:p>
    <w:p>
      <w:pPr>
        <w:spacing w:after="0" w:line="158"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9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16"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Limit on Amount of Debt Securities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of Notes</w:t>
      </w:r>
    </w:p>
    <w:p>
      <w:pPr>
        <w:spacing w:after="0" w:line="14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We will issue debt securities of a series only in registered form, without coupons, unless otherwise indicated in the prospectus supplement.</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Minimum Denominations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Unless the prospectus supplement states otherwise, the debt securities will be issued only in principal amounts of $1,000 each or integral multiples of $1,000.</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Personal Liability</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09"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96"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3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Registration and Transfer</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be required to:</w:t>
      </w:r>
    </w:p>
    <w:p>
      <w:pPr>
        <w:spacing w:after="0" w:line="77" w:lineRule="exact"/>
        <w:rPr>
          <w:sz w:val="20"/>
          <w:szCs w:val="20"/>
          <w:color w:val="auto"/>
        </w:rPr>
      </w:pPr>
    </w:p>
    <w:p>
      <w:pPr>
        <w:ind w:left="1800" w:right="47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44"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called for redemption or repurchase, except the unredeemed portion of any debt security we are redeeming or repurchasing in part.</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Senior Debt Securities</w:t>
      </w:r>
    </w:p>
    <w:p>
      <w:pPr>
        <w:spacing w:after="0" w:line="162"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Relating only to the Subordinated Debt Securities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Subordinated Debt Securities Subordinated to Senior Indebtedness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rank junior in right of payment to all of the Senior Indebtedness of Plains All American Pipeline. “Senior Indebtedness” will be defined in a supplemental indenture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authorizing resolutions respecting any issuance of a series of subordinated debt securities, and the definition will be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Payment Blockages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provide that no payment of principal, interest and any premium on the subordinated debt securities may be made in the event:</w:t>
      </w:r>
    </w:p>
    <w:p>
      <w:pPr>
        <w:spacing w:after="0" w:line="54" w:lineRule="exact"/>
        <w:rPr>
          <w:sz w:val="20"/>
          <w:szCs w:val="20"/>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property is involved in any voluntary or involuntary liquidation or bankruptcy;</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8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 Limitation on Amount of Senior Debt</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subordinated indenture will not limit the amount of Senior Indebtedness that Plains All American Pipeline may incur, unless otherwise indicated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 Entry, Delivery and Form</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Beneficial interests in global debt securities will be shown on, and transfers of global debt securities will be made only through, records maintained by DTC and its participants.</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0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DTC is owned by a number of its Direct Participants and by the New York Stock Exchange, Inc., The American Stock Exchange, Inc. and the Financial Industry Regulatory Authority (“FINRA”).</w:t>
      </w:r>
    </w:p>
    <w:p>
      <w:pPr>
        <w:spacing w:after="0" w:line="8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18"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Debt securities represented by a global debt security will be exchangeable for certificated debt securities with the same terms in authorized denominations only if:</w:t>
      </w:r>
    </w:p>
    <w:p>
      <w:pPr>
        <w:spacing w:after="0" w:line="41" w:lineRule="exact"/>
        <w:rPr>
          <w:sz w:val="20"/>
          <w:szCs w:val="20"/>
          <w:color w:val="auto"/>
        </w:rPr>
      </w:pPr>
    </w:p>
    <w:p>
      <w:pPr>
        <w:jc w:val="both"/>
        <w:ind w:left="1800" w:right="81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not to require all of the debt securities of a series to be represented by a global debt security.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48"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54" w:lineRule="exact"/>
        <w:rPr>
          <w:sz w:val="20"/>
          <w:szCs w:val="20"/>
          <w:color w:val="auto"/>
        </w:rPr>
      </w:pPr>
    </w:p>
    <w:p>
      <w:pPr>
        <w:ind w:left="1980" w:hanging="360"/>
        <w:spacing w:after="0"/>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2340" w:right="519" w:hanging="360"/>
        <w:spacing w:after="0" w:line="261" w:lineRule="auto"/>
        <w:tabs>
          <w:tab w:leader="none" w:pos="2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5" w:lineRule="exact"/>
        <w:rPr>
          <w:rFonts w:ascii="Times New Roman" w:cs="Times New Roman" w:eastAsia="Times New Roman" w:hAnsi="Times New Roman"/>
          <w:sz w:val="18"/>
          <w:szCs w:val="18"/>
          <w:color w:val="auto"/>
        </w:rPr>
      </w:pPr>
    </w:p>
    <w:p>
      <w:pPr>
        <w:ind w:left="2340" w:right="419" w:hanging="360"/>
        <w:spacing w:after="0" w:line="253" w:lineRule="auto"/>
        <w:tabs>
          <w:tab w:leader="none" w:pos="2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8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and</w:t>
      </w:r>
    </w:p>
    <w:p>
      <w:pPr>
        <w:spacing w:after="0" w:line="13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have been satisfied.</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debt securities of a particular series will be subject to legal or covenant defeasance to the extent, and upon the terms and conditions, set forth in the prospectus supplement.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U.S. Bank Trust Company, National Association is the Trustee under the senior indenture and will be the initial Trustee under the subordinated indenture. We maintain a banking relationship in the ordinary course of business with affiliates of U.S. Bank Trust Company, National Association.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 of Trustee</w:t>
      </w:r>
    </w:p>
    <w:p>
      <w:pPr>
        <w:spacing w:after="0" w:line="16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Any resignation will require the appointment of a successor trustee under the applicable indenture in accordance with the terms and conditions of such indenture.</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Trustee if it is a Creditor</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Certificates and Opinions to be Furnished to Trustee</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indenture and all of the debt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DESCRIPTION OF OUR PREFERRED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January 28, 2016, we completed a private placement of 61,030,127 Series A Convertible Preferred Units representing limited partner interests in us (the “Series A preferred units”) for a cash purchase price of $26.25 per unit (the “Issue Price”) .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within 45 days following the end of each quarter. The initial Series A preferred unit distribution was equal to an annual rate of 8% of the Issue Price ($2.10 per unit annualized). After the fifth anniversary of the January 28, 2016 issue date of the Series A preferred units, the holders of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w:t>
      </w:r>
    </w:p>
    <w:p>
      <w:pPr>
        <w:spacing w:after="0" w:line="116"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holders of Series A preferred units may convert such units into common units, generally on a one-for- one basis and subject to customary anti -dilution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w:t>
      </w:r>
    </w:p>
    <w:p>
      <w:pPr>
        <w:spacing w:after="0" w:line="329"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Series A preferred units vote on an as-converted basis with our common units (see “Description of Our Common Units — 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32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in arrears, (iii) the creation or issuance of any senior securities and (iv) the payment of distributions to our common unitholders out of capital surplus.</w:t>
      </w:r>
    </w:p>
    <w:p>
      <w:pPr>
        <w:spacing w:after="0" w:line="9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on the Series B preferred units are payable quarterly in arrears on the 15th day of February, May, August and November of each year.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Subsequently, distributions on the Series B preferred units accumulate based on the applicable three-month SOFR, plus a credit spread adjustment of 0.26161%, plus 4.11% per annum.</w:t>
      </w:r>
    </w:p>
    <w:p>
      <w:pPr>
        <w:spacing w:after="0" w:line="12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Series B preferred units have a liquidation preference of $1,000 per unit. We may, at any time,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Future Issuances of Preferred Units</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A</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preferred units with respect to distributions and (ii) the holders of our Series B preferred units for the issuance of parity securities or senior securities as described above under “— Series B Preferred Units.” As of the date of this prospectus, we had 71,090,468 Series A preferred units outstanding and 800,000 Series B preferred units outstanding.</w:t>
      </w:r>
    </w:p>
    <w:p>
      <w:pPr>
        <w:spacing w:after="0" w:line="12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68" w:lineRule="exact"/>
        <w:rPr>
          <w:sz w:val="20"/>
          <w:szCs w:val="20"/>
          <w:color w:val="auto"/>
        </w:rPr>
      </w:pPr>
    </w:p>
    <w:p>
      <w:pPr>
        <w:ind w:left="1800" w:right="7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liquidation preference of the preferred units and the number of preferred units offered;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at which the preferred units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 of the preferred units;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rights of the preferred units, if any;</w:t>
      </w:r>
    </w:p>
    <w:p>
      <w:pPr>
        <w:spacing w:after="0" w:line="117" w:lineRule="exact"/>
        <w:rPr>
          <w:rFonts w:ascii="Times New Roman" w:cs="Times New Roman" w:eastAsia="Times New Roman" w:hAnsi="Times New Roman"/>
          <w:sz w:val="18"/>
          <w:szCs w:val="18"/>
          <w:color w:val="auto"/>
        </w:rPr>
      </w:pPr>
    </w:p>
    <w:p>
      <w:pPr>
        <w:ind w:left="1800" w:right="151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material federal income tax considerations regarding the preferred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privileges, limitations, and restrictions of the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OUR COMMON UNITS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Our outstanding common units are listed on NASDAQ under the symbol “PAA.” Any additional common units we issue will also be listed on NASDAQ.</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transfer agent and registrar for our common units is Equiniti Trust Company, LLC.</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director voting rights described below.</w:t>
      </w:r>
    </w:p>
    <w:p>
      <w:pPr>
        <w:spacing w:after="0" w:line="114"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the “board.”</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Subject to limited exceptions, PAGP GP’s Fourth Amended and Restated Limited Liability Company Agreement, as amended, provides that the board will consist of up to 13 members, including the CEO. In addition, if we fail to make three distributions on the Series A preferred units (whether or not consecutive), the holders of Series A preferred units will have the right to appoint a new member of the board to serve until such time as all accrued and unpaid distributions on the Series A preferred units have been paid in full.</w:t>
      </w:r>
    </w:p>
    <w:p>
      <w:pPr>
        <w:spacing w:after="0" w:line="114"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board is divided into three staggered classes. At each annual meeting, only the directors of the class whose term is expiring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32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PAGP holds annual shareholder meetings for the purpose of electing directors.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the election of directors at PAGP’s annual meeting. We will vote (or refrain from voting) our Class C shares for the election of directors at the direction and on behalf of our eligible common and Series A preferred unitholders in the same proportion as the votes received from or withheld by our limited partners. Common units held by AAP will not be voted in the election of directors and will not be counted for purposes of determining whether a quorum exists.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Status as Limited Partner or Assignee</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Except as described under “Description of Our Partnership Agreement — Limited Liability,” the common units will be fully paid, and common unitholders will not be required to make additional capital contributions to us.</w:t>
      </w:r>
    </w:p>
    <w:p>
      <w:pPr>
        <w:spacing w:after="0" w:line="10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1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An assignee, pending its admission as a substituted limited partner, is entitled to an interest in us equivalent to that of a limited partner with respect to the right to share in allocations and distributions,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59" w:lineRule="auto"/>
        <w:rPr>
          <w:sz w:val="20"/>
          <w:szCs w:val="20"/>
          <w:color w:val="auto"/>
        </w:rPr>
      </w:pPr>
      <w:r>
        <w:rPr>
          <w:rFonts w:ascii="Times New Roman" w:cs="Times New Roman" w:eastAsia="Times New Roman" w:hAnsi="Times New Roman"/>
          <w:sz w:val="18"/>
          <w:szCs w:val="18"/>
          <w:color w:val="auto"/>
        </w:rPr>
        <w:t>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Right</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holder of AAP’s Class A units (other than PAGP)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general partner units (if applicable), in each case, to PAGP. The AAP Class A units transferred to AAP will be canceled, the PAGP Class B shares transferred to PAGP will be canceled and the general partner units transferred to PAGP (if applicable) will remain outstanding and increase PAGP’s ownership percentage in PAGP GP.</w:t>
      </w:r>
    </w:p>
    <w:p>
      <w:pPr>
        <w:spacing w:after="0" w:line="337"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above mechanisms are subject to customary conversion rate adjustments for equity splits, equity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of Available Cash</w:t>
      </w:r>
    </w:p>
    <w:p>
      <w:pPr>
        <w:spacing w:after="0" w:line="160"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We will distribute to our unitholders, on a quarterly basis, all of our available cash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described below.</w:t>
      </w:r>
    </w:p>
    <w:p>
      <w:pPr>
        <w:spacing w:after="0" w:line="91"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Definition of Available Cash</w:t>
      </w:r>
      <w:r>
        <w:rPr>
          <w:rFonts w:ascii="Times New Roman" w:cs="Times New Roman" w:eastAsia="Times New Roman" w:hAnsi="Times New Roman"/>
          <w:sz w:val="18"/>
          <w:szCs w:val="18"/>
          <w:color w:val="auto"/>
        </w:rPr>
        <w:t>. Available cash generally means, for any quarter ending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liquidation, all cash and cash equivalents on hand at the end of that quarter less reserves established in the reasonable discretion of the general partner to:</w:t>
      </w:r>
    </w:p>
    <w:p>
      <w:pPr>
        <w:spacing w:after="0" w:line="61" w:lineRule="exact"/>
        <w:rPr>
          <w:sz w:val="20"/>
          <w:szCs w:val="20"/>
          <w:color w:val="auto"/>
        </w:rPr>
      </w:pPr>
    </w:p>
    <w:p>
      <w:pPr>
        <w:ind w:left="1800" w:right="9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loan agreement, security agreement, mortgage, debt instrument or other agreement or obligation; or</w:t>
      </w:r>
    </w:p>
    <w:p>
      <w:pPr>
        <w:spacing w:after="0" w:line="40"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our Series A and Series B preferred unitholders or distributions to our common unitholders for any one or more of the next four quarters.</w:t>
      </w:r>
    </w:p>
    <w:p>
      <w:pPr>
        <w:spacing w:after="0" w:line="9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Our available cash also includes cash on hand resulting from borrowings made after the end of the quarter.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Surplus and Capital Surplus</w:t>
      </w:r>
    </w:p>
    <w:p>
      <w:pPr>
        <w:spacing w:after="0" w:line="146"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Cash distributions to our common unitholders will be characterized as either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surplus or capital surplus. We distribute available cash from operating surplus differently than available cash from capital surplus. See “— Quarterly Distributions of Available Cash.”</w:t>
      </w:r>
    </w:p>
    <w:p>
      <w:pPr>
        <w:spacing w:after="0" w:line="99" w:lineRule="exact"/>
        <w:rPr>
          <w:sz w:val="20"/>
          <w:szCs w:val="20"/>
          <w:color w:val="auto"/>
        </w:rPr>
      </w:pPr>
    </w:p>
    <w:p>
      <w:pPr>
        <w:ind w:left="1620"/>
        <w:spacing w:after="0"/>
        <w:tabs>
          <w:tab w:leader="none" w:pos="4200" w:val="left"/>
        </w:tabs>
        <w:rPr>
          <w:sz w:val="20"/>
          <w:szCs w:val="20"/>
          <w:color w:val="auto"/>
        </w:rPr>
      </w:pPr>
      <w:r>
        <w:rPr>
          <w:rFonts w:ascii="Times New Roman" w:cs="Times New Roman" w:eastAsia="Times New Roman" w:hAnsi="Times New Roman"/>
          <w:sz w:val="18"/>
          <w:szCs w:val="18"/>
          <w:i w:val="1"/>
          <w:iCs w:val="1"/>
          <w:color w:val="auto"/>
        </w:rPr>
        <w:t>Definition of Operating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Operating surplus refers generally to:</w:t>
      </w:r>
    </w:p>
    <w:p>
      <w:pPr>
        <w:spacing w:after="0" w:line="119"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balances on the closing date of our initial public offering; plus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plus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cash receipts from operations, excluding cash that is capital surplus; less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06" w:lineRule="exact"/>
        <w:rPr>
          <w:sz w:val="20"/>
          <w:szCs w:val="20"/>
          <w:color w:val="auto"/>
        </w:rPr>
      </w:pPr>
    </w:p>
    <w:p>
      <w:pPr>
        <w:ind w:left="1620"/>
        <w:spacing w:after="0"/>
        <w:tabs>
          <w:tab w:leader="none" w:pos="4000" w:val="left"/>
        </w:tabs>
        <w:rPr>
          <w:sz w:val="20"/>
          <w:szCs w:val="20"/>
          <w:color w:val="auto"/>
        </w:rPr>
      </w:pPr>
      <w:r>
        <w:rPr>
          <w:rFonts w:ascii="Times New Roman" w:cs="Times New Roman" w:eastAsia="Times New Roman" w:hAnsi="Times New Roman"/>
          <w:sz w:val="18"/>
          <w:szCs w:val="18"/>
          <w:i w:val="1"/>
          <w:iCs w:val="1"/>
          <w:color w:val="auto"/>
        </w:rPr>
        <w:t>Definition of Capital Surplus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Capital surplus will generally be generated only by:</w:t>
      </w:r>
    </w:p>
    <w:p>
      <w:pPr>
        <w:spacing w:after="0" w:line="106"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other than working capital borrowings;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and equity securities;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other dispositions of assets for cash, other than inventory, accounts receivable and other assets in the ordinary course of business.</w:t>
      </w:r>
    </w:p>
    <w:p>
      <w:pPr>
        <w:spacing w:after="0" w:line="81"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1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of Issuance of Additional Units</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can issue additional common units or other equity securities for consideration and under terms and conditions approved by our general partner in its sole discretion and without the approval of our unitholders,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75" w:lineRule="auto"/>
        <w:rPr>
          <w:sz w:val="20"/>
          <w:szCs w:val="20"/>
          <w:color w:val="auto"/>
        </w:rPr>
      </w:pPr>
      <w:r>
        <w:rPr>
          <w:rFonts w:ascii="Times New Roman" w:cs="Times New Roman" w:eastAsia="Times New Roman" w:hAnsi="Times New Roman"/>
          <w:sz w:val="18"/>
          <w:szCs w:val="18"/>
          <w:color w:val="auto"/>
        </w:rPr>
        <w:t>other than current holders of our Series A preferred units and Series B preferred units in certain circumstances. We may fund acquisitions through the issuance of additional common units or other equity securities.</w:t>
      </w:r>
    </w:p>
    <w:p>
      <w:pPr>
        <w:spacing w:after="0" w:line="32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A preferred units and notable provisions with respect to distributions on the Series A preferred units are described under “Description of Our Preferred Units — Series A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terms of our Series B preferred units and notable provisions with respect to distributions on the Series B preferred units are described under “Description of Our Preferred Units — Series B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Quarterly Distributions of Available Cash</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Operating Surplus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will make distributions of available cash from operating surplus to all common unitholders, pro rata until we distribute an aggregate amount of available cash equal to the aggregate operating surplus generated by the Partnership from the time of our initial public offering through the end of the quarter in respect of such distribution.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from Capital Surplus</w:t>
      </w:r>
    </w:p>
    <w:p>
      <w:pPr>
        <w:spacing w:after="0" w:line="14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Series B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of Cash upon Liquidation</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we dissolve and liquidate, we will sell or otherwise dispose of our assets and adjust the partners’ capital account balances to reflect any resulting gain or loss. We will apply the proceeds of liquidation</w:t>
      </w:r>
    </w:p>
    <w:p>
      <w:pPr>
        <w:ind w:left="1260" w:right="459"/>
        <w:spacing w:after="0" w:line="253" w:lineRule="auto"/>
        <w:tabs>
          <w:tab w:leader="none" w:pos="14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the payment of our creditors in the order of priority provided in our partnership agreement and by law, (ii) second to the holders of outstanding preferred units in accordance with their adjusted capital account balances and (iii) thereafter, to the common unitholders in accordance with their adjusted capital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DESCRIPTION OF OUR PARTNERSHIP AGREEMENT</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material provisions of our partnership agreement. The following provisions of our partnership agreement are summarized elsewhere in this prospectus:</w:t>
      </w:r>
    </w:p>
    <w:p>
      <w:pPr>
        <w:spacing w:after="0" w:line="67"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available cash are described under “Cash Distribution Policy”;</w:t>
      </w:r>
    </w:p>
    <w:p>
      <w:pPr>
        <w:spacing w:after="0" w:line="144"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taxable income and other tax matters are described under “Material U.S. Federal Income Tax Consequences”;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preferred units are described under “Description of Our Preferred Units”;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our common units are described under “Description of Our Common Units.”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Applicable Law; Forum, Venue and Jurisdiction</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partnership agreement is governed by Delaware law. Our partnership agreement requires that any claims, suits, actions or proceedings:</w:t>
      </w:r>
    </w:p>
    <w:p>
      <w:pPr>
        <w:spacing w:after="0" w:line="67" w:lineRule="exact"/>
        <w:rPr>
          <w:sz w:val="20"/>
          <w:szCs w:val="20"/>
          <w:color w:val="auto"/>
        </w:rPr>
      </w:pPr>
    </w:p>
    <w:p>
      <w:pPr>
        <w:ind w:left="1800" w:right="819" w:hanging="180"/>
        <w:spacing w:after="0" w:line="26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or relating in any way to the partnership agreement (including any claims, suits or actions to interpret, apply or enforce the provisions of the partnership agreement or the duties, obligations or liabilities among unitholders or of unitholders to us, or the rights or powers of, or restrictions on, the unitholders or us);</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in a derivative manner on our behalf;</w:t>
      </w:r>
    </w:p>
    <w:p>
      <w:pPr>
        <w:spacing w:after="0" w:line="144"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of breach of a fiduciary duty owed by any director, officer or other employee of us or our generally partner, or owed by our general partner to us or the unitholders;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arising pursuant to any provision of the Delaware Revised Uniform Limited Partnership Act (the “Delaware Act”);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a claim governed by the internal affairs doctrine;</w:t>
      </w:r>
    </w:p>
    <w:p>
      <w:pPr>
        <w:spacing w:after="0" w:line="158"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By purchasing a common unit, a unitholder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Issuance of Additional Securities</w:t>
      </w:r>
    </w:p>
    <w:p>
      <w:pPr>
        <w:spacing w:after="0" w:line="162"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319"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335"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0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Amendments to Our Partnership Agreement</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or Removal of Our General Partner</w:t>
      </w:r>
    </w:p>
    <w:p>
      <w:pPr>
        <w:spacing w:after="0" w:line="16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16"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Our general partner may not be removed unless that removal is approved by the vote of the holders of not less than two- 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32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0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Merger, Sale or Other Disposition of Assets</w:t>
      </w:r>
    </w:p>
    <w:p>
      <w:pPr>
        <w:spacing w:after="0" w:line="162"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A merger or consolidation of us requires the prior consent of our general partner. However, our partnership agreement generally prohibits our general partner, without the prior approval of a majority of our outstanding units,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unitholder approval. Our general partner may also sell all or substantially all of our assets under a foreclosure or other realization upon any such mortgage, pledge, hypothecate or security interest without that approval.</w:t>
      </w:r>
    </w:p>
    <w:p>
      <w:pPr>
        <w:spacing w:after="0" w:line="11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unitholders are not entitled to dissenters’ rights or appraisal rights (and, therefore, will not be entitled to demand payment of a fair price for their units) under our partnership agreement or applicable Delaware law in the event of a merger or consolidation, a sale of substantially all of our assets or any other transaction or event.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and Distribution of Proceeds</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69" w:lineRule="exact"/>
        <w:rPr>
          <w:sz w:val="20"/>
          <w:szCs w:val="20"/>
          <w:color w:val="auto"/>
        </w:rPr>
      </w:pPr>
    </w:p>
    <w:p>
      <w:pPr>
        <w:ind w:left="1800" w:right="115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towards the payment of all of our creditors and the creation of a reserve for contingent liabilities;</w:t>
      </w:r>
    </w:p>
    <w:p>
      <w:pPr>
        <w:spacing w:after="0" w:line="40"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to all partners in accordance with the positive balance in their respective capital accounts.</w:t>
      </w:r>
    </w:p>
    <w:p>
      <w:pPr>
        <w:spacing w:after="0" w:line="14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of Management Provisions</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7" w:lineRule="exact"/>
        <w:rPr>
          <w:sz w:val="20"/>
          <w:szCs w:val="20"/>
          <w:color w:val="auto"/>
        </w:rPr>
      </w:pPr>
    </w:p>
    <w:p>
      <w:pPr>
        <w:jc w:val="both"/>
        <w:ind w:left="1800" w:right="659" w:hanging="180"/>
        <w:spacing w:after="0" w:line="275"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739" w:hanging="180"/>
        <w:spacing w:after="0" w:line="266"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Call Right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time our general partner and its affiliates (other than, with respect to the Series A</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preferred units, such affiliates that originally purchased Series A preferred units) own 80% or more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issued and outstanding limited partner interests of any class, our general partner will have the right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purchase all, but not less than all, of the outstanding limited partner interests of that class that are held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non-affiliated persons. The record date for determining ownership of the limited partner interests would be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selected by our general partner on at least 10 but not more than 60 days’ notice. The purchase price in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event of a purchase under these provisions would be the greater of (1) the current market price (as defined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our partnership agreement) of the limited partner interests of the class as of the date three days prior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date that notice is mailed to the limited partners as provided in our partnership agreement and (2)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highest cash price paid by our general partner or any of its affiliates for any limited partner interest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purchased within the 90 days preceding the date our general partner mails notice of its election to</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purchase the units.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328"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Assuming that a limited partner does not participate in the control of our business within the meaning of the Delaware Act and that such limited partner otherwise acts in conformity with the provisions of our partnership agreement, such limited partner’s liability under the Delaware Act will be limited, subject to some possible exceptions, generally to the amount of capital such limited partner is obligated to contribute to us in respect of such limited partner’s units plus such limited partner’s share of any undistributed profits and assets.</w:t>
      </w:r>
    </w:p>
    <w:p>
      <w:pPr>
        <w:spacing w:after="0" w:line="325"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3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Legal conclusions contained in this section, unless otherwise noted, are the opinion of Vinson &amp; Elkins L.L.P. insofar as they relate to matters of federal income tax law and are based on the accuracy of representations made by us to them for this purpose. However, this section does not address all federal income tax matters that may affect us or our unitholders, such as the application of the alternative minimum tax that may be applicable to certain unitholders. This section also does not address local taxes, state taxes, non-U.S. taxes, or other taxes that may be applicable, except to the limited extent that such tax considerations are addressed below under “—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327" w:lineRule="exact"/>
        <w:rPr>
          <w:sz w:val="20"/>
          <w:szCs w:val="20"/>
          <w:color w:val="auto"/>
        </w:rPr>
      </w:pPr>
    </w:p>
    <w:p>
      <w:pPr>
        <w:ind w:left="1260" w:right="95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8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 ruling has been or will be requested from the Internal Revenue Service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the reasons described below, Vinson &amp; Elkins L.L.P. has not rendered an opinion with respect to the following federal income tax issues:</w:t>
      </w:r>
    </w:p>
    <w:p>
      <w:pPr>
        <w:spacing w:after="0" w:line="54" w:lineRule="exact"/>
        <w:rPr>
          <w:sz w:val="20"/>
          <w:szCs w:val="20"/>
          <w:color w:val="auto"/>
        </w:rPr>
      </w:pPr>
    </w:p>
    <w:p>
      <w:pPr>
        <w:ind w:left="1800" w:right="67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 unitholder whose units are the subject of a securities loan (e.g., a loan to a short seller to cover a short sale of units) (please read “— Tax Consequences of Unit Ownership — Treatment of Securities Loans”);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monthly convention for allocating taxable income and losses is permitted by existing Treasury Regulations (please read “— Disposition of Units — Allocations Between Transferors and Transferees”);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method for taking into account Section 743 adjustments is sustainable in certain cases (please read “— Tax Consequences of Unit Ownership — Section 754 Election” and “— Disposition of Units — Uniformity of Units”);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use of simplifying conventions for making adjustments to “book” basis and relevant allocations is permitted by existing Treasury Regulations (please read “— Tax Consequences of Unit Ownership — Allocation of Income, Gain, Loss and Deduction” and “— Uniformity of Units”); and</w:t>
      </w:r>
    </w:p>
    <w:p>
      <w:pPr>
        <w:spacing w:after="0" w:line="54"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allocations of income, gain, loss and deduction will be given effect for federal income tax purposes (please read “— Tax Consequences of Unit Ownership — Allocation of Income, Gain, Loss and Deduction”).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w:t>
      </w:r>
    </w:p>
    <w:p>
      <w:pPr>
        <w:spacing w:after="0" w:line="16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We expect to be treated as a partnership for federal income tax purposes and, therefore, subject to the discussion below under “— Administrative Matters — Information Returns and Audit Procedures”, generally will not be liable for entity -level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 Tax Consequences of Unit Ownership — Treatment of Distributions” and “— Disposition of Units”.</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w:t>
      </w:r>
    </w:p>
    <w:p>
      <w:pPr>
        <w:spacing w:after="0" w:line="4" w:lineRule="exact"/>
        <w:rPr>
          <w:sz w:val="20"/>
          <w:szCs w:val="20"/>
          <w:color w:val="auto"/>
        </w:rPr>
      </w:pPr>
    </w:p>
    <w:p>
      <w:pPr>
        <w:ind w:left="1260" w:right="579"/>
        <w:spacing w:after="0"/>
        <w:rPr>
          <w:sz w:val="20"/>
          <w:szCs w:val="20"/>
          <w:color w:val="auto"/>
        </w:rPr>
      </w:pPr>
      <w:r>
        <w:rPr>
          <w:rFonts w:ascii="Times New Roman" w:cs="Times New Roman" w:eastAsia="Times New Roman" w:hAnsi="Times New Roman"/>
          <w:sz w:val="18"/>
          <w:szCs w:val="18"/>
          <w:color w:val="auto"/>
        </w:rPr>
        <w:t>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2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83" w:lineRule="exact"/>
        <w:rPr>
          <w:sz w:val="20"/>
          <w:szCs w:val="20"/>
          <w:color w:val="auto"/>
        </w:rPr>
      </w:pPr>
    </w:p>
    <w:p>
      <w:pPr>
        <w:ind w:left="1980" w:right="539" w:hanging="360"/>
        <w:spacing w:after="0" w:line="266"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any of our partnership or limited liability company operating subsidiaries, other than those that have been identified as corporations to Vinson &amp; Elkins L.L.P., has elected or will elect to be treated as a corporation for federal income tax purposes;</w:t>
      </w:r>
    </w:p>
    <w:p>
      <w:pPr>
        <w:spacing w:after="0" w:line="94"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1" w:lineRule="exact"/>
        <w:rPr>
          <w:rFonts w:ascii="Times New Roman" w:cs="Times New Roman" w:eastAsia="Times New Roman" w:hAnsi="Times New Roman"/>
          <w:sz w:val="18"/>
          <w:szCs w:val="18"/>
          <w:color w:val="auto"/>
        </w:rPr>
      </w:pPr>
    </w:p>
    <w:p>
      <w:pPr>
        <w:ind w:left="1980" w:right="419" w:hanging="360"/>
        <w:spacing w:after="0" w:line="261" w:lineRule="auto"/>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believe that these representations are true and will be true in the future.</w:t>
      </w:r>
    </w:p>
    <w:p>
      <w:pPr>
        <w:spacing w:after="0" w:line="144"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we fail to meet the Qualifying Income Exception, other than a failure that is determined by the IRS to be inadvertent and that is cured within a reasonable time after discovery (in which case the IRS may also</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(i) to us (which would be allocated to our unitholders) so long as the aggregate amount of our liabilities does not exceed the adjusted tax basis of our assets or (ii) by our unitholders so long as their respective shares of our liabilities do not exceed their adjusted tax basis in their units. Thereafter, we would be treated as an association taxable as a corporation for federal income tax purposes.</w:t>
      </w:r>
    </w:p>
    <w:p>
      <w:pPr>
        <w:spacing w:after="0" w:line="11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and certain presidential administrations have proposed and considered substantive changes to the existing federal income tax laws that would affect publicly traded partnerships. Recent proposals have provided for the expansion of the Qualifying Income Exception in certain circumstances and other proposals have provided for the total elimination of the Qualifying Income Exception upon which we rely for our treatment as a partnership for federal income tax purposes.</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1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10"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2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remainder of this discussion is based on the opinion of Vinson &amp; Elkins L.L.P. that we will be treated as a partnership for federal income tax purposes.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Unit Ownership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Status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335"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a discussion related to the risks of losing partner status as a result of securities loans, please read “— Tax Consequences of Unit Ownership  — Treatment of Securities Loans.”</w:t>
      </w:r>
    </w:p>
    <w:p>
      <w:pPr>
        <w:spacing w:after="0" w:line="81"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Flow-Through of Taxable Income</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Subject to the discussion below under “— Entity-Level Collections of Unitholder Taxes” and</w:t>
      </w:r>
    </w:p>
    <w:p>
      <w:pPr>
        <w:spacing w:after="0" w:line="27" w:lineRule="exact"/>
        <w:rPr>
          <w:sz w:val="20"/>
          <w:szCs w:val="20"/>
          <w:color w:val="auto"/>
        </w:rPr>
      </w:pPr>
    </w:p>
    <w:p>
      <w:pPr>
        <w:ind w:left="1260" w:right="559"/>
        <w:spacing w:after="0"/>
        <w:rPr>
          <w:sz w:val="20"/>
          <w:szCs w:val="20"/>
          <w:color w:val="auto"/>
        </w:rPr>
      </w:pPr>
      <w:r>
        <w:rPr>
          <w:rFonts w:ascii="Times New Roman" w:cs="Times New Roman" w:eastAsia="Times New Roman" w:hAnsi="Times New Roman"/>
          <w:sz w:val="18"/>
          <w:szCs w:val="18"/>
          <w:color w:val="auto"/>
        </w:rPr>
        <w:t>“— Administrative Matters — 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Units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 unitholder’s tax basis in its units initially will be the amount paid or treated as paid for those units increased by the unitholder’s initial allocable share of our liabilities. That basis generally will be</w:t>
      </w:r>
    </w:p>
    <w:p>
      <w:pPr>
        <w:ind w:left="1260" w:right="419"/>
        <w:spacing w:after="0" w:line="242" w:lineRule="auto"/>
        <w:tabs>
          <w:tab w:leader="none" w:pos="148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Distributions</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 Disposition of Units.”</w:t>
      </w:r>
    </w:p>
    <w:p>
      <w:pPr>
        <w:spacing w:after="0" w:line="113"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 Disposition of Units.”</w:t>
      </w:r>
    </w:p>
    <w:p>
      <w:pPr>
        <w:spacing w:after="0" w:line="11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 (1) the non-pro rata portion of that distribution over</w:t>
      </w:r>
    </w:p>
    <w:p>
      <w:pPr>
        <w:spacing w:after="0" w:line="1" w:lineRule="exact"/>
        <w:rPr>
          <w:sz w:val="20"/>
          <w:szCs w:val="20"/>
          <w:color w:val="auto"/>
        </w:rPr>
      </w:pPr>
    </w:p>
    <w:p>
      <w:pPr>
        <w:ind w:left="1260" w:right="779"/>
        <w:spacing w:after="0" w:line="260" w:lineRule="auto"/>
        <w:tabs>
          <w:tab w:leader="none" w:pos="15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tax basis (typically zero) in the Section 751 Assets deemed to be relinquished in the exchange.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Losses</w:t>
      </w:r>
    </w:p>
    <w:p>
      <w:pPr>
        <w:spacing w:after="0" w:line="162"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w:t>
      </w:r>
    </w:p>
    <w:p>
      <w:pPr>
        <w:spacing w:after="0" w:line="3" w:lineRule="exact"/>
        <w:rPr>
          <w:sz w:val="20"/>
          <w:szCs w:val="20"/>
          <w:color w:val="auto"/>
        </w:rPr>
      </w:pPr>
    </w:p>
    <w:p>
      <w:pPr>
        <w:ind w:left="1260" w:right="439"/>
        <w:spacing w:after="0"/>
        <w:tabs>
          <w:tab w:leader="none" w:pos="15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324"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basis and at risk limitations, passive activity loss limitations limit the deductibility of losses incurred by individuals, estates, trusts, some closely-held corporations and personal service</w:t>
      </w:r>
    </w:p>
    <w:p>
      <w:pPr>
        <w:ind w:left="1260" w:right="499"/>
        <w:spacing w:after="0"/>
        <w:rPr>
          <w:sz w:val="20"/>
          <w:szCs w:val="20"/>
          <w:color w:val="auto"/>
        </w:rPr>
      </w:pPr>
      <w:r>
        <w:rPr>
          <w:rFonts w:ascii="Times New Roman" w:cs="Times New Roman" w:eastAsia="Times New Roman" w:hAnsi="Times New Roman"/>
          <w:sz w:val="18"/>
          <w:szCs w:val="18"/>
          <w:color w:val="auto"/>
        </w:rPr>
        <w:t>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For taxpayers other than corporations in taxable years beginning before January 1, 2029,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for 2024 is equal to $305,000, or $610,000 (increased annually by the applicable inflation adjustment)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14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 unitholder’s basis in his or her units will generally be increased by the amount of any excess business interest upon a disposition of such units.</w:t>
      </w:r>
    </w:p>
    <w:p>
      <w:pPr>
        <w:spacing w:after="0" w:line="12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68" w:lineRule="exact"/>
        <w:rPr>
          <w:sz w:val="20"/>
          <w:szCs w:val="20"/>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indebtedness allocable to property held for investment;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allocated against portfolio income; and</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interest expense incurred to purchase or carry an interest in a passive activity to the extent allocable against portfolio income.</w:t>
      </w:r>
    </w:p>
    <w:p>
      <w:pPr>
        <w:spacing w:after="0" w:line="9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Entity-Level Collections of Unitholder Taxes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 Administrative Matters — Information Returns and Audit Procedures.” Each unitholder is urged to consult its tax advisor to determine the consequences to them of any tax payment we make on its behalf.</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Income, Gain, Loss and Deduction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above) to the unitholder who was allocated the deduction giving rise to that recapture income in order to minimize the recognition of ordinary income by other unitholders.</w:t>
      </w:r>
    </w:p>
    <w:p>
      <w:pPr>
        <w:spacing w:after="0" w:line="81"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 adjustments and allocations, which may include the aggregation of certain issuances of units. Our counsel, Vinson &amp; Elkins, L.L.P., is unable to opine as to the validity of such conventions.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Securities Loans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325"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 Disposition of Units — Recognition of Gain or Loss.”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Rates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(without taking into account the 20% deduction discussed below).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27"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taxable years beginning after December 31, 2017 and ending on or before December 31, 2025, subject to certain limitations, an individual unitholder is entitled to a deduction equal to 20% of his or her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allocable share of our “qualified business income.” For purposes of this deduction, our “qualified business income” is equal to the sum of:</w:t>
      </w:r>
    </w:p>
    <w:p>
      <w:pPr>
        <w:spacing w:after="0" w:line="40" w:lineRule="exact"/>
        <w:rPr>
          <w:sz w:val="20"/>
          <w:szCs w:val="20"/>
          <w:color w:val="auto"/>
        </w:rPr>
      </w:pPr>
    </w:p>
    <w:p>
      <w:pPr>
        <w:ind w:left="1800" w:right="519" w:hanging="180"/>
        <w:spacing w:after="0" w:line="261"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amount of our U.S. items of income, gain, deduction, and loss to the extent such items are included or allowed in the determination of taxable income for the year, excluding, however, certain specified types of passive investment income (such as capital gains and dividends) and certain payments made to the unitholder for services rendered to the Partnership; and</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and to adjust the tax basis in each of our assets under Section 734(b) of the Code in the event of our repurchase of common units in the open market.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w:t>
      </w:r>
    </w:p>
    <w:p>
      <w:pPr>
        <w:spacing w:after="0" w:line="3" w:lineRule="exact"/>
        <w:rPr>
          <w:sz w:val="20"/>
          <w:szCs w:val="20"/>
          <w:color w:val="auto"/>
        </w:rPr>
      </w:pPr>
    </w:p>
    <w:p>
      <w:pPr>
        <w:ind w:left="1260" w:right="619"/>
        <w:spacing w:after="0" w:line="245" w:lineRule="auto"/>
        <w:tabs>
          <w:tab w:leader="none" w:pos="15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share of the tax basis in our assets as to all unitholders and (2) its Section 743(b) adjustment to that tax basis (which may be positive or negative).</w:t>
      </w:r>
    </w:p>
    <w:p>
      <w:pPr>
        <w:spacing w:after="0" w:line="113"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Subject to certain limitations, a Section 743(b) adjustment may create additional depreciable basis that is eligible for bonus depreciation under 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partnership agreement, we are authorized to take a position to preserve the uniformity</w:t>
      </w:r>
    </w:p>
    <w:p>
      <w:pPr>
        <w:spacing w:after="0" w:line="16"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 Uniformity of Units.”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IRS may challenge the positions we adopt with respect to depreciating or amortizing the Section 743(b) or Section 734(b)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tax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The calculations involved in the Section 754 election are complex and are made on the basis of assumptions as to the value of our assets and other matters. The IRS could seek to reallocate some or all of any Section 743(b) adjustment or Section 734(b) adjustment we allocated to our depreciable assets to goodwill or nondepreciable assets. Goodwill, as an intangible asset, is generally amortizable over a longer period of time or under a less accelerated method than certain of our tangible assets. We cannot assure any</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47" w:lineRule="auto"/>
        <w:rPr>
          <w:sz w:val="20"/>
          <w:szCs w:val="20"/>
          <w:color w:val="auto"/>
        </w:rPr>
      </w:pPr>
      <w:r>
        <w:rPr>
          <w:rFonts w:ascii="Times New Roman" w:cs="Times New Roman" w:eastAsia="Times New Roman" w:hAnsi="Times New Roman"/>
          <w:sz w:val="18"/>
          <w:szCs w:val="18"/>
          <w:color w:val="auto"/>
        </w:rPr>
        <w:t>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Treatment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Method and Taxable Year</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w:t>
      </w:r>
    </w:p>
    <w:p>
      <w:pPr>
        <w:spacing w:after="0" w:line="2"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 Disposition of Units — Allocations Between Transferors and Transferees.”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Basis, Depreciation and Amortization</w:t>
      </w:r>
    </w:p>
    <w:p>
      <w:pPr>
        <w:spacing w:after="0" w:line="148"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32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 — Recognition of Gain or Loss.”</w:t>
      </w:r>
    </w:p>
    <w:p>
      <w:pPr>
        <w:spacing w:after="0" w:line="32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are allowed a first-year bonus depreciation deduction equal to 60% of the adjusted basis of certain depreciable property acquired and placed in service in 2024.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Tax Basis of Each of Our Properties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Disposition of Units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Gain or Loss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337"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32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34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w:t>
      </w:r>
    </w:p>
    <w:p>
      <w:pPr>
        <w:spacing w:after="0" w:line="3" w:lineRule="exact"/>
        <w:rPr>
          <w:sz w:val="20"/>
          <w:szCs w:val="20"/>
          <w:color w:val="auto"/>
        </w:rPr>
      </w:pPr>
    </w:p>
    <w:p>
      <w:pPr>
        <w:jc w:val="both"/>
        <w:ind w:left="1260" w:right="479"/>
        <w:spacing w:after="0" w:line="255" w:lineRule="auto"/>
        <w:rPr>
          <w:sz w:val="20"/>
          <w:szCs w:val="20"/>
          <w:color w:val="auto"/>
        </w:rPr>
      </w:pPr>
      <w:r>
        <w:rPr>
          <w:rFonts w:ascii="Times New Roman" w:cs="Times New Roman" w:eastAsia="Times New Roman" w:hAnsi="Times New Roman"/>
          <w:sz w:val="18"/>
          <w:szCs w:val="18"/>
          <w:color w:val="auto"/>
        </w:rPr>
        <w:t>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1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72"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offsetting notional principal contract; 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futures or forward contract with respect to the partnership interest or substantially identical property.</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 Tax Consequences of Unit Ownership — Treatment of Securities Loans.”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Allocations Between Transferors and Transferees</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1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31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Notification Requirements</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Uniformity of Units</w:t>
      </w:r>
    </w:p>
    <w:p>
      <w:pPr>
        <w:spacing w:after="0" w:line="148"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 Tax Consequences of Unit Ownership — Section 754 Election.”</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and “— Tax Consequences of Unit Ownership —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340"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In addition, as described above at “— Tax Consequences of Unit Ownership — Allocation of Income, Gain, Loss and Deduction,” if we aggregate multiple issuances of units for purposes of making adjustments to “book” basis and related tax allocations, to ensure the uniformity of our units, we will treat each of</w:t>
      </w:r>
    </w:p>
    <w:p>
      <w:pPr>
        <w:spacing w:after="0" w:line="1" w:lineRule="exact"/>
        <w:rPr>
          <w:sz w:val="20"/>
          <w:szCs w:val="20"/>
          <w:color w:val="auto"/>
        </w:rPr>
      </w:pPr>
    </w:p>
    <w:p>
      <w:pPr>
        <w:jc w:val="both"/>
        <w:ind w:left="1260" w:right="459"/>
        <w:spacing w:after="0" w:line="253" w:lineRule="auto"/>
        <w:rPr>
          <w:sz w:val="20"/>
          <w:szCs w:val="20"/>
          <w:color w:val="auto"/>
        </w:rPr>
      </w:pPr>
      <w:r>
        <w:rPr>
          <w:rFonts w:ascii="Times New Roman" w:cs="Times New Roman" w:eastAsia="Times New Roman" w:hAnsi="Times New Roman"/>
          <w:sz w:val="18"/>
          <w:szCs w:val="18"/>
          <w:color w:val="auto"/>
        </w:rPr>
        <w:t>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Tax-Exempt Organizations and Other Investors</w:t>
      </w:r>
    </w:p>
    <w:p>
      <w:pPr>
        <w:spacing w:after="0" w:line="162"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0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Employee benefit plans and most other tax-exempt organizations, including IRAs and other retirement plans, are subject to federal income tax on unrelated business taxable income. Virtually all of our income allocated to tax-exempt organizations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 Additionally, all or part of any gain recognized by a tax exempt organization upon a sale or other disposition of our units may be unrelated business taxable income and may be taxable to them.</w:t>
      </w:r>
    </w:p>
    <w:p>
      <w:pPr>
        <w:spacing w:after="0" w:line="124" w:lineRule="exact"/>
        <w:rPr>
          <w:sz w:val="20"/>
          <w:szCs w:val="20"/>
          <w:color w:val="auto"/>
        </w:rPr>
      </w:pPr>
    </w:p>
    <w:p>
      <w:pPr>
        <w:jc w:val="both"/>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w:t>
      </w:r>
    </w:p>
    <w:p>
      <w:pPr>
        <w:spacing w:after="0" w:line="1"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 Each Non-U.S. Unitholder must obtain a taxpayer identification number from the IRS and submit that number to our transfer agent on a Form W-8BEN or W-8BEN-E (or other applicable or successor form) in order to obtain credit for these withholding taxes.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w:t>
      </w:r>
    </w:p>
    <w:p>
      <w:pPr>
        <w:spacing w:after="0" w:line="335"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332"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Administrative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Returns and Audit Procedures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2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0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Publicly-traded partnerships are treated as entities separate from their owners for purposes of federal income tax audits, judicial review of administrative adjustments by the IRS and tax settlement proceedings.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The tax treatment of partnership items of income, gain, loss and deduction are determined in a partnership proceeding rather than in separate proceedings for each of the partners.</w:t>
      </w:r>
    </w:p>
    <w:p>
      <w:pPr>
        <w:spacing w:after="0" w:line="8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then our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w:t>
      </w:r>
    </w:p>
    <w:p>
      <w:pPr>
        <w:spacing w:after="0" w:line="12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Code requires us to designate a partner, or other person, with a substantial presence in the United States as the partnership representative (“Partnership Representative”). The Partnership Representative has the sole authority to act on our behalf for purposes of, among other things, federal income tax audits and judicial review of administrative adjustments by the IRS. We have designated our general partner as the Partnership Representative.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Withholding Requirements</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Withholding taxes may apply to certain types of payments made to “foreign financial institutions” ​(as specially defined in the Code) and certain other non-U.S. entities. Specifically, a 30% withholding tax may be imposed on withholdable payments, including interest, dividends and other fixed or determinable annual or periodic gains, profits and income from sources within the United States (“FDAP Income”) paid to a foreign financial institution or to a “non-financial foreign entity” ​(as specially defined in the Code), unless</w:t>
      </w:r>
    </w:p>
    <w:p>
      <w:pPr>
        <w:spacing w:after="0" w:line="1" w:lineRule="exact"/>
        <w:rPr>
          <w:sz w:val="20"/>
          <w:szCs w:val="20"/>
          <w:color w:val="auto"/>
        </w:rPr>
      </w:pPr>
    </w:p>
    <w:p>
      <w:pPr>
        <w:ind w:left="1260" w:right="479"/>
        <w:spacing w:after="0"/>
        <w:tabs>
          <w:tab w:leader="none" w:pos="14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While withholdable payments would have originally included payments of gross proceeds from the sale or other disposition of any property of a type which could produce interest or dividends from sources within the United States (“Gross Proceeds”) on or after January 1, 2019, proposed Treasury Regulations provide that such payments of Gross Proceeds do not constitute withholdable payments. Taxpayers may rely generally on these proposed Treasury Regulations until they are revoked or final Treasury Regulations are issued.</w:t>
      </w:r>
    </w:p>
    <w:p>
      <w:pPr>
        <w:spacing w:after="0" w:line="117"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To the extent we have FDAP Income that is not treated as effectively connected with a U.S. trade or business (please read “—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97" w:lineRule="auto"/>
        <w:rPr>
          <w:sz w:val="20"/>
          <w:szCs w:val="20"/>
          <w:color w:val="auto"/>
        </w:rPr>
      </w:pPr>
      <w:r>
        <w:rPr>
          <w:rFonts w:ascii="Times New Roman" w:cs="Times New Roman" w:eastAsia="Times New Roman" w:hAnsi="Times New Roman"/>
          <w:sz w:val="18"/>
          <w:szCs w:val="18"/>
          <w:color w:val="auto"/>
        </w:rPr>
        <w:t>income, pursuant to the rules described above. Each prospective unitholder should consult its own tax advisors regarding the potential application of these withholding provisions to its investment in our units.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Nominee Reporting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Persons who hold an interest in us as a nominee for another person are required to furnish to us:</w:t>
      </w:r>
    </w:p>
    <w:p>
      <w:pPr>
        <w:spacing w:after="0" w:line="131"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address and taxpayer identification number of the beneficial owner and the nominee;</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regarding whether the beneficial owner is:</w:t>
      </w:r>
    </w:p>
    <w:p>
      <w:pPr>
        <w:spacing w:after="0" w:line="144"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person;</w:t>
      </w:r>
    </w:p>
    <w:p>
      <w:pPr>
        <w:spacing w:after="0" w:line="157" w:lineRule="exact"/>
        <w:rPr>
          <w:rFonts w:ascii="Times New Roman" w:cs="Times New Roman" w:eastAsia="Times New Roman" w:hAnsi="Times New Roman"/>
          <w:sz w:val="18"/>
          <w:szCs w:val="18"/>
          <w:color w:val="auto"/>
        </w:rPr>
      </w:pPr>
    </w:p>
    <w:p>
      <w:pPr>
        <w:ind w:left="2160" w:right="1259" w:hanging="180"/>
        <w:spacing w:after="0" w:line="282" w:lineRule="auto"/>
        <w:tabs>
          <w:tab w:leader="none" w:pos="21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government, an international organization or any wholly-owned agency or instrumentality of either of the foregoing; or</w:t>
      </w:r>
    </w:p>
    <w:p>
      <w:pPr>
        <w:spacing w:after="0" w:line="94"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description of units held, acquired or transferred for the beneficial owner; and</w:t>
      </w:r>
    </w:p>
    <w:p>
      <w:pPr>
        <w:spacing w:after="0" w:line="15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information including the dates of acquisitions and transfers, means of acquisitions and transfers, and acquisition cost for purchases, as well as the amount of net proceeds from sales.</w:t>
      </w:r>
    </w:p>
    <w:p>
      <w:pPr>
        <w:spacing w:after="0" w:line="81"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Accuracy-Related Penalties</w:t>
      </w:r>
    </w:p>
    <w:p>
      <w:pPr>
        <w:spacing w:after="0" w:line="148" w:lineRule="exact"/>
        <w:rPr>
          <w:sz w:val="20"/>
          <w:szCs w:val="20"/>
          <w:color w:val="auto"/>
        </w:rPr>
      </w:pPr>
    </w:p>
    <w:p>
      <w:pPr>
        <w:ind w:left="1260" w:right="439" w:firstLine="360"/>
        <w:spacing w:after="0" w:line="269" w:lineRule="auto"/>
        <w:rPr>
          <w:sz w:val="20"/>
          <w:szCs w:val="20"/>
          <w:color w:val="auto"/>
        </w:rPr>
      </w:pPr>
      <w:r>
        <w:rPr>
          <w:rFonts w:ascii="Times New Roman" w:cs="Times New Roman" w:eastAsia="Times New Roman" w:hAnsi="Times New Roman"/>
          <w:sz w:val="18"/>
          <w:szCs w:val="18"/>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09"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Preferred Units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Ownership of Debt Securities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91"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It is the responsibility of each unitholder to investigate the legal and tax consequences, under the laws of pertinent jurisdictions, of its investment in us. We strongly recommend that each prospective unitholder consult, and depend upon, its own tax counsel or other advisor with regard to those matters. Further, it is the responsibility of each unitholder to file all state, local and non-U.S., as well as federal tax returns that may be required of it. Vinson</w:t>
      </w:r>
    </w:p>
    <w:p>
      <w:pPr>
        <w:ind w:left="1260" w:right="1239"/>
        <w:spacing w:after="0" w:line="260" w:lineRule="auto"/>
        <w:tabs>
          <w:tab w:leader="none" w:pos="1438"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Elkins L.L.P. has not rendered an opinion on the state, local, alternative minimum tax or non-U.S. tax consequences of an investment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117" w:lineRule="exact"/>
        <w:rPr>
          <w:sz w:val="20"/>
          <w:szCs w:val="20"/>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for public offering and sale;</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from time to time;</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crosses and block transactions) or distributions, including exchange distributions, distributions to beneficial owners and/or secondary distributions;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investors directly;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short sales and delivery of such securities to close out short positions;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other method permitted pursuant to applicable law.</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price our securities at:</w:t>
      </w:r>
    </w:p>
    <w:p>
      <w:pPr>
        <w:spacing w:after="0" w:line="117" w:lineRule="exact"/>
        <w:rPr>
          <w:sz w:val="20"/>
          <w:szCs w:val="20"/>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15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w:t>
      </w:r>
    </w:p>
    <w:p>
      <w:pPr>
        <w:spacing w:after="0" w:line="81"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To the extent required, the names of the specific managing underwriter or underwriters, if any, as well as other important information, will be set forth in an applicable prospectus supplement. In that event, the discounts and commissions we will allow or pay to the underwriters, if any, and the discounts and commissions the underwriters may allow or pay to dealers or agents, if any, will be set forth in, or may be calculated from, the applicable prospectus supplement.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24"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9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95"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offerings under this shelf registration statement and in compliance with applicable law, underwriters, brokers or dealers may engage in transactions that stabilize or maintain the market price of the securities at levels above those that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the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18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115">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533400</wp:posOffset>
            </wp:positionV>
            <wp:extent cx="1234440" cy="6172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12344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3420" w:type="dxa"/>
        <w:tblCellMar>
          <w:top w:w="0" w:type="dxa"/>
          <w:left w:w="0" w:type="dxa"/>
          <w:bottom w:w="0" w:type="dxa"/>
          <w:right w:w="0" w:type="dxa"/>
        </w:tblCellMar>
      </w:tblPr>
      <w:tr>
        <w:trPr>
          <w:trHeight w:val="287"/>
        </w:trPr>
        <w:tc>
          <w:tcPr>
            <w:tcW w:w="30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w:t>
            </w:r>
          </w:p>
        </w:tc>
        <w:tc>
          <w:tcPr>
            <w:tcW w:w="3540" w:type="dxa"/>
            <w:vAlign w:val="bottom"/>
            <w:gridSpan w:val="2"/>
          </w:tcPr>
          <w:p>
            <w:pPr>
              <w:ind w:left="160"/>
              <w:spacing w:after="0"/>
              <w:rPr>
                <w:sz w:val="20"/>
                <w:szCs w:val="20"/>
                <w:color w:val="auto"/>
              </w:rPr>
            </w:pPr>
            <w:r>
              <w:rPr>
                <w:rFonts w:ascii="Times New Roman" w:cs="Times New Roman" w:eastAsia="Times New Roman" w:hAnsi="Times New Roman"/>
                <w:sz w:val="25"/>
                <w:szCs w:val="25"/>
                <w:b w:val="1"/>
                <w:bCs w:val="1"/>
                <w:color w:val="auto"/>
              </w:rPr>
              <w:t>​ ​ ​</w:t>
            </w:r>
          </w:p>
        </w:tc>
        <w:tc>
          <w:tcPr>
            <w:tcW w:w="10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rPr>
              <w:t>​</w:t>
            </w:r>
          </w:p>
        </w:tc>
        <w:tc>
          <w:tcPr>
            <w:tcW w:w="0" w:type="dxa"/>
            <w:vAlign w:val="bottom"/>
          </w:tcPr>
          <w:p>
            <w:pPr>
              <w:spacing w:after="0"/>
              <w:rPr>
                <w:sz w:val="1"/>
                <w:szCs w:val="1"/>
                <w:color w:val="auto"/>
              </w:rPr>
            </w:pPr>
          </w:p>
        </w:tc>
      </w:tr>
      <w:tr>
        <w:trPr>
          <w:trHeight w:val="257"/>
        </w:trPr>
        <w:tc>
          <w:tcPr>
            <w:tcW w:w="300" w:type="dxa"/>
            <w:vAlign w:val="bottom"/>
          </w:tcPr>
          <w:p>
            <w:pPr>
              <w:spacing w:after="0" w:line="257" w:lineRule="exact"/>
              <w:rPr>
                <w:sz w:val="20"/>
                <w:szCs w:val="20"/>
                <w:color w:val="auto"/>
              </w:rPr>
            </w:pPr>
            <w:r>
              <w:rPr>
                <w:rFonts w:ascii="Times New Roman" w:cs="Times New Roman" w:eastAsia="Times New Roman" w:hAnsi="Times New Roman"/>
                <w:sz w:val="25"/>
                <w:szCs w:val="25"/>
                <w:b w:val="1"/>
                <w:bCs w:val="1"/>
                <w:color w:val="auto"/>
              </w:rPr>
              <w:t>​</w:t>
            </w:r>
          </w:p>
        </w:tc>
        <w:tc>
          <w:tcPr>
            <w:tcW w:w="360" w:type="dxa"/>
            <w:vAlign w:val="bottom"/>
          </w:tcPr>
          <w:p>
            <w:pPr>
              <w:ind w:left="160"/>
              <w:spacing w:after="0" w:line="257" w:lineRule="exact"/>
              <w:rPr>
                <w:sz w:val="20"/>
                <w:szCs w:val="20"/>
                <w:color w:val="auto"/>
              </w:rPr>
            </w:pPr>
            <w:r>
              <w:rPr>
                <w:rFonts w:ascii="Times New Roman" w:cs="Times New Roman" w:eastAsia="Times New Roman" w:hAnsi="Times New Roman"/>
                <w:sz w:val="25"/>
                <w:szCs w:val="25"/>
                <w:b w:val="1"/>
                <w:bCs w:val="1"/>
                <w:color w:val="auto"/>
              </w:rPr>
              <w:t>​ ​</w:t>
            </w: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5"/>
                <w:szCs w:val="25"/>
                <w:b w:val="1"/>
                <w:bCs w:val="1"/>
                <w:color w:val="auto"/>
                <w:w w:val="96"/>
              </w:rPr>
              <w:t>4.700% Senior Notes due 2031</w:t>
            </w:r>
          </w:p>
        </w:tc>
        <w:tc>
          <w:tcPr>
            <w:tcW w:w="100" w:type="dxa"/>
            <w:vAlign w:val="bottom"/>
          </w:tcPr>
          <w:p>
            <w:pPr>
              <w:ind w:left="40"/>
              <w:spacing w:after="0" w:line="257" w:lineRule="exact"/>
              <w:rPr>
                <w:sz w:val="20"/>
                <w:szCs w:val="20"/>
                <w:color w:val="auto"/>
              </w:rPr>
            </w:pPr>
            <w:r>
              <w:rPr>
                <w:rFonts w:ascii="Times New Roman" w:cs="Times New Roman" w:eastAsia="Times New Roman" w:hAnsi="Times New Roman"/>
                <w:sz w:val="25"/>
                <w:szCs w:val="25"/>
                <w:b w:val="1"/>
                <w:bCs w:val="1"/>
                <w:color w:val="auto"/>
              </w:rPr>
              <w:t>​</w:t>
            </w:r>
          </w:p>
        </w:tc>
        <w:tc>
          <w:tcPr>
            <w:tcW w:w="0" w:type="dxa"/>
            <w:vAlign w:val="bottom"/>
          </w:tcPr>
          <w:p>
            <w:pPr>
              <w:spacing w:after="0"/>
              <w:rPr>
                <w:sz w:val="1"/>
                <w:szCs w:val="1"/>
                <w:color w:val="auto"/>
              </w:rPr>
            </w:pPr>
          </w:p>
        </w:tc>
      </w:tr>
      <w:tr>
        <w:trPr>
          <w:trHeight w:val="54"/>
        </w:trPr>
        <w:tc>
          <w:tcPr>
            <w:tcW w:w="30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25"/>
                <w:szCs w:val="25"/>
                <w:b w:val="1"/>
                <w:bCs w:val="1"/>
                <w:color w:val="auto"/>
              </w:rPr>
              <w:t>​ ​</w:t>
            </w:r>
          </w:p>
        </w:tc>
        <w:tc>
          <w:tcPr>
            <w:tcW w:w="3180" w:type="dxa"/>
            <w:vAlign w:val="bottom"/>
            <w:vMerge w:val="continue"/>
          </w:tcPr>
          <w:p>
            <w:pPr>
              <w:spacing w:after="0"/>
              <w:rPr>
                <w:sz w:val="4"/>
                <w:szCs w:val="4"/>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25"/>
                <w:szCs w:val="25"/>
                <w:b w:val="1"/>
                <w:bCs w:val="1"/>
                <w:color w:val="auto"/>
              </w:rPr>
              <w:t>​</w:t>
            </w:r>
          </w:p>
        </w:tc>
        <w:tc>
          <w:tcPr>
            <w:tcW w:w="0" w:type="dxa"/>
            <w:vAlign w:val="bottom"/>
          </w:tcPr>
          <w:p>
            <w:pPr>
              <w:spacing w:after="0"/>
              <w:rPr>
                <w:sz w:val="1"/>
                <w:szCs w:val="1"/>
                <w:color w:val="auto"/>
              </w:rPr>
            </w:pPr>
          </w:p>
        </w:tc>
      </w:tr>
      <w:tr>
        <w:trPr>
          <w:trHeight w:val="256"/>
        </w:trPr>
        <w:tc>
          <w:tcPr>
            <w:tcW w:w="300" w:type="dxa"/>
            <w:vAlign w:val="bottom"/>
          </w:tcPr>
          <w:p>
            <w:pPr>
              <w:spacing w:after="0" w:line="257" w:lineRule="exact"/>
              <w:rPr>
                <w:sz w:val="20"/>
                <w:szCs w:val="20"/>
                <w:color w:val="auto"/>
              </w:rPr>
            </w:pPr>
            <w:r>
              <w:rPr>
                <w:rFonts w:ascii="Times New Roman" w:cs="Times New Roman" w:eastAsia="Times New Roman" w:hAnsi="Times New Roman"/>
                <w:sz w:val="25"/>
                <w:szCs w:val="25"/>
                <w:b w:val="1"/>
                <w:bCs w:val="1"/>
                <w:color w:val="auto"/>
              </w:rPr>
              <w:t>​</w:t>
            </w:r>
          </w:p>
        </w:tc>
        <w:tc>
          <w:tcPr>
            <w:tcW w:w="360" w:type="dxa"/>
            <w:vAlign w:val="bottom"/>
            <w:vMerge w:val="continue"/>
          </w:tcPr>
          <w:p>
            <w:pPr>
              <w:spacing w:after="0"/>
              <w:rPr>
                <w:sz w:val="22"/>
                <w:szCs w:val="22"/>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5"/>
                <w:szCs w:val="25"/>
                <w:b w:val="1"/>
                <w:bCs w:val="1"/>
                <w:color w:val="auto"/>
                <w:w w:val="96"/>
              </w:rPr>
              <w:t>5.600% Senior Notes due 2036</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4"/>
        </w:trPr>
        <w:tc>
          <w:tcPr>
            <w:tcW w:w="30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w:t>
            </w:r>
          </w:p>
        </w:tc>
        <w:tc>
          <w:tcPr>
            <w:tcW w:w="3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782320</wp:posOffset>
            </wp:positionV>
            <wp:extent cx="12344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31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20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CIBC Capital Markets</w:t>
      </w:r>
    </w:p>
    <w:p>
      <w:pPr>
        <w:spacing w:after="0" w:line="20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20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SMBC Nikko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532765</wp:posOffset>
            </wp:positionV>
            <wp:extent cx="52120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lvl w:ilvl="1">
      <w:lvlJc w:val="left"/>
      <w:lvlText w:val="(%2)"/>
      <w:numFmt w:val="lowerLetter"/>
      <w:start w:val="1"/>
    </w:lvl>
  </w:abstractNum>
  <w:abstractNum w:abstractNumId="13">
    <w:nsid w:val="2CD89A32"/>
    <w:multiLevelType w:val="hybridMultilevel"/>
    <w:lvl w:ilvl="0">
      <w:lvlJc w:val="left"/>
      <w:lvlText w:val="•"/>
      <w:numFmt w:val="bullet"/>
      <w:start w:val="1"/>
    </w:lvl>
    <w:lvl w:ilvl="1">
      <w:lvlJc w:val="left"/>
      <w:lvlText w:val="(%2)"/>
      <w:numFmt w:val="lowerLetter"/>
      <w:start w:val="1"/>
    </w:lvl>
  </w:abstractNum>
  <w:abstractNum w:abstractNumId="14">
    <w:nsid w:val="57E4CCAF"/>
    <w:multiLevelType w:val="hybridMultilevel"/>
    <w:lvl w:ilvl="0">
      <w:lvlJc w:val="left"/>
      <w:lvlText w:val="•"/>
      <w:numFmt w:val="bullet"/>
      <w:start w:val="1"/>
    </w:lvl>
    <w:lvl w:ilvl="1">
      <w:lvlJc w:val="left"/>
      <w:lvlText w:val="(%2)"/>
      <w:numFmt w:val="lowerLetter"/>
      <w:start w:val="2"/>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lvl w:ilvl="1">
      <w:lvlJc w:val="left"/>
      <w:lvlText w:val="(%2)"/>
      <w:numFmt w:val="lowerLetter"/>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1)"/>
      <w:numFmt w:val="decimal"/>
      <w:start w:val="13"/>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1)"/>
      <w:numFmt w:val="decimal"/>
      <w:start w:val="8"/>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1)"/>
      <w:numFmt w:val="lowerLetter"/>
      <w:start w:val="1"/>
    </w:lvl>
    <w:lvl w:ilvl="1">
      <w:lvlJc w:val="left"/>
      <w:lvlText w:val="(%2)"/>
      <w:numFmt w:val="decimal"/>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lowerRoman"/>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Roman"/>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lowerRoman"/>
      <w:start w:val="1"/>
    </w:lvl>
  </w:abstractNum>
  <w:abstractNum w:abstractNumId="71">
    <w:nsid w:val="661E3F1E"/>
    <w:multiLevelType w:val="hybridMultilevel"/>
    <w:lvl w:ilvl="0">
      <w:lvlJc w:val="left"/>
      <w:lvlText w:val="•"/>
      <w:numFmt w:val="bullet"/>
      <w:start w:val="1"/>
    </w:lvl>
    <w:lvl w:ilvl="1">
      <w:lvlJc w:val="left"/>
      <w:lvlText w:val="•"/>
      <w:numFmt w:val="bullet"/>
      <w:start w:val="1"/>
    </w:lvl>
  </w:abstractNum>
  <w:abstractNum w:abstractNumId="72">
    <w:nsid w:val="5DC79EA8"/>
    <w:multiLevelType w:val="hybridMultilevel"/>
    <w:lvl w:ilvl="0">
      <w:lvlJc w:val="left"/>
      <w:lvlText w:val="&amp;"/>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jpe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36" Type="http://schemas.openxmlformats.org/officeDocument/2006/relationships/hyperlink" Target="https://www.sec.gov/ix?doc=/Archives/edgar/data/1070423/000107042325000006/paa-20241231.htm" TargetMode="External"/><Relationship Id="rId41" Type="http://schemas.openxmlformats.org/officeDocument/2006/relationships/hyperlink" Target="https://www.sec.gov/ix?doc=/Archives/edgar/data/1070423/000107042325000012/paa-20250331.htm" TargetMode="External"/><Relationship Id="rId42" Type="http://schemas.openxmlformats.org/officeDocument/2006/relationships/hyperlink" Target="https://www.sec.gov/ix?doc=/Archives/edgar/data/1070423/000107042325000020/paa-20250630.htm" TargetMode="External"/><Relationship Id="rId43" Type="http://schemas.openxmlformats.org/officeDocument/2006/relationships/hyperlink" Target="https://www.sec.gov/ix?doc=/Archives/edgar/data/1070423/000107042325000026/paa-20250930.htm" TargetMode="External"/><Relationship Id="rId104" Type="http://schemas.openxmlformats.org/officeDocument/2006/relationships/hyperlink" Target="https://www.sec.gov/ix?doc=/Archives/edgar/data/1070423/000110465925028276/tm2510413d1_8k.htm" TargetMode="External"/><Relationship Id="rId105" Type="http://schemas.openxmlformats.org/officeDocument/2006/relationships/hyperlink" Target="https://www.sec.gov/ix?doc=/Archives/edgar/data/1070423/000110465925052094/tm2515906d1_8k.htm" TargetMode="External"/><Relationship Id="rId106" Type="http://schemas.openxmlformats.org/officeDocument/2006/relationships/hyperlink" Target="https://www.sec.gov/ix?doc=/Archives/edgar/data/1070423/000110465925060314/tm2518178d1_8k.htm" TargetMode="External"/><Relationship Id="rId107" Type="http://schemas.openxmlformats.org/officeDocument/2006/relationships/hyperlink" Target="https://www.sec.gov/ix?doc=/Archives/edgar/data/1070423/000110465925079894/tm2523703d1_8k.htm" TargetMode="External"/><Relationship Id="rId108" Type="http://schemas.openxmlformats.org/officeDocument/2006/relationships/hyperlink" Target="https://www.sec.gov/ix?doc=/Archives/edgar/data/1070423/000110465925086018/tm2524777d1_8k.htm" TargetMode="External"/><Relationship Id="rId109" Type="http://schemas.openxmlformats.org/officeDocument/2006/relationships/hyperlink" Target="https://www.sec.gov/ix?doc=/Archives/edgar/data/1070423/000110465925088257/tm2524999d4_8k.htm" TargetMode="External"/><Relationship Id="rId110" Type="http://schemas.openxmlformats.org/officeDocument/2006/relationships/hyperlink" Target="https://www.sec.gov/ix?doc=/Archives/edgar/data/1070423/000110465925107695/tm2530339d1_8k.htm" TargetMode="External"/><Relationship Id="rId115" Type="http://schemas.openxmlformats.org/officeDocument/2006/relationships/hyperlink" Target="https://www.sec.gov/ix?doc=/Archives/edgar/data/1070423/000107042324000008/paa-20231231.htm" TargetMode="External"/><Relationship Id="rId116" Type="http://schemas.openxmlformats.org/officeDocument/2006/relationships/hyperlink" Target="https://www.sec.gov/ix?doc=/Archives/edgar/data/1070423/000107042324000020/paa-20240630.htm" TargetMode="External"/><Relationship Id="rId117" Type="http://schemas.openxmlformats.org/officeDocument/2006/relationships/hyperlink" Target="https://www.sec.gov/ix?doc=/Archives/edgar/data/1070423/000110465924065666/tm2415729d1_8k.htm" TargetMode="External"/><Relationship Id="rId118" Type="http://schemas.openxmlformats.org/officeDocument/2006/relationships/hyperlink" Target="https://www.sec.gov/ix?doc=/Archives/edgar/data/1070423/000110465924073377/tm2416478d4_8k.htm" TargetMode="External"/><Relationship Id="rId119" Type="http://schemas.openxmlformats.org/officeDocument/2006/relationships/hyperlink" Target="https://www.sec.gov/ix?doc=/Archives/edgar/data/1070423/000110465924075672/tm2418387d1_8k.htm" TargetMode="External"/><Relationship Id="rId120" Type="http://schemas.openxmlformats.org/officeDocument/2006/relationships/hyperlink" Target="https://www.sec.gov/ix?doc=/Archives/edgar/data/1070423/000110465924092056/tm2422213d1_8k.htm" TargetMode="External"/><Relationship Id="rId121" Type="http://schemas.openxmlformats.org/officeDocument/2006/relationships/hyperlink" Target="https://www.sec.gov/ix?doc=/Archives/edgar/data/1070423/000110465924046387/tm242707d2_def14a.htm" TargetMode="External"/><Relationship Id="rId122" Type="http://schemas.openxmlformats.org/officeDocument/2006/relationships/hyperlink" Target="https://www.sec.gov/Archives/edgar/data/1070423/000107042324000008/paa202310-kexhibit416.htm" TargetMode="External"/><Relationship Id="rId123" Type="http://schemas.openxmlformats.org/officeDocument/2006/relationships/hyperlink" Target="https://www.sec.gov/Archives/edgar/data/1070423/000110465920134597/tm2037363-3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2025-11-10T07:56:45Z</dcterms:created>
  <dcterms:modified xsi:type="dcterms:W3CDTF">2025-11-10T07:56:45Z</dcterms:modified>
</cp:coreProperties>
</file>