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891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891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SHACKOULS BOBBY S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333 CLAY STREET, SUITE 1600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PLAINS GP HOLDINGS LP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PAGP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1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01/02/2018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80" w:space="69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shares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01/02/2018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4,506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21.95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4,506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w w:val="85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5"/>
              </w:rPr>
              <w:t>(2)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shares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restart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01/02/2018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4,506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21.95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ind w:right="3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4,506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I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shares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ind w:right="3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shares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ind w:right="3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0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Spouse's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0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60" w:firstLine="9"/>
        <w:spacing w:after="0" w:line="230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On January 2, 2018, the reporting person and his spouse each withdrew 4,506 Class A shares of PAGP from their respective grantor retained annuity trusts in exchange for the contribution of cash and bonds having equivalent value. The withdrawal of the Class A shares from the GRATs resulted in a decrease in the number of Class A shares beneficially owned indirectly through the GRATS, and a corresponding increase in the number of Class A shares beneficially owned directly and indirectly through spouse. The reporting person believes that the withdrawal of the Class A shares from the GRATs constitutes a change in form of beneficial ownership, which is exempt under Rule 16a-13 of the Exchange Act.</w:t>
      </w:r>
    </w:p>
    <w:p>
      <w:pPr>
        <w:spacing w:after="0" w:line="3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120" w:firstLine="9"/>
        <w:spacing w:after="0" w:line="285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All Class A shares owned by the reporting person and his spouse, including the withdrawn Class A shares, were subsequently contributed to newly-created GRATs and are now beneficially owned indirectly as follows: 4,506 Class A shares are beneficially owned indirectly through the reporting person's 2018 GRAT, and 4,506 Class A shares are beneficially owned indirectly through the 2018 GRAT of the reporting person's spouse. The contributions of Class A shares to the 2018 GRATs are also exempt under Rule 16a-13 of the Exchange Act.</w:t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/s/ Bobby S. Shackouls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02/01/2018</w:t>
            </w:r>
          </w:p>
        </w:tc>
      </w:tr>
      <w:tr>
        <w:trPr>
          <w:trHeight w:val="20"/>
        </w:trPr>
        <w:tc>
          <w:tcPr>
            <w:tcW w:w="16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64171" TargetMode="External"/><Relationship Id="rId13" Type="http://schemas.openxmlformats.org/officeDocument/2006/relationships/hyperlink" Target="http://www.sec.gov/cgi-bin/browse-edgar?action=getcompany&amp;CIK=00015819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2020-01-13T22:27:10Z</dcterms:created>
  <dcterms:modified xsi:type="dcterms:W3CDTF">2020-01-13T22:27:10Z</dcterms:modified>
</cp:coreProperties>
</file>