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August 8, 2025</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90"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August 8, 2025, the Registrant issued a press release reporting its second-quarter 2025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8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6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August 8, 2025</w:t>
            </w:r>
          </w:p>
        </w:tc>
        <w:tc>
          <w:tcPr>
            <w:tcW w:w="4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6" w:right="45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000" w:type="dxa"/>
            <w:vAlign w:val="bottom"/>
          </w:tcPr>
          <w:p>
            <w:pPr>
              <w:spacing w:after="0"/>
              <w:rPr>
                <w:sz w:val="19"/>
                <w:szCs w:val="19"/>
                <w:color w:val="auto"/>
              </w:rPr>
            </w:pPr>
          </w:p>
        </w:tc>
        <w:tc>
          <w:tcPr>
            <w:tcW w:w="7700" w:type="dxa"/>
            <w:vAlign w:val="bottom"/>
            <w:gridSpan w:val="3"/>
          </w:tcPr>
          <w:p>
            <w:pPr>
              <w:ind w:left="152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3000" w:type="dxa"/>
            <w:vAlign w:val="bottom"/>
          </w:tcPr>
          <w:p>
            <w:pPr>
              <w:spacing w:after="0"/>
              <w:rPr>
                <w:sz w:val="24"/>
                <w:szCs w:val="24"/>
                <w:color w:val="auto"/>
              </w:rPr>
            </w:pPr>
          </w:p>
        </w:tc>
        <w:tc>
          <w:tcPr>
            <w:tcW w:w="196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8, 2025</w:t>
            </w:r>
          </w:p>
        </w:tc>
        <w:tc>
          <w:tcPr>
            <w:tcW w:w="196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3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3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282575</wp:posOffset>
            </wp:positionV>
            <wp:extent cx="1969135" cy="451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9135"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Plains All American Reports Second-Quarter 2025 Results</w:t>
      </w:r>
    </w:p>
    <w:p>
      <w:pPr>
        <w:spacing w:after="0" w:line="237"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Houston, TX – August 8, 2025 – Plains All American Pipeline, L.P. (Nasdaq: PAA) and Plains GP Holdings (Nasdaq: PAGP) today reported solid second-quarter 2025 results and provided the following highlights: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Second-Quarter Results</w:t>
      </w:r>
    </w:p>
    <w:p>
      <w:pPr>
        <w:spacing w:after="0" w:line="157"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net income attributable to PAA of $210 million and net cash provided by operating activities of $694 million</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Adjusted EBITDA attributable to PAA of $672 million</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Exited the quarter with 3.3x leverage ratio, toward the low-end of our target range of 3.25x - 3.75x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Highlights and Recent Announcements</w:t>
      </w:r>
    </w:p>
    <w:p>
      <w:pPr>
        <w:spacing w:after="0" w:line="144" w:lineRule="exact"/>
        <w:rPr>
          <w:sz w:val="20"/>
          <w:szCs w:val="20"/>
          <w:color w:val="auto"/>
        </w:rPr>
      </w:pPr>
    </w:p>
    <w:p>
      <w:pPr>
        <w:ind w:left="620" w:right="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agreements to divest substantially all of our NGL business for total cash consideration of approximately $5.15 billion CAD ($3.75 billion USD) with expected closing first quarter 2026 pending regulatory approval</w:t>
      </w:r>
    </w:p>
    <w:p>
      <w:pPr>
        <w:spacing w:after="0" w:line="99" w:lineRule="exact"/>
        <w:rPr>
          <w:rFonts w:ascii="Times New Roman" w:cs="Times New Roman" w:eastAsia="Times New Roman" w:hAnsi="Times New Roman"/>
          <w:sz w:val="17"/>
          <w:szCs w:val="17"/>
          <w:color w:val="auto"/>
        </w:rPr>
      </w:pPr>
    </w:p>
    <w:p>
      <w:pPr>
        <w:ind w:left="620" w:right="70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NGL sale proceeds (~$3.0 billion net USD) will be prioritized toward bolt-on M&amp;A, preferred unit repurchases, and opportunistic common unit repurchases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22, 2025, Plains acquired an additional 20% interest in BridgeTex Pipeline Company, LLC, bringing PAA’s total interest to 40%</w:t>
      </w:r>
    </w:p>
    <w:p>
      <w:pPr>
        <w:spacing w:after="0" w:line="16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continue to advance our strategic initiatives and delivered solid second-quarter performance in a volatile macro environment,” said Willie Chiang, Chairman, CEO and President. “Our previously announced NGL divestiture is expected to close in the first quarter of 2026 and will improve our free cash durability, provide substantial financial flexibility and drive opportunities to streamline the business. Separately, we continue to execute on our bolt-on acquisition opportunity set by acquiring an incremental interest in the BridgeTex Pipeline joint venture, which further strengthens our Permian footprint. We remain well-positioned and highly focused on additional bolt-ons and optimizing our crude oil focused asset base in a capital disciplined manner while continuing to return cash to unitholders.”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Reporting Considerations for Pending Sale of Canadian NGL Business</w:t>
      </w:r>
    </w:p>
    <w:p>
      <w:pPr>
        <w:spacing w:after="0" w:line="144"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On June 17, 2025, we entered into a definitive agreement to sell substantially all of our NGL business in Canada (the “Canadian NGL Business”) to Keyera Corp. This transaction is expected to close in the first quarter of 2026 and is subject to the satisfaction or waiver of customary closing conditions, including receipt of regulatory approvals. While we will divest the Canadian NGL Business as part of the transaction, we will retain substantially all NGL assets in the United States and will also retain all crude oil assets in Canada.</w:t>
      </w:r>
    </w:p>
    <w:p>
      <w:pPr>
        <w:spacing w:after="0" w:line="196"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We have determined that the operations of the Canadian NGL Business meet the criteria for classification as held for sale and presentation as discontinued operations and have applied these changes retrospectively to all periods presented. Results throughout this release specify if they are presented from continuing operations (which exclude the results of the Canadian NGL Business) and/or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6"/>
                <w:szCs w:val="16"/>
                <w:b w:val="1"/>
                <w:bCs w:val="1"/>
                <w:i w:val="1"/>
                <w:iCs w:val="1"/>
                <w:color w:val="auto"/>
              </w:rPr>
              <w:t xml:space="preserve">GAAP Results </w:t>
            </w:r>
            <w:r>
              <w:rPr>
                <w:rFonts w:ascii="Times New Roman" w:cs="Times New Roman" w:eastAsia="Times New Roman" w:hAnsi="Times New Roman"/>
                <w:sz w:val="20"/>
                <w:szCs w:val="20"/>
                <w:b w:val="1"/>
                <w:bCs w:val="1"/>
                <w:i w:val="1"/>
                <w:iCs w:val="1"/>
                <w:color w:val="auto"/>
                <w:vertAlign w:val="superscript"/>
              </w:rPr>
              <w:t>(1)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Net income attributable to PAA </w:t>
            </w:r>
            <w:r>
              <w:rPr>
                <w:rFonts w:ascii="Times New Roman" w:cs="Times New Roman" w:eastAsia="Times New Roman" w:hAnsi="Times New Roman"/>
                <w:sz w:val="22"/>
                <w:szCs w:val="22"/>
                <w:color w:val="auto"/>
                <w:vertAlign w:val="superscript"/>
              </w:rPr>
              <w:t>(2)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gridSpan w:val="3"/>
          </w:tcPr>
          <w:p>
            <w:pPr>
              <w:spacing w:after="0" w:line="194" w:lineRule="exact"/>
              <w:rPr>
                <w:sz w:val="20"/>
                <w:szCs w:val="20"/>
                <w:color w:val="auto"/>
              </w:rPr>
            </w:pPr>
            <w:r>
              <w:rPr>
                <w:rFonts w:ascii="Times New Roman" w:cs="Times New Roman" w:eastAsia="Times New Roman" w:hAnsi="Times New Roman"/>
                <w:sz w:val="16"/>
                <w:szCs w:val="16"/>
                <w:b w:val="1"/>
                <w:bCs w:val="1"/>
                <w:i w:val="1"/>
                <w:iCs w:val="1"/>
                <w:color w:val="auto"/>
              </w:rPr>
              <w:t xml:space="preserve">Non-GAAP Results </w:t>
            </w:r>
            <w:r>
              <w:rPr>
                <w:rFonts w:ascii="Times New Roman" w:cs="Times New Roman" w:eastAsia="Times New Roman" w:hAnsi="Times New Roman"/>
                <w:sz w:val="20"/>
                <w:szCs w:val="20"/>
                <w:b w:val="1"/>
                <w:bCs w:val="1"/>
                <w:i w:val="1"/>
                <w:iCs w:val="1"/>
                <w:color w:val="auto"/>
                <w:vertAlign w:val="superscript"/>
              </w:rPr>
              <w:t>(1) (3)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5100" w:type="dxa"/>
            <w:vAlign w:val="bottom"/>
            <w:tcBorders>
              <w:top w:val="single" w:sz="8" w:color="auto"/>
            </w:tcBorders>
            <w:gridSpan w:val="2"/>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 xml:space="preserve">Adjusted net income attributable to PAA </w:t>
            </w:r>
            <w:r>
              <w:rPr>
                <w:rFonts w:ascii="Times New Roman" w:cs="Times New Roman" w:eastAsia="Times New Roman" w:hAnsi="Times New Roman"/>
                <w:sz w:val="22"/>
                <w:szCs w:val="22"/>
                <w:color w:val="auto"/>
                <w:vertAlign w:val="superscript"/>
              </w:rPr>
              <w:t>(2)</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(4)</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(4)</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(4)</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5160" w:type="dxa"/>
            <w:vAlign w:val="bottom"/>
            <w:gridSpan w:val="3"/>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160" w:type="dxa"/>
            <w:vAlign w:val="bottom"/>
            <w:gridSpan w:val="3"/>
            <w:shd w:val="clear" w:color="auto" w:fill="CCEEFF"/>
          </w:tcPr>
          <w:p>
            <w:pPr>
              <w:ind w:left="80"/>
              <w:spacing w:after="0" w:line="232" w:lineRule="exact"/>
              <w:rPr>
                <w:sz w:val="20"/>
                <w:szCs w:val="20"/>
                <w:color w:val="auto"/>
              </w:rPr>
            </w:pPr>
            <w:r>
              <w:rPr>
                <w:rFonts w:ascii="Times New Roman" w:cs="Times New Roman" w:eastAsia="Times New Roman" w:hAnsi="Times New Roman"/>
                <w:sz w:val="17"/>
                <w:szCs w:val="17"/>
                <w:color w:val="auto"/>
              </w:rPr>
              <w:t xml:space="preserve">Assets &amp; Liabilities) </w:t>
            </w:r>
            <w:r>
              <w:rPr>
                <w:rFonts w:ascii="Times New Roman" w:cs="Times New Roman" w:eastAsia="Times New Roman" w:hAnsi="Times New Roman"/>
                <w:sz w:val="22"/>
                <w:szCs w:val="22"/>
                <w:color w:val="auto"/>
                <w:vertAlign w:val="superscript"/>
              </w:rPr>
              <w:t>(4)</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33"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 See the tables attached hereto for additional information.</w:t>
      </w:r>
    </w:p>
    <w:p>
      <w:pPr>
        <w:spacing w:after="0" w:line="52" w:lineRule="exact"/>
        <w:rPr>
          <w:rFonts w:ascii="Times New Roman" w:cs="Times New Roman" w:eastAsia="Times New Roman" w:hAnsi="Times New Roman"/>
          <w:sz w:val="22"/>
          <w:szCs w:val="22"/>
          <w:color w:val="auto"/>
          <w:vertAlign w:val="superscript"/>
        </w:rPr>
      </w:pPr>
    </w:p>
    <w:p>
      <w:pPr>
        <w:ind w:left="320" w:right="200" w:hanging="317"/>
        <w:spacing w:after="0" w:line="22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(the “Permian JV”), Cactus II Pipeline LLC and Red River Pipeline LLC joint ventures.</w:t>
      </w:r>
    </w:p>
    <w:p>
      <w:pPr>
        <w:spacing w:after="0" w:line="36" w:lineRule="exact"/>
        <w:rPr>
          <w:rFonts w:ascii="Times New Roman" w:cs="Times New Roman" w:eastAsia="Times New Roman" w:hAnsi="Times New Roman"/>
          <w:sz w:val="22"/>
          <w:szCs w:val="22"/>
          <w:color w:val="auto"/>
          <w:vertAlign w:val="superscript"/>
        </w:rPr>
      </w:pPr>
    </w:p>
    <w:p>
      <w:pPr>
        <w:ind w:left="320" w:right="160" w:hanging="317"/>
        <w:spacing w:after="0" w:line="237"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six months ended June 30, 2025 includes the impact of a net cash outflow of $681 million for bolt-on acquisitions.</w:t>
      </w:r>
    </w:p>
    <w:p>
      <w:pPr>
        <w:spacing w:after="0" w:line="151"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Disaggregation of Adjusted EBITDA by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color w:val="auto"/>
          <w:vertAlign w:val="superscript"/>
        </w:rPr>
        <w:t>(1)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Adjusted EBITDA from</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Adjusted EBITDA from NGL</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Crude Oil</w:t>
            </w:r>
          </w:p>
        </w:tc>
        <w:tc>
          <w:tcPr>
            <w:tcW w:w="2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6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68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June 30, 2024</w:t>
            </w: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rPr>
              <w:t>576</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57"/>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Adjusted EBITDA from</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Adjusted EBITDA from NGL</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Crude Oil</w:t>
            </w:r>
          </w:p>
        </w:tc>
        <w:tc>
          <w:tcPr>
            <w:tcW w:w="2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6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68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Six Months Ended June 30, 2024</w:t>
            </w: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rPr>
              <w:t>1,130</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57"/>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9 %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33"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right="160" w:hanging="317"/>
        <w:spacing w:after="0" w:line="230"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69" w:lineRule="exact"/>
        <w:rPr>
          <w:sz w:val="20"/>
          <w:szCs w:val="20"/>
          <w:color w:val="auto"/>
        </w:rPr>
      </w:pPr>
    </w:p>
    <w:p>
      <w:pPr>
        <w:jc w:val="both"/>
        <w:ind w:right="160" w:firstLine="620"/>
        <w:spacing w:after="0" w:line="270" w:lineRule="auto"/>
        <w:rPr>
          <w:sz w:val="20"/>
          <w:szCs w:val="20"/>
          <w:color w:val="auto"/>
        </w:rPr>
      </w:pPr>
      <w:r>
        <w:rPr>
          <w:rFonts w:ascii="Times New Roman" w:cs="Times New Roman" w:eastAsia="Times New Roman" w:hAnsi="Times New Roman"/>
          <w:sz w:val="17"/>
          <w:szCs w:val="17"/>
          <w:color w:val="auto"/>
        </w:rPr>
        <w:t>Second-quarter 2025 Adjusted EBITDA from Crude Oil was in line with comparable 2024 results. Favorable results in the 2025 period from (i) higher tariff volumes on our pipelines, (ii) tariff escalations and (iii) contributions from recently completed bolt-on acquisitions were largely offset by (iv) fewer market opportunities and (v) lower commodity prices.</w:t>
      </w:r>
    </w:p>
    <w:p>
      <w:pPr>
        <w:spacing w:after="0" w:line="193" w:lineRule="exact"/>
        <w:rPr>
          <w:sz w:val="20"/>
          <w:szCs w:val="20"/>
          <w:color w:val="auto"/>
        </w:rPr>
      </w:pPr>
    </w:p>
    <w:p>
      <w:pPr>
        <w:ind w:right="300" w:firstLine="620"/>
        <w:spacing w:after="0" w:line="288" w:lineRule="auto"/>
        <w:rPr>
          <w:sz w:val="20"/>
          <w:szCs w:val="20"/>
          <w:color w:val="auto"/>
        </w:rPr>
      </w:pPr>
      <w:r>
        <w:rPr>
          <w:rFonts w:ascii="Times New Roman" w:cs="Times New Roman" w:eastAsia="Times New Roman" w:hAnsi="Times New Roman"/>
          <w:sz w:val="17"/>
          <w:szCs w:val="17"/>
          <w:color w:val="auto"/>
        </w:rPr>
        <w:t>Second-quarter 2025 Adjusted EBITDA from NGL decreased 7% versus comparable 2024 results primarily due to lower iso-to-normal butane spread benefits in the second quarter of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August 8, 2025 to discuss second-quarter performance and related items.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https://edge.media-server.com/mmc/p/tcbbtc6e/</w:t>
      </w:r>
    </w:p>
    <w:p>
      <w:pPr>
        <w:spacing w:after="0" w:line="2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196" w:lineRule="exact"/>
        <w:rPr>
          <w:sz w:val="20"/>
          <w:szCs w:val="20"/>
          <w:color w:val="auto"/>
        </w:rPr>
      </w:pPr>
    </w:p>
    <w:p>
      <w:pPr>
        <w:ind w:right="100" w:firstLine="620"/>
        <w:spacing w:after="0" w:line="258" w:lineRule="auto"/>
        <w:rPr>
          <w:sz w:val="20"/>
          <w:szCs w:val="20"/>
          <w:color w:val="auto"/>
        </w:rPr>
      </w:pPr>
      <w:r>
        <w:rPr>
          <w:rFonts w:ascii="Times New Roman" w:cs="Times New Roman" w:eastAsia="Times New Roman" w:hAnsi="Times New Roman"/>
          <w:sz w:val="17"/>
          <w:szCs w:val="17"/>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 amounts related to Other income/(expense).</w:t>
      </w:r>
    </w:p>
    <w:p>
      <w:pPr>
        <w:spacing w:after="0" w:line="141"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50"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183"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151"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Measures and Discontinued Operations</w:t>
      </w:r>
    </w:p>
    <w:p>
      <w:pPr>
        <w:spacing w:after="0" w:line="183"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Management believes that the presentation of certain Non-GAAP financial performance measures, such as Adjusted EBITDA, Adjusted EBITDA attributable to PAA, Implied DCF, Adjusted Net Income attributable to PAA, Adjusted Net Income per Common Unit, Adjusted EBITDA from Crude Oil and Adjusted EBITDA from NGL,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first quarter of 2026, management continues to view the Canadian NGL Business as a component of our overall company performance and ability to fund distributions to our unitholders in the near term.</w:t>
      </w: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56"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r>
      <w:tr>
        <w:trPr>
          <w:trHeight w:val="207"/>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22,543</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04"/>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2"/>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23,708</w:t>
            </w:r>
          </w:p>
        </w:tc>
      </w:tr>
      <w:tr>
        <w:trPr>
          <w:trHeight w:val="207"/>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07"/>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07"/>
        </w:trPr>
        <w:tc>
          <w:tcPr>
            <w:tcW w:w="638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7"/>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(expense)/benefit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10"/>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8"/>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0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02"/>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UNIT: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4"/>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07"/>
        </w:trPr>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2"/>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4"/>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0"/>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4"/>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0"/>
        </w:trPr>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04"/>
        </w:trPr>
        <w:tc>
          <w:tcPr>
            <w:tcW w:w="6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27"/>
        </w:trPr>
        <w:tc>
          <w:tcPr>
            <w:tcW w:w="6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125" w:lineRule="exact"/>
        <w:rPr>
          <w:sz w:val="20"/>
          <w:szCs w:val="20"/>
          <w:color w:val="auto"/>
        </w:rPr>
      </w:pPr>
    </w:p>
    <w:p>
      <w:pPr>
        <w:jc w:val="both"/>
        <w:ind w:left="320" w:right="340" w:hanging="317"/>
        <w:spacing w:after="0" w:line="246" w:lineRule="auto"/>
        <w:tabs>
          <w:tab w:leader="none" w:pos="315"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Plains entities have issued promissory notes by and among such entities to facilitate financing. “Interest expense, net” and “Other income, net” each include $23 million and $43 million for the three and six months ended June 30, 2025, respectively, and $15 million for the three and six months ended June 30, 2024 related to interest on such related party promissory notes. These amounts offset and do not impact Net Income or Non-GAAP metrics such as Adjusted EBITDA, Implied DCF and Adjusted Free Cash Flow.</w:t>
      </w:r>
    </w:p>
    <w:p>
      <w:pPr>
        <w:spacing w:after="0" w:line="156" w:lineRule="exact"/>
        <w:rPr>
          <w:rFonts w:ascii="Times New Roman" w:cs="Times New Roman" w:eastAsia="Times New Roman" w:hAnsi="Times New Roman"/>
          <w:sz w:val="18"/>
          <w:szCs w:val="18"/>
          <w:color w:val="auto"/>
          <w:vertAlign w:val="superscript"/>
        </w:rPr>
      </w:pPr>
    </w:p>
    <w:p>
      <w:pPr>
        <w:ind w:left="5440" w:hanging="93"/>
        <w:spacing w:after="0"/>
        <w:tabs>
          <w:tab w:leader="none" w:pos="54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Current assets (including cash and cash equivalents of $459 and $348, respectively) </w:t>
            </w:r>
            <w:r>
              <w:rPr>
                <w:rFonts w:ascii="Times New Roman" w:cs="Times New Roman" w:eastAsia="Times New Roman" w:hAnsi="Times New Roman"/>
                <w:sz w:val="20"/>
                <w:szCs w:val="20"/>
                <w:color w:val="auto"/>
                <w:vertAlign w:val="superscript"/>
              </w:rPr>
              <w:t>(1)</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w:t>
            </w: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Linefill</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right-of-use assets, net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inventory</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04"/>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7"/>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PARTNERS’ CAPITAL</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Current liabilities </w:t>
            </w:r>
            <w:r>
              <w:rPr>
                <w:rFonts w:ascii="Times New Roman" w:cs="Times New Roman" w:eastAsia="Times New Roman" w:hAnsi="Times New Roman"/>
                <w:sz w:val="20"/>
                <w:szCs w:val="20"/>
                <w:color w:val="auto"/>
                <w:vertAlign w:val="superscript"/>
              </w:rPr>
              <w:t>(2)</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net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debt, net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and deferred credits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197"/>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w:t>
            </w:r>
          </w:p>
        </w:tc>
      </w:tr>
      <w:tr>
        <w:trPr>
          <w:trHeight w:val="158"/>
        </w:trPr>
        <w:tc>
          <w:tcPr>
            <w:tcW w:w="3880" w:type="dxa"/>
            <w:vAlign w:val="bottom"/>
            <w:shd w:val="clear" w:color="auto" w:fill="CCEEFF"/>
          </w:tcPr>
          <w:p>
            <w:pPr>
              <w:spacing w:after="0"/>
              <w:rPr>
                <w:sz w:val="13"/>
                <w:szCs w:val="13"/>
                <w:color w:val="auto"/>
              </w:rPr>
            </w:pPr>
          </w:p>
        </w:tc>
        <w:tc>
          <w:tcPr>
            <w:tcW w:w="4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9,813</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197"/>
        </w:trPr>
        <w:tc>
          <w:tcPr>
            <w:tcW w:w="8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partners’ capital</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13,096</w:t>
            </w:r>
          </w:p>
        </w:tc>
      </w:tr>
      <w:tr>
        <w:trPr>
          <w:trHeight w:val="227"/>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partners’ capital</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4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97"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current assets of discontinued operations of $385 million and $415 million as of June 30, 2025 and December 31, 2024, respectively.</w:t>
      </w:r>
    </w:p>
    <w:p>
      <w:pPr>
        <w:spacing w:after="0" w:line="58" w:lineRule="exact"/>
        <w:rPr>
          <w:rFonts w:ascii="Times New Roman" w:cs="Times New Roman" w:eastAsia="Times New Roman" w:hAnsi="Times New Roman"/>
          <w:sz w:val="19"/>
          <w:szCs w:val="19"/>
          <w:color w:val="auto"/>
          <w:vertAlign w:val="superscript"/>
        </w:rPr>
      </w:pPr>
    </w:p>
    <w:p>
      <w:pPr>
        <w:ind w:left="300" w:hanging="297"/>
        <w:spacing w:after="0" w:line="191" w:lineRule="auto"/>
        <w:tabs>
          <w:tab w:leader="none" w:pos="3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current liabilities of discontinued operations of $313 million and $350 million as of June 30, 2025 and December 31,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DEBT CAPITALIZATION RATIOS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percentages)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7"/>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2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7,213</w:t>
            </w:r>
          </w:p>
        </w:tc>
      </w:tr>
      <w:tr>
        <w:trPr>
          <w:trHeight w:val="238"/>
        </w:trPr>
        <w:tc>
          <w:tcPr>
            <w:tcW w:w="8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8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2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7,213</w:t>
            </w:r>
          </w:p>
        </w:tc>
      </w:tr>
      <w:tr>
        <w:trPr>
          <w:trHeight w:val="22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9,813</w:t>
            </w:r>
          </w:p>
        </w:tc>
      </w:tr>
      <w:tr>
        <w:trPr>
          <w:trHeight w:val="238"/>
        </w:trPr>
        <w:tc>
          <w:tcPr>
            <w:tcW w:w="8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700" w:type="dxa"/>
            <w:vAlign w:val="bottom"/>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240" w:type="dxa"/>
            <w:vAlign w:val="bottom"/>
            <w:tcBorders>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18,388</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17,434</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1"/>
        </w:trPr>
        <w:tc>
          <w:tcPr>
            <w:tcW w:w="8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20"/>
        </w:trPr>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24612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2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0"/>
          <w:szCs w:val="10"/>
          <w:color w:val="auto"/>
        </w:rPr>
        <w:t>(1)</w:t>
      </w:r>
      <w:r>
        <w:rPr>
          <w:sz w:val="20"/>
          <w:szCs w:val="20"/>
          <w:color w:val="auto"/>
        </w:rPr>
        <w:tab/>
      </w:r>
      <w:r>
        <w:rPr>
          <w:rFonts w:ascii="Times New Roman" w:cs="Times New Roman" w:eastAsia="Times New Roman" w:hAnsi="Times New Roman"/>
          <w:sz w:val="15"/>
          <w:szCs w:val="15"/>
          <w:color w:val="auto"/>
        </w:rPr>
        <w:t>Includes results from continuing operations and discontinued operations for all periods presented.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ind w:right="4920"/>
        <w:spacing w:after="0" w:line="275"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COMMON UNIT </w:t>
      </w:r>
      <w:r>
        <w:rPr>
          <w:rFonts w:ascii="Times New Roman" w:cs="Times New Roman" w:eastAsia="Times New Roman" w:hAnsi="Times New Roman"/>
          <w:sz w:val="17"/>
          <w:szCs w:val="17"/>
          <w:color w:val="auto"/>
        </w:rPr>
        <w:t>(in millions, except per unit data)</w:t>
      </w:r>
    </w:p>
    <w:tbl>
      <w:tblPr>
        <w:tblLayout w:type="fixed"/>
        <w:tblInd w:w="0" w:type="dxa"/>
        <w:tblCellMar>
          <w:top w:w="0" w:type="dxa"/>
          <w:left w:w="0" w:type="dxa"/>
          <w:bottom w:w="0" w:type="dxa"/>
          <w:right w:w="0" w:type="dxa"/>
        </w:tblCellMar>
      </w:tblPr>
      <w:tr>
        <w:trPr>
          <w:trHeight w:val="141"/>
        </w:trPr>
        <w:tc>
          <w:tcPr>
            <w:tcW w:w="3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80" w:type="dxa"/>
            <w:vAlign w:val="bottom"/>
            <w:gridSpan w:val="4"/>
          </w:tcPr>
          <w:p>
            <w:pPr>
              <w:jc w:val="right"/>
              <w:ind w:right="76"/>
              <w:spacing w:after="0" w:line="14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4"/>
          </w:tcPr>
          <w:p>
            <w:pPr>
              <w:jc w:val="right"/>
              <w:ind w:right="555"/>
              <w:spacing w:after="0" w:line="141"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Common Unit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Continuing Operations: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continuing operations, net of tax</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w:t>
            </w:r>
          </w:p>
        </w:tc>
      </w:tr>
      <w:tr>
        <w:trPr>
          <w:trHeight w:val="220"/>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13"/>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from continuing operations attributable to PAA</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8"/>
                <w:szCs w:val="18"/>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0"/>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63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(1)</w:t>
            </w:r>
          </w:p>
        </w:tc>
        <w:tc>
          <w:tcPr>
            <w:tcW w:w="7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48"/>
        </w:trPr>
        <w:tc>
          <w:tcPr>
            <w:tcW w:w="6380" w:type="dxa"/>
            <w:vAlign w:val="bottom"/>
            <w:gridSpan w:val="2"/>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income from continuing operations allocated to common unitholders - Basic and</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33"/>
        </w:trPr>
        <w:tc>
          <w:tcPr>
            <w:tcW w:w="6380" w:type="dxa"/>
            <w:vAlign w:val="bottom"/>
            <w:gridSpan w:val="2"/>
          </w:tcPr>
          <w:p>
            <w:pPr>
              <w:ind w:left="380"/>
              <w:spacing w:after="0" w:line="23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(2)</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45"/>
        </w:trPr>
        <w:tc>
          <w:tcPr>
            <w:tcW w:w="38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68"/>
        </w:trPr>
        <w:tc>
          <w:tcPr>
            <w:tcW w:w="6380" w:type="dxa"/>
            <w:vAlign w:val="bottom"/>
            <w:gridSpan w:val="2"/>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Net income from discontinued operations allocated to common unitholders - Basic and</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3"/>
        </w:trPr>
        <w:tc>
          <w:tcPr>
            <w:tcW w:w="6380" w:type="dxa"/>
            <w:vAlign w:val="bottom"/>
            <w:gridSpan w:val="2"/>
            <w:shd w:val="clear" w:color="auto" w:fill="CCEEFF"/>
          </w:tcPr>
          <w:p>
            <w:pPr>
              <w:ind w:left="280"/>
              <w:spacing w:after="0" w:line="23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(3)</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45"/>
        </w:trPr>
        <w:tc>
          <w:tcPr>
            <w:tcW w:w="388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38"/>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(4) (5)</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Continuing operations</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20"/>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Discontinued operations</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r>
      <w:tr>
        <w:trPr>
          <w:trHeight w:val="213"/>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0.55</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121" w:lineRule="exact"/>
        <w:rPr>
          <w:sz w:val="20"/>
          <w:szCs w:val="20"/>
          <w:color w:val="auto"/>
        </w:rPr>
      </w:pPr>
    </w:p>
    <w:p>
      <w:pPr>
        <w:ind w:left="320" w:right="240" w:hanging="317"/>
        <w:spacing w:after="0" w:line="236" w:lineRule="auto"/>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net income allocated to common unitholders.</w:t>
      </w:r>
    </w:p>
    <w:p>
      <w:pPr>
        <w:spacing w:after="0" w:line="46" w:lineRule="exact"/>
        <w:rPr>
          <w:rFonts w:ascii="Times New Roman" w:cs="Times New Roman" w:eastAsia="Times New Roman" w:hAnsi="Times New Roman"/>
          <w:sz w:val="21"/>
          <w:szCs w:val="21"/>
          <w:color w:val="auto"/>
          <w:vertAlign w:val="superscript"/>
        </w:rPr>
      </w:pPr>
    </w:p>
    <w:p>
      <w:pPr>
        <w:ind w:left="320" w:right="180" w:hanging="317"/>
        <w:spacing w:after="0"/>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3" w:lineRule="exact"/>
        <w:rPr>
          <w:rFonts w:ascii="Times New Roman" w:cs="Times New Roman" w:eastAsia="Times New Roman" w:hAnsi="Times New Roman"/>
          <w:sz w:val="21"/>
          <w:szCs w:val="21"/>
          <w:color w:val="auto"/>
          <w:vertAlign w:val="superscript"/>
        </w:rPr>
      </w:pPr>
    </w:p>
    <w:p>
      <w:pPr>
        <w:ind w:left="320" w:right="620" w:hanging="317"/>
        <w:spacing w:after="0" w:line="229" w:lineRule="auto"/>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from discontinued operations allocated to common unitholders is Income from discontinued operations, net of tax as presented on our Condensed Consolidated Statements of Operations.</w:t>
      </w:r>
    </w:p>
    <w:p>
      <w:pPr>
        <w:spacing w:after="0" w:line="46" w:lineRule="exact"/>
        <w:rPr>
          <w:rFonts w:ascii="Times New Roman" w:cs="Times New Roman" w:eastAsia="Times New Roman" w:hAnsi="Times New Roman"/>
          <w:sz w:val="21"/>
          <w:szCs w:val="21"/>
          <w:color w:val="auto"/>
          <w:vertAlign w:val="superscript"/>
        </w:rPr>
      </w:pPr>
    </w:p>
    <w:p>
      <w:pPr>
        <w:ind w:left="320" w:right="40" w:hanging="317"/>
        <w:spacing w:after="0" w:line="229" w:lineRule="auto"/>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net income per common unit for each of the three and six months ended June 30, 2025 and 2024 as the effect was antidilutive.</w:t>
      </w:r>
    </w:p>
    <w:p>
      <w:pPr>
        <w:spacing w:after="0" w:line="33" w:lineRule="exact"/>
        <w:rPr>
          <w:rFonts w:ascii="Times New Roman" w:cs="Times New Roman" w:eastAsia="Times New Roman" w:hAnsi="Times New Roman"/>
          <w:sz w:val="21"/>
          <w:szCs w:val="21"/>
          <w:color w:val="auto"/>
          <w:vertAlign w:val="superscript"/>
        </w:rPr>
      </w:pPr>
    </w:p>
    <w:p>
      <w:pPr>
        <w:ind w:left="320" w:right="40" w:hanging="317"/>
        <w:spacing w:after="0" w:line="245" w:lineRule="auto"/>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 on asset sales,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(Gain)/loss on foreign currency revaluation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 of terminated interest rate hedging instruments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8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3"/>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continuing operations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r>
      <w:tr>
        <w:trPr>
          <w:trHeight w:val="220"/>
        </w:trPr>
        <w:tc>
          <w:tcPr>
            <w:tcW w:w="8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discontinued operations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3"/>
        </w:trPr>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45"/>
        </w:trPr>
        <w:tc>
          <w:tcPr>
            <w:tcW w:w="38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3"/>
        </w:trPr>
        <w:tc>
          <w:tcPr>
            <w:tcW w:w="8720" w:type="dxa"/>
            <w:vAlign w:val="bottom"/>
            <w:gridSpan w:val="2"/>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45"/>
        </w:trPr>
        <w:tc>
          <w:tcPr>
            <w:tcW w:w="388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Net cash provided by/(used in) financing activities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45"/>
        </w:trPr>
        <w:tc>
          <w:tcPr>
            <w:tcW w:w="38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translation adjustment -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 of translation adjustment - discontinued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5"/>
        </w:trPr>
        <w:tc>
          <w:tcPr>
            <w:tcW w:w="388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45"/>
        </w:trPr>
        <w:tc>
          <w:tcPr>
            <w:tcW w:w="388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0"/>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38"/>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126" w:lineRule="exact"/>
        <w:rPr>
          <w:sz w:val="20"/>
          <w:szCs w:val="20"/>
          <w:color w:val="auto"/>
        </w:rPr>
      </w:pPr>
    </w:p>
    <w:p>
      <w:pPr>
        <w:ind w:left="320" w:right="260" w:hanging="317"/>
        <w:spacing w:after="0" w:line="237" w:lineRule="auto"/>
        <w:tabs>
          <w:tab w:leader="none" w:pos="355"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Plains entities have issued promissory notes by and among such entities to facilitate financing. For the six months ended June 30, 2025, “Net cash used in investing activities” includes a cash outflow of approximately $330 million associated with our investment in related party notes. An equal and offsetting cash inflow associated with our issuance of related party notes is included in “Net cash provided by/(used in) financing activities.”</w:t>
      </w:r>
    </w:p>
    <w:p>
      <w:pPr>
        <w:spacing w:after="0" w:line="6" w:lineRule="exact"/>
        <w:rPr>
          <w:rFonts w:ascii="Times New Roman" w:cs="Times New Roman" w:eastAsia="Times New Roman" w:hAnsi="Times New Roman"/>
          <w:sz w:val="22"/>
          <w:szCs w:val="22"/>
          <w:color w:val="auto"/>
          <w:vertAlign w:val="superscript"/>
        </w:rPr>
      </w:pPr>
    </w:p>
    <w:p>
      <w:pPr>
        <w:ind w:left="340" w:hanging="337"/>
        <w:spacing w:after="0"/>
        <w:tabs>
          <w:tab w:leader="none" w:pos="3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2025 period includes a net cash outflow of $681 million for bolt-on acquisitions.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7"/>
                <w:szCs w:val="17"/>
                <w:b w:val="1"/>
                <w:bCs w:val="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5"/>
          </w:tcPr>
          <w:p>
            <w:pPr>
              <w:ind w:left="100"/>
              <w:spacing w:after="0" w:line="12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0"/>
                <w:szCs w:val="10"/>
                <w:color w:val="auto"/>
              </w:rPr>
            </w:pPr>
          </w:p>
        </w:tc>
        <w:tc>
          <w:tcPr>
            <w:tcW w:w="1600" w:type="dxa"/>
            <w:vAlign w:val="bottom"/>
            <w:gridSpan w:val="4"/>
          </w:tcPr>
          <w:p>
            <w:pPr>
              <w:jc w:val="right"/>
              <w:ind w:right="277"/>
              <w:spacing w:after="0" w:line="123"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5"/>
          </w:tcPr>
          <w:p>
            <w:pPr>
              <w:ind w:left="100"/>
              <w:spacing w:after="0" w:line="12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0"/>
                <w:szCs w:val="10"/>
                <w:color w:val="auto"/>
              </w:rPr>
            </w:pPr>
          </w:p>
        </w:tc>
        <w:tc>
          <w:tcPr>
            <w:tcW w:w="1620" w:type="dxa"/>
            <w:vAlign w:val="bottom"/>
            <w:gridSpan w:val="4"/>
          </w:tcPr>
          <w:p>
            <w:pPr>
              <w:jc w:val="right"/>
              <w:ind w:right="277"/>
              <w:spacing w:after="0" w:line="123"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NGL </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Total Maintenance capital expenditures </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Total Investment and Maintenance capital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12"/>
        </w:trPr>
        <w:tc>
          <w:tcPr>
            <w:tcW w:w="3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expenditures</w:t>
            </w: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expenditures attributable to noncontrolling interests.</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“Discontinued Operations Detail” section for amounts attributable to discontinued operations.</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Financial Data by NGL” section for amounts attributable to discontinued operations.</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Computation of Basic and Diluted Adjusted Net Income Per Common Unit </w:t>
      </w:r>
      <w:r>
        <w:rPr>
          <w:rFonts w:ascii="Times New Roman" w:cs="Times New Roman" w:eastAsia="Times New Roman" w:hAnsi="Times New Roman"/>
          <w:sz w:val="22"/>
          <w:szCs w:val="22"/>
          <w:b w:val="1"/>
          <w:bCs w:val="1"/>
          <w:color w:val="auto"/>
          <w:vertAlign w:val="superscript"/>
        </w:rPr>
        <w:t>(1) (2)</w:t>
      </w:r>
      <w:r>
        <w:rPr>
          <w:rFonts w:ascii="Times New Roman" w:cs="Times New Roman" w:eastAsia="Times New Roman" w:hAnsi="Times New Roman"/>
          <w:sz w:val="17"/>
          <w:szCs w:val="17"/>
          <w:b w:val="1"/>
          <w:bCs w:val="1"/>
          <w:color w:val="auto"/>
        </w:rPr>
        <w:t xml:space="preserve"> :</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60" w:type="dxa"/>
            <w:vAlign w:val="bottom"/>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2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9"/>
                <w:szCs w:val="19"/>
                <w:color w:val="auto"/>
              </w:rPr>
            </w:pP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20"/>
        </w:trPr>
        <w:tc>
          <w:tcPr>
            <w:tcW w:w="63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2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8"/>
                <w:szCs w:val="18"/>
                <w:color w:val="auto"/>
              </w:rPr>
            </w:pP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0"/>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63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(4)</w:t>
            </w:r>
          </w:p>
        </w:tc>
        <w:tc>
          <w:tcPr>
            <w:tcW w:w="7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(5) (6)</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58"/>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0.72</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122" w:lineRule="exact"/>
        <w:rPr>
          <w:sz w:val="20"/>
          <w:szCs w:val="20"/>
          <w:color w:val="auto"/>
        </w:rPr>
      </w:pPr>
    </w:p>
    <w:p>
      <w:pPr>
        <w:ind w:left="320" w:right="40" w:hanging="317"/>
        <w:spacing w:after="0" w:line="233" w:lineRule="auto"/>
        <w:tabs>
          <w:tab w:leader="none" w:pos="30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29"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30" w:lineRule="exact"/>
        <w:rPr>
          <w:rFonts w:ascii="Times New Roman" w:cs="Times New Roman" w:eastAsia="Times New Roman" w:hAnsi="Times New Roman"/>
          <w:sz w:val="9"/>
          <w:szCs w:val="9"/>
          <w:color w:val="auto"/>
        </w:rPr>
      </w:pPr>
    </w:p>
    <w:p>
      <w:pPr>
        <w:ind w:left="300" w:hanging="297"/>
        <w:spacing w:after="0"/>
        <w:tabs>
          <w:tab w:leader="none" w:pos="30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1" w:lineRule="exact"/>
        <w:rPr>
          <w:rFonts w:ascii="Times New Roman" w:cs="Times New Roman" w:eastAsia="Times New Roman" w:hAnsi="Times New Roman"/>
          <w:sz w:val="18"/>
          <w:szCs w:val="18"/>
          <w:color w:val="auto"/>
          <w:vertAlign w:val="superscript"/>
        </w:rPr>
      </w:pPr>
    </w:p>
    <w:p>
      <w:pPr>
        <w:ind w:left="320" w:right="200" w:hanging="317"/>
        <w:spacing w:after="0" w:line="218" w:lineRule="auto"/>
        <w:tabs>
          <w:tab w:leader="none" w:pos="30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adjusted net income allocated to common unitholders.</w:t>
      </w:r>
    </w:p>
    <w:p>
      <w:pPr>
        <w:spacing w:after="0" w:line="42" w:lineRule="exact"/>
        <w:rPr>
          <w:rFonts w:ascii="Times New Roman" w:cs="Times New Roman" w:eastAsia="Times New Roman" w:hAnsi="Times New Roman"/>
          <w:sz w:val="18"/>
          <w:szCs w:val="18"/>
          <w:color w:val="auto"/>
          <w:vertAlign w:val="superscript"/>
        </w:rPr>
      </w:pPr>
    </w:p>
    <w:p>
      <w:pPr>
        <w:ind w:left="320" w:right="120" w:hanging="317"/>
        <w:spacing w:after="0" w:line="217" w:lineRule="auto"/>
        <w:tabs>
          <w:tab w:leader="none" w:pos="30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 per common unit for each of the three and six months ended June 30, 2025 and 2024 as the effect was antidilutive.</w:t>
      </w:r>
    </w:p>
    <w:p>
      <w:pPr>
        <w:spacing w:after="0" w:line="42" w:lineRule="exact"/>
        <w:rPr>
          <w:rFonts w:ascii="Times New Roman" w:cs="Times New Roman" w:eastAsia="Times New Roman" w:hAnsi="Times New Roman"/>
          <w:sz w:val="18"/>
          <w:szCs w:val="18"/>
          <w:color w:val="auto"/>
          <w:vertAlign w:val="superscript"/>
        </w:rPr>
      </w:pPr>
    </w:p>
    <w:p>
      <w:pPr>
        <w:ind w:left="320" w:hanging="317"/>
        <w:spacing w:after="0" w:line="233" w:lineRule="auto"/>
        <w:tabs>
          <w:tab w:leader="none" w:pos="30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 Per Common Unit to Adjusted Net Income Per Common Unit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r>
      <w:tr>
        <w:trPr>
          <w:trHeight w:val="220"/>
        </w:trPr>
        <w:tc>
          <w:tcPr>
            <w:tcW w:w="63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w:t>
            </w:r>
          </w:p>
        </w:tc>
      </w:tr>
      <w:tr>
        <w:trPr>
          <w:trHeight w:val="23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93"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42"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and the “Computation of Basic and Diluted Adjusted Net Income Per Common Unit” tables for additional information.</w:t>
      </w:r>
    </w:p>
    <w:p>
      <w:pPr>
        <w:spacing w:after="0" w:line="164" w:lineRule="exact"/>
        <w:rPr>
          <w:rFonts w:ascii="Times New Roman" w:cs="Times New Roman" w:eastAsia="Times New Roman" w:hAnsi="Times New Roman"/>
          <w:sz w:val="9"/>
          <w:szCs w:val="9"/>
          <w:color w:val="auto"/>
        </w:rPr>
      </w:pPr>
    </w:p>
    <w:p>
      <w:pPr>
        <w:ind w:left="5440" w:hanging="93"/>
        <w:spacing w:after="0"/>
        <w:tabs>
          <w:tab w:leader="none" w:pos="54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3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07"/>
        </w:trPr>
        <w:tc>
          <w:tcPr>
            <w:tcW w:w="6380" w:type="dxa"/>
            <w:vAlign w:val="bottom"/>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7"/>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 from discontinued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from discontinued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Losses on asset sales, net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(Gains)/losses on asset sales, net from discontinued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80" w:type="dxa"/>
            <w:vAlign w:val="bottom"/>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0"/>
                <w:szCs w:val="20"/>
                <w:color w:val="auto"/>
                <w:vertAlign w:val="superscript"/>
              </w:rPr>
              <w:t>(3)</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7"/>
        </w:trPr>
        <w:tc>
          <w:tcPr>
            <w:tcW w:w="63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0"/>
                <w:szCs w:val="20"/>
                <w:color w:val="auto"/>
                <w:vertAlign w:val="superscript"/>
              </w:rPr>
              <w:t>(1) (4)</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0"/>
        </w:trPr>
        <w:tc>
          <w:tcPr>
            <w:tcW w:w="6380" w:type="dxa"/>
            <w:vAlign w:val="bottom"/>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(1)</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0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02"/>
        </w:trPr>
        <w:tc>
          <w:tcPr>
            <w:tcW w:w="6380" w:type="dxa"/>
            <w:vAlign w:val="bottom"/>
          </w:tcPr>
          <w:p>
            <w:pPr>
              <w:ind w:left="40"/>
              <w:spacing w:after="0" w:line="203" w:lineRule="exact"/>
              <w:rPr>
                <w:sz w:val="20"/>
                <w:szCs w:val="20"/>
                <w:color w:val="auto"/>
              </w:rPr>
            </w:pPr>
            <w:r>
              <w:rPr>
                <w:rFonts w:ascii="Times New Roman" w:cs="Times New Roman" w:eastAsia="Times New Roman" w:hAnsi="Times New Roman"/>
                <w:sz w:val="16"/>
                <w:szCs w:val="16"/>
                <w:color w:val="auto"/>
              </w:rPr>
              <w:t xml:space="preserve">Adjusted EBITDA attributable to PAA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8"/>
        </w:trPr>
        <w:tc>
          <w:tcPr>
            <w:tcW w:w="6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207"/>
        </w:trPr>
        <w:tc>
          <w:tcPr>
            <w:tcW w:w="638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(1)</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07"/>
        </w:trPr>
        <w:tc>
          <w:tcPr>
            <w:tcW w:w="63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0"/>
                <w:szCs w:val="20"/>
                <w:color w:val="auto"/>
                <w:vertAlign w:val="superscript"/>
              </w:rPr>
              <w:t>(5)</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Maintenance capital from continuing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Maintenance capital from discontinued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6380" w:type="dxa"/>
            <w:vAlign w:val="bottom"/>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0"/>
                <w:szCs w:val="20"/>
                <w:color w:val="auto"/>
                <w:vertAlign w:val="superscript"/>
              </w:rPr>
              <w:t>(6)</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7"/>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income tax expense from discontinued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0"/>
        </w:trPr>
        <w:tc>
          <w:tcPr>
            <w:tcW w:w="63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0"/>
                <w:szCs w:val="20"/>
                <w:color w:val="auto"/>
                <w:vertAlign w:val="superscript"/>
              </w:rPr>
              <w:t>(7)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6380" w:type="dxa"/>
            <w:vAlign w:val="bottom"/>
            <w:tcBorders>
              <w:bottom w:val="single" w:sz="8" w:color="CCEEFF"/>
            </w:tcBorders>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0"/>
                <w:szCs w:val="20"/>
                <w:color w:val="auto"/>
                <w:vertAlign w:val="superscript"/>
              </w:rPr>
              <w:t>(8)</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0"/>
        </w:trPr>
        <w:tc>
          <w:tcPr>
            <w:tcW w:w="638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Implied DCF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07"/>
        </w:trPr>
        <w:tc>
          <w:tcPr>
            <w:tcW w:w="6380" w:type="dxa"/>
            <w:vAlign w:val="bottom"/>
            <w:tcBorders>
              <w:bottom w:val="single" w:sz="8" w:color="CCEEFF"/>
            </w:tcBorders>
          </w:tcPr>
          <w:p>
            <w:pPr>
              <w:ind w:left="180"/>
              <w:spacing w:after="0" w:line="207"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0"/>
                <w:szCs w:val="20"/>
                <w:color w:val="auto"/>
                <w:vertAlign w:val="superscript"/>
              </w:rPr>
              <w:t>(8)</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25"/>
        </w:trPr>
        <w:tc>
          <w:tcPr>
            <w:tcW w:w="6380" w:type="dxa"/>
            <w:vAlign w:val="bottom"/>
            <w:tcBorders>
              <w:bottom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Implied DCF Available to Common Unitholders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6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0"/>
        </w:trPr>
        <w:tc>
          <w:tcPr>
            <w:tcW w:w="638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0"/>
                <w:szCs w:val="20"/>
                <w:color w:val="auto"/>
                <w:vertAlign w:val="superscript"/>
              </w:rPr>
              <w:t>(1) (9)</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7"/>
        </w:trPr>
        <w:tc>
          <w:tcPr>
            <w:tcW w:w="638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0"/>
                <w:szCs w:val="20"/>
                <w:color w:val="auto"/>
                <w:vertAlign w:val="superscript"/>
              </w:rPr>
              <w:t>(1) (10)</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0.6350</w:t>
            </w:r>
          </w:p>
        </w:tc>
      </w:tr>
      <w:tr>
        <w:trPr>
          <w:trHeight w:val="207"/>
        </w:trPr>
        <w:tc>
          <w:tcPr>
            <w:tcW w:w="638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0"/>
                <w:szCs w:val="20"/>
                <w:color w:val="auto"/>
                <w:vertAlign w:val="superscript"/>
              </w:rPr>
              <w:t>(8)</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07"/>
        </w:trPr>
        <w:tc>
          <w:tcPr>
            <w:tcW w:w="63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Common Unit Distribution Coverage Ratio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1.74x</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1.81x</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1.73x</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1.96x</w:t>
            </w:r>
          </w:p>
        </w:tc>
      </w:tr>
      <w:tr>
        <w:trPr>
          <w:trHeight w:val="26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Implied DCF Excess </w:t>
            </w:r>
            <w:r>
              <w:rPr>
                <w:rFonts w:ascii="Times New Roman" w:cs="Times New Roman" w:eastAsia="Times New Roman" w:hAnsi="Times New Roman"/>
                <w:sz w:val="20"/>
                <w:szCs w:val="20"/>
                <w:color w:val="auto"/>
                <w:vertAlign w:val="superscript"/>
              </w:rPr>
              <w:t>(1)</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3"/>
                <w:szCs w:val="23"/>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3"/>
                <w:szCs w:val="23"/>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23"/>
                <w:szCs w:val="23"/>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24612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51"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all periods presented.</w:t>
      </w:r>
    </w:p>
    <w:p>
      <w:pPr>
        <w:spacing w:after="0" w:line="31" w:lineRule="exact"/>
        <w:rPr>
          <w:rFonts w:ascii="Times New Roman" w:cs="Times New Roman" w:eastAsia="Times New Roman" w:hAnsi="Times New Roman"/>
          <w:sz w:val="16"/>
          <w:szCs w:val="16"/>
          <w:color w:val="auto"/>
          <w:vertAlign w:val="superscript"/>
        </w:rPr>
      </w:pPr>
    </w:p>
    <w:p>
      <w:pPr>
        <w:ind w:left="300" w:hanging="297"/>
        <w:spacing w:after="0" w:line="194"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“Interest expense, net” as reported on our Condensed Consolidated Statements of Operations, net of interest income associated with promissory notes by and among certain Plains entities.</w:t>
      </w:r>
    </w:p>
    <w:p>
      <w:pPr>
        <w:spacing w:after="0" w:line="32" w:lineRule="exact"/>
        <w:rPr>
          <w:rFonts w:ascii="Times New Roman" w:cs="Times New Roman" w:eastAsia="Times New Roman" w:hAnsi="Times New Roman"/>
          <w:sz w:val="16"/>
          <w:szCs w:val="16"/>
          <w:color w:val="auto"/>
          <w:vertAlign w:val="superscript"/>
        </w:rPr>
      </w:pPr>
    </w:p>
    <w:p>
      <w:pPr>
        <w:ind w:left="300" w:hanging="297"/>
        <w:spacing w:after="0" w:line="194"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to exclude our proportionate share of depreciation and amortization expense (including write-downs related to cancelled projects and impairments) of unconsolidated entities.</w:t>
      </w:r>
    </w:p>
    <w:p>
      <w:pPr>
        <w:spacing w:after="0" w:line="45" w:lineRule="exact"/>
        <w:rPr>
          <w:rFonts w:ascii="Times New Roman" w:cs="Times New Roman" w:eastAsia="Times New Roman" w:hAnsi="Times New Roman"/>
          <w:sz w:val="16"/>
          <w:szCs w:val="16"/>
          <w:color w:val="auto"/>
          <w:vertAlign w:val="superscript"/>
        </w:rPr>
      </w:pPr>
    </w:p>
    <w:p>
      <w:pPr>
        <w:ind w:left="300" w:hanging="297"/>
        <w:spacing w:after="0" w:line="194"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the “Selected Items Impacting Comparability” table for additional information.</w:t>
      </w:r>
    </w:p>
    <w:p>
      <w:pPr>
        <w:spacing w:after="0" w:line="32" w:lineRule="exact"/>
        <w:rPr>
          <w:rFonts w:ascii="Times New Roman" w:cs="Times New Roman" w:eastAsia="Times New Roman" w:hAnsi="Times New Roman"/>
          <w:sz w:val="16"/>
          <w:szCs w:val="16"/>
          <w:color w:val="auto"/>
          <w:vertAlign w:val="superscript"/>
        </w:rPr>
      </w:pPr>
    </w:p>
    <w:p>
      <w:pPr>
        <w:ind w:left="320" w:right="140" w:hanging="317"/>
        <w:spacing w:after="0" w:line="226" w:lineRule="auto"/>
        <w:tabs>
          <w:tab w:leader="none" w:pos="311"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1" w:lineRule="exact"/>
        <w:rPr>
          <w:rFonts w:ascii="Times New Roman" w:cs="Times New Roman" w:eastAsia="Times New Roman" w:hAnsi="Times New Roman"/>
          <w:sz w:val="16"/>
          <w:szCs w:val="16"/>
          <w:color w:val="auto"/>
          <w:vertAlign w:val="superscript"/>
        </w:rPr>
      </w:pPr>
    </w:p>
    <w:p>
      <w:pPr>
        <w:ind w:left="300" w:hanging="297"/>
        <w:spacing w:after="0" w:line="235"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capital expenditures attributable to noncontrolling interests that reduce Implied DCF available to PAA common unitholders.</w:t>
      </w:r>
    </w:p>
    <w:p>
      <w:pPr>
        <w:spacing w:after="0" w:line="32" w:lineRule="exact"/>
        <w:rPr>
          <w:rFonts w:ascii="Times New Roman" w:cs="Times New Roman" w:eastAsia="Times New Roman" w:hAnsi="Times New Roman"/>
          <w:sz w:val="16"/>
          <w:szCs w:val="16"/>
          <w:color w:val="auto"/>
          <w:vertAlign w:val="superscript"/>
        </w:rPr>
      </w:pPr>
    </w:p>
    <w:p>
      <w:pPr>
        <w:ind w:left="320" w:right="40" w:hanging="317"/>
        <w:spacing w:after="0" w:line="226" w:lineRule="auto"/>
        <w:tabs>
          <w:tab w:leader="none" w:pos="311"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 w:lineRule="exact"/>
        <w:rPr>
          <w:rFonts w:ascii="Times New Roman" w:cs="Times New Roman" w:eastAsia="Times New Roman" w:hAnsi="Times New Roman"/>
          <w:sz w:val="16"/>
          <w:szCs w:val="16"/>
          <w:color w:val="auto"/>
          <w:vertAlign w:val="superscript"/>
        </w:rPr>
      </w:pPr>
    </w:p>
    <w:p>
      <w:pPr>
        <w:ind w:left="300" w:hanging="297"/>
        <w:spacing w:after="0" w:line="235"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distributions paid during the period presented.</w:t>
      </w:r>
    </w:p>
    <w:p>
      <w:pPr>
        <w:spacing w:after="0" w:line="32" w:lineRule="exact"/>
        <w:rPr>
          <w:rFonts w:ascii="Times New Roman" w:cs="Times New Roman" w:eastAsia="Times New Roman" w:hAnsi="Times New Roman"/>
          <w:sz w:val="16"/>
          <w:szCs w:val="16"/>
          <w:color w:val="auto"/>
          <w:vertAlign w:val="superscript"/>
        </w:rPr>
      </w:pPr>
    </w:p>
    <w:p>
      <w:pPr>
        <w:ind w:left="300" w:hanging="297"/>
        <w:spacing w:after="0" w:line="194"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Implied DCF Available to Common Unitholders for the period divided by the weighted average common units outstanding for the period.</w:t>
      </w:r>
    </w:p>
    <w:p>
      <w:pPr>
        <w:spacing w:after="0" w:line="32" w:lineRule="exact"/>
        <w:rPr>
          <w:rFonts w:ascii="Times New Roman" w:cs="Times New Roman" w:eastAsia="Times New Roman" w:hAnsi="Times New Roman"/>
          <w:sz w:val="16"/>
          <w:szCs w:val="16"/>
          <w:color w:val="auto"/>
          <w:vertAlign w:val="superscript"/>
        </w:rPr>
      </w:pPr>
    </w:p>
    <w:p>
      <w:pPr>
        <w:ind w:left="320" w:right="120" w:hanging="317"/>
        <w:spacing w:after="0" w:line="239" w:lineRule="auto"/>
        <w:tabs>
          <w:tab w:leader="none" w:pos="313"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53" w:lineRule="exact"/>
        <w:rPr>
          <w:rFonts w:ascii="Times New Roman" w:cs="Times New Roman" w:eastAsia="Times New Roman" w:hAnsi="Times New Roman"/>
          <w:sz w:val="16"/>
          <w:szCs w:val="16"/>
          <w:color w:val="auto"/>
          <w:vertAlign w:val="superscript"/>
        </w:rPr>
      </w:pPr>
    </w:p>
    <w:p>
      <w:pPr>
        <w:ind w:left="5440" w:hanging="93"/>
        <w:spacing w:after="0"/>
        <w:tabs>
          <w:tab w:leader="none" w:pos="54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 Per Common Unit to Implied DCF Per Common Unit and Common Unit Equivalent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92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r>
      <w:tr>
        <w:trPr>
          <w:trHeight w:val="220"/>
        </w:trPr>
        <w:tc>
          <w:tcPr>
            <w:tcW w:w="62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(2) (3)</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r>
      <w:tr>
        <w:trPr>
          <w:trHeight w:val="238"/>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r>
      <w:tr>
        <w:trPr>
          <w:trHeight w:val="220"/>
        </w:trPr>
        <w:tc>
          <w:tcPr>
            <w:tcW w:w="62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(2) (4)</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r>
      <w:tr>
        <w:trPr>
          <w:trHeight w:val="238"/>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96"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periods of 703 million, 701 million, 704 million and 701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360" w:hanging="317"/>
        <w:spacing w:after="0" w:line="22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periods, as well as weighted average Series A preferred units outstanding of 58 million, 71 million, 60 million and 71 million for the periods presented, respectively.</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8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634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Net cash provided by operating activities </w:t>
            </w:r>
            <w:r>
              <w:rPr>
                <w:rFonts w:ascii="Times New Roman" w:cs="Times New Roman" w:eastAsia="Times New Roman" w:hAnsi="Times New Roman"/>
                <w:sz w:val="22"/>
                <w:szCs w:val="22"/>
                <w:color w:val="auto"/>
                <w:vertAlign w:val="superscript"/>
              </w:rPr>
              <w:t>(1)</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0" w:type="dxa"/>
            <w:vAlign w:val="bottom"/>
          </w:tcPr>
          <w:p>
            <w:pPr>
              <w:spacing w:after="0"/>
              <w:rPr>
                <w:sz w:val="1"/>
                <w:szCs w:val="1"/>
                <w:color w:val="auto"/>
              </w:rPr>
            </w:pPr>
          </w:p>
        </w:tc>
      </w:tr>
      <w:tr>
        <w:trPr>
          <w:trHeight w:val="168"/>
        </w:trPr>
        <w:tc>
          <w:tcPr>
            <w:tcW w:w="63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Flow:</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gridSpan w:val="2"/>
            <w:shd w:val="clear" w:color="auto" w:fill="CCEEFF"/>
          </w:tcPr>
          <w:p>
            <w:pPr>
              <w:ind w:left="120"/>
              <w:spacing w:after="0" w:line="224"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 (3)</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20"/>
        </w:trPr>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634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(4)</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20"/>
        </w:trPr>
        <w:tc>
          <w:tcPr>
            <w:tcW w:w="63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Proceeds from the issuance of related party notes </w:t>
            </w:r>
            <w:r>
              <w:rPr>
                <w:rFonts w:ascii="Times New Roman" w:cs="Times New Roman" w:eastAsia="Times New Roman" w:hAnsi="Times New Roman"/>
                <w:sz w:val="22"/>
                <w:szCs w:val="22"/>
                <w:color w:val="auto"/>
                <w:vertAlign w:val="superscript"/>
              </w:rPr>
              <w:t>(2)</w:t>
            </w:r>
          </w:p>
        </w:tc>
        <w:tc>
          <w:tcPr>
            <w:tcW w:w="7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634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(1) (5)</w:t>
            </w:r>
          </w:p>
        </w:tc>
        <w:tc>
          <w:tcPr>
            <w:tcW w:w="720" w:type="dxa"/>
            <w:vAlign w:val="bottom"/>
            <w:tcBorders>
              <w:top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0" w:type="dxa"/>
            <w:vAlign w:val="bottom"/>
          </w:tcPr>
          <w:p>
            <w:pPr>
              <w:spacing w:after="0"/>
              <w:rPr>
                <w:sz w:val="1"/>
                <w:szCs w:val="1"/>
                <w:color w:val="auto"/>
              </w:rPr>
            </w:pPr>
          </w:p>
        </w:tc>
      </w:tr>
      <w:tr>
        <w:trPr>
          <w:trHeight w:val="238"/>
        </w:trPr>
        <w:tc>
          <w:tcPr>
            <w:tcW w:w="634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(1) (5) (7)</w:t>
            </w: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8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634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(1) (5)</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(1) (8)</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13"/>
        </w:trPr>
        <w:tc>
          <w:tcPr>
            <w:tcW w:w="634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(1) (9)</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 Assets &amp; Liabilities)</w:t>
            </w:r>
          </w:p>
        </w:tc>
        <w:tc>
          <w:tcPr>
            <w:tcW w:w="720" w:type="dxa"/>
            <w:vAlign w:val="bottom"/>
            <w:vMerge w:val="restart"/>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 (9)</w:t>
            </w:r>
          </w:p>
        </w:tc>
        <w:tc>
          <w:tcPr>
            <w:tcW w:w="2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spacing w:after="0" w:line="48" w:lineRule="exact"/>
        <w:rPr>
          <w:rFonts w:ascii="Times New Roman" w:cs="Times New Roman" w:eastAsia="Times New Roman" w:hAnsi="Times New Roman"/>
          <w:sz w:val="20"/>
          <w:szCs w:val="20"/>
          <w:color w:val="auto"/>
          <w:vertAlign w:val="superscript"/>
        </w:rPr>
      </w:pPr>
    </w:p>
    <w:p>
      <w:pPr>
        <w:ind w:left="320" w:right="300" w:hanging="317"/>
        <w:spacing w:after="0" w:line="219"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2"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six months ended June 30, 2025 includes a net cash outflow of $681 million for bolt-on acquisitions.</w:t>
      </w:r>
    </w:p>
    <w:p>
      <w:pPr>
        <w:spacing w:after="0" w:line="61"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60" w:hanging="317"/>
        <w:spacing w:after="0" w:line="224"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48" w:lineRule="exact"/>
        <w:rPr>
          <w:rFonts w:ascii="Times New Roman" w:cs="Times New Roman" w:eastAsia="Times New Roman" w:hAnsi="Times New Roman"/>
          <w:sz w:val="20"/>
          <w:szCs w:val="20"/>
          <w:color w:val="auto"/>
          <w:vertAlign w:val="superscript"/>
        </w:rPr>
      </w:pPr>
    </w:p>
    <w:p>
      <w:pPr>
        <w:ind w:left="320" w:right="40" w:hanging="317"/>
        <w:spacing w:after="0" w:line="224"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6"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24"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80" w:type="dxa"/>
            <w:vAlign w:val="bottom"/>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38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 (2)</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(3)</w:t>
            </w:r>
          </w:p>
        </w:tc>
        <w:tc>
          <w:tcPr>
            <w:tcW w:w="720" w:type="dxa"/>
            <w:vAlign w:val="bottom"/>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76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(4)</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(5)</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(6)</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(7)</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1"/>
                <w:szCs w:val="21"/>
                <w:color w:val="auto"/>
                <w:vertAlign w:val="superscript"/>
              </w:rPr>
              <w:t>(8)</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20" w:type="dxa"/>
            <w:vAlign w:val="bottom"/>
            <w:tcBorders>
              <w:top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2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41"/>
        </w:trPr>
        <w:tc>
          <w:tcPr>
            <w:tcW w:w="6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20" w:type="dxa"/>
            <w:vAlign w:val="bottom"/>
            <w:tcBorders>
              <w:top w:val="single" w:sz="8" w:color="auto"/>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70" w:lineRule="exact"/>
        <w:rPr>
          <w:sz w:val="20"/>
          <w:szCs w:val="20"/>
          <w:color w:val="auto"/>
        </w:rPr>
      </w:pPr>
    </w:p>
    <w:p>
      <w:pPr>
        <w:ind w:left="320" w:right="40" w:hanging="317"/>
        <w:spacing w:after="0" w:line="229" w:lineRule="auto"/>
        <w:tabs>
          <w:tab w:leader="none" w:pos="30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ind w:left="300" w:hanging="297"/>
        <w:spacing w:after="0"/>
        <w:tabs>
          <w:tab w:leader="none" w:pos="30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31" w:lineRule="exact"/>
        <w:rPr>
          <w:rFonts w:ascii="Times New Roman" w:cs="Times New Roman" w:eastAsia="Times New Roman" w:hAnsi="Times New Roman"/>
          <w:sz w:val="9"/>
          <w:szCs w:val="9"/>
          <w:color w:val="auto"/>
        </w:rPr>
      </w:pPr>
    </w:p>
    <w:p>
      <w:pPr>
        <w:ind w:left="320" w:right="60" w:hanging="317"/>
        <w:spacing w:after="0"/>
        <w:tabs>
          <w:tab w:leader="none" w:pos="30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5" w:lineRule="exact"/>
        <w:rPr>
          <w:rFonts w:ascii="Times New Roman" w:cs="Times New Roman" w:eastAsia="Times New Roman" w:hAnsi="Times New Roman"/>
          <w:sz w:val="18"/>
          <w:szCs w:val="18"/>
          <w:color w:val="auto"/>
          <w:vertAlign w:val="superscript"/>
        </w:rPr>
      </w:pPr>
    </w:p>
    <w:p>
      <w:pPr>
        <w:ind w:left="320" w:right="40" w:hanging="317"/>
        <w:spacing w:after="0" w:line="232" w:lineRule="auto"/>
        <w:tabs>
          <w:tab w:leader="none" w:pos="30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0" w:lineRule="exact"/>
        <w:rPr>
          <w:rFonts w:ascii="Times New Roman" w:cs="Times New Roman" w:eastAsia="Times New Roman" w:hAnsi="Times New Roman"/>
          <w:sz w:val="18"/>
          <w:szCs w:val="18"/>
          <w:color w:val="auto"/>
          <w:vertAlign w:val="superscript"/>
        </w:rPr>
      </w:pPr>
    </w:p>
    <w:p>
      <w:pPr>
        <w:ind w:left="320" w:hanging="317"/>
        <w:spacing w:after="0" w:line="259" w:lineRule="auto"/>
        <w:tabs>
          <w:tab w:leader="none" w:pos="308"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6" w:lineRule="exact"/>
        <w:rPr>
          <w:rFonts w:ascii="Times New Roman" w:cs="Times New Roman" w:eastAsia="Times New Roman" w:hAnsi="Times New Roman"/>
          <w:sz w:val="17"/>
          <w:szCs w:val="17"/>
          <w:color w:val="auto"/>
          <w:vertAlign w:val="superscript"/>
        </w:rPr>
      </w:pPr>
    </w:p>
    <w:p>
      <w:pPr>
        <w:ind w:left="320" w:right="20" w:hanging="317"/>
        <w:spacing w:after="0" w:line="232" w:lineRule="auto"/>
        <w:tabs>
          <w:tab w:leader="none" w:pos="30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0" w:lineRule="exact"/>
        <w:rPr>
          <w:rFonts w:ascii="Times New Roman" w:cs="Times New Roman" w:eastAsia="Times New Roman" w:hAnsi="Times New Roman"/>
          <w:sz w:val="18"/>
          <w:szCs w:val="18"/>
          <w:color w:val="auto"/>
          <w:vertAlign w:val="superscript"/>
        </w:rPr>
      </w:pPr>
    </w:p>
    <w:p>
      <w:pPr>
        <w:ind w:left="320" w:right="180" w:hanging="317"/>
        <w:spacing w:after="0" w:line="227" w:lineRule="auto"/>
        <w:tabs>
          <w:tab w:leader="none" w:pos="30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Primarily related to acquisitions completed during the first half of 2025.</w:t>
      </w:r>
    </w:p>
    <w:p>
      <w:pPr>
        <w:spacing w:after="0" w:line="160" w:lineRule="exact"/>
        <w:rPr>
          <w:rFonts w:ascii="Times New Roman" w:cs="Times New Roman" w:eastAsia="Times New Roman" w:hAnsi="Times New Roman"/>
          <w:sz w:val="18"/>
          <w:szCs w:val="18"/>
          <w:color w:val="auto"/>
          <w:vertAlign w:val="superscript"/>
        </w:rPr>
      </w:pPr>
    </w:p>
    <w:p>
      <w:pPr>
        <w:ind w:left="5440" w:hanging="93"/>
        <w:spacing w:after="0"/>
        <w:tabs>
          <w:tab w:leader="none" w:pos="54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CRUDE OIL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1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12,735</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24,317</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(22,484)</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1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 / Adjusted EBITDA from Crude Oil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Crude Oil maintenance capital expenditures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NGL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4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1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3"/>
        </w:trPr>
        <w:tc>
          <w:tcPr>
            <w:tcW w:w="618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NGL Segment Adjusted EBITDA </w:t>
            </w:r>
            <w:r>
              <w:rPr>
                <w:rFonts w:ascii="Times New Roman" w:cs="Times New Roman" w:eastAsia="Times New Roman" w:hAnsi="Times New Roman"/>
                <w:sz w:val="22"/>
                <w:szCs w:val="22"/>
                <w:color w:val="auto"/>
                <w:vertAlign w:val="superscript"/>
              </w:rPr>
              <w:t>(4)</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6180" w:type="dxa"/>
            <w:vAlign w:val="bottom"/>
            <w:tcBorders>
              <w:bottom w:val="single" w:sz="8" w:color="CCEEFF"/>
            </w:tcBorders>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from NGL Discontinued Operations </w:t>
            </w:r>
            <w:r>
              <w:rPr>
                <w:rFonts w:ascii="Times New Roman" w:cs="Times New Roman" w:eastAsia="Times New Roman" w:hAnsi="Times New Roman"/>
                <w:sz w:val="22"/>
                <w:szCs w:val="22"/>
                <w:color w:val="auto"/>
                <w:vertAlign w:val="superscript"/>
              </w:rPr>
              <w:t>(5)</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from NGL</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 from NGL continuing operations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 from NGL discontinued operations</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8"/>
        </w:trPr>
        <w:tc>
          <w:tcPr>
            <w:tcW w:w="61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 maintenance capital expenditures</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96"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intersegment amounts.</w:t>
      </w:r>
    </w:p>
    <w:p>
      <w:pPr>
        <w:spacing w:after="0" w:line="52" w:lineRule="exact"/>
        <w:rPr>
          <w:rFonts w:ascii="Times New Roman" w:cs="Times New Roman" w:eastAsia="Times New Roman" w:hAnsi="Times New Roman"/>
          <w:sz w:val="22"/>
          <w:szCs w:val="22"/>
          <w:color w:val="auto"/>
          <w:vertAlign w:val="superscript"/>
        </w:rPr>
      </w:pPr>
    </w:p>
    <w:p>
      <w:pPr>
        <w:ind w:left="320" w:right="160" w:hanging="317"/>
        <w:spacing w:after="0" w:line="22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Field operating costs and segment general and administrative expenses include certain costs that are part of the overhead of continuing operations, including information technology, insurance and other shared services costs.</w:t>
      </w:r>
    </w:p>
    <w:p>
      <w:pPr>
        <w:spacing w:after="0" w:line="36" w:lineRule="exact"/>
        <w:rPr>
          <w:rFonts w:ascii="Times New Roman" w:cs="Times New Roman" w:eastAsia="Times New Roman" w:hAnsi="Times New Roman"/>
          <w:sz w:val="22"/>
          <w:szCs w:val="22"/>
          <w:color w:val="auto"/>
          <w:vertAlign w:val="superscript"/>
        </w:rPr>
      </w:pPr>
    </w:p>
    <w:p>
      <w:pPr>
        <w:ind w:left="320" w:right="580" w:hanging="317"/>
        <w:spacing w:after="0" w:line="23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excludes amounts related to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right="420" w:hanging="317"/>
        <w:spacing w:after="0" w:line="22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NGL Discontinued Operations” table for a reconciliation to the most directly comparable measure as reported in accordance with GAAP.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DISCONTINUED OPERATIONS DETAIL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Income from Discontinued Operations, Net of Tax:</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Field operating costs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 before tax</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18"/>
                <w:szCs w:val="18"/>
                <w:color w:val="auto"/>
              </w:rPr>
            </w:pPr>
          </w:p>
        </w:tc>
        <w:tc>
          <w:tcPr>
            <w:tcW w:w="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Adjusted EBITDA from NGL Discontinued Operations:</w:t>
            </w: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8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 from discontinued operations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from discontinued operations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 from discontinued operations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attributable to discontinued operations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 activities and inventory valuation adjustments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w w:val="98"/>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inventory costing adjustments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EBITDA from NGL Discontinued Operations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291</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Items Impacting Comparability” table for additional information.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Capital from NGL Discontinued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40" w:type="dxa"/>
            <w:vAlign w:val="bottom"/>
            <w:gridSpan w:val="5"/>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88"/>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354"/>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8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NGL investment capital expenditures from discontinued operations</w:t>
            </w:r>
          </w:p>
        </w:tc>
        <w:tc>
          <w:tcPr>
            <w:tcW w:w="1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2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46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40" w:type="dxa"/>
            <w:vAlign w:val="bottom"/>
            <w:gridSpan w:val="2"/>
          </w:tcPr>
          <w:p>
            <w:pPr>
              <w:jc w:val="center"/>
              <w:ind w:right="605"/>
              <w:spacing w:after="0"/>
              <w:rPr>
                <w:sz w:val="20"/>
                <w:szCs w:val="20"/>
                <w:color w:val="auto"/>
              </w:rPr>
            </w:pPr>
            <w:r>
              <w:rPr>
                <w:rFonts w:ascii="Times New Roman" w:cs="Times New Roman" w:eastAsia="Times New Roman" w:hAnsi="Times New Roman"/>
                <w:sz w:val="17"/>
                <w:szCs w:val="17"/>
                <w:color w:val="auto"/>
              </w:rPr>
              <w:t>- more -</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2"/>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72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440" w:type="dxa"/>
            <w:vAlign w:val="bottom"/>
            <w:gridSpan w:val="2"/>
          </w:tcPr>
          <w:p>
            <w:pPr>
              <w:jc w:val="center"/>
              <w:ind w:right="625"/>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300" w:type="dxa"/>
            <w:vAlign w:val="bottom"/>
          </w:tcPr>
          <w:p>
            <w:pPr>
              <w:spacing w:after="0"/>
              <w:rPr>
                <w:sz w:val="24"/>
                <w:szCs w:val="24"/>
                <w:color w:val="auto"/>
              </w:rPr>
            </w:pPr>
          </w:p>
        </w:tc>
        <w:tc>
          <w:tcPr>
            <w:tcW w:w="2520" w:type="dxa"/>
            <w:vAlign w:val="bottom"/>
            <w:gridSpan w:val="7"/>
          </w:tcPr>
          <w:p>
            <w:pPr>
              <w:jc w:val="right"/>
              <w:ind w:right="347"/>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Volumes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6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Crude oil pipeline tariff (by region)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624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6,565</w:t>
            </w:r>
          </w:p>
        </w:tc>
      </w:tr>
      <w:tr>
        <w:trPr>
          <w:trHeight w:val="220"/>
        </w:trPr>
        <w:tc>
          <w:tcPr>
            <w:tcW w:w="624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20"/>
        </w:trPr>
        <w:tc>
          <w:tcPr>
            <w:tcW w:w="624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20"/>
        </w:trPr>
        <w:tc>
          <w:tcPr>
            <w:tcW w:w="624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20"/>
        </w:trPr>
        <w:tc>
          <w:tcPr>
            <w:tcW w:w="624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220"/>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Western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20"/>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Canada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13"/>
        </w:trPr>
        <w:tc>
          <w:tcPr>
            <w:tcW w:w="624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w:t>
            </w:r>
            <w:r>
              <w:rPr>
                <w:rFonts w:ascii="Times New Roman" w:cs="Times New Roman" w:eastAsia="Times New Roman" w:hAnsi="Times New Roman"/>
                <w:sz w:val="22"/>
                <w:szCs w:val="22"/>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8,769</w:t>
            </w:r>
          </w:p>
        </w:tc>
      </w:tr>
      <w:tr>
        <w:trPr>
          <w:trHeight w:val="245"/>
        </w:trPr>
        <w:tc>
          <w:tcPr>
            <w:tcW w:w="38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0"/>
        </w:trPr>
        <w:tc>
          <w:tcPr>
            <w:tcW w:w="62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Volumes </w:t>
            </w:r>
            <w:r>
              <w:rPr>
                <w:rFonts w:ascii="Times New Roman" w:cs="Times New Roman" w:eastAsia="Times New Roman" w:hAnsi="Times New Roman"/>
                <w:sz w:val="22"/>
                <w:szCs w:val="22"/>
                <w:color w:val="auto"/>
                <w:vertAlign w:val="superscript"/>
              </w:rPr>
              <w:t>(3)</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NGL fractionation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0"/>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NGL pipeline tariff</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20"/>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155"/>
        </w:trPr>
        <w:tc>
          <w:tcPr>
            <w:tcW w:w="3880" w:type="dxa"/>
            <w:vAlign w:val="bottom"/>
            <w:tcBorders>
              <w:bottom w:val="single" w:sz="8" w:color="auto"/>
            </w:tcBorders>
          </w:tcPr>
          <w:p>
            <w:pPr>
              <w:spacing w:after="0"/>
              <w:rPr>
                <w:sz w:val="13"/>
                <w:szCs w:val="13"/>
                <w:color w:val="auto"/>
              </w:rPr>
            </w:pPr>
          </w:p>
        </w:tc>
        <w:tc>
          <w:tcPr>
            <w:tcW w:w="2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from assets associated with continuing operations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SUPPLEMENTAL 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from NGL Discontinued Operations </w:t>
            </w:r>
            <w:r>
              <w:rPr>
                <w:rFonts w:ascii="Times New Roman" w:cs="Times New Roman" w:eastAsia="Times New Roman" w:hAnsi="Times New Roman"/>
                <w:sz w:val="22"/>
                <w:szCs w:val="22"/>
                <w:color w:val="auto"/>
                <w:vertAlign w:val="superscript"/>
              </w:rPr>
              <w:t>(1)</w:t>
            </w: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 net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6280" w:type="dxa"/>
            <w:vAlign w:val="bottom"/>
            <w:tcBorders>
              <w:bottom w:val="single" w:sz="8" w:color="CCEEFF"/>
            </w:tcBorders>
            <w:gridSpan w:val="2"/>
            <w:shd w:val="clear" w:color="auto" w:fill="CCEEFF"/>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(3)</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26" w:lineRule="exact"/>
        <w:rPr>
          <w:sz w:val="20"/>
          <w:szCs w:val="20"/>
          <w:color w:val="auto"/>
        </w:rPr>
      </w:pPr>
    </w:p>
    <w:p>
      <w:pPr>
        <w:ind w:left="320" w:right="140" w:hanging="317"/>
        <w:spacing w:after="0" w:line="230" w:lineRule="auto"/>
        <w:tabs>
          <w:tab w:leader="none" w:pos="3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NGL Discontinued Operations Reconciliation” table for a reconciliation to the most directly comparable measure as reported in accordance with GAAP.</w:t>
      </w:r>
    </w:p>
    <w:p>
      <w:pPr>
        <w:spacing w:after="0" w:line="35" w:lineRule="exact"/>
        <w:rPr>
          <w:rFonts w:ascii="Times New Roman" w:cs="Times New Roman" w:eastAsia="Times New Roman" w:hAnsi="Times New Roman"/>
          <w:sz w:val="22"/>
          <w:szCs w:val="22"/>
          <w:color w:val="auto"/>
          <w:vertAlign w:val="superscript"/>
        </w:rPr>
      </w:pPr>
    </w:p>
    <w:p>
      <w:pPr>
        <w:ind w:left="320" w:hanging="317"/>
        <w:spacing w:after="0" w:line="237" w:lineRule="auto"/>
        <w:tabs>
          <w:tab w:leader="none" w:pos="3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2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12,757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0" w:type="dxa"/>
            <w:vAlign w:val="bottom"/>
          </w:tcPr>
          <w:p>
            <w:pPr>
              <w:spacing w:after="0"/>
              <w:rPr>
                <w:sz w:val="1"/>
                <w:szCs w:val="1"/>
                <w:color w:val="auto"/>
              </w:rPr>
            </w:pPr>
          </w:p>
        </w:tc>
      </w:tr>
      <w:tr>
        <w:trPr>
          <w:trHeight w:val="20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0" w:type="dxa"/>
            <w:vAlign w:val="bottom"/>
          </w:tcPr>
          <w:p>
            <w:pPr>
              <w:spacing w:after="0"/>
              <w:rPr>
                <w:sz w:val="1"/>
                <w:szCs w:val="1"/>
                <w:color w:val="auto"/>
              </w:rPr>
            </w:pPr>
          </w:p>
        </w:tc>
      </w:tr>
      <w:tr>
        <w:trPr>
          <w:trHeight w:val="204"/>
        </w:trPr>
        <w:tc>
          <w:tcPr>
            <w:tcW w:w="4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Field operating costs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4"/>
        </w:trPr>
        <w:tc>
          <w:tcPr>
            <w:tcW w:w="4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7"/>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12,425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12,427</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47"/>
        </w:trPr>
        <w:tc>
          <w:tcPr>
            <w:tcW w:w="3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4"/>
        </w:trPr>
        <w:tc>
          <w:tcPr>
            <w:tcW w:w="4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35"/>
        </w:trPr>
        <w:tc>
          <w:tcPr>
            <w:tcW w:w="40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FROM CONTINUING OPERATIONS BEFORE</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5"/>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TAX</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4"/>
        </w:trPr>
        <w:tc>
          <w:tcPr>
            <w:tcW w:w="4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38"/>
        </w:trPr>
        <w:tc>
          <w:tcPr>
            <w:tcW w:w="4020" w:type="dxa"/>
            <w:vAlign w:val="bottom"/>
            <w:tcBorders>
              <w:top w:val="single" w:sz="8" w:color="CCEEFF"/>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INCOME FROM CONTINUING OPERATIONS, NET OF</w:t>
            </w:r>
          </w:p>
        </w:tc>
        <w:tc>
          <w:tcPr>
            <w:tcW w:w="2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TAX</w:t>
            </w: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INCOME FROM DISCONTINUED OPERATIONS, NET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5"/>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4"/>
        </w:trPr>
        <w:tc>
          <w:tcPr>
            <w:tcW w:w="4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22"/>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2"/>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4"/>
        </w:trPr>
        <w:tc>
          <w:tcPr>
            <w:tcW w:w="4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2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“Computation of Basic and Diluted Net Income Per Class A Share” table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22,119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22,119</w:t>
            </w:r>
          </w:p>
        </w:tc>
        <w:tc>
          <w:tcPr>
            <w:tcW w:w="12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24,396</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20,277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22,543</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Field operating costs</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21,525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21,528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23,711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38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INCOME FROM CONTINUING OPERATIONS</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8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Deferred income tax (expense)/benefit from continuing</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operations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FROM CONTINUING OPERATIONS, NET</w:t>
            </w:r>
          </w:p>
        </w:tc>
        <w:tc>
          <w:tcPr>
            <w:tcW w:w="22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38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right w:val="single" w:sz="8" w:color="auto"/>
            </w:tcBorders>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 w:type="dxa"/>
            <w:vAlign w:val="bottom"/>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“Computation of Basic and Diluted Net Income Per Class A Share” table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56"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assets </w:t>
            </w:r>
            <w:r>
              <w:rPr>
                <w:rFonts w:ascii="Times New Roman" w:cs="Times New Roman" w:eastAsia="Times New Roman" w:hAnsi="Times New Roman"/>
                <w:sz w:val="22"/>
                <w:szCs w:val="22"/>
                <w:color w:val="auto"/>
                <w:vertAlign w:val="superscript"/>
              </w:rPr>
              <w:t>(2)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3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liabilities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13,440</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12,965</w:t>
            </w:r>
          </w:p>
        </w:tc>
      </w:tr>
      <w:tr>
        <w:trPr>
          <w:trHeight w:val="21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14,316</w:t>
            </w:r>
          </w:p>
        </w:tc>
      </w:tr>
      <w:tr>
        <w:trPr>
          <w:trHeight w:val="253"/>
        </w:trPr>
        <w:tc>
          <w:tcPr>
            <w:tcW w:w="3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28,300</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assets of discontinued operations of $385 million and $</w:t>
      </w:r>
      <w:r>
        <w:rPr>
          <w:rFonts w:ascii="Times New Roman" w:cs="Times New Roman" w:eastAsia="Times New Roman" w:hAnsi="Times New Roman"/>
          <w:sz w:val="15"/>
          <w:szCs w:val="15"/>
          <w:color w:val="auto"/>
        </w:rPr>
        <w:t>415</w:t>
      </w:r>
      <w:r>
        <w:rPr>
          <w:rFonts w:ascii="Times New Roman" w:cs="Times New Roman" w:eastAsia="Times New Roman" w:hAnsi="Times New Roman"/>
          <w:sz w:val="17"/>
          <w:szCs w:val="17"/>
          <w:color w:val="auto"/>
        </w:rPr>
        <w:t xml:space="preserve"> million as of June 30, 2025 and December 31, 2024, respectively.</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$313 million and $350 million as of June 30, 2025 and December 31, 2024, respectively.</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8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CLASS A SHARE </w:t>
      </w:r>
      <w:r>
        <w:rPr>
          <w:rFonts w:ascii="Times New Roman" w:cs="Times New Roman" w:eastAsia="Times New Roman" w:hAnsi="Times New Roman"/>
          <w:sz w:val="17"/>
          <w:szCs w:val="17"/>
          <w:color w:val="auto"/>
        </w:rPr>
        <w:t>(in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80" w:type="dxa"/>
            <w:vAlign w:val="bottom"/>
            <w:gridSpan w:val="5"/>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Net Income per Class A Share</w:t>
            </w:r>
          </w:p>
        </w:tc>
        <w:tc>
          <w:tcPr>
            <w:tcW w:w="1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PAGP from continuing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attributable to PAGP from discontinued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weighted average Class A shares outstanding</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Basic Net Income per Class A Share:</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Continuing operations</w:t>
            </w:r>
          </w:p>
        </w:tc>
        <w:tc>
          <w:tcPr>
            <w:tcW w:w="248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880" w:type="dxa"/>
            <w:vAlign w:val="bottom"/>
            <w:gridSpan w:val="3"/>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Discontinued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Basic net income per Class A share</w:t>
            </w:r>
          </w:p>
        </w:tc>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 Net Income per Class A Share</w:t>
            </w:r>
          </w:p>
        </w:tc>
        <w:tc>
          <w:tcPr>
            <w:tcW w:w="1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attributable to PAGP from continuing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attributable to PAGP from discontinued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100" w:type="dxa"/>
            <w:vAlign w:val="bottom"/>
            <w:gridSpan w:val="3"/>
            <w:shd w:val="clear" w:color="auto" w:fill="CCEEFF"/>
          </w:tcPr>
          <w:p>
            <w:pPr>
              <w:ind w:left="200"/>
              <w:spacing w:after="0" w:line="168" w:lineRule="exact"/>
              <w:rPr>
                <w:sz w:val="20"/>
                <w:szCs w:val="20"/>
                <w:color w:val="auto"/>
              </w:rPr>
            </w:pPr>
            <w:r>
              <w:rPr>
                <w:rFonts w:ascii="Times New Roman" w:cs="Times New Roman" w:eastAsia="Times New Roman" w:hAnsi="Times New Roman"/>
                <w:sz w:val="17"/>
                <w:szCs w:val="17"/>
                <w:color w:val="auto"/>
              </w:rPr>
              <w:t>Incremental net income attributable to PAGP resulting from assumed exchange of AAP</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Management Units</w:t>
            </w:r>
          </w:p>
        </w:tc>
        <w:tc>
          <w:tcPr>
            <w:tcW w:w="17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gridSpan w:val="2"/>
          </w:tcPr>
          <w:p>
            <w:pPr>
              <w:ind w:left="100"/>
              <w:spacing w:after="0" w:line="148" w:lineRule="exact"/>
              <w:rPr>
                <w:sz w:val="20"/>
                <w:szCs w:val="20"/>
                <w:color w:val="auto"/>
              </w:rPr>
            </w:pPr>
            <w:r>
              <w:rPr>
                <w:rFonts w:ascii="Times New Roman" w:cs="Times New Roman" w:eastAsia="Times New Roman" w:hAnsi="Times New Roman"/>
                <w:sz w:val="17"/>
                <w:szCs w:val="17"/>
                <w:color w:val="auto"/>
              </w:rPr>
              <w:t>Net income attributable to PAGP from discontinued operations including incremental net</w:t>
            </w:r>
          </w:p>
        </w:tc>
        <w:tc>
          <w:tcPr>
            <w:tcW w:w="74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80" w:type="dxa"/>
            <w:vAlign w:val="bottom"/>
            <w:gridSpan w:val="3"/>
            <w:vMerge w:val="restart"/>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2"/>
                <w:szCs w:val="12"/>
                <w:color w:val="auto"/>
              </w:rPr>
            </w:pPr>
          </w:p>
        </w:tc>
        <w:tc>
          <w:tcPr>
            <w:tcW w:w="2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2"/>
                <w:szCs w:val="12"/>
                <w:color w:val="auto"/>
              </w:rPr>
            </w:pPr>
          </w:p>
        </w:tc>
        <w:tc>
          <w:tcPr>
            <w:tcW w:w="32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income from assumed exchange of AAP Management Units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 weighted average Class A shares outstanding</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Dilutive shares resulting from assumed exchange of AAP Management Units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 weighted average Class A shares outstanding</w:t>
            </w:r>
          </w:p>
        </w:tc>
        <w:tc>
          <w:tcPr>
            <w:tcW w:w="174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 Net Income per Class A Share:</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Continuing operations</w:t>
            </w:r>
          </w:p>
        </w:tc>
        <w:tc>
          <w:tcPr>
            <w:tcW w:w="248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880" w:type="dxa"/>
            <w:vAlign w:val="bottom"/>
            <w:gridSpan w:val="3"/>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Discontinued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 net income per Class A share</w:t>
            </w:r>
          </w:p>
        </w:tc>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80" w:type="dxa"/>
            <w:vAlign w:val="bottom"/>
            <w:gridSpan w:val="2"/>
          </w:tcPr>
          <w:p>
            <w:pPr>
              <w:jc w:val="right"/>
              <w:ind w:right="1143"/>
              <w:spacing w:after="0"/>
              <w:rPr>
                <w:sz w:val="20"/>
                <w:szCs w:val="20"/>
                <w:color w:val="auto"/>
              </w:rPr>
            </w:pPr>
            <w:r>
              <w:rPr>
                <w:rFonts w:ascii="Times New Roman" w:cs="Times New Roman" w:eastAsia="Times New Roman" w:hAnsi="Times New Roman"/>
                <w:sz w:val="17"/>
                <w:szCs w:val="17"/>
                <w:color w:val="auto"/>
              </w:rPr>
              <w:t>- more -</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2"/>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480" w:type="dxa"/>
            <w:vAlign w:val="bottom"/>
            <w:gridSpan w:val="2"/>
          </w:tcPr>
          <w:p>
            <w:pPr>
              <w:jc w:val="right"/>
              <w:ind w:right="643"/>
              <w:spacing w:after="0"/>
              <w:rPr>
                <w:sz w:val="20"/>
                <w:szCs w:val="20"/>
                <w:color w:val="auto"/>
              </w:rPr>
            </w:pPr>
            <w:r>
              <w:rPr>
                <w:rFonts w:ascii="Times New Roman" w:cs="Times New Roman" w:eastAsia="Times New Roman" w:hAnsi="Times New Roman"/>
                <w:sz w:val="17"/>
                <w:szCs w:val="17"/>
                <w:b w:val="1"/>
                <w:bCs w:val="1"/>
                <w:color w:val="auto"/>
              </w:rPr>
              <w:t>Houston, Texas 77002</w:t>
            </w:r>
          </w:p>
        </w:tc>
        <w:tc>
          <w:tcPr>
            <w:tcW w:w="360" w:type="dxa"/>
            <w:vAlign w:val="bottom"/>
          </w:tcPr>
          <w:p>
            <w:pPr>
              <w:spacing w:after="0"/>
              <w:rPr>
                <w:sz w:val="24"/>
                <w:szCs w:val="24"/>
                <w:color w:val="auto"/>
              </w:rPr>
            </w:pPr>
          </w:p>
        </w:tc>
        <w:tc>
          <w:tcPr>
            <w:tcW w:w="2520" w:type="dxa"/>
            <w:vAlign w:val="bottom"/>
            <w:gridSpan w:val="7"/>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auto"/>
        </w:rPr>
        <w:t>Page 25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302"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103" w:lineRule="exact"/>
        <w:rPr>
          <w:sz w:val="20"/>
          <w:szCs w:val="20"/>
          <w:color w:val="auto"/>
        </w:rPr>
      </w:pPr>
    </w:p>
    <w:p>
      <w:pPr>
        <w:ind w:left="620" w:right="160" w:hanging="307"/>
        <w:spacing w:after="0" w:line="245"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3" w:lineRule="exact"/>
        <w:rPr>
          <w:rFonts w:ascii="Arial" w:cs="Arial" w:eastAsia="Arial" w:hAnsi="Arial"/>
          <w:sz w:val="21"/>
          <w:szCs w:val="21"/>
          <w:color w:val="auto"/>
        </w:rPr>
      </w:pPr>
    </w:p>
    <w:p>
      <w:pPr>
        <w:ind w:left="620" w:right="120" w:hanging="307"/>
        <w:spacing w:after="0" w:line="248"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3" w:lineRule="exact"/>
        <w:rPr>
          <w:rFonts w:ascii="Arial" w:cs="Arial" w:eastAsia="Arial" w:hAnsi="Arial"/>
          <w:sz w:val="21"/>
          <w:szCs w:val="21"/>
          <w:color w:val="auto"/>
        </w:rPr>
      </w:pPr>
    </w:p>
    <w:p>
      <w:pPr>
        <w:ind w:left="620" w:right="180" w:hanging="307"/>
        <w:spacing w:after="0" w:line="247"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100"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25" w:lineRule="exact"/>
        <w:rPr>
          <w:rFonts w:ascii="Arial" w:cs="Arial" w:eastAsia="Arial" w:hAnsi="Arial"/>
          <w:sz w:val="21"/>
          <w:szCs w:val="21"/>
          <w:color w:val="auto"/>
        </w:rPr>
      </w:pPr>
    </w:p>
    <w:p>
      <w:pPr>
        <w:ind w:left="620" w:right="100" w:hanging="307"/>
        <w:spacing w:after="0" w:line="242"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24" w:lineRule="exact"/>
        <w:rPr>
          <w:rFonts w:ascii="Arial" w:cs="Arial" w:eastAsia="Arial" w:hAnsi="Arial"/>
          <w:sz w:val="21"/>
          <w:szCs w:val="21"/>
          <w:color w:val="auto"/>
        </w:rPr>
      </w:pPr>
    </w:p>
    <w:p>
      <w:pPr>
        <w:ind w:left="620" w:right="400" w:hanging="307"/>
        <w:spacing w:after="0" w:line="236"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our ability to consummate, acquisitions, divestitures (including the pending divestiture of our Canadian NGL Business), joint ventures or other strategic opportunities and realize benefits therefrom;</w:t>
      </w:r>
    </w:p>
    <w:p>
      <w:pPr>
        <w:spacing w:after="0" w:line="125"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38" w:lineRule="exact"/>
        <w:rPr>
          <w:rFonts w:ascii="Arial" w:cs="Arial" w:eastAsia="Arial" w:hAnsi="Arial"/>
          <w:sz w:val="21"/>
          <w:szCs w:val="21"/>
          <w:color w:val="auto"/>
        </w:rPr>
      </w:pPr>
    </w:p>
    <w:p>
      <w:pPr>
        <w:ind w:left="620" w:right="240" w:hanging="307"/>
        <w:spacing w:after="0" w:line="236"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25" w:lineRule="exact"/>
        <w:rPr>
          <w:rFonts w:ascii="Arial" w:cs="Arial" w:eastAsia="Arial" w:hAnsi="Arial"/>
          <w:sz w:val="21"/>
          <w:szCs w:val="21"/>
          <w:color w:val="auto"/>
        </w:rPr>
      </w:pPr>
    </w:p>
    <w:p>
      <w:pPr>
        <w:ind w:left="620" w:right="360" w:hanging="307"/>
        <w:spacing w:after="0" w:line="236"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125" w:lineRule="exact"/>
        <w:rPr>
          <w:rFonts w:ascii="Arial" w:cs="Arial" w:eastAsia="Arial" w:hAnsi="Arial"/>
          <w:sz w:val="21"/>
          <w:szCs w:val="21"/>
          <w:color w:val="auto"/>
        </w:rPr>
      </w:pPr>
    </w:p>
    <w:p>
      <w:pPr>
        <w:ind w:left="620" w:right="20" w:hanging="307"/>
        <w:spacing w:after="0" w:line="236"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hurricanes, floods, wildfires and drought);</w:t>
      </w:r>
    </w:p>
    <w:p>
      <w:pPr>
        <w:spacing w:after="0" w:line="125" w:lineRule="exact"/>
        <w:rPr>
          <w:rFonts w:ascii="Arial" w:cs="Arial" w:eastAsia="Arial" w:hAnsi="Arial"/>
          <w:sz w:val="21"/>
          <w:szCs w:val="21"/>
          <w:color w:val="auto"/>
        </w:rPr>
      </w:pPr>
    </w:p>
    <w:p>
      <w:pPr>
        <w:ind w:left="620" w:right="180" w:hanging="307"/>
        <w:spacing w:after="0" w:line="245"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auto"/>
        </w:rPr>
        <w:t>Page 26</w:t>
      </w:r>
    </w:p>
    <w:p>
      <w:pPr>
        <w:spacing w:after="0" w:line="200" w:lineRule="exact"/>
        <w:rPr>
          <w:sz w:val="20"/>
          <w:szCs w:val="20"/>
          <w:color w:val="auto"/>
        </w:rPr>
      </w:pPr>
    </w:p>
    <w:p>
      <w:pPr>
        <w:spacing w:after="0" w:line="263" w:lineRule="exact"/>
        <w:rPr>
          <w:sz w:val="20"/>
          <w:szCs w:val="20"/>
          <w:color w:val="auto"/>
        </w:rPr>
      </w:pPr>
    </w:p>
    <w:p>
      <w:pPr>
        <w:ind w:left="620" w:right="60" w:hanging="307"/>
        <w:spacing w:after="0" w:line="236"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the pace of development of natural gas or other infrastructure and its impact on expected crude oil production growth in the Permian Basin;</w:t>
      </w:r>
    </w:p>
    <w:p>
      <w:pPr>
        <w:spacing w:after="0" w:line="125" w:lineRule="exact"/>
        <w:rPr>
          <w:rFonts w:ascii="Arial" w:cs="Arial" w:eastAsia="Arial" w:hAnsi="Arial"/>
          <w:sz w:val="21"/>
          <w:szCs w:val="21"/>
          <w:color w:val="auto"/>
        </w:rPr>
      </w:pPr>
    </w:p>
    <w:p>
      <w:pPr>
        <w:ind w:left="620" w:hanging="307"/>
        <w:spacing w:after="0" w:line="250"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1"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25" w:lineRule="exact"/>
        <w:rPr>
          <w:rFonts w:ascii="Arial" w:cs="Arial" w:eastAsia="Arial" w:hAnsi="Arial"/>
          <w:sz w:val="21"/>
          <w:szCs w:val="21"/>
          <w:color w:val="auto"/>
        </w:rPr>
      </w:pPr>
    </w:p>
    <w:p>
      <w:pPr>
        <w:ind w:left="620" w:right="400" w:hanging="307"/>
        <w:spacing w:after="0" w:line="236"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shortages or cost increases of supplies, materials or labor;</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138" w:lineRule="exact"/>
        <w:rPr>
          <w:rFonts w:ascii="Arial" w:cs="Arial" w:eastAsia="Arial" w:hAnsi="Arial"/>
          <w:sz w:val="21"/>
          <w:szCs w:val="21"/>
          <w:color w:val="auto"/>
        </w:rPr>
      </w:pPr>
    </w:p>
    <w:p>
      <w:pPr>
        <w:jc w:val="both"/>
        <w:ind w:left="620" w:right="100" w:hanging="307"/>
        <w:spacing w:after="0" w:line="236"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125" w:lineRule="exact"/>
        <w:rPr>
          <w:rFonts w:ascii="Arial" w:cs="Arial" w:eastAsia="Arial" w:hAnsi="Arial"/>
          <w:sz w:val="21"/>
          <w:szCs w:val="21"/>
          <w:color w:val="auto"/>
        </w:rPr>
      </w:pPr>
    </w:p>
    <w:p>
      <w:pPr>
        <w:ind w:left="620" w:right="80" w:hanging="307"/>
        <w:spacing w:after="0" w:line="236"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125" w:lineRule="exact"/>
        <w:rPr>
          <w:rFonts w:ascii="Arial" w:cs="Arial" w:eastAsia="Arial" w:hAnsi="Arial"/>
          <w:sz w:val="21"/>
          <w:szCs w:val="21"/>
          <w:color w:val="auto"/>
        </w:rPr>
      </w:pPr>
    </w:p>
    <w:p>
      <w:pPr>
        <w:ind w:left="620" w:right="280" w:hanging="307"/>
        <w:spacing w:after="0" w:line="236"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25" w:lineRule="exact"/>
        <w:rPr>
          <w:rFonts w:ascii="Arial" w:cs="Arial" w:eastAsia="Arial" w:hAnsi="Arial"/>
          <w:sz w:val="21"/>
          <w:szCs w:val="21"/>
          <w:color w:val="auto"/>
        </w:rPr>
      </w:pPr>
    </w:p>
    <w:p>
      <w:pPr>
        <w:ind w:left="620" w:right="660" w:hanging="307"/>
        <w:spacing w:after="0" w:line="236"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the deferral of current revenue recognition attributable to deficiency payments received from customers who fail to ship or move their minimum contracted volumes;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auto"/>
        </w:rPr>
        <w:t>Page 27</w:t>
      </w:r>
    </w:p>
    <w:p>
      <w:pPr>
        <w:spacing w:after="0" w:line="200" w:lineRule="exact"/>
        <w:rPr>
          <w:sz w:val="20"/>
          <w:szCs w:val="20"/>
          <w:color w:val="auto"/>
        </w:rPr>
      </w:pPr>
    </w:p>
    <w:p>
      <w:pPr>
        <w:spacing w:after="0" w:line="263" w:lineRule="exact"/>
        <w:rPr>
          <w:sz w:val="20"/>
          <w:szCs w:val="20"/>
          <w:color w:val="auto"/>
        </w:rPr>
      </w:pPr>
    </w:p>
    <w:p>
      <w:pPr>
        <w:ind w:left="620" w:right="60" w:hanging="307"/>
        <w:spacing w:after="0" w:line="236" w:lineRule="auto"/>
        <w:tabs>
          <w:tab w:leader="none" w:pos="6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Michael Gladstein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lvl w:ilvl="1">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lvl w:ilvl="1">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lvl w:ilvl="1">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lvl w:ilvl="1">
      <w:lvlJc w:val="left"/>
      <w:lvlText w:val="-"/>
      <w:numFmt w:val="bullet"/>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1"/>
    </w:lvl>
    <w:lvl w:ilvl="1">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lvl w:ilvl="1">
      <w:lvlJc w:val="left"/>
      <w:lvlText w:val="-"/>
      <w:numFmt w:val="bullet"/>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lvl w:ilvl="1">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2025-08-08T07:42:51Z</dcterms:created>
  <dcterms:modified xsi:type="dcterms:W3CDTF">2025-08-08T07:42:51Z</dcterms:modified>
</cp:coreProperties>
</file>