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December 1, 2017</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PLAINS ALL AMERICAN PIPELINE, L.P.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760" w:type="dxa"/>
        <w:tblCellMar>
          <w:top w:w="0" w:type="dxa"/>
          <w:left w:w="0" w:type="dxa"/>
          <w:bottom w:w="0" w:type="dxa"/>
          <w:right w:w="0" w:type="dxa"/>
        </w:tblCellMar>
      </w:tblPr>
      <w:tr>
        <w:trPr>
          <w:trHeight w:val="161"/>
        </w:trPr>
        <w:tc>
          <w:tcPr>
            <w:tcW w:w="2160" w:type="dxa"/>
            <w:vAlign w:val="bottom"/>
          </w:tcPr>
          <w:p>
            <w:pPr>
              <w:jc w:val="center"/>
              <w:ind w:right="292"/>
              <w:spacing w:after="0"/>
              <w:rPr>
                <w:sz w:val="20"/>
                <w:szCs w:val="20"/>
                <w:color w:val="auto"/>
              </w:rPr>
            </w:pPr>
            <w:r>
              <w:rPr>
                <w:rFonts w:ascii="Arial" w:cs="Arial" w:eastAsia="Arial" w:hAnsi="Arial"/>
                <w:sz w:val="14"/>
                <w:szCs w:val="14"/>
                <w:b w:val="1"/>
                <w:bCs w:val="1"/>
                <w:color w:val="auto"/>
                <w:w w:val="91"/>
              </w:rPr>
              <w:t>Delaware</w:t>
            </w:r>
          </w:p>
        </w:tc>
        <w:tc>
          <w:tcPr>
            <w:tcW w:w="1360" w:type="dxa"/>
            <w:vAlign w:val="bottom"/>
          </w:tcPr>
          <w:p>
            <w:pPr>
              <w:jc w:val="center"/>
              <w:ind w:left="272"/>
              <w:spacing w:after="0"/>
              <w:rPr>
                <w:sz w:val="20"/>
                <w:szCs w:val="20"/>
                <w:color w:val="auto"/>
              </w:rPr>
            </w:pPr>
            <w:r>
              <w:rPr>
                <w:rFonts w:ascii="Arial" w:cs="Arial" w:eastAsia="Arial" w:hAnsi="Arial"/>
                <w:sz w:val="14"/>
                <w:szCs w:val="14"/>
                <w:b w:val="1"/>
                <w:bCs w:val="1"/>
                <w:color w:val="auto"/>
                <w:w w:val="88"/>
              </w:rPr>
              <w:t>76-0582150</w:t>
            </w:r>
          </w:p>
        </w:tc>
      </w:tr>
      <w:tr>
        <w:trPr>
          <w:trHeight w:val="149"/>
        </w:trPr>
        <w:tc>
          <w:tcPr>
            <w:tcW w:w="2160" w:type="dxa"/>
            <w:vAlign w:val="bottom"/>
          </w:tcPr>
          <w:p>
            <w:pPr>
              <w:jc w:val="center"/>
              <w:ind w:right="292"/>
              <w:spacing w:after="0" w:line="149" w:lineRule="exact"/>
              <w:rPr>
                <w:sz w:val="20"/>
                <w:szCs w:val="20"/>
                <w:color w:val="auto"/>
              </w:rPr>
            </w:pPr>
            <w:r>
              <w:rPr>
                <w:rFonts w:ascii="Arial" w:cs="Arial" w:eastAsia="Arial" w:hAnsi="Arial"/>
                <w:sz w:val="14"/>
                <w:szCs w:val="14"/>
                <w:color w:val="auto"/>
                <w:w w:val="88"/>
              </w:rPr>
              <w:t>(State or Other Jurisdiction</w:t>
            </w:r>
          </w:p>
        </w:tc>
        <w:tc>
          <w:tcPr>
            <w:tcW w:w="136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160" w:type="dxa"/>
            <w:vAlign w:val="bottom"/>
          </w:tcPr>
          <w:p>
            <w:pPr>
              <w:jc w:val="center"/>
              <w:ind w:right="292"/>
              <w:spacing w:after="0"/>
              <w:rPr>
                <w:sz w:val="20"/>
                <w:szCs w:val="20"/>
                <w:color w:val="auto"/>
              </w:rPr>
            </w:pPr>
            <w:r>
              <w:rPr>
                <w:rFonts w:ascii="Arial" w:cs="Arial" w:eastAsia="Arial" w:hAnsi="Arial"/>
                <w:sz w:val="14"/>
                <w:szCs w:val="14"/>
                <w:color w:val="auto"/>
                <w:w w:val="89"/>
              </w:rPr>
              <w:t>of Incorporation or Organization)</w:t>
            </w:r>
          </w:p>
        </w:tc>
        <w:tc>
          <w:tcPr>
            <w:tcW w:w="1360" w:type="dxa"/>
            <w:vAlign w:val="bottom"/>
          </w:tcPr>
          <w:p>
            <w:pPr>
              <w:jc w:val="center"/>
              <w:ind w:left="272"/>
              <w:spacing w:after="0"/>
              <w:rPr>
                <w:sz w:val="20"/>
                <w:szCs w:val="20"/>
                <w:color w:val="auto"/>
              </w:rPr>
            </w:pPr>
            <w:r>
              <w:rPr>
                <w:rFonts w:ascii="Arial" w:cs="Arial" w:eastAsia="Arial" w:hAnsi="Arial"/>
                <w:sz w:val="14"/>
                <w:szCs w:val="14"/>
                <w:color w:val="auto"/>
                <w:w w:val="93"/>
              </w:rPr>
              <w:t>Identification No.)</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Richard McGee</w:t>
      </w:r>
    </w:p>
    <w:p>
      <w:pPr>
        <w:jc w:val="center"/>
        <w:ind w:right="-19"/>
        <w:spacing w:after="0" w:line="223" w:lineRule="auto"/>
        <w:rPr>
          <w:sz w:val="20"/>
          <w:szCs w:val="20"/>
          <w:color w:val="auto"/>
        </w:rPr>
      </w:pPr>
      <w:r>
        <w:rPr>
          <w:rFonts w:ascii="Arial" w:cs="Arial" w:eastAsia="Arial" w:hAnsi="Arial"/>
          <w:sz w:val="14"/>
          <w:szCs w:val="14"/>
          <w:b w:val="1"/>
          <w:bCs w:val="1"/>
          <w:color w:val="auto"/>
        </w:rPr>
        <w:t>Executive Vice President, General Counsel and Secretary</w:t>
      </w:r>
    </w:p>
    <w:p>
      <w:pPr>
        <w:jc w:val="center"/>
        <w:ind w:right="-19"/>
        <w:spacing w:after="0" w:line="222" w:lineRule="auto"/>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Copy to:</w:t>
      </w:r>
    </w:p>
    <w:p>
      <w:pPr>
        <w:jc w:val="center"/>
        <w:ind w:right="-19"/>
        <w:spacing w:after="0" w:line="223" w:lineRule="auto"/>
        <w:rPr>
          <w:sz w:val="20"/>
          <w:szCs w:val="20"/>
          <w:color w:val="auto"/>
        </w:rPr>
      </w:pPr>
      <w:r>
        <w:rPr>
          <w:rFonts w:ascii="Arial" w:cs="Arial" w:eastAsia="Arial" w:hAnsi="Arial"/>
          <w:sz w:val="14"/>
          <w:szCs w:val="14"/>
          <w:b w:val="1"/>
          <w:bCs w:val="1"/>
          <w:color w:val="auto"/>
        </w:rPr>
        <w:t>David P. Oelman</w:t>
      </w:r>
    </w:p>
    <w:p>
      <w:pPr>
        <w:jc w:val="center"/>
        <w:ind w:right="-19"/>
        <w:spacing w:after="0" w:line="222" w:lineRule="auto"/>
        <w:rPr>
          <w:sz w:val="20"/>
          <w:szCs w:val="20"/>
          <w:color w:val="auto"/>
        </w:rPr>
      </w:pPr>
      <w:r>
        <w:rPr>
          <w:rFonts w:ascii="Arial" w:cs="Arial" w:eastAsia="Arial" w:hAnsi="Arial"/>
          <w:sz w:val="14"/>
          <w:szCs w:val="14"/>
          <w:b w:val="1"/>
          <w:bCs w:val="1"/>
          <w:color w:val="auto"/>
        </w:rPr>
        <w:t>Alan Beck</w:t>
      </w:r>
    </w:p>
    <w:p>
      <w:pPr>
        <w:jc w:val="center"/>
        <w:ind w:right="-19"/>
        <w:spacing w:after="0" w:line="221" w:lineRule="auto"/>
        <w:rPr>
          <w:sz w:val="20"/>
          <w:szCs w:val="20"/>
          <w:color w:val="auto"/>
        </w:rPr>
      </w:pPr>
      <w:r>
        <w:rPr>
          <w:rFonts w:ascii="Arial" w:cs="Arial" w:eastAsia="Arial" w:hAnsi="Arial"/>
          <w:sz w:val="14"/>
          <w:szCs w:val="14"/>
          <w:b w:val="1"/>
          <w:bCs w:val="1"/>
          <w:color w:val="auto"/>
        </w:rPr>
        <w:t>Vinson &amp; Elkins L.L.P.</w:t>
      </w:r>
    </w:p>
    <w:p>
      <w:pPr>
        <w:jc w:val="center"/>
        <w:ind w:right="-19"/>
        <w:spacing w:after="0" w:line="222" w:lineRule="auto"/>
        <w:rPr>
          <w:sz w:val="20"/>
          <w:szCs w:val="20"/>
          <w:color w:val="auto"/>
        </w:rPr>
      </w:pPr>
      <w:r>
        <w:rPr>
          <w:rFonts w:ascii="Arial" w:cs="Arial" w:eastAsia="Arial" w:hAnsi="Arial"/>
          <w:sz w:val="14"/>
          <w:szCs w:val="14"/>
          <w:b w:val="1"/>
          <w:bCs w:val="1"/>
          <w:color w:val="auto"/>
        </w:rPr>
        <w:t>First City Tower</w:t>
      </w:r>
    </w:p>
    <w:p>
      <w:pPr>
        <w:jc w:val="center"/>
        <w:ind w:right="-19"/>
        <w:spacing w:after="0" w:line="221" w:lineRule="auto"/>
        <w:rPr>
          <w:sz w:val="20"/>
          <w:szCs w:val="20"/>
          <w:color w:val="auto"/>
        </w:rPr>
      </w:pPr>
      <w:r>
        <w:rPr>
          <w:rFonts w:ascii="Arial" w:cs="Arial" w:eastAsia="Arial" w:hAnsi="Arial"/>
          <w:sz w:val="14"/>
          <w:szCs w:val="14"/>
          <w:b w:val="1"/>
          <w:bCs w:val="1"/>
          <w:color w:val="auto"/>
        </w:rPr>
        <w:t>1001 Fannin Street, Suite 2500</w:t>
      </w:r>
    </w:p>
    <w:p>
      <w:pPr>
        <w:jc w:val="center"/>
        <w:ind w:right="-19"/>
        <w:spacing w:after="0" w:line="222"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26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0" w:gutter="0" w:footer="0" w:header="0"/>
        </w:sectPr>
      </w:pPr>
    </w:p>
    <w:p>
      <w:pPr>
        <w:spacing w:after="0" w:line="168" w:lineRule="exact"/>
        <w:rPr>
          <w:sz w:val="24"/>
          <w:szCs w:val="24"/>
          <w:color w:val="auto"/>
        </w:rPr>
      </w:pPr>
    </w:p>
    <w:p>
      <w:pPr>
        <w:ind w:left="158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8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Non-accelerated filer o</w:t>
      </w:r>
    </w:p>
    <w:p>
      <w:pPr>
        <w:jc w:val="center"/>
        <w:ind w:right="200"/>
        <w:spacing w:after="0" w:line="221" w:lineRule="auto"/>
        <w:rPr>
          <w:sz w:val="20"/>
          <w:szCs w:val="20"/>
          <w:color w:val="auto"/>
        </w:rPr>
      </w:pPr>
      <w:r>
        <w:rPr>
          <w:rFonts w:ascii="Arial" w:cs="Arial" w:eastAsia="Arial" w:hAnsi="Arial"/>
          <w:sz w:val="14"/>
          <w:szCs w:val="14"/>
          <w:color w:val="auto"/>
        </w:rPr>
        <w:t>(Do not check if a</w:t>
      </w:r>
    </w:p>
    <w:p>
      <w:pPr>
        <w:jc w:val="center"/>
        <w:ind w:right="20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4"/>
          <w:szCs w:val="24"/>
          <w:color w:val="auto"/>
        </w:rPr>
      </w:pPr>
    </w:p>
    <w:p>
      <w:pPr>
        <w:sectPr>
          <w:pgSz w:w="11900" w:h="16838" w:orient="portrait"/>
          <w:cols w:equalWidth="0" w:num="4">
            <w:col w:w="3200" w:space="720"/>
            <w:col w:w="1180" w:space="720"/>
            <w:col w:w="1700" w:space="720"/>
            <w:col w:w="3180"/>
          </w:cols>
          <w:pgMar w:left="240" w:top="685" w:right="239" w:bottom="0" w:gutter="0" w:footer="0" w:header="0"/>
          <w:type w:val="continuous"/>
        </w:sectPr>
      </w:pPr>
    </w:p>
    <w:p>
      <w:pPr>
        <w:spacing w:after="0" w:line="15" w:lineRule="exact"/>
        <w:rPr>
          <w:sz w:val="24"/>
          <w:szCs w:val="24"/>
          <w:color w:val="auto"/>
        </w:rPr>
      </w:pPr>
    </w:p>
    <w:p>
      <w:pPr>
        <w:ind w:right="48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4"/>
          <w:szCs w:val="24"/>
          <w:color w:val="auto"/>
        </w:rPr>
      </w:pPr>
    </w:p>
    <w:p>
      <w:pPr>
        <w:spacing w:after="0" w:line="240" w:lineRule="exact"/>
        <w:rPr>
          <w:sz w:val="24"/>
          <w:szCs w:val="24"/>
          <w:color w:val="auto"/>
        </w:rPr>
      </w:pPr>
    </w:p>
    <w:tbl>
      <w:tblPr>
        <w:tblLayout w:type="fixed"/>
        <w:tblInd w:w="10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8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7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7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5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28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Title of Securities to be Registered</w:t>
            </w:r>
          </w:p>
        </w:tc>
        <w:tc>
          <w:tcPr>
            <w:tcW w:w="16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5"/>
              </w:rPr>
              <w:t>Registered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Unit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138"/>
        </w:trPr>
        <w:tc>
          <w:tcPr>
            <w:tcW w:w="20" w:type="dxa"/>
            <w:vAlign w:val="bottom"/>
          </w:tcPr>
          <w:p>
            <w:pPr>
              <w:spacing w:after="0"/>
              <w:rPr>
                <w:sz w:val="11"/>
                <w:szCs w:val="11"/>
                <w:color w:val="auto"/>
              </w:rPr>
            </w:pPr>
          </w:p>
        </w:tc>
        <w:tc>
          <w:tcPr>
            <w:tcW w:w="2800" w:type="dxa"/>
            <w:vAlign w:val="bottom"/>
          </w:tcPr>
          <w:p>
            <w:pPr>
              <w:spacing w:after="0" w:line="138" w:lineRule="exact"/>
              <w:rPr>
                <w:sz w:val="20"/>
                <w:szCs w:val="20"/>
                <w:color w:val="auto"/>
              </w:rPr>
            </w:pPr>
            <w:r>
              <w:rPr>
                <w:rFonts w:ascii="Arial" w:cs="Arial" w:eastAsia="Arial" w:hAnsi="Arial"/>
                <w:sz w:val="14"/>
                <w:szCs w:val="14"/>
                <w:color w:val="auto"/>
              </w:rPr>
              <w:t>Common units representing limited partner</w:t>
            </w:r>
          </w:p>
        </w:tc>
        <w:tc>
          <w:tcPr>
            <w:tcW w:w="16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interests</w:t>
            </w:r>
          </w:p>
        </w:tc>
        <w:tc>
          <w:tcPr>
            <w:tcW w:w="16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88"/>
              </w:rPr>
              <w:t>69,696,542(1)(2)</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$18.65(3)</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$1,299,840,508.30(3)</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$161,830.14(3)</w:t>
            </w: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85" w:right="239" w:bottom="0" w:gutter="0" w:footer="0" w:header="0"/>
          <w:type w:val="continuous"/>
        </w:sectPr>
      </w:pPr>
    </w:p>
    <w:bookmarkStart w:id="1" w:name="page2"/>
    <w:bookmarkEnd w:id="1"/>
    <w:p>
      <w:pPr>
        <w:ind w:left="540" w:right="1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the number of common units being registered on behalf of the selling unitholders shall be adjusted to include any additional common units that may become issuable as a result of any unit distribution, split, combination or similar transaction.</w:t>
      </w:r>
    </w:p>
    <w:p>
      <w:pPr>
        <w:spacing w:after="0" w:line="111" w:lineRule="exact"/>
        <w:rPr>
          <w:rFonts w:ascii="Arial" w:cs="Arial" w:eastAsia="Arial" w:hAnsi="Arial"/>
          <w:sz w:val="14"/>
          <w:szCs w:val="14"/>
          <w:color w:val="auto"/>
        </w:rPr>
      </w:pPr>
    </w:p>
    <w:p>
      <w:pPr>
        <w:ind w:left="540" w:right="260" w:hanging="532"/>
        <w:spacing w:after="0" w:line="31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Represents 69,696,542 common units issued or issuable upon conversion of 69,696,542 Series A Convertible Preferred units (the "Series A preferred units") that Plains All American Pipeline, L.P. issued to the selling unitholders named in the prospectus included as part of this registration statement. The conversion ratio is one Series A preferred unit in exchange for one common unit.</w:t>
      </w:r>
    </w:p>
    <w:p>
      <w:pPr>
        <w:spacing w:after="0" w:line="66"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457(c) of the Securities Act, the registration fee is calculated on the basis of the average of the high and low sale prices of our common units on November 29, 2017, as reported on the New York Stock Exchange.</w:t>
      </w:r>
    </w:p>
    <w:p>
      <w:pPr>
        <w:spacing w:after="0" w:line="191" w:lineRule="exact"/>
        <w:rPr>
          <w:sz w:val="20"/>
          <w:szCs w:val="20"/>
          <w:color w:val="auto"/>
        </w:rPr>
      </w:pPr>
    </w:p>
    <w:p>
      <w:pPr>
        <w:ind w:right="80" w:firstLine="371"/>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Securities may not be sold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December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69,696,542 Common Units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This prospectus relates to up to 69,696,542 common units representing limited partner interests in us ("common units") issuable upon conversion of 69,696,542 Series A Convertible Preferred Units representing limited partnership interests in us ("Series A preferred units") that the selling unitholders named in this prospectus may from time to time, in one or more offerings, offer and sell. For a detailed discussion of the selling unitholders, please read "Selling Unitholders."</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selling unitholders may offer and sell these common units to or through one or more underwriters, dealers or agents, or directly to investors, in amounts, at prices and on terms to be determined by market conditions and other factors at the time of the offering. This prospectus describes only the general terms of these common units and the general manner of offering these common units by the selling unitholders. We may file one or more prospectus supplements that may describe the specific manner in which the selling unitholders will offer the common units and also may add, update or change information contained in this prospectus.</w:t>
      </w:r>
    </w:p>
    <w:p>
      <w:pPr>
        <w:spacing w:after="0" w:line="19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common units.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listed on the New York Stock Exchange ("NYSE") under the symbol "PAA."</w:t>
      </w:r>
    </w:p>
    <w:p>
      <w:pPr>
        <w:spacing w:after="0" w:line="206" w:lineRule="exact"/>
        <w:rPr>
          <w:sz w:val="20"/>
          <w:szCs w:val="20"/>
          <w:color w:val="auto"/>
        </w:rPr>
      </w:pPr>
    </w:p>
    <w:p>
      <w:pPr>
        <w:ind w:right="20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this prospectus before you make an investment in our common units.</w:t>
      </w:r>
    </w:p>
    <w:p>
      <w:pPr>
        <w:spacing w:after="0" w:line="136" w:lineRule="exact"/>
        <w:rPr>
          <w:sz w:val="20"/>
          <w:szCs w:val="20"/>
          <w:color w:val="auto"/>
        </w:rPr>
      </w:pPr>
    </w:p>
    <w:p>
      <w:pPr>
        <w:ind w:right="32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common units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394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852"/>
              <w:spacing w:after="0"/>
              <w:rPr>
                <w:sz w:val="20"/>
                <w:szCs w:val="20"/>
                <w:color w:val="auto"/>
              </w:rPr>
            </w:pPr>
            <w:r>
              <w:rPr>
                <w:rFonts w:ascii="Arial" w:cs="Arial" w:eastAsia="Arial" w:hAnsi="Arial"/>
                <w:sz w:val="18"/>
                <w:szCs w:val="18"/>
                <w:color w:val="auto"/>
              </w:rPr>
              <w:t>, 2017</w:t>
            </w: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2"/>
          </w:tcPr>
          <w:p>
            <w:pPr>
              <w:jc w:val="right"/>
              <w:ind w:right="3411"/>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544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544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3"/>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196"/>
        </w:trPr>
        <w:tc>
          <w:tcPr>
            <w:tcW w:w="114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About Plains All American Pipeline, L.P.</w:t>
              </w:r>
            </w:hyperlink>
          </w:p>
        </w:tc>
        <w:tc>
          <w:tcPr>
            <w:tcW w:w="600" w:type="dxa"/>
            <w:vAlign w:val="bottom"/>
            <w:gridSpan w:val="2"/>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2640" w:type="dxa"/>
            <w:vAlign w:val="bottom"/>
            <w:gridSpan w:val="11"/>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2380" w:type="dxa"/>
            <w:vAlign w:val="bottom"/>
            <w:gridSpan w:val="9"/>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Our Common Units</w:t>
              </w:r>
            </w:hyperlink>
          </w:p>
        </w:tc>
        <w:tc>
          <w:tcPr>
            <w:tcW w:w="1080" w:type="dxa"/>
            <w:vAlign w:val="bottom"/>
            <w:gridSpan w:val="4"/>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3">
              <w:r>
                <w:rPr>
                  <w:rFonts w:ascii="Arial" w:cs="Arial" w:eastAsia="Arial" w:hAnsi="Arial"/>
                  <w:sz w:val="10"/>
                  <w:szCs w:val="10"/>
                  <w:color w:val="0000EE"/>
                  <w:w w:val="71"/>
                </w:rPr>
                <w:t>10</w:t>
              </w:r>
            </w:hyperlink>
          </w:p>
        </w:tc>
      </w:tr>
      <w:tr>
        <w:trPr>
          <w:trHeight w:val="196"/>
        </w:trPr>
        <w:tc>
          <w:tcPr>
            <w:tcW w:w="1140" w:type="dxa"/>
            <w:vAlign w:val="bottom"/>
          </w:tcPr>
          <w:p>
            <w:pPr>
              <w:spacing w:after="0"/>
              <w:rPr>
                <w:sz w:val="17"/>
                <w:szCs w:val="17"/>
                <w:color w:val="auto"/>
              </w:rPr>
            </w:pPr>
          </w:p>
        </w:tc>
        <w:tc>
          <w:tcPr>
            <w:tcW w:w="3460" w:type="dxa"/>
            <w:vAlign w:val="bottom"/>
            <w:gridSpan w:val="1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440" w:type="dxa"/>
            <w:vAlign w:val="bottom"/>
            <w:gridSpan w:val="2"/>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Selling Unitholders</w:t>
              </w:r>
            </w:hyperlink>
          </w:p>
        </w:tc>
        <w:tc>
          <w:tcPr>
            <w:tcW w:w="208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0">
              <w:r>
                <w:rPr>
                  <w:rFonts w:ascii="Arial" w:cs="Arial" w:eastAsia="Arial" w:hAnsi="Arial"/>
                  <w:sz w:val="10"/>
                  <w:szCs w:val="10"/>
                  <w:color w:val="0000EE"/>
                  <w:w w:val="71"/>
                </w:rPr>
                <w:t>27</w:t>
              </w:r>
            </w:hyperlink>
          </w:p>
        </w:tc>
      </w:tr>
      <w:tr>
        <w:trPr>
          <w:trHeight w:val="196"/>
        </w:trPr>
        <w:tc>
          <w:tcPr>
            <w:tcW w:w="1140" w:type="dxa"/>
            <w:vAlign w:val="bottom"/>
          </w:tcPr>
          <w:p>
            <w:pPr>
              <w:spacing w:after="0"/>
              <w:rPr>
                <w:sz w:val="17"/>
                <w:szCs w:val="17"/>
                <w:color w:val="auto"/>
              </w:rPr>
            </w:pPr>
          </w:p>
        </w:tc>
        <w:tc>
          <w:tcPr>
            <w:tcW w:w="3540" w:type="dxa"/>
            <w:vAlign w:val="bottom"/>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Plan of Distribution</w:t>
              </w:r>
            </w:hyperlink>
          </w:p>
        </w:tc>
        <w:tc>
          <w:tcPr>
            <w:tcW w:w="5440" w:type="dxa"/>
            <w:vAlign w:val="bottom"/>
            <w:gridSpan w:val="2"/>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2140" w:type="dxa"/>
            <w:vAlign w:val="bottom"/>
            <w:gridSpan w:val="7"/>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32</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2560" w:type="dxa"/>
            <w:vAlign w:val="bottom"/>
            <w:gridSpan w:val="10"/>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32</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86"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the selling unitholders may over time, in one or more offerings, offer and sell up to 69,696,542 of our common units.</w:t>
      </w:r>
    </w:p>
    <w:p>
      <w:pPr>
        <w:spacing w:after="0" w:line="186"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unitholders will offer the common units and may also add, update or change information in this prospectus. If there is any inconsistency between the information in this prospectus and any prospectus supplement, you should rely on the information in such prospectus supplement. Before you invest in our common units,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including all such documents we may file with the SEC (excluding any information furnished pursuant to Item 2.02 or 7.01 of any Current Report on Form 8-K) after the initial filing date of the registration statement of which this prospectus is a part and prior to the effectiveness of the registration statement and, following the effectiveness of the registration statement, until all offerings under the registration statement and this prospectus are completed:</w:t>
      </w:r>
    </w:p>
    <w:p>
      <w:pPr>
        <w:spacing w:after="0" w:line="210"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2017, June 30, 2017 and September 30, 2017;</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January 25, 2017, February 14, 2017, February 21, 2017, March 1, 2017, July 6, 2017, August 17, 2017, October 6, 2017, October 12, 2017, November 7, 2017 and November 16, 2017; and</w:t>
      </w:r>
    </w:p>
    <w:p>
      <w:pPr>
        <w:spacing w:after="0" w:line="199"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units, cash distribution policy and partnership agreement contained in our registration statement on Form 8-A/A dated November 16, 2016 and any subsequent amendment thereto filed for the purpose of updating such description.</w:t>
      </w:r>
    </w:p>
    <w:p>
      <w:pPr>
        <w:spacing w:after="0" w:line="139"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right="16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market distortions caused by producer over-commitments to infrastructure projects, which impacts volumes, margins, returns and overall earnings;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8 of this prospectus and in Item 1A. "Risk Factors" in our Annual Report on Form 10-K for the year ended December 31, 2016 (File No. 001-14569), which is incorporated into this prospectus by reference. Except as required by applicable securities laws, we do not intend to update these forward-looking statements and information.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NGL, natural gas and refined products.</w:t>
      </w:r>
    </w:p>
    <w:p>
      <w:pPr>
        <w:spacing w:after="0" w:line="139"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For additional information about us please refer to the documents set forth under "Where You Can Find More Information" in this prospectus, including our Annual Report on Form 10-K for the year ended December 31, 2016 and our Quarterly Report on Form 10-Q for the quarter ended September 30, 2017, each of which is incorporated by reference herein.</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An investment in our common units involves a high degree of risk. Before you invest in our common units, you should carefully consider the risk factors included in Item 1A. "Risk Factors" in our Annual Report on Form 10-K for the year ended December 31, 2016 (File No. 001-14569), which is incorporated into this prospectus by reference, together with all of the other information included in this prospectus, any prospectus supplement and the documents we incorporate by reference, in evaluating an investment in our common units. If any of these risks were to occur, our business, financial condition or results of operations could be materially adversely affected. In such case, the trading price of our common units could decline and you could lose all or part of your investment. When we offer and sell any securities pursuant to a prospectus supplement, we may include additional risk factors relevant to such securities in the prospectus supplement.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common units by the selling unitholders in any offering. We will cause the selling unitholders to pay certain expenses, pro rata, including underwriting discounts and commissions, associated with the sale of common units by the selling unitholder.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Please see our registration statement on Form 8-A/A filed on November 16, 2016 (together with any amendments thereto and the other documents incorporated by reference therein), which is incorporated by reference herein, for a description of our common units, our cash distribution policy and our partnership agreement.</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or "us" are references to Plains All American Pipeline, L.P. and its subsidiaries.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"—Administrative Matters—State,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Accordingly, we encourage each prospective unitholder to consult the unitholder's own tax advisor in analyzing the federal, state, local and non-U.S. tax consequences particular to that unitholder resulting from ownership or disposition of units and potential changes in applicable tax laws.</w:t>
      </w:r>
    </w:p>
    <w:p>
      <w:pPr>
        <w:spacing w:after="0" w:line="17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(3) whether our method for taking into account Section 743 adjustments is sustainable in certain cases (please read "—Tax Consequences of Unit Ownership—Section 754 Election" and "—Disposition of Units—Uniformity of Units") and (4) whether our allocations of income, gain, loss and deduction will be given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effect for U.S. federal income tax purposes (please read "—Tax Consequences of Unit Ownership—Allocation of Income, Gain, Loss and Deduction").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expect to be treated as a partnership for U.S. federal income tax purposes and, therefore, subject to the discussion below under "—Administrative Matters—Information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jc w:val="both"/>
        <w:ind w:right="160" w:firstLine="351"/>
        <w:spacing w:after="0" w:line="283" w:lineRule="auto"/>
        <w:rPr>
          <w:sz w:val="20"/>
          <w:szCs w:val="20"/>
          <w:color w:val="auto"/>
        </w:rPr>
      </w:pPr>
      <w:r>
        <w:rPr>
          <w:rFonts w:ascii="Arial" w:cs="Arial" w:eastAsia="Arial" w:hAnsi="Arial"/>
          <w:sz w:val="16"/>
          <w:szCs w:val="16"/>
          <w:color w:val="auto"/>
        </w:rPr>
        <w:t>Section 7704 of the Code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w:t>
      </w:r>
    </w:p>
    <w:p>
      <w:pPr>
        <w:spacing w:after="0" w:line="3" w:lineRule="exact"/>
        <w:rPr>
          <w:sz w:val="20"/>
          <w:szCs w:val="20"/>
          <w:color w:val="auto"/>
        </w:rPr>
      </w:pPr>
    </w:p>
    <w:p>
      <w:pPr>
        <w:jc w:val="both"/>
        <w:ind w:right="80" w:firstLine="8"/>
        <w:spacing w:after="0" w:line="25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and gains derived from the exploration, development, mining or production, processing, refining, transportation (including pipelines transporting gas, oil, or products thereof) or the marketing of any "mineral or natural resource", and (vi) gains from the sale or disposition of a capital asset (or property described in Section 1231(b) of the Code) held for the production of qualifying income. We estimate that less than 5 percent of our current gross income is not qualifying income; however, this estimate could change from time to time.</w:t>
      </w:r>
    </w:p>
    <w:p>
      <w:pPr>
        <w:spacing w:after="0" w:line="198"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61" w:lineRule="exact"/>
        <w:rPr>
          <w:sz w:val="20"/>
          <w:szCs w:val="20"/>
          <w:color w:val="auto"/>
        </w:rPr>
      </w:pPr>
    </w:p>
    <w:p>
      <w:pPr>
        <w:ind w:left="540" w:right="160" w:firstLine="359"/>
        <w:spacing w:after="0" w:line="268" w:lineRule="auto"/>
        <w:tabs>
          <w:tab w:leader="none" w:pos="121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5" w:lineRule="exact"/>
        <w:rPr>
          <w:rFonts w:ascii="Arial" w:cs="Arial" w:eastAsia="Arial" w:hAnsi="Arial"/>
          <w:sz w:val="18"/>
          <w:szCs w:val="18"/>
          <w:color w:val="auto"/>
        </w:rPr>
      </w:pPr>
    </w:p>
    <w:p>
      <w:pPr>
        <w:ind w:left="540" w:firstLine="359"/>
        <w:spacing w:after="0" w:line="332" w:lineRule="auto"/>
        <w:tabs>
          <w:tab w:leader="none" w:pos="1228"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60" w:firstLine="359"/>
        <w:spacing w:after="0" w:line="259" w:lineRule="auto"/>
        <w:tabs>
          <w:tab w:leader="none" w:pos="1218"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propose and consider substantive changes to the existing federal income tax laws that affect publicly traded partnerships. One such legislative proposal would have eliminated the Qualifying Income Exception upon which we rely for our treatment as a partnership for federal income tax purposes.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(the "Final Regulations")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Unitholders of the partnership who are admitted as limited partners of the partnership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70"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a beneficial owner of units whose units have been transferred to a short seller to complete a short sale would appear to lose status as a partner with respect to such units for federal income tax purposes. Please read "—Tax Consequences of Unit Ownership—Treatment of Securities Loans."</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A unitholder who is not treated as a partner in us as described above is urged to consult its own tax advisors with respect to the tax consequences applicable to such unitholder under its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 Consequently, we may allocate income to a unitholder even if that unitholder has not received a cash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its share of our liabilities. The IRS has ruled that a partner who acquires interests in a partnership in separate transactions must combine those interests and maintain a single adjusted tax basis for all of those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nonrecourse liabilities allocated based on the unitholder's share of our profits. Please read "—Disposition of Units."</w:t>
      </w:r>
    </w:p>
    <w:p>
      <w:pPr>
        <w:spacing w:after="0" w:line="225" w:lineRule="exact"/>
        <w:rPr>
          <w:sz w:val="20"/>
          <w:szCs w:val="20"/>
          <w:color w:val="auto"/>
        </w:rPr>
      </w:pPr>
    </w:p>
    <w:p>
      <w:pPr>
        <w:ind w:right="10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passive income we generate may be deducted in full when a unitholder disposes of all of its units in a fully taxable transaction with an unrelated party. The passive loss rules are applied after other applicable limitations on deductions, including the at risk and basis limitations.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is generally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made the election permitted by Section 754 of the Code that permits us to adjust the tax bases in our assets as to specific purchasers of our units under Section 743(b) of the Code to reflect the unit purchase price upon subsequent purchases of units. That election is irrevocable without the consent of the IRS. The Section 743(b) adjustment separately applies to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"—Disposition of Units—Uniformity of Units."</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are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and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Units—Recognition of Gain or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 will be required to recognize gain or loss on a sale or exchange of a unit equal to the difference, if any, between the unitholder's amount realized and the adjusted tax basis in the unit sold.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the sale or exchange.</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is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5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Termination</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will be considered to have technically terminated our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technical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technical termination occurring on a date other than December 31 would require that we file two tax returns for one fiscal year, thereby increasing our administration and tax preparation costs. However, pursuant to an IRS relief procedure, the IRS may allow a technically terminated partnership to provide a single Schedule K-1 for the calendar year in which a termination occurs. Following a technical termination, we would be required to make new tax elections, including a new election under Section 754 of the Code, and the termination would result in a deferral of our deductions for depreciation and thus may increase the taxable income allocable to our unitholders. A technical termination could also result in penalties if we were unable to determine that the technical termination had occurred. Moreover, a technical termination may either accelerate the application of, or subject us to, any tax legislation enacted before the technical termination that would not otherwise have been applied to us as a continuing partnership as opposed to a terminating partnership.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units. If such a challenge were sustained, the uniformity of units might be affected,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some circumstances, the gain from the sale of units might be increased without the benefit of additional deductions.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39" w:lineRule="exact"/>
        <w:rPr>
          <w:sz w:val="20"/>
          <w:szCs w:val="20"/>
          <w:color w:val="auto"/>
        </w:rPr>
      </w:pPr>
    </w:p>
    <w:p>
      <w:pPr>
        <w:ind w:right="60" w:firstLine="351"/>
        <w:spacing w:after="0" w:line="252" w:lineRule="auto"/>
        <w:rPr>
          <w:sz w:val="20"/>
          <w:szCs w:val="20"/>
          <w:color w:val="auto"/>
        </w:rPr>
      </w:pPr>
      <w:r>
        <w:rPr>
          <w:rFonts w:ascii="Arial" w:cs="Arial" w:eastAsia="Arial" w:hAnsi="Arial"/>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it is probable that Non-U.S. Unitholders will be deemed to conduct such activities through a permanent establishment in the United States within the meaning of any applicable tax treaty. Consequently, each Non-U.S. Unitholder will be required to file federal tax returns to report its share of our income, gain, loss or deduction and pay federal income tax on its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20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realized by a Non-U.S. Unitholder from the sale of its interest in a partnership that is engaged in a trade or business in the United States will be considered to be "effectively connected" with a U.S. trade or business. Although one court that recently reviewed the IRS position rejected it as unpersuasive, part or all of a Non-U.S. Unitholder's gain from the sale or other disposition of units may be treated as effectively connected with a unitholder's indirect U.S. trade or business constituted by its investment in us.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Moreover, under the Foreign Investment in Real Property Tax Act, as long as our partnership units continue to be regularly traded on an established securities market, a Non-U.S. Unitholder generally will only be subject to federal income tax upon the sale or disposition of a unit if at any time during the shorter of the five-year period ending on the date of the disposition or the Non-U.S. Unitholder's holding period for the unit (i) such Non-U.S. Unitholder owned (directly or indirectly constructively applying certain attribution rules) more than 5% of our units and (ii) 50% or more of the fair market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value of our real property interests and other assets used or held for use in a trade or business consisted of U.S. real property interests (which include U.S. real estate, including land, improvements, and associated personal property, and interests in certain entities holding U.S. real estate). If our units were not considered to be regularly traded on an established securities market, such Non-U.S. Unitholder (regardless of the percentage of units owned) would be subject to U.S. federal income tax on a taxable disposition of our units, and a 15% withholding tax would apply to the gross proceeds from such disposition (as described in the preceding paragraph). More than 50% of our assets may consist of U.S. real property interests. Therefore, each Non-U.S. Unitholder may be subject to federal income tax on gain from the sale or disposition of its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Publicly traded partnerships are treated as entities separate from its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74"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Bipartisan Budget Act of 2015 (the "Bipartisan Budget Act"), for taxable years beginning after December 31, 2017, if the IRS makes audit adjustments to our income tax returns, it may assess and collect any taxes (including any applicable penalties and interest) resulting from such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audit adjustment directly from us, unless we elect to have our general partner and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general partner and unitholders take any such audit adjustment into account in accordance with their interests in us during the taxable year under audit, but there can be no assurance that such election will be effective in all circumstances. With respect to audit adjustments as to an entity in which we are a member or partner, the Joint Committee of Taxation has stated that we would not be able to have our general partner and our unitholders take such audit adjustment into account. If we are unable to have our general partner and our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and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pursuant to the Bipartisan Budget Act,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the unitholders.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defined in the Code) and certain other non-U.S. entities. Specifically, a 30% withholding tax may be imposed on interest, dividends and other fixed or determinable annual or periodical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rules generally apply to payments of FDAP Income currently and generally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who is foreign financial institution or certain other non-U.S. entity, or a person that hold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 owned agency or instrumentality of either of the foregoing;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units such broker or financial institution acquires, holds or transfers for its own account. A penalty of $260 per failure, up to a maximum of $3,218,500 per calendar year, is imposed by the Code for failure to report that information to us. The nominee is required to supply the beneficial owner of the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other entities. As we make acquisitions or expand our business, we may own property or conduct business in additional states that impose a personal income tax.</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Although an analysis of those various taxes is not presented here, each prospective unitholder should consider its potential impact on its investment in us.</w:t>
      </w:r>
    </w:p>
    <w:p>
      <w:pPr>
        <w:spacing w:after="0" w:line="242"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it is the responsibility of each unitholder to file all state, local and non-U.S., as well as federal tax returns that may be required of it. Vinson &amp;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UNITHOLDERS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covers the offering for resale from time to time, in one or more offerings, of up to 69,696,542 common units issuable upon conversion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69,696,542 Series A preferred units by the selling unitholders. Such common units will be issued to each selling unitholder upon such holder's exercise of its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convert (the "Conversion Right") its Series A preferred units on a one-for-one basis, subject to customary anti-dilution adjustments, at any time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28, 2018 (or prior to a liquidation), in whole or in part, subject to certain limitations. The Series A preferred units were acquired by the selling unitholders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28, 2016 through a private placement of 61,030,127 Series A preferred units and through subsequent quarterly distributions of additional Series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preferred units thereafter by us in lieu of cash.</w:t>
      </w:r>
    </w:p>
    <w:p>
      <w:pPr>
        <w:spacing w:after="0" w:line="219"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issuance of the common units to the selling unitholders in connection with exercise of the Conversion Right will be, and each issuance of the Series A preferred units was, exempt from the registration requirements of the Securities Act of 1933, as amended (the "Securities Act"). We are registering the offering by the selling unitholders of the common units described below pursuant to the provisions of the Registration Rights Agreement dated January 28, 2016 between us and the purchasers named on Schedule A thereto.</w:t>
      </w:r>
    </w:p>
    <w:p>
      <w:pPr>
        <w:spacing w:after="0" w:line="197" w:lineRule="exact"/>
        <w:rPr>
          <w:sz w:val="20"/>
          <w:szCs w:val="20"/>
          <w:color w:val="auto"/>
        </w:rPr>
      </w:pPr>
    </w:p>
    <w:p>
      <w:pPr>
        <w:ind w:right="160" w:firstLine="348"/>
        <w:spacing w:after="0" w:line="310" w:lineRule="auto"/>
        <w:rPr>
          <w:sz w:val="20"/>
          <w:szCs w:val="20"/>
          <w:color w:val="auto"/>
        </w:rPr>
      </w:pPr>
      <w:r>
        <w:rPr>
          <w:rFonts w:ascii="Arial" w:cs="Arial" w:eastAsia="Arial" w:hAnsi="Arial"/>
          <w:sz w:val="15"/>
          <w:szCs w:val="15"/>
          <w:color w:val="auto"/>
        </w:rPr>
        <w:t>The following table sets forth information relating to the selling unitholders as of November 28, 2017 based on information supplied to us by the selling unitholders on or prior to that date. We have not sought to verify such information. Information concerning the selling unitholders may change over time and selling unitholders may be added; if necessary, we will supplement this prospectus accordingly. Except as set forth below, none of the selling unitholders is a broker-dealer registered under Section 15 of the Exchange Act or an affiliate of a broker-dealer registered under Section 15 of the Exchange Act. The selling unitholders may hold or acquire at any time common units in addition to those offered by this prospectus and may have acquired additional common units since the date on which the information reflected herein was provided to us. In addition, the selling unitholders may have sold, transferred or otherwise disposed of some or all of their common units since the date on which the information reflected herein was provided to us and may in the future sell, transfer or otherwise dispose of some or all of their common units in private placement transactions exempt from or not subject to the registration requirements of the Securities Act.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beneficial ownership information presented below assumes that all 69,696,542 Series A preferred units have been exchanged pursuant to the Conversion Right on a one-for-one basis into common units and such common units are held by the selling unitholders.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 to be</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Units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Prior</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Units Offered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61"/>
        </w:trPr>
        <w:tc>
          <w:tcPr>
            <w:tcW w:w="3460" w:type="dxa"/>
            <w:vAlign w:val="bottom"/>
            <w:gridSpan w:val="4"/>
          </w:tcPr>
          <w:p>
            <w:pPr>
              <w:spacing w:after="0"/>
              <w:rPr>
                <w:sz w:val="20"/>
                <w:szCs w:val="20"/>
                <w:color w:val="auto"/>
              </w:rPr>
            </w:pPr>
            <w:r>
              <w:rPr>
                <w:rFonts w:ascii="Arial" w:cs="Arial" w:eastAsia="Arial" w:hAnsi="Arial"/>
                <w:sz w:val="14"/>
                <w:szCs w:val="14"/>
                <w:b w:val="1"/>
                <w:bCs w:val="1"/>
                <w:color w:val="auto"/>
              </w:rPr>
              <w:t>Selling Unitholders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 the Offering</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 the Offering</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Hereby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EMG Fund IV PAA Holdings, LLC(1)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19,976,725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19,976,725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EnCap Energy Capital Fund X, L.P.(2)</w:t>
            </w:r>
          </w:p>
        </w:tc>
        <w:tc>
          <w:tcPr>
            <w:tcW w:w="1020" w:type="dxa"/>
            <w:vAlign w:val="bottom"/>
          </w:tcPr>
          <w:p>
            <w:pPr>
              <w:jc w:val="right"/>
              <w:spacing w:after="0"/>
              <w:rPr>
                <w:sz w:val="20"/>
                <w:szCs w:val="20"/>
                <w:color w:val="auto"/>
              </w:rPr>
            </w:pPr>
            <w:r>
              <w:rPr>
                <w:rFonts w:ascii="Arial" w:cs="Arial" w:eastAsia="Arial" w:hAnsi="Arial"/>
                <w:sz w:val="18"/>
                <w:szCs w:val="18"/>
                <w:color w:val="auto"/>
              </w:rPr>
              <w:t>12,429,961</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940" w:type="dxa"/>
            <w:vAlign w:val="bottom"/>
          </w:tcPr>
          <w:p>
            <w:pPr>
              <w:jc w:val="right"/>
              <w:spacing w:after="0"/>
              <w:rPr>
                <w:sz w:val="20"/>
                <w:szCs w:val="20"/>
                <w:color w:val="auto"/>
              </w:rPr>
            </w:pPr>
            <w:r>
              <w:rPr>
                <w:rFonts w:ascii="Arial" w:cs="Arial" w:eastAsia="Arial" w:hAnsi="Arial"/>
                <w:sz w:val="18"/>
                <w:szCs w:val="18"/>
                <w:color w:val="auto"/>
              </w:rPr>
              <w:t>12,429,961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EnCap Flatrock Midstream Fund III, L.P.(2)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12,429,961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12,429,961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FR KA Plains Holdings, LLC</w:t>
            </w:r>
          </w:p>
        </w:tc>
        <w:tc>
          <w:tcPr>
            <w:tcW w:w="1020" w:type="dxa"/>
            <w:vAlign w:val="bottom"/>
          </w:tcPr>
          <w:p>
            <w:pPr>
              <w:jc w:val="right"/>
              <w:spacing w:after="0"/>
              <w:rPr>
                <w:sz w:val="20"/>
                <w:szCs w:val="20"/>
                <w:color w:val="auto"/>
              </w:rPr>
            </w:pPr>
            <w:r>
              <w:rPr>
                <w:rFonts w:ascii="Arial" w:cs="Arial" w:eastAsia="Arial" w:hAnsi="Arial"/>
                <w:sz w:val="18"/>
                <w:szCs w:val="18"/>
                <w:color w:val="auto"/>
              </w:rPr>
              <w:t>12,429,961</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940" w:type="dxa"/>
            <w:vAlign w:val="bottom"/>
          </w:tcPr>
          <w:p>
            <w:pPr>
              <w:jc w:val="right"/>
              <w:spacing w:after="0"/>
              <w:rPr>
                <w:sz w:val="20"/>
                <w:szCs w:val="20"/>
                <w:color w:val="auto"/>
              </w:rPr>
            </w:pPr>
            <w:r>
              <w:rPr>
                <w:rFonts w:ascii="Arial" w:cs="Arial" w:eastAsia="Arial" w:hAnsi="Arial"/>
                <w:sz w:val="18"/>
                <w:szCs w:val="18"/>
                <w:color w:val="auto"/>
              </w:rPr>
              <w:t>12,429,961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Stonepeak PAA Holdings LLC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6,214,979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6,214,979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Kaiser Foundation Hospitals</w:t>
            </w:r>
          </w:p>
        </w:tc>
        <w:tc>
          <w:tcPr>
            <w:tcW w:w="1020" w:type="dxa"/>
            <w:vAlign w:val="bottom"/>
          </w:tcPr>
          <w:p>
            <w:pPr>
              <w:jc w:val="right"/>
              <w:spacing w:after="0"/>
              <w:rPr>
                <w:sz w:val="20"/>
                <w:szCs w:val="20"/>
                <w:color w:val="auto"/>
              </w:rPr>
            </w:pPr>
            <w:r>
              <w:rPr>
                <w:rFonts w:ascii="Arial" w:cs="Arial" w:eastAsia="Arial" w:hAnsi="Arial"/>
                <w:sz w:val="18"/>
                <w:szCs w:val="18"/>
                <w:color w:val="auto"/>
              </w:rPr>
              <w:t>4,439,269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4,439,269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Kayne Anderson MLP Fund, L.P.(3)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1,398,787(4)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554,905(4)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843,882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Massachusetts Mutual Life Insurance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rPr>
              <w:t>Company</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1,119,211(5)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443,923(5)</w:t>
            </w:r>
          </w:p>
        </w:tc>
        <w:tc>
          <w:tcPr>
            <w:tcW w:w="900" w:type="dxa"/>
            <w:vAlign w:val="bottom"/>
          </w:tcPr>
          <w:p>
            <w:pPr>
              <w:jc w:val="right"/>
              <w:spacing w:after="0"/>
              <w:rPr>
                <w:sz w:val="20"/>
                <w:szCs w:val="20"/>
                <w:color w:val="auto"/>
              </w:rPr>
            </w:pPr>
            <w:r>
              <w:rPr>
                <w:rFonts w:ascii="Arial" w:cs="Arial" w:eastAsia="Arial" w:hAnsi="Arial"/>
                <w:sz w:val="18"/>
                <w:szCs w:val="18"/>
                <w:color w:val="auto"/>
              </w:rPr>
              <w:t>675,288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Kayne Anderson Midstream Institutional</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Fund, L.P.(3)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443,923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443,923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Kanti (QP), L.P.(3)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356,773(6)</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195,323(6)</w:t>
            </w:r>
          </w:p>
        </w:tc>
        <w:tc>
          <w:tcPr>
            <w:tcW w:w="900" w:type="dxa"/>
            <w:vAlign w:val="bottom"/>
          </w:tcPr>
          <w:p>
            <w:pPr>
              <w:jc w:val="right"/>
              <w:spacing w:after="0"/>
              <w:rPr>
                <w:sz w:val="20"/>
                <w:szCs w:val="20"/>
                <w:color w:val="auto"/>
              </w:rPr>
            </w:pPr>
            <w:r>
              <w:rPr>
                <w:rFonts w:ascii="Arial" w:cs="Arial" w:eastAsia="Arial" w:hAnsi="Arial"/>
                <w:sz w:val="18"/>
                <w:szCs w:val="18"/>
                <w:color w:val="auto"/>
              </w:rPr>
              <w:t>161,450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Kayne Select Midstream Recovery Fund, L.P.</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110,978</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Kayne Anderson Non-Traditional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rPr>
              <w:t>Investments, L.P.(3)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76,421(7)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26,634(7)</w:t>
            </w:r>
          </w:p>
        </w:tc>
        <w:tc>
          <w:tcPr>
            <w:tcW w:w="900" w:type="dxa"/>
            <w:vAlign w:val="bottom"/>
          </w:tcPr>
          <w:p>
            <w:pPr>
              <w:jc w:val="right"/>
              <w:spacing w:after="0"/>
              <w:rPr>
                <w:sz w:val="20"/>
                <w:szCs w:val="20"/>
                <w:color w:val="auto"/>
              </w:rPr>
            </w:pPr>
            <w:r>
              <w:rPr>
                <w:rFonts w:ascii="Arial" w:cs="Arial" w:eastAsia="Arial" w:hAnsi="Arial"/>
                <w:sz w:val="18"/>
                <w:szCs w:val="18"/>
                <w:color w:val="auto"/>
              </w:rPr>
              <w:t>49,787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4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John T. Raymond is the Chief Executive Officer of the selling unitholder. Mr. Raymond also serves on the board of directors of PAGP GP as the designee of an affiliate of the selling unitholder.</w:t>
      </w:r>
    </w:p>
    <w:p>
      <w:pPr>
        <w:spacing w:after="0" w:line="199" w:lineRule="exact"/>
        <w:rPr>
          <w:rFonts w:ascii="Arial" w:cs="Arial" w:eastAsia="Arial" w:hAnsi="Arial"/>
          <w:sz w:val="18"/>
          <w:szCs w:val="18"/>
          <w:color w:val="auto"/>
        </w:rPr>
      </w:pPr>
    </w:p>
    <w:p>
      <w:pPr>
        <w:ind w:left="1680" w:right="10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Gary Petersen serves on the board of managers of the controlling entity of the selling unitholder. Mr. Petersen also serves on the board of directors of PAGP GP.</w:t>
      </w:r>
    </w:p>
    <w:p>
      <w:pPr>
        <w:spacing w:after="0" w:line="199" w:lineRule="exact"/>
        <w:rPr>
          <w:rFonts w:ascii="Arial" w:cs="Arial" w:eastAsia="Arial" w:hAnsi="Arial"/>
          <w:sz w:val="18"/>
          <w:szCs w:val="18"/>
          <w:color w:val="auto"/>
        </w:rPr>
      </w:pPr>
    </w:p>
    <w:p>
      <w:pPr>
        <w:ind w:left="1680" w:right="60" w:hanging="531"/>
        <w:spacing w:after="0" w:line="294" w:lineRule="auto"/>
        <w:tabs>
          <w:tab w:leader="none" w:pos="1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Representatives of the selling unitholder have advised us that the selling unitholder is an affiliate of a U.S. registered broker-dealer; however, the selling unitholder acquired the common units in the ordinary course of business and, at the time of acquisition, had no agreements or understandings, directly or indirectly, with any party to distribute the common units held by the selling unitholder. Kayne Anderson Capital Advisors, L.P. ("KACALP") serves as the investment manager of the selling unitholder. Robert Sinnott is the co-chair of KACALP. In addition, Mr. Sinnott serves on the board of directors of PAGP GP as the designee of an affiliate of the selling unitholder.</w:t>
      </w:r>
    </w:p>
    <w:p>
      <w:pPr>
        <w:spacing w:after="0" w:line="196"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selling unitholder will receive 554,905 common units upon exercise of the Conversion Right; 843,882 common units were previously owned.</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selling unitholder will receive 443,923 common units upon exercise of the Conversion Right; 675,288 common units were previously owned.</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selling unitholder will receive 195,323 common units upon exercise of the Conversion Right; 161,450 common units were previously owned.</w:t>
      </w:r>
    </w:p>
    <w:p>
      <w:pPr>
        <w:spacing w:after="0" w:line="212" w:lineRule="exact"/>
        <w:rPr>
          <w:rFonts w:ascii="Arial" w:cs="Arial" w:eastAsia="Arial" w:hAnsi="Arial"/>
          <w:sz w:val="18"/>
          <w:szCs w:val="18"/>
          <w:color w:val="auto"/>
        </w:rPr>
      </w:pPr>
    </w:p>
    <w:p>
      <w:pPr>
        <w:ind w:left="1680" w:right="18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selling unitholder will receive 26,634 common units upon exercise of the Conversion Right; 49,787 common units were previously owned.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event a prospectus supplement is used to reflect the sale of common units hereunder, it will set forth, with respect to the selling unitholders:</w:t>
      </w:r>
    </w:p>
    <w:p>
      <w:pPr>
        <w:spacing w:after="0" w:line="26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of the selling unitholders;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nature of the position, office or other material relationship which the selling unitholders will have had within the prior three years with us or any of our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common units owned by the selling unitholders prior to the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common units to be offered for the selling unitholders' account; and</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(if one percent or more) the percentage of common units to be owned by the selling unitholders after the completion of the offering.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expenses incurred with the registration of the common units owned by the selling unitholders will be borne by us.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registering the common units offered by this prospectus on behalf of the selling unitholders. As used in this prospectus, "selling unitholders" includes partners, pledgees, donees (including charitable organizations), transferees or other successors-in-interest selling common units received from any selling unitholder identified in this prospectus after the date of this prospectus.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unitholders, the selling unitholders intend to offer and sell the common units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common units as principal and thereafter resell the common units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offering price per common unit will be determined from time to time by the selling unitholders in connection with, and at the time of, the sale by such selling unitholders. The selling unitholders may price the common units at:</w:t>
      </w:r>
    </w:p>
    <w:p>
      <w:pPr>
        <w:spacing w:after="0" w:line="21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the selling unitholders may from time to time sell common units in compliance with Rule 144 under the Securities Act, if available, or pursuant to other available exemptions from the registration requirements under the Securities Act, rather than pursuant to this prospectus. The selling unitholders may be required by the securities laws of certain states to offer and sell the common units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unitholders may act independently of us in making decisions with respect to the timing, manner and size of each of their sales.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selling unitholders may authorize underwriters acting as their agent to offer and sell common units upon the terms and conditions as are set forth in an applicable prospectus supplement. In connection with the sale of these common units, underwriters may be deemed to have received compensation from the selling unitholders in the form of underwriting discounts or commissions and may also receive commissions from purchasers of common units for whom they may act as agent or to whom they sell as principals, or both. Underwriters may sell common units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unitholders in the sale of common units.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1"/>
        <w:spacing w:after="0" w:line="294" w:lineRule="auto"/>
        <w:rPr>
          <w:sz w:val="20"/>
          <w:szCs w:val="20"/>
          <w:color w:val="auto"/>
        </w:rPr>
      </w:pPr>
      <w:r>
        <w:rPr>
          <w:rFonts w:ascii="Arial" w:cs="Arial" w:eastAsia="Arial" w:hAnsi="Arial"/>
          <w:sz w:val="16"/>
          <w:szCs w:val="16"/>
          <w:color w:val="auto"/>
        </w:rPr>
        <w:t>As of the date of this prospectus, the selling unitholders have not engaged any underwriter, broker, dealer or agent in connection with the offer and sale of common units pursuant to this prospectus by the selling unitholders. To the extent required, the names of the specific managing underwriter or underwriters, if any, as well as other important information, will be set forth in an applicable prospectus supplement. In that event, any underwriting compensation paid by the selling unitholders to underwriters or agents in connection with the offering of these common units,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common units for whom they may act as agents. If any broker-dealer purchases the common units as principal, it may effect resales of the common units from time to time to or through other broker-dealers, and other broker-dealers may receive compensation in the form of concessions or commissions from the purchasers of common units for whom they may act as agents.</w:t>
      </w:r>
    </w:p>
    <w:p>
      <w:pPr>
        <w:spacing w:after="0" w:line="197"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common units offered hereby. We will not pay any underwriting fees, discounts and selling commissions (and similar fees or arrangements associated therewith) allocable to each selling unitholder's sale of its common units; these expenses will be paid by the selling unitholders.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agreed to indemnify the selling unitholders against certain liabilities to which they may become subject in connection with the sale of the common units owned by the selling unitholders and registered under this prospectus, including liabilities arising under the Securities Act. We may indemnify underwriters, brokers, dealers and agents against specific liabilities to which they may become subject in connection with the sale of the common units owned by the selling unitholders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common units may also engage in transactions with, or perform services for, us or our affiliates in the ordinary course of their businesses.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common units at levels above those that might otherwise prevail in the open market. Specifically, underwriters, brokers or dealers may overallot in connection with offerings, creating a short position in the common units for their own accounts. For the purpose of covering a syndicate short position or stabilizing the price of the common units, the underwriters, brokers or dealers may place bids for the common units or effect purchases of the common units in the open market. Finally, the underwriters may impose a penalty whereby selling concessions allowed to syndicate members or other brokers or dealers for distribution of the common units in offerings may be reclaimed by the syndicate if the syndicate repurchases the previously distributed common units in transactions to cover short positions, in stabilization transactions or otherwise. These activities may stabilize, maintain or otherwise affect the market price of the common units, which may be higher than the price that might otherwise prevail in the open market, and, if commenced, may be discontinued at any time.</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common units in respect of which this prospectus is delivered will be set forth in the accompanying prospectus supplement.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validity of the common units will be passed upon for us by Vinson &amp; Elkins L.L.P., Houston, Texas. If certain legal matters in connection with an offering of the common units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161,830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100,000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291,830</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Officers and Members of Our Board of Directors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182"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PAA GP Holdings LLC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170"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manager or other person from and against any and all claims and demands whatsoever. The limited liability company agreement of PAA GP Holdings LLC provides for the indemnification of (a) any of its original members ("Existing Owner") or any owner of a direct or indirect 10% ownership interest in Plains AAP, L.P.'s Class A units ("Qualifying Interest Holder"), (b) any Person who is or was an affiliate of PAA GP Holdings LLC, any Existing Owner or any Qualifying Interest Holder, (c) any person who is or was a managing member, manager, general partner, shareholder, director, officer, fiduciary, agent or trustee of PAA GP Holdings LLC, any Existing Owner or any Qualifying Interest Holder or any affiliate thereof, (d) any Person who is or was serving at the request of PAA GP Holdings LLC, any Existing Owner or any Qualifying Interest Holder or any affiliate of thereof as a member, manager, partner, director, officer, fiduciary, agent or trustee of another person in furtherance of the business or affairs of PAA GP Holdings LLC or its subsidiaries (provided, that a person shall not be indemnified by reason of providing, on a fee-for-services basis, trustee, fiduciary or custodial services), and (e) any person the board of directors of PAA GP Holdings LLC designates an indemnitee (collectively, the "Indemnitees"),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an Indemnitee, regardless of whether an Indemnitee continues to be an Indemnitee at the time any such liability or expense is paid or incurred, if such Indemnitee acted in good faith and in a manner he, she or it reasonably believed to be in, or not opposed to, the interests of PAA GP Holdings LLC and with respect to any criminal proceeding, had no reason to believe his, her or its conduct was unlawful. Expenses incurred by an Indemnitee in defending any such claim, demand, action, suit or proceeding will, from time to time, be advanced by PAA GP Holdings LLC prior to the final disposition of such claim, demand, action, suit or proceeding upon receipt by PAA GP Holdings LLC of an undertaking by or on behalf of the Indemnitee to repay such amounts if it is ultimately determined that the Indemnitee is not entitled to be indemnified. PAA GP Holdings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PAA GP Holdings LLC.</w:t>
      </w:r>
    </w:p>
    <w:p>
      <w:pPr>
        <w:spacing w:after="0" w:line="185"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ind w:left="1600"/>
        <w:spacing w:after="0"/>
        <w:tabs>
          <w:tab w:leader="none" w:pos="2340" w:val="left"/>
        </w:tabs>
        <w:rPr>
          <w:sz w:val="20"/>
          <w:szCs w:val="20"/>
          <w:color w:val="auto"/>
        </w:rPr>
      </w:pPr>
      <w:r>
        <w:rPr>
          <w:rFonts w:ascii="Arial" w:cs="Arial" w:eastAsia="Arial" w:hAnsi="Arial"/>
          <w:sz w:val="18"/>
          <w:szCs w:val="18"/>
          <w:color w:val="auto"/>
        </w:rPr>
        <w:t>1.1+ —</w:t>
      </w:r>
      <w:r>
        <w:rPr>
          <w:sz w:val="20"/>
          <w:szCs w:val="20"/>
          <w:color w:val="auto"/>
        </w:rPr>
        <w:tab/>
      </w:r>
      <w:r>
        <w:rPr>
          <w:rFonts w:ascii="Arial" w:cs="Arial" w:eastAsia="Arial" w:hAnsi="Arial"/>
          <w:sz w:val="16"/>
          <w:szCs w:val="16"/>
          <w:color w:val="auto"/>
        </w:rPr>
        <w:t>Form of Underwriting Agreement</w:t>
      </w:r>
    </w:p>
    <w:p>
      <w:pPr>
        <w:spacing w:after="0" w:line="252" w:lineRule="exact"/>
        <w:rPr>
          <w:sz w:val="20"/>
          <w:szCs w:val="20"/>
          <w:color w:val="auto"/>
        </w:rPr>
      </w:pPr>
    </w:p>
    <w:p>
      <w:pPr>
        <w:ind w:left="2000" w:right="1220" w:hanging="772"/>
        <w:spacing w:after="0" w:line="259" w:lineRule="auto"/>
        <w:tabs>
          <w:tab w:leader="none" w:pos="1980" w:val="left"/>
        </w:tabs>
        <w:rPr>
          <w:rFonts w:ascii="Arial" w:cs="Arial" w:eastAsia="Arial" w:hAnsi="Arial"/>
          <w:sz w:val="18"/>
          <w:szCs w:val="18"/>
          <w:u w:val="single" w:color="auto"/>
          <w:color w:val="0000EE"/>
        </w:rPr>
      </w:pPr>
      <w:r>
        <w:rPr>
          <w:rFonts w:ascii="Arial" w:cs="Arial" w:eastAsia="Arial" w:hAnsi="Arial"/>
          <w:sz w:val="18"/>
          <w:szCs w:val="18"/>
          <w:color w:val="auto"/>
        </w:rPr>
        <w:t>4.1</w:t>
        <w:tab/>
        <w:t xml:space="preserve">— </w:t>
      </w:r>
      <w:hyperlink r:id="rId46">
        <w:r>
          <w:rPr>
            <w:rFonts w:ascii="Arial" w:cs="Arial" w:eastAsia="Arial" w:hAnsi="Arial"/>
            <w:sz w:val="18"/>
            <w:szCs w:val="18"/>
            <w:u w:val="single" w:color="auto"/>
            <w:color w:val="0000EE"/>
          </w:rPr>
          <w:t>Registration Rights Agreement, dated as of January 28, 2016, by and among Plains All American Pipeline, L.P.</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and the other parties signatory thereto (incorporated by reference to Exhibit 4.1 to our Current Report on</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Form 8-K filed on February 2, 2016).</w:t>
        </w:r>
      </w:hyperlink>
    </w:p>
    <w:p>
      <w:pPr>
        <w:spacing w:after="0" w:line="221" w:lineRule="exact"/>
        <w:rPr>
          <w:rFonts w:ascii="Arial" w:cs="Arial" w:eastAsia="Arial" w:hAnsi="Arial"/>
          <w:sz w:val="18"/>
          <w:szCs w:val="18"/>
          <w:color w:val="auto"/>
        </w:rPr>
      </w:pPr>
    </w:p>
    <w:p>
      <w:pPr>
        <w:ind w:left="1500"/>
        <w:spacing w:after="0"/>
        <w:tabs>
          <w:tab w:leader="none" w:pos="1980" w:val="left"/>
          <w:tab w:leader="none" w:pos="2340" w:val="left"/>
        </w:tabs>
        <w:rPr>
          <w:rFonts w:ascii="Arial" w:cs="Arial" w:eastAsia="Arial" w:hAnsi="Arial"/>
          <w:sz w:val="16"/>
          <w:szCs w:val="16"/>
          <w:u w:val="single" w:color="auto"/>
          <w:color w:val="0000EE"/>
        </w:rPr>
      </w:pPr>
      <w:r>
        <w:rPr>
          <w:rFonts w:ascii="Arial" w:cs="Arial" w:eastAsia="Arial" w:hAnsi="Arial"/>
          <w:sz w:val="18"/>
          <w:szCs w:val="18"/>
          <w:color w:val="auto"/>
        </w:rPr>
        <w:t>5.1*</w:t>
        <w:tab/>
        <w:t>—</w:t>
      </w:r>
      <w:r>
        <w:rPr>
          <w:sz w:val="20"/>
          <w:szCs w:val="20"/>
          <w:color w:val="auto"/>
        </w:rPr>
        <w:tab/>
      </w:r>
      <w:hyperlink w:anchor="page43">
        <w:r>
          <w:rPr>
            <w:rFonts w:ascii="Arial" w:cs="Arial" w:eastAsia="Arial" w:hAnsi="Arial"/>
            <w:sz w:val="16"/>
            <w:szCs w:val="16"/>
            <w:u w:val="single" w:color="auto"/>
            <w:color w:val="0000EE"/>
          </w:rPr>
          <w:t>Opinion of Vinson &amp; Elkins L.L.P. as to the legality of the securities being registered</w:t>
        </w:r>
      </w:hyperlink>
    </w:p>
    <w:p>
      <w:pPr>
        <w:spacing w:after="0" w:line="252" w:lineRule="exact"/>
        <w:rPr>
          <w:rFonts w:ascii="Arial" w:cs="Arial" w:eastAsia="Arial" w:hAnsi="Arial"/>
          <w:sz w:val="18"/>
          <w:szCs w:val="18"/>
          <w:color w:val="auto"/>
        </w:rPr>
      </w:pPr>
    </w:p>
    <w:p>
      <w:pPr>
        <w:ind w:left="1500"/>
        <w:spacing w:after="0"/>
        <w:tabs>
          <w:tab w:leader="none" w:pos="1980" w:val="left"/>
          <w:tab w:leader="none" w:pos="2340" w:val="left"/>
        </w:tabs>
        <w:rPr>
          <w:rFonts w:ascii="Arial" w:cs="Arial" w:eastAsia="Arial" w:hAnsi="Arial"/>
          <w:sz w:val="16"/>
          <w:szCs w:val="16"/>
          <w:u w:val="single" w:color="auto"/>
          <w:color w:val="0000EE"/>
        </w:rPr>
      </w:pPr>
      <w:r>
        <w:rPr>
          <w:rFonts w:ascii="Arial" w:cs="Arial" w:eastAsia="Arial" w:hAnsi="Arial"/>
          <w:sz w:val="18"/>
          <w:szCs w:val="18"/>
          <w:color w:val="auto"/>
        </w:rPr>
        <w:t>8.1*</w:t>
        <w:tab/>
        <w:t>—</w:t>
      </w:r>
      <w:r>
        <w:rPr>
          <w:sz w:val="20"/>
          <w:szCs w:val="20"/>
          <w:color w:val="auto"/>
        </w:rPr>
        <w:tab/>
      </w:r>
      <w:hyperlink w:anchor="page46">
        <w:r>
          <w:rPr>
            <w:rFonts w:ascii="Arial" w:cs="Arial" w:eastAsia="Arial" w:hAnsi="Arial"/>
            <w:sz w:val="16"/>
            <w:szCs w:val="16"/>
            <w:u w:val="single" w:color="auto"/>
            <w:color w:val="0000EE"/>
          </w:rPr>
          <w:t>Opinion of Vinson &amp; Elkins L.L.P. relating to tax matters</w:t>
        </w:r>
      </w:hyperlink>
    </w:p>
    <w:p>
      <w:pPr>
        <w:spacing w:after="0" w:line="252" w:lineRule="exact"/>
        <w:rPr>
          <w:rFonts w:ascii="Arial" w:cs="Arial" w:eastAsia="Arial" w:hAnsi="Arial"/>
          <w:sz w:val="18"/>
          <w:szCs w:val="18"/>
          <w:color w:val="auto"/>
        </w:rPr>
      </w:pPr>
    </w:p>
    <w:p>
      <w:pPr>
        <w:ind w:left="1420"/>
        <w:spacing w:after="0"/>
        <w:tabs>
          <w:tab w:leader="none" w:pos="1980" w:val="left"/>
          <w:tab w:leader="none" w:pos="2340" w:val="left"/>
        </w:tabs>
        <w:rPr>
          <w:rFonts w:ascii="Arial" w:cs="Arial" w:eastAsia="Arial" w:hAnsi="Arial"/>
          <w:sz w:val="15"/>
          <w:szCs w:val="15"/>
          <w:u w:val="single" w:color="auto"/>
          <w:color w:val="0000EE"/>
        </w:rPr>
      </w:pPr>
      <w:r>
        <w:rPr>
          <w:rFonts w:ascii="Arial" w:cs="Arial" w:eastAsia="Arial" w:hAnsi="Arial"/>
          <w:sz w:val="18"/>
          <w:szCs w:val="18"/>
          <w:color w:val="auto"/>
        </w:rPr>
        <w:t>23.1*</w:t>
        <w:tab/>
        <w:t>—</w:t>
      </w:r>
      <w:r>
        <w:rPr>
          <w:sz w:val="20"/>
          <w:szCs w:val="20"/>
          <w:color w:val="auto"/>
        </w:rPr>
        <w:tab/>
      </w:r>
      <w:hyperlink w:anchor="page49">
        <w:r>
          <w:rPr>
            <w:rFonts w:ascii="Arial" w:cs="Arial" w:eastAsia="Arial" w:hAnsi="Arial"/>
            <w:sz w:val="15"/>
            <w:szCs w:val="15"/>
            <w:u w:val="single" w:color="auto"/>
            <w:color w:val="0000EE"/>
          </w:rPr>
          <w:t>Consent of PricewaterhouseCoopers LLP</w:t>
        </w:r>
      </w:hyperlink>
    </w:p>
    <w:p>
      <w:pPr>
        <w:spacing w:after="0" w:line="252" w:lineRule="exact"/>
        <w:rPr>
          <w:rFonts w:ascii="Arial" w:cs="Arial" w:eastAsia="Arial" w:hAnsi="Arial"/>
          <w:sz w:val="18"/>
          <w:szCs w:val="18"/>
          <w:color w:val="auto"/>
        </w:rPr>
      </w:pPr>
    </w:p>
    <w:p>
      <w:pPr>
        <w:ind w:left="1420"/>
        <w:spacing w:after="0"/>
        <w:tabs>
          <w:tab w:leader="none" w:pos="1980" w:val="left"/>
          <w:tab w:leader="none" w:pos="2340" w:val="left"/>
        </w:tabs>
        <w:rPr>
          <w:rFonts w:ascii="Arial" w:cs="Arial" w:eastAsia="Arial" w:hAnsi="Arial"/>
          <w:sz w:val="16"/>
          <w:szCs w:val="16"/>
          <w:u w:val="single" w:color="auto"/>
          <w:color w:val="0000EE"/>
        </w:rPr>
      </w:pPr>
      <w:r>
        <w:rPr>
          <w:rFonts w:ascii="Arial" w:cs="Arial" w:eastAsia="Arial" w:hAnsi="Arial"/>
          <w:sz w:val="18"/>
          <w:szCs w:val="18"/>
          <w:color w:val="auto"/>
        </w:rPr>
        <w:t>23.2*</w:t>
        <w:tab/>
        <w:t>—</w:t>
      </w:r>
      <w:r>
        <w:rPr>
          <w:sz w:val="20"/>
          <w:szCs w:val="20"/>
          <w:color w:val="auto"/>
        </w:rPr>
        <w:tab/>
      </w:r>
      <w:hyperlink w:anchor="page43">
        <w:r>
          <w:rPr>
            <w:rFonts w:ascii="Arial" w:cs="Arial" w:eastAsia="Arial" w:hAnsi="Arial"/>
            <w:sz w:val="16"/>
            <w:szCs w:val="16"/>
            <w:u w:val="single" w:color="auto"/>
            <w:color w:val="0000EE"/>
          </w:rPr>
          <w:t>Consent of Vinson &amp; Elkins L.L.P. (contained in Exhibits 5.1 and 8.1)</w:t>
        </w:r>
      </w:hyperlink>
    </w:p>
    <w:p>
      <w:pPr>
        <w:spacing w:after="0" w:line="252" w:lineRule="exact"/>
        <w:rPr>
          <w:rFonts w:ascii="Arial" w:cs="Arial" w:eastAsia="Arial" w:hAnsi="Arial"/>
          <w:sz w:val="18"/>
          <w:szCs w:val="18"/>
          <w:color w:val="auto"/>
        </w:rPr>
      </w:pPr>
    </w:p>
    <w:p>
      <w:pPr>
        <w:ind w:left="1420"/>
        <w:spacing w:after="0"/>
        <w:tabs>
          <w:tab w:leader="none" w:pos="1980" w:val="left"/>
          <w:tab w:leader="none" w:pos="2340" w:val="left"/>
        </w:tabs>
        <w:rPr>
          <w:rFonts w:ascii="Arial" w:cs="Arial" w:eastAsia="Arial" w:hAnsi="Arial"/>
          <w:sz w:val="15"/>
          <w:szCs w:val="15"/>
          <w:u w:val="single" w:color="auto"/>
          <w:color w:val="0000EE"/>
        </w:rPr>
      </w:pPr>
      <w:r>
        <w:rPr>
          <w:rFonts w:ascii="Arial" w:cs="Arial" w:eastAsia="Arial" w:hAnsi="Arial"/>
          <w:sz w:val="18"/>
          <w:szCs w:val="18"/>
          <w:color w:val="auto"/>
        </w:rPr>
        <w:t>24.1*</w:t>
        <w:tab/>
        <w:t>—</w:t>
      </w:r>
      <w:r>
        <w:rPr>
          <w:sz w:val="20"/>
          <w:szCs w:val="20"/>
          <w:color w:val="auto"/>
        </w:rPr>
        <w:tab/>
      </w:r>
      <w:hyperlink w:anchor="page40">
        <w:r>
          <w:rPr>
            <w:rFonts w:ascii="Arial" w:cs="Arial" w:eastAsia="Arial" w:hAnsi="Arial"/>
            <w:sz w:val="15"/>
            <w:szCs w:val="15"/>
            <w:u w:val="single" w:color="auto"/>
            <w:color w:val="0000EE"/>
          </w:rPr>
          <w:t>Powers of Attorney (included on the signature page)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rFonts w:ascii="Arial" w:cs="Arial" w:eastAsia="Arial" w:hAnsi="Arial"/>
          <w:sz w:val="18"/>
          <w:szCs w:val="18"/>
          <w:color w:val="auto"/>
        </w:rPr>
      </w:pPr>
    </w:p>
    <w:p>
      <w:pPr>
        <w:ind w:left="1680" w:hanging="531"/>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1680" w:right="520" w:hanging="531"/>
        <w:spacing w:after="0" w:line="268"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Securities Exchange Act of 1934 or in a post-effective amendment to this registration statement.</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700" w:hanging="35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80" w:firstLine="360"/>
        <w:spacing w:after="0" w:line="253" w:lineRule="auto"/>
        <w:tabs>
          <w:tab w:leader="none" w:pos="1764"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1" w:lineRule="exact"/>
        <w:rPr>
          <w:rFonts w:ascii="Arial" w:cs="Arial" w:eastAsia="Arial" w:hAnsi="Arial"/>
          <w:sz w:val="18"/>
          <w:szCs w:val="18"/>
          <w:color w:val="auto"/>
        </w:rPr>
      </w:pPr>
    </w:p>
    <w:p>
      <w:pPr>
        <w:ind w:left="1080" w:right="100" w:firstLine="360"/>
        <w:spacing w:after="0" w:line="268" w:lineRule="auto"/>
        <w:tabs>
          <w:tab w:leader="none" w:pos="1755"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86" w:lineRule="exact"/>
        <w:rPr>
          <w:sz w:val="20"/>
          <w:szCs w:val="20"/>
          <w:color w:val="auto"/>
        </w:rPr>
      </w:pPr>
    </w:p>
    <w:p>
      <w:pPr>
        <w:ind w:left="108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(l)(a), (l)(b) and (1)(c)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both"/>
        <w:ind w:left="540" w:right="360" w:firstLine="359"/>
        <w:spacing w:after="0" w:line="259" w:lineRule="auto"/>
        <w:tabs>
          <w:tab w:leader="none" w:pos="1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40" w:firstLine="360"/>
        <w:spacing w:after="0" w:line="268" w:lineRule="auto"/>
        <w:tabs>
          <w:tab w:leader="none" w:pos="17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20"/>
        <w:spacing w:after="0" w:line="290"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8" w:lineRule="auto"/>
        <w:rPr>
          <w:sz w:val="20"/>
          <w:szCs w:val="20"/>
          <w:color w:val="auto"/>
        </w:rPr>
      </w:pPr>
      <w:r>
        <w:rPr>
          <w:rFonts w:ascii="Arial" w:cs="Arial" w:eastAsia="Arial" w:hAnsi="Arial"/>
          <w:sz w:val="16"/>
          <w:szCs w:val="16"/>
          <w:color w:val="auto"/>
        </w:rPr>
        <w:t>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7" w:lineRule="exact"/>
        <w:rPr>
          <w:sz w:val="20"/>
          <w:szCs w:val="20"/>
          <w:color w:val="auto"/>
        </w:rPr>
      </w:pPr>
    </w:p>
    <w:p>
      <w:pPr>
        <w:ind w:left="540" w:firstLine="359"/>
        <w:spacing w:after="0" w:line="255" w:lineRule="auto"/>
        <w:tabs>
          <w:tab w:leader="none" w:pos="12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60" w:hanging="320"/>
        <w:spacing w:after="0"/>
        <w:tabs>
          <w:tab w:leader="none" w:pos="176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40" w:firstLine="360"/>
        <w:spacing w:after="0" w:line="268" w:lineRule="auto"/>
        <w:tabs>
          <w:tab w:leader="none" w:pos="1758"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80" w:firstLine="360"/>
        <w:spacing w:after="0" w:line="268" w:lineRule="auto"/>
        <w:tabs>
          <w:tab w:leader="none" w:pos="1755"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60" w:hanging="320"/>
        <w:spacing w:after="0"/>
        <w:tabs>
          <w:tab w:leader="none" w:pos="17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40" w:firstLine="359"/>
        <w:spacing w:after="0" w:line="255"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196" w:lineRule="exact"/>
        <w:rPr>
          <w:rFonts w:ascii="Arial" w:cs="Arial" w:eastAsia="Arial" w:hAnsi="Arial"/>
          <w:sz w:val="18"/>
          <w:szCs w:val="18"/>
          <w:color w:val="auto"/>
        </w:rPr>
      </w:pPr>
    </w:p>
    <w:p>
      <w:pPr>
        <w:ind w:right="40" w:firstLine="359"/>
        <w:spacing w:after="0" w:line="290" w:lineRule="auto"/>
        <w:tabs>
          <w:tab w:leader="none" w:pos="6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November 30, 2017.</w:t>
      </w: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58"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Plains AAP, L.P., its sole member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Plains GP Holdings, L.P., its sole member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Greg L. Armstrong</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and Chief Executive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pacing w:after="0" w:line="180"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PAA GP HOLDINGS LLC, for itself as the general partner of PLAINS GP HOLDINGS, L.P., which is the sole member of PLAINS ALL AMERICAN GP LLC, which is the general partner of PLAINS AAP, L.P., which is the sole member of PAA GP LLC, which is the general partner of PLAINS ALL AMERICAN PIPELINE, L.P.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4520" w:type="dxa"/>
            <w:vAlign w:val="bottom"/>
            <w:vMerge w:val="restart"/>
          </w:tcPr>
          <w:p>
            <w:pPr>
              <w:ind w:left="200"/>
              <w:spacing w:after="0"/>
              <w:rPr>
                <w:sz w:val="20"/>
                <w:szCs w:val="20"/>
                <w:color w:val="auto"/>
              </w:rPr>
            </w:pPr>
            <w:r>
              <w:rPr>
                <w:rFonts w:ascii="Arial" w:cs="Arial" w:eastAsia="Arial" w:hAnsi="Arial"/>
                <w:sz w:val="18"/>
                <w:szCs w:val="18"/>
                <w:color w:val="auto"/>
              </w:rPr>
              <w:t>Chairman of the Board and Chief Executive Officer</w:t>
            </w:r>
          </w:p>
        </w:tc>
        <w:tc>
          <w:tcPr>
            <w:tcW w:w="2520" w:type="dxa"/>
            <w:vAlign w:val="bottom"/>
            <w:vMerge w:val="restart"/>
          </w:tcPr>
          <w:p>
            <w:pPr>
              <w:ind w:left="700"/>
              <w:spacing w:after="0"/>
              <w:rPr>
                <w:sz w:val="20"/>
                <w:szCs w:val="20"/>
                <w:color w:val="auto"/>
              </w:rPr>
            </w:pPr>
            <w:r>
              <w:rPr>
                <w:rFonts w:ascii="Arial" w:cs="Arial" w:eastAsia="Arial" w:hAnsi="Arial"/>
                <w:sz w:val="18"/>
                <w:szCs w:val="18"/>
                <w:color w:val="auto"/>
              </w:rPr>
              <w:t>November 30, 2017</w:t>
            </w:r>
          </w:p>
        </w:tc>
        <w:tc>
          <w:tcPr>
            <w:tcW w:w="0" w:type="dxa"/>
            <w:vAlign w:val="bottom"/>
          </w:tcPr>
          <w:p>
            <w:pPr>
              <w:spacing w:after="0"/>
              <w:rPr>
                <w:sz w:val="1"/>
                <w:szCs w:val="1"/>
                <w:color w:val="auto"/>
              </w:rPr>
            </w:pPr>
          </w:p>
        </w:tc>
      </w:tr>
      <w:tr>
        <w:trPr>
          <w:trHeight w:val="95"/>
        </w:trPr>
        <w:tc>
          <w:tcPr>
            <w:tcW w:w="4380" w:type="dxa"/>
            <w:vAlign w:val="bottom"/>
            <w:tcBorders>
              <w:bottom w:val="single" w:sz="8" w:color="auto"/>
            </w:tcBorders>
          </w:tcPr>
          <w:p>
            <w:pPr>
              <w:spacing w:after="0"/>
              <w:rPr>
                <w:sz w:val="8"/>
                <w:szCs w:val="8"/>
                <w:color w:val="auto"/>
              </w:rPr>
            </w:pPr>
          </w:p>
        </w:tc>
        <w:tc>
          <w:tcPr>
            <w:tcW w:w="4520" w:type="dxa"/>
            <w:vAlign w:val="bottom"/>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452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(Principal Executive Officer)</w:t>
            </w: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380" w:type="dxa"/>
            <w:vAlign w:val="bottom"/>
            <w:vMerge w:val="continue"/>
          </w:tcPr>
          <w:p>
            <w:pPr>
              <w:spacing w:after="0"/>
              <w:rPr>
                <w:sz w:val="9"/>
                <w:szCs w:val="9"/>
                <w:color w:val="auto"/>
              </w:rPr>
            </w:pPr>
          </w:p>
        </w:tc>
        <w:tc>
          <w:tcPr>
            <w:tcW w:w="452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380" w:type="dxa"/>
            <w:vAlign w:val="bottom"/>
            <w:vMerge w:val="continue"/>
          </w:tcPr>
          <w:p>
            <w:pPr>
              <w:spacing w:after="0"/>
              <w:rPr>
                <w:sz w:val="7"/>
                <w:szCs w:val="7"/>
                <w:color w:val="auto"/>
              </w:rPr>
            </w:pPr>
          </w:p>
        </w:tc>
        <w:tc>
          <w:tcPr>
            <w:tcW w:w="45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4380" w:type="dxa"/>
            <w:vAlign w:val="bottom"/>
          </w:tcPr>
          <w:p>
            <w:pPr>
              <w:spacing w:after="0"/>
              <w:rPr>
                <w:sz w:val="24"/>
                <w:szCs w:val="24"/>
                <w:color w:val="auto"/>
              </w:rPr>
            </w:pPr>
          </w:p>
        </w:tc>
        <w:tc>
          <w:tcPr>
            <w:tcW w:w="4520" w:type="dxa"/>
            <w:vAlign w:val="bottom"/>
          </w:tcPr>
          <w:p>
            <w:pPr>
              <w:ind w:left="1200"/>
              <w:spacing w:after="0"/>
              <w:rPr>
                <w:sz w:val="20"/>
                <w:szCs w:val="20"/>
                <w:color w:val="auto"/>
              </w:rPr>
            </w:pPr>
            <w:r>
              <w:rPr>
                <w:rFonts w:ascii="Arial" w:cs="Arial" w:eastAsia="Arial" w:hAnsi="Arial"/>
                <w:sz w:val="18"/>
                <w:szCs w:val="18"/>
                <w:color w:val="auto"/>
              </w:rPr>
              <w:t>II-5</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8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Harry N. Pefanis</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WILLIE C.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Willie C. Chiang</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Al Swanson</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Chris Herbold</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OSCAR K.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Oscar K. Brown</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Victor Burk</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EVERARDO GOYANES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Everardo Goyanes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2769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Gary R. Petersen</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John T. Raymond</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Bobby S. Shackouls</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Robert V. Sinnott</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 TAFT SYMONDS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69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 Taft Symonds</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769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Christopher M. Temple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Operating Officer and Director</w:t>
      </w:r>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Executive Vice President, Chief Operating Officer (U.S.) and Director</w:t>
      </w:r>
    </w:p>
    <w:p>
      <w:pPr>
        <w:spacing w:after="0" w:line="200" w:lineRule="exact"/>
        <w:rPr>
          <w:sz w:val="20"/>
          <w:szCs w:val="20"/>
          <w:color w:val="auto"/>
        </w:rPr>
      </w:pPr>
    </w:p>
    <w:p>
      <w:pPr>
        <w:spacing w:after="0" w:line="20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00" w:lineRule="exact"/>
        <w:rPr>
          <w:sz w:val="20"/>
          <w:szCs w:val="20"/>
          <w:color w:val="auto"/>
        </w:rPr>
      </w:pPr>
    </w:p>
    <w:p>
      <w:pPr>
        <w:spacing w:after="0" w:line="2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Vice President—Accounting and Chief Accounting Officer (Principal Accounting Officer)</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November 30, 2017</w:t>
      </w:r>
    </w:p>
    <w:p>
      <w:pPr>
        <w:sectPr>
          <w:pgSz w:w="11900" w:h="16838" w:orient="portrait"/>
          <w:cols w:equalWidth="0" w:num="3">
            <w:col w:w="3860" w:space="720"/>
            <w:col w:w="4320" w:space="700"/>
            <w:col w:w="1400"/>
          </w:cols>
          <w:pgMar w:left="240" w:top="131" w:right="659" w:bottom="1440"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spacing w:after="0"/>
        <w:rPr>
          <w:rFonts w:ascii="Arial" w:cs="Arial" w:eastAsia="Arial" w:hAnsi="Arial"/>
          <w:sz w:val="22"/>
          <w:szCs w:val="22"/>
          <w:color w:val="0000EE"/>
        </w:rPr>
      </w:pPr>
      <w:hyperlink w:anchor="page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acted as counsel for Plains All American Pipeline,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with respect to the preparation of the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 registration by the Partnership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 and sale by the selling unitholders named in the Registration Statement from time to time, pursuant to Rule 415 under the Securities Act, of common units representing limited partner interests in the Partnership (the "</w:t>
      </w:r>
      <w:r>
        <w:rPr>
          <w:rFonts w:ascii="Arial" w:cs="Arial" w:eastAsia="Arial" w:hAnsi="Arial"/>
          <w:sz w:val="16"/>
          <w:szCs w:val="16"/>
          <w:b w:val="1"/>
          <w:bCs w:val="1"/>
          <w:i w:val="1"/>
          <w:iCs w:val="1"/>
          <w:color w:val="auto"/>
        </w:rPr>
        <w:t>Common Units</w:t>
      </w:r>
      <w:r>
        <w:rPr>
          <w:rFonts w:ascii="Arial" w:cs="Arial" w:eastAsia="Arial" w:hAnsi="Arial"/>
          <w:sz w:val="16"/>
          <w:szCs w:val="16"/>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the basis for the opinion hereinafter expressed, we examined such statutes, including the Delaware Revised Uniform Limited Partnership Act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Delaware LP Act</w:t>
      </w:r>
      <w:r>
        <w:rPr>
          <w:rFonts w:ascii="Arial" w:cs="Arial" w:eastAsia="Arial" w:hAnsi="Arial"/>
          <w:sz w:val="15"/>
          <w:szCs w:val="15"/>
          <w:color w:val="auto"/>
        </w:rPr>
        <w:t>"), and the Partnership's records and documents, certificates of the Partnership and public officials, and other instruments and documents as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deemed necessary or advisable for the purposes of this opinion. In such examination, we have assumed (i) the authenticity of all documents submitted to us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originals and the conformity with the original documents of all documents submitted to us as copies; (ii) that all signatures on each such document examined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are genuine and that the signatories thereto have the requisite legal capacity to execute such documents; (iii) that the Registration Statement,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thereto (including post-effective amendments), will have become effective; (iv) each certificate from governmental officials reviewed by us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accurate, complete and authentic, and all official public records are accurate and complete; and (v) that the Common Units will be issued and sold in compliance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applicable federal and state securities laws and in the manner stated in the Registration Statement and the appropriate Prospectus Supplement, if any.</w:t>
      </w:r>
    </w:p>
    <w:p>
      <w:pPr>
        <w:spacing w:after="0" w:line="24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Based upon and subject to the foregoing, we are of the opinion that the Common Units, when issued and delivered against payment therefor as described in the Registration Statement, will be duly authorized, validly issued, fully paid (to the extent required under the Partnership Agreement) and non-assessable (except as such nonassessability may be affected by Sections 17-303, 17-607 or 17-804 of the Delaware LP Act).</w:t>
      </w:r>
    </w:p>
    <w:p>
      <w:pPr>
        <w:spacing w:after="0" w:line="16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w:t>
      </w:r>
    </w:p>
    <w:p>
      <w:pPr>
        <w:spacing w:after="0" w:line="139"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777875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5822950" cy="3689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822950" cy="36893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3" w:name="page44"/>
    <w:bookmarkEnd w:id="43"/>
    <w:p>
      <w:pPr>
        <w:jc w:val="both"/>
        <w:ind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45" w:name="page46"/>
    <w:bookmarkEnd w:id="45"/>
    <w:p>
      <w:pPr>
        <w:spacing w:after="0"/>
        <w:rPr>
          <w:rFonts w:ascii="Arial" w:cs="Arial" w:eastAsia="Arial" w:hAnsi="Arial"/>
          <w:sz w:val="22"/>
          <w:szCs w:val="22"/>
          <w:color w:val="0000EE"/>
        </w:rPr>
      </w:pPr>
      <w:hyperlink w:anchor="page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 xml:space="preserve">We have acted as counsel for Plains All American Pipeline,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xml:space="preserve">), a Delaware limited partnership, with respect to certain legal matters in connection with the preparation of a Prospectus dated on or about the date hereof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forming part of the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which this opinion is an exhibit. The Registration Statement relates to the registration under the Securities Act of 1933, as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common units representing limited partner interests in the Partnership.</w:t>
      </w:r>
    </w:p>
    <w:p>
      <w:pPr>
        <w:spacing w:after="0" w:line="16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6"/>
          <w:szCs w:val="16"/>
          <w:b w:val="1"/>
          <w:bCs w:val="1"/>
          <w:i w:val="1"/>
          <w:iCs w:val="1"/>
          <w:color w:val="auto"/>
        </w:rPr>
        <w:t>Officer's Certificate</w:t>
      </w:r>
      <w:r>
        <w:rPr>
          <w:rFonts w:ascii="Arial" w:cs="Arial" w:eastAsia="Arial" w:hAnsi="Arial"/>
          <w:sz w:val="16"/>
          <w:szCs w:val="16"/>
          <w:color w:val="auto"/>
        </w:rPr>
        <w:t>"). In addition, this opinion is based upon the factual representations of the Partnership concerning its business, properties and governing documents as set forth in the Registration Statement.</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5866130" cy="368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866130" cy="36893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6" w:name="page47"/>
    <w:bookmarkEnd w:id="46"/>
    <w:p>
      <w:pPr>
        <w:jc w:val="both"/>
        <w:ind w:right="200" w:firstLine="35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8895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hereby consent to the filing of this opinion of counsel as an exhibit to the Registration Statement and the use of our name in the Registration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giving such consent, we do not admit that we are within the category of persons whose consent is required under Section 7 of the Securities Act.</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48" w:name="page49"/>
    <w:bookmarkEnd w:id="48"/>
    <w:p>
      <w:pPr>
        <w:spacing w:after="0"/>
        <w:rPr>
          <w:rFonts w:ascii="Arial" w:cs="Arial" w:eastAsia="Arial" w:hAnsi="Arial"/>
          <w:sz w:val="22"/>
          <w:szCs w:val="22"/>
          <w:color w:val="0000EE"/>
        </w:rPr>
      </w:pPr>
      <w:hyperlink w:anchor="page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23, 2017 relating to the financial statements, and the effectiveness of internal control over financial reporting, which appears in Plains All American Pipeline, L.P.'s Annual Report on Form 10-K for the year ended December 31, 2016.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Roman"/>
      <w:start w:val="5"/>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lvl w:ilvl="1">
      <w:lvlJc w:val="left"/>
      <w:lvlText w:val="(%2)"/>
      <w:numFmt w:val="lowerLetter"/>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8">
    <w:nsid w:val="62BBD95A"/>
    <w:multiLevelType w:val="hybridMultilevel"/>
    <w:lvl w:ilvl="0">
      <w:lvlJc w:val="left"/>
      <w:lvlText w:val="(%1)"/>
      <w:numFmt w:val="decimal"/>
      <w:start w:val="2"/>
    </w:lvl>
    <w:lvl w:ilvl="1">
      <w:lvlJc w:val="left"/>
      <w:lvlText w:val="(%2)"/>
      <w:numFmt w:val="lowerLetter"/>
      <w:start w:val="1"/>
    </w:lvl>
  </w:abstractNum>
  <w:abstractNum w:abstractNumId="19">
    <w:nsid w:val="436C612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0">
    <w:nsid w:val="628C895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46" Type="http://schemas.openxmlformats.org/officeDocument/2006/relationships/hyperlink" Target="http://www.sec.gov/Archives/edgar/data/1070423/000110465916093299/a16-3362_1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2020-01-18T23:08:38Z</dcterms:created>
  <dcterms:modified xsi:type="dcterms:W3CDTF">2020-01-18T23:08:38Z</dcterms:modified>
</cp:coreProperties>
</file>