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19,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60" w:space="720"/>
            <w:col w:w="2700" w:space="720"/>
            <w:col w:w="3040"/>
          </w:cols>
          <w:pgMar w:left="320" w:top="760"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4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ind w:left="1140" w:right="1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Phantom Unit Grants to Named Executive Officers</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On August 19, 2021, the board of directors (the “Board”) of PAA GP Holdings LLC (“GP Holdings”), the general partner of Plains All American Pipeline, L.P. (“PAA”), approved grants of phantom units to certain of those individuals who were identified as Named Executive Officers in PAA’s 2021 proxy statement. These phantom unit grants were consistent with the annual LTIP targets disclosed in the 2021 proxy statement. The annual LTIP target values and resulting LTIP grants approved by the Board are set forth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Annual LTIP Award Target Value</w:t>
            </w:r>
          </w:p>
        </w:tc>
        <w:tc>
          <w:tcPr>
            <w:tcW w:w="1560" w:type="dxa"/>
            <w:vAlign w:val="bottom"/>
            <w:gridSpan w:val="3"/>
          </w:tcPr>
          <w:p>
            <w:pPr>
              <w:spacing w:after="0"/>
              <w:rPr>
                <w:sz w:val="20"/>
                <w:szCs w:val="20"/>
                <w:color w:val="auto"/>
              </w:rPr>
            </w:pPr>
            <w:r>
              <w:rPr>
                <w:rFonts w:ascii="Arial" w:cs="Arial" w:eastAsia="Arial" w:hAnsi="Arial"/>
                <w:sz w:val="18"/>
                <w:szCs w:val="18"/>
                <w:color w:val="auto"/>
              </w:rPr>
              <w:t>2021 Annual LTIP</w:t>
            </w:r>
          </w:p>
        </w:tc>
        <w:tc>
          <w:tcPr>
            <w:tcW w:w="1220" w:type="dxa"/>
            <w:vAlign w:val="bottom"/>
          </w:tcPr>
          <w:p>
            <w:pPr>
              <w:jc w:val="right"/>
              <w:spacing w:after="0"/>
              <w:rPr>
                <w:sz w:val="20"/>
                <w:szCs w:val="20"/>
                <w:color w:val="auto"/>
              </w:rPr>
            </w:pPr>
            <w:r>
              <w:rPr>
                <w:rFonts w:ascii="Arial" w:cs="Arial" w:eastAsia="Arial" w:hAnsi="Arial"/>
                <w:sz w:val="18"/>
                <w:szCs w:val="18"/>
                <w:color w:val="auto"/>
                <w:w w:val="92"/>
              </w:rPr>
              <w:t>No. of Phantom</w:t>
            </w:r>
          </w:p>
        </w:tc>
      </w:tr>
      <w:tr>
        <w:trPr>
          <w:trHeight w:val="267"/>
        </w:trPr>
        <w:tc>
          <w:tcPr>
            <w:tcW w:w="5580" w:type="dxa"/>
            <w:vAlign w:val="bottom"/>
            <w:tcBorders>
              <w:bottom w:val="single" w:sz="8" w:color="auto"/>
            </w:tcBorders>
          </w:tcPr>
          <w:p>
            <w:pPr>
              <w:ind w:left="2160"/>
              <w:spacing w:after="0" w:line="267" w:lineRule="exact"/>
              <w:rPr>
                <w:sz w:val="20"/>
                <w:szCs w:val="20"/>
                <w:color w:val="auto"/>
              </w:rPr>
            </w:pPr>
            <w:r>
              <w:rPr>
                <w:rFonts w:ascii="Arial" w:cs="Arial" w:eastAsia="Arial" w:hAnsi="Arial"/>
                <w:sz w:val="18"/>
                <w:szCs w:val="18"/>
                <w:color w:val="auto"/>
              </w:rPr>
              <w:t>Name and Title</w:t>
            </w:r>
            <w:r>
              <w:rPr>
                <w:rFonts w:ascii="Arial" w:cs="Arial" w:eastAsia="Arial" w:hAnsi="Arial"/>
                <w:sz w:val="29"/>
                <w:szCs w:val="29"/>
                <w:color w:val="auto"/>
                <w:vertAlign w:val="superscript"/>
              </w:rPr>
              <w:t>(1)</w:t>
            </w:r>
          </w:p>
        </w:tc>
        <w:tc>
          <w:tcPr>
            <w:tcW w:w="200" w:type="dxa"/>
            <w:vAlign w:val="bottom"/>
            <w:tcBorders>
              <w:bottom w:val="single" w:sz="8" w:color="CCEEFF"/>
            </w:tcBorders>
          </w:tcPr>
          <w:p>
            <w:pPr>
              <w:spacing w:after="0"/>
              <w:rPr>
                <w:sz w:val="23"/>
                <w:szCs w:val="23"/>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(as a percentage of base salary)</w:t>
            </w:r>
          </w:p>
        </w:tc>
        <w:tc>
          <w:tcPr>
            <w:tcW w:w="2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Award Value</w:t>
            </w:r>
          </w:p>
        </w:tc>
        <w:tc>
          <w:tcPr>
            <w:tcW w:w="22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spacing w:after="0" w:line="267" w:lineRule="exact"/>
              <w:rPr>
                <w:sz w:val="20"/>
                <w:szCs w:val="20"/>
                <w:color w:val="auto"/>
              </w:rPr>
            </w:pPr>
            <w:r>
              <w:rPr>
                <w:rFonts w:ascii="Arial" w:cs="Arial" w:eastAsia="Arial" w:hAnsi="Arial"/>
                <w:sz w:val="18"/>
                <w:szCs w:val="18"/>
                <w:color w:val="auto"/>
                <w:w w:val="87"/>
              </w:rPr>
              <w:t>Units Granted</w:t>
            </w:r>
            <w:r>
              <w:rPr>
                <w:rFonts w:ascii="Arial" w:cs="Arial" w:eastAsia="Arial" w:hAnsi="Arial"/>
                <w:sz w:val="29"/>
                <w:szCs w:val="29"/>
                <w:color w:val="auto"/>
                <w:w w:val="87"/>
                <w:vertAlign w:val="superscript"/>
              </w:rPr>
              <w:t>(2)</w:t>
            </w:r>
          </w:p>
        </w:tc>
      </w:tr>
      <w:tr>
        <w:trPr>
          <w:trHeight w:val="20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Willie Chiang, Chief Executive Officer</w:t>
            </w:r>
          </w:p>
        </w:tc>
        <w:tc>
          <w:tcPr>
            <w:tcW w:w="20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300,600</w:t>
            </w:r>
          </w:p>
        </w:tc>
      </w:tr>
      <w:tr>
        <w:trPr>
          <w:trHeight w:val="216"/>
        </w:trPr>
        <w:tc>
          <w:tcPr>
            <w:tcW w:w="5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2"/>
        </w:trPr>
        <w:tc>
          <w:tcPr>
            <w:tcW w:w="5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 Swanson, Executive Vice President and</w:t>
            </w:r>
          </w:p>
        </w:tc>
        <w:tc>
          <w:tcPr>
            <w:tcW w:w="2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2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120,200</w:t>
            </w:r>
          </w:p>
        </w:tc>
      </w:tr>
      <w:tr>
        <w:trPr>
          <w:trHeight w:val="216"/>
        </w:trPr>
        <w:tc>
          <w:tcPr>
            <w:tcW w:w="5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2"/>
        </w:trPr>
        <w:tc>
          <w:tcPr>
            <w:tcW w:w="5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Richard McGee, Executive Vice President,</w:t>
            </w:r>
          </w:p>
        </w:tc>
        <w:tc>
          <w:tcPr>
            <w:tcW w:w="2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Counsel and Secretary</w:t>
            </w:r>
          </w:p>
        </w:tc>
        <w:tc>
          <w:tcPr>
            <w:tcW w:w="2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120,200</w:t>
            </w:r>
          </w:p>
        </w:tc>
      </w:tr>
      <w:tr>
        <w:trPr>
          <w:trHeight w:val="216"/>
        </w:trPr>
        <w:tc>
          <w:tcPr>
            <w:tcW w:w="5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2"/>
        </w:trPr>
        <w:tc>
          <w:tcPr>
            <w:tcW w:w="5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Chris Chandler, Executive Vice President and</w:t>
            </w:r>
          </w:p>
        </w:tc>
        <w:tc>
          <w:tcPr>
            <w:tcW w:w="2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Operating Officer</w:t>
            </w:r>
          </w:p>
        </w:tc>
        <w:tc>
          <w:tcPr>
            <w:tcW w:w="2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120,200</w:t>
            </w:r>
          </w:p>
        </w:tc>
      </w:tr>
      <w:tr>
        <w:trPr>
          <w:trHeight w:val="216"/>
        </w:trPr>
        <w:tc>
          <w:tcPr>
            <w:tcW w:w="5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2"/>
        </w:trPr>
        <w:tc>
          <w:tcPr>
            <w:tcW w:w="5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Jeremy Goebel, Executive Vice President and</w:t>
            </w:r>
          </w:p>
        </w:tc>
        <w:tc>
          <w:tcPr>
            <w:tcW w:w="2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Commercial Officer</w:t>
            </w:r>
          </w:p>
        </w:tc>
        <w:tc>
          <w:tcPr>
            <w:tcW w:w="2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120,200</w:t>
            </w:r>
          </w:p>
        </w:tc>
      </w:tr>
    </w:tbl>
    <w:p>
      <w:pPr>
        <w:spacing w:after="0" w:line="12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Annual LTIP grants were not awarded to Harry Pefanis, President, as he requested to not participate in the 2021 long-term incentive program.</w:t>
      </w:r>
    </w:p>
    <w:p>
      <w:pPr>
        <w:spacing w:after="0" w:line="1" w:lineRule="exact"/>
        <w:rPr>
          <w:rFonts w:ascii="Arial" w:cs="Arial" w:eastAsia="Arial" w:hAnsi="Arial"/>
          <w:sz w:val="27"/>
          <w:szCs w:val="27"/>
          <w:color w:val="auto"/>
          <w:vertAlign w:val="superscript"/>
        </w:rPr>
      </w:pPr>
    </w:p>
    <w:p>
      <w:pPr>
        <w:ind w:left="660" w:hanging="328"/>
        <w:spacing w:after="0" w:line="194" w:lineRule="auto"/>
        <w:tabs>
          <w:tab w:leader="none" w:pos="660" w:val="left"/>
        </w:tabs>
        <w:numPr>
          <w:ilvl w:val="0"/>
          <w:numId w:val="2"/>
        </w:numPr>
        <w:rPr>
          <w:rFonts w:ascii="Arial" w:cs="Arial" w:eastAsia="Arial" w:hAnsi="Arial"/>
          <w:sz w:val="23"/>
          <w:szCs w:val="23"/>
          <w:color w:val="auto"/>
          <w:vertAlign w:val="superscript"/>
        </w:rPr>
      </w:pPr>
      <w:r>
        <w:rPr>
          <w:rFonts w:ascii="Arial" w:cs="Arial" w:eastAsia="Arial" w:hAnsi="Arial"/>
          <w:sz w:val="15"/>
          <w:szCs w:val="15"/>
          <w:color w:val="auto"/>
        </w:rPr>
        <w:t>Based on a volume weighted average price per unit for a 10-day period preceding the date of grant of $9.98.</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phantom units will vest (become payable 1-for-1 in common units of PAA) as follows:</w:t>
      </w:r>
    </w:p>
    <w:p>
      <w:pPr>
        <w:spacing w:after="0" w:line="225" w:lineRule="exact"/>
        <w:rPr>
          <w:sz w:val="20"/>
          <w:szCs w:val="20"/>
          <w:color w:val="auto"/>
        </w:rPr>
      </w:pPr>
    </w:p>
    <w:p>
      <w:pPr>
        <w:ind w:left="780" w:right="40" w:hanging="327"/>
        <w:spacing w:after="0" w:line="277"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Tranche 1, consisting of 50% of the number of phantom units granted, will vest on the August 2024 distribution date assuming continued service through such date;</w:t>
      </w:r>
    </w:p>
    <w:p>
      <w:pPr>
        <w:spacing w:after="0" w:line="170" w:lineRule="exact"/>
        <w:rPr>
          <w:rFonts w:ascii="Arial" w:cs="Arial" w:eastAsia="Arial" w:hAnsi="Arial"/>
          <w:sz w:val="18"/>
          <w:szCs w:val="18"/>
          <w:color w:val="auto"/>
        </w:rPr>
      </w:pPr>
    </w:p>
    <w:p>
      <w:pPr>
        <w:ind w:left="780" w:right="20" w:hanging="327"/>
        <w:spacing w:after="0" w:line="311"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Tranche 2, consisting of 25% of the number of phantom units granted (assuming 100% payout at target), will potentially vest on the August 2024 distribution date at a scaled payout range of between 0% to 200% based on PAA’s total shareholder return (TSR) over the three-year period ending June 30, 2024 compared to the TSR of a selected peer group (payout may be reduced if PAA’s absolute TSR is negative); and</w:t>
      </w:r>
    </w:p>
    <w:p>
      <w:pPr>
        <w:spacing w:after="0" w:line="148" w:lineRule="exact"/>
        <w:rPr>
          <w:rFonts w:ascii="Arial" w:cs="Arial" w:eastAsia="Arial" w:hAnsi="Arial"/>
          <w:sz w:val="16"/>
          <w:szCs w:val="16"/>
          <w:color w:val="auto"/>
        </w:rPr>
      </w:pPr>
    </w:p>
    <w:p>
      <w:pPr>
        <w:ind w:left="780" w:right="20" w:hanging="327"/>
        <w:spacing w:after="0" w:line="255"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Tranche 3, consisting of 25% of the number of phantom units granted (assuming 100% payout at target), will potentially vest on the August 2024 distribution date at a scaled payout range of between 0% to 200% based on PAA achieving cumulative distributable cash flow per common unit equivalent of $6.00 over the three-year period ending June 30, 2024 (with such payout being subject to adjustment by plus or minus 50 gross percentage points (subject to a cap of 200%) based on the extent to which PAA achieves a leverage ratio as of June 30, 2024 that is less than or greater than, respectively, the target leverage ratio for such date assumed in PAA's long term plan as of August 2021, plus or minus .15x, as applicable).</w:t>
      </w:r>
    </w:p>
    <w:p>
      <w:pPr>
        <w:spacing w:after="0" w:line="192"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The phantom units include tandem distribution equivalent rights (“DERs”) that vest as follows: (a) DERs associated with Tranche 1 will accrue for the first year and such accrued amount will be paid in cash in a lump sum on the August 2022 distribution date; beginning in November 2022, DERs associated with Tranche 1 will be paid quarterly until the related phantom units vest; and (b) DERs associated with Tranches 2 and 3 will accrue during the three-year vesting period and will be paid in cash in a lump sum on the August 2024 distribution date with respect to the number of phantom units, if any, that vest on such date.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25, 2021</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2021-08-25T16:12:11Z</dcterms:created>
  <dcterms:modified xsi:type="dcterms:W3CDTF">2021-08-25T16:12:11Z</dcterms:modified>
</cp:coreProperties>
</file>