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1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SEPTEMBER 18,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144145</wp:posOffset>
            </wp:positionV>
            <wp:extent cx="367919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5320"/>
        <w:spacing w:after="0"/>
        <w:rPr>
          <w:sz w:val="20"/>
          <w:szCs w:val="20"/>
          <w:color w:val="auto"/>
        </w:rPr>
      </w:pPr>
      <w:r>
        <w:rPr>
          <w:rFonts w:ascii="Arial" w:cs="Arial" w:eastAsia="Arial" w:hAnsi="Arial"/>
          <w:sz w:val="24"/>
          <w:szCs w:val="24"/>
          <w:b w:val="1"/>
          <w:bCs w:val="1"/>
          <w:color w:val="auto"/>
        </w:rPr>
        <w:t>Class A Shares</w:t>
      </w:r>
    </w:p>
    <w:p>
      <w:pPr>
        <w:spacing w:after="0" w:line="36" w:lineRule="exact"/>
        <w:rPr>
          <w:sz w:val="24"/>
          <w:szCs w:val="24"/>
          <w:color w:val="auto"/>
        </w:rPr>
      </w:pPr>
    </w:p>
    <w:p>
      <w:pPr>
        <w:ind w:left="366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ind w:left="5220" w:hanging="858"/>
        <w:spacing w:after="0"/>
        <w:tabs>
          <w:tab w:leader="none" w:pos="5220"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per Class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60"/>
        <w:spacing w:after="0"/>
        <w:tabs>
          <w:tab w:leader="none" w:pos="7160" w:val="left"/>
        </w:tabs>
        <w:rPr>
          <w:sz w:val="20"/>
          <w:szCs w:val="20"/>
          <w:color w:val="auto"/>
        </w:rPr>
      </w:pPr>
      <w:r>
        <w:rPr>
          <w:rFonts w:ascii="Arial" w:cs="Arial" w:eastAsia="Arial" w:hAnsi="Arial"/>
          <w:sz w:val="18"/>
          <w:szCs w:val="18"/>
          <w:color w:val="auto"/>
        </w:rPr>
        <w:t>The selling shareholder identified in this prospectus supplement is selling an aggregate of</w:t>
      </w:r>
      <w:r>
        <w:rPr>
          <w:sz w:val="20"/>
          <w:szCs w:val="20"/>
          <w:color w:val="auto"/>
        </w:rPr>
        <w:tab/>
      </w:r>
      <w:r>
        <w:rPr>
          <w:rFonts w:ascii="Arial" w:cs="Arial" w:eastAsia="Arial" w:hAnsi="Arial"/>
          <w:sz w:val="16"/>
          <w:szCs w:val="16"/>
          <w:color w:val="auto"/>
        </w:rPr>
        <w:t>of our Class A shares in this offering. Concurrently with this</w:t>
      </w:r>
    </w:p>
    <w:p>
      <w:pPr>
        <w:spacing w:after="0" w:line="15" w:lineRule="exact"/>
        <w:rPr>
          <w:sz w:val="24"/>
          <w:szCs w:val="24"/>
          <w:color w:val="auto"/>
        </w:rPr>
      </w:pPr>
    </w:p>
    <w:p>
      <w:pPr>
        <w:spacing w:after="0"/>
        <w:tabs>
          <w:tab w:leader="none" w:pos="6260" w:val="left"/>
        </w:tabs>
        <w:rPr>
          <w:sz w:val="20"/>
          <w:szCs w:val="20"/>
          <w:color w:val="auto"/>
        </w:rPr>
      </w:pPr>
      <w:r>
        <w:rPr>
          <w:rFonts w:ascii="Arial" w:cs="Arial" w:eastAsia="Arial" w:hAnsi="Arial"/>
          <w:sz w:val="18"/>
          <w:szCs w:val="18"/>
          <w:color w:val="auto"/>
        </w:rPr>
        <w:t>offering of our Class A shares, the selling shareholder is selling an aggregate of</w:t>
      </w:r>
      <w:r>
        <w:rPr>
          <w:sz w:val="20"/>
          <w:szCs w:val="20"/>
          <w:color w:val="auto"/>
        </w:rPr>
        <w:tab/>
      </w:r>
      <w:r>
        <w:rPr>
          <w:rFonts w:ascii="Arial" w:cs="Arial" w:eastAsia="Arial" w:hAnsi="Arial"/>
          <w:sz w:val="16"/>
          <w:szCs w:val="16"/>
          <w:color w:val="auto"/>
        </w:rPr>
        <w:t>of its common units representing limited partner interests in Plains All</w:t>
      </w:r>
    </w:p>
    <w:p>
      <w:pPr>
        <w:spacing w:after="0" w:line="9" w:lineRule="exact"/>
        <w:rPr>
          <w:sz w:val="24"/>
          <w:szCs w:val="24"/>
          <w:color w:val="auto"/>
        </w:rPr>
      </w:pPr>
    </w:p>
    <w:p>
      <w:pPr>
        <w:ind w:right="380"/>
        <w:spacing w:after="0" w:line="323" w:lineRule="auto"/>
        <w:rPr>
          <w:sz w:val="20"/>
          <w:szCs w:val="20"/>
          <w:color w:val="auto"/>
        </w:rPr>
      </w:pPr>
      <w:r>
        <w:rPr>
          <w:rFonts w:ascii="Arial" w:cs="Arial" w:eastAsia="Arial" w:hAnsi="Arial"/>
          <w:sz w:val="16"/>
          <w:szCs w:val="16"/>
          <w:color w:val="auto"/>
        </w:rPr>
        <w:t>American Pipeline, L.P. (NYSE: PAA). This prospectus supplement shall not be deemed to be an offer to sell or a solicitation of an offer to buy the securities offered in the concurrent offering. For more information, please see "Prospectus Supplement Summary—Concurrent Offering."</w:t>
      </w:r>
    </w:p>
    <w:p>
      <w:pPr>
        <w:spacing w:after="0" w:line="147"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Our Class A shares are listed on the New York Stock Exchange (the "NYSE") under the symbol "PAGP." The last reported sale price of our Class A shares on the NYSE on September 17, 2019 was $22.87 per Class A share.</w:t>
      </w:r>
    </w:p>
    <w:p>
      <w:pPr>
        <w:spacing w:after="0" w:line="186" w:lineRule="exact"/>
        <w:rPr>
          <w:sz w:val="24"/>
          <w:szCs w:val="24"/>
          <w:color w:val="auto"/>
        </w:rPr>
      </w:pPr>
    </w:p>
    <w:p>
      <w:pPr>
        <w:ind w:right="100" w:firstLine="348"/>
        <w:spacing w:after="0" w:line="332" w:lineRule="auto"/>
        <w:rPr>
          <w:sz w:val="20"/>
          <w:szCs w:val="20"/>
          <w:color w:val="auto"/>
        </w:rPr>
      </w:pPr>
      <w:r>
        <w:rPr>
          <w:rFonts w:ascii="Arial" w:cs="Arial" w:eastAsia="Arial" w:hAnsi="Arial"/>
          <w:sz w:val="16"/>
          <w:szCs w:val="16"/>
          <w:color w:val="auto"/>
        </w:rPr>
        <w:t>The underwriter has agreed to purchase the Class A shares from the selling shareholder at a price of $ per share, which will result in $ of gross proceeds to the selling shareholder before expenses. We will not receive any proceeds from the sale of our Class A shares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w w:val="92"/>
              </w:rPr>
              <w:t>Per Class A share</w:t>
            </w:r>
          </w:p>
        </w:tc>
        <w:tc>
          <w:tcPr>
            <w:tcW w:w="128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Price to the public</w:t>
            </w:r>
          </w:p>
        </w:tc>
        <w:tc>
          <w:tcPr>
            <w:tcW w:w="1440" w:type="dxa"/>
            <w:vAlign w:val="bottom"/>
          </w:tcPr>
          <w:p>
            <w:pPr>
              <w:jc w:val="right"/>
              <w:ind w:right="95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7"/>
              <w:spacing w:after="0"/>
              <w:rPr>
                <w:sz w:val="20"/>
                <w:szCs w:val="20"/>
                <w:color w:val="auto"/>
              </w:rPr>
            </w:pPr>
            <w:r>
              <w:rPr>
                <w:rFonts w:ascii="Arial" w:cs="Arial" w:eastAsia="Arial" w:hAnsi="Arial"/>
                <w:sz w:val="18"/>
                <w:szCs w:val="18"/>
                <w:color w:val="auto"/>
              </w:rPr>
              <w:t>$</w:t>
            </w:r>
          </w:p>
        </w:tc>
      </w:tr>
      <w:tr>
        <w:trPr>
          <w:trHeight w:val="21"/>
        </w:trPr>
        <w:tc>
          <w:tcPr>
            <w:tcW w:w="2740" w:type="dxa"/>
            <w:vAlign w:val="bottom"/>
            <w:tcBorders>
              <w:bottom w:val="single" w:sz="8" w:color="auto"/>
            </w:tcBorders>
            <w:gridSpan w:val="2"/>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Underwriting discounts and commissions</w:t>
            </w:r>
          </w:p>
        </w:tc>
        <w:tc>
          <w:tcPr>
            <w:tcW w:w="1440" w:type="dxa"/>
            <w:vAlign w:val="bottom"/>
          </w:tcPr>
          <w:p>
            <w:pPr>
              <w:jc w:val="right"/>
              <w:ind w:right="95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7"/>
              <w:spacing w:after="0"/>
              <w:rPr>
                <w:sz w:val="20"/>
                <w:szCs w:val="20"/>
                <w:color w:val="auto"/>
              </w:rPr>
            </w:pPr>
            <w:r>
              <w:rPr>
                <w:rFonts w:ascii="Arial" w:cs="Arial" w:eastAsia="Arial" w:hAnsi="Arial"/>
                <w:sz w:val="18"/>
                <w:szCs w:val="18"/>
                <w:color w:val="auto"/>
              </w:rPr>
              <w:t>$</w:t>
            </w:r>
          </w:p>
        </w:tc>
      </w:tr>
      <w:tr>
        <w:trPr>
          <w:trHeight w:val="21"/>
        </w:trPr>
        <w:tc>
          <w:tcPr>
            <w:tcW w:w="2740" w:type="dxa"/>
            <w:vAlign w:val="bottom"/>
            <w:tcBorders>
              <w:bottom w:val="single" w:sz="8" w:color="auto"/>
            </w:tcBorders>
            <w:gridSpan w:val="2"/>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Proceeds to the selling shareholder</w:t>
            </w:r>
          </w:p>
        </w:tc>
        <w:tc>
          <w:tcPr>
            <w:tcW w:w="1440" w:type="dxa"/>
            <w:vAlign w:val="bottom"/>
          </w:tcPr>
          <w:p>
            <w:pPr>
              <w:jc w:val="right"/>
              <w:ind w:right="95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7"/>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4"/>
          <w:szCs w:val="24"/>
          <w:color w:val="auto"/>
        </w:rPr>
      </w:pPr>
    </w:p>
    <w:p>
      <w:pPr>
        <w:spacing w:after="0" w:line="313" w:lineRule="exact"/>
        <w:rPr>
          <w:sz w:val="24"/>
          <w:szCs w:val="24"/>
          <w:color w:val="auto"/>
        </w:rPr>
      </w:pPr>
    </w:p>
    <w:p>
      <w:pPr>
        <w:ind w:right="280" w:firstLine="351"/>
        <w:spacing w:after="0" w:line="301" w:lineRule="auto"/>
        <w:rPr>
          <w:sz w:val="20"/>
          <w:szCs w:val="20"/>
          <w:color w:val="auto"/>
        </w:rPr>
      </w:pPr>
      <w:r>
        <w:rPr>
          <w:rFonts w:ascii="Arial" w:cs="Arial" w:eastAsia="Arial" w:hAnsi="Arial"/>
          <w:sz w:val="19"/>
          <w:szCs w:val="19"/>
          <w:b w:val="1"/>
          <w:bCs w:val="1"/>
          <w:color w:val="auto"/>
        </w:rPr>
        <w:t>Investing in our Class A shares involves risks. Limited partnerships are inherently different from corporations. You should carefully consider the risks relating to investing in our Class A shares and each of the risk factors described under "Risk Factors" on page S-4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95885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360"/>
        <w:spacing w:after="0"/>
        <w:tabs>
          <w:tab w:leader="none" w:pos="5980" w:val="left"/>
        </w:tabs>
        <w:rPr>
          <w:sz w:val="20"/>
          <w:szCs w:val="20"/>
          <w:color w:val="auto"/>
        </w:rPr>
      </w:pPr>
      <w:r>
        <w:rPr>
          <w:rFonts w:ascii="Arial" w:cs="Arial" w:eastAsia="Arial" w:hAnsi="Arial"/>
          <w:sz w:val="16"/>
          <w:szCs w:val="16"/>
          <w:color w:val="auto"/>
        </w:rPr>
        <w:t>Delivery of the Class A shares is expected to be made on or about September</w:t>
      </w:r>
      <w:r>
        <w:rPr>
          <w:sz w:val="20"/>
          <w:szCs w:val="20"/>
          <w:color w:val="auto"/>
        </w:rPr>
        <w:tab/>
      </w:r>
      <w:r>
        <w:rPr>
          <w:rFonts w:ascii="Arial" w:cs="Arial" w:eastAsia="Arial" w:hAnsi="Arial"/>
          <w:sz w:val="15"/>
          <w:szCs w:val="15"/>
          <w:color w:val="auto"/>
        </w:rPr>
        <w:t>, 2019.</w:t>
      </w:r>
    </w:p>
    <w:p>
      <w:pPr>
        <w:spacing w:after="0" w:line="248" w:lineRule="exact"/>
        <w:rPr>
          <w:sz w:val="24"/>
          <w:szCs w:val="24"/>
          <w:color w:val="auto"/>
        </w:rPr>
      </w:pPr>
    </w:p>
    <w:p>
      <w:pPr>
        <w:jc w:val="center"/>
        <w:ind w:right="2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79375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12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Sole Book Running Manager</w:t>
      </w:r>
    </w:p>
    <w:p>
      <w:pPr>
        <w:sectPr>
          <w:pgSz w:w="11900" w:h="16838" w:orient="portrait"/>
          <w:cols w:equalWidth="0" w:num="1">
            <w:col w:w="11420"/>
          </w:cols>
          <w:pgMar w:left="240" w:top="685" w:right="239" w:bottom="12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161925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September</w:t>
      </w:r>
      <w:r>
        <w:rPr>
          <w:sz w:val="20"/>
          <w:szCs w:val="20"/>
          <w:color w:val="auto"/>
        </w:rPr>
        <w:tab/>
      </w:r>
      <w:r>
        <w:rPr>
          <w:rFonts w:ascii="Arial" w:cs="Arial" w:eastAsia="Arial" w:hAnsi="Arial"/>
          <w:sz w:val="15"/>
          <w:szCs w:val="1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6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Important Notice About Information in This Prospectus Supplement and the Accompanying Base Prospectus</w:t>
              </w:r>
            </w:hyperlink>
          </w:p>
        </w:tc>
        <w:tc>
          <w:tcPr>
            <w:tcW w:w="860" w:type="dxa"/>
            <w:vAlign w:val="bottom"/>
            <w:vMerge w:val="restart"/>
          </w:tcPr>
          <w:p>
            <w:pPr>
              <w:spacing w:after="0"/>
              <w:rPr>
                <w:sz w:val="14"/>
                <w:szCs w:val="14"/>
                <w:color w:val="auto"/>
              </w:rPr>
            </w:pPr>
          </w:p>
        </w:tc>
        <w:tc>
          <w:tcPr>
            <w:tcW w:w="4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60" w:type="dxa"/>
            <w:vAlign w:val="bottom"/>
            <w:tcBorders>
              <w:bottom w:val="single" w:sz="8" w:color="0000EE"/>
            </w:tcBorders>
            <w:gridSpan w:val="19"/>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3"/>
          </w:tcPr>
          <w:p>
            <w:pPr>
              <w:jc w:val="right"/>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Forward-Looking Statements</w:t>
              </w:r>
            </w:hyperlink>
          </w:p>
        </w:tc>
        <w:tc>
          <w:tcPr>
            <w:tcW w:w="64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Prospectus Supplement Summary</w:t>
              </w:r>
            </w:hyperlink>
          </w:p>
        </w:tc>
        <w:tc>
          <w:tcPr>
            <w:tcW w:w="6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8">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76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736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S-5</w:t>
              </w:r>
            </w:hyperlink>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Selling Shareholder</w:t>
              </w:r>
            </w:hyperlink>
          </w:p>
        </w:tc>
        <w:tc>
          <w:tcPr>
            <w:tcW w:w="71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8"/>
              </w:rPr>
            </w:pPr>
            <w:hyperlink w:anchor="page14">
              <w:r>
                <w:rPr>
                  <w:rFonts w:ascii="Arial" w:cs="Arial" w:eastAsia="Arial" w:hAnsi="Arial"/>
                  <w:sz w:val="18"/>
                  <w:szCs w:val="18"/>
                  <w:color w:val="0000EE"/>
                  <w:w w:val="78"/>
                </w:rPr>
                <w:t>S-7</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Underwriting</w:t>
              </w:r>
            </w:hyperlink>
          </w:p>
        </w:tc>
        <w:tc>
          <w:tcPr>
            <w:tcW w:w="756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66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gridSpan w:val="3"/>
          </w:tcPr>
          <w:p>
            <w:pPr>
              <w:ind w:left="68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85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Guide to Reading This Prospectus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6"/>
                <w:szCs w:val="16"/>
                <w:color w:val="0000EE"/>
                <w:w w:val="74"/>
              </w:rPr>
            </w:pPr>
            <w:hyperlink w:anchor="page28">
              <w:r>
                <w:rPr>
                  <w:rFonts w:ascii="Arial" w:cs="Arial" w:eastAsia="Arial" w:hAnsi="Arial"/>
                  <w:sz w:val="16"/>
                  <w:szCs w:val="16"/>
                  <w:color w:val="0000EE"/>
                  <w:w w:val="74"/>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4"/>
          </w:tcPr>
          <w:p>
            <w:pPr>
              <w:spacing w:after="0"/>
              <w:rPr>
                <w:sz w:val="17"/>
                <w:szCs w:val="17"/>
                <w:color w:val="auto"/>
              </w:rPr>
            </w:pPr>
          </w:p>
        </w:tc>
        <w:tc>
          <w:tcPr>
            <w:tcW w:w="57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9">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About Plains GP Holdings, L.P.</w:t>
              </w:r>
            </w:hyperlink>
          </w:p>
        </w:tc>
        <w:tc>
          <w:tcPr>
            <w:tcW w:w="6240" w:type="dxa"/>
            <w:vAlign w:val="bottom"/>
            <w:gridSpan w:val="8"/>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7620" w:type="dxa"/>
            <w:vAlign w:val="bottom"/>
            <w:gridSpan w:val="18"/>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7360" w:type="dxa"/>
            <w:vAlign w:val="bottom"/>
            <w:gridSpan w:val="15"/>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Price Range of Class A Shares and Distributions</w:t>
              </w:r>
            </w:hyperlink>
          </w:p>
        </w:tc>
        <w:tc>
          <w:tcPr>
            <w:tcW w:w="460" w:type="dxa"/>
            <w:vAlign w:val="bottom"/>
            <w:gridSpan w:val="6"/>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Our Cash Distribution Policy</w:t>
              </w:r>
            </w:hyperlink>
          </w:p>
        </w:tc>
        <w:tc>
          <w:tcPr>
            <w:tcW w:w="5120" w:type="dxa"/>
            <w:vAlign w:val="bottom"/>
            <w:gridSpan w:val="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The Partnership Agreement</w:t>
              </w:r>
            </w:hyperlink>
          </w:p>
        </w:tc>
        <w:tc>
          <w:tcPr>
            <w:tcW w:w="6460" w:type="dxa"/>
            <w:vAlign w:val="bottom"/>
            <w:gridSpan w:val="10"/>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Description of Our Shares</w:t>
              </w:r>
            </w:hyperlink>
          </w:p>
        </w:tc>
        <w:tc>
          <w:tcPr>
            <w:tcW w:w="6580" w:type="dxa"/>
            <w:vAlign w:val="bottom"/>
            <w:gridSpan w:val="11"/>
          </w:tcPr>
          <w:p>
            <w:pPr>
              <w:spacing w:after="0"/>
              <w:rPr>
                <w:sz w:val="17"/>
                <w:szCs w:val="17"/>
                <w:color w:val="auto"/>
              </w:rPr>
            </w:pPr>
          </w:p>
        </w:tc>
        <w:tc>
          <w:tcPr>
            <w:tcW w:w="460" w:type="dxa"/>
            <w:vAlign w:val="bottom"/>
            <w:gridSpan w:val="6"/>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22</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Investment in Plains GP Holdings, L.P. by Employee Benefit Plans</w:t>
              </w:r>
            </w:hyperlink>
          </w:p>
        </w:tc>
        <w:tc>
          <w:tcPr>
            <w:tcW w:w="460" w:type="dxa"/>
            <w:vAlign w:val="bottom"/>
            <w:gridSpan w:val="6"/>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Selling Shareholders</w:t>
              </w:r>
            </w:hyperlink>
          </w:p>
        </w:tc>
        <w:tc>
          <w:tcPr>
            <w:tcW w:w="3800" w:type="dxa"/>
            <w:vAlign w:val="bottom"/>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Plan of Distribution</w:t>
              </w:r>
            </w:hyperlink>
          </w:p>
        </w:tc>
        <w:tc>
          <w:tcPr>
            <w:tcW w:w="7060" w:type="dxa"/>
            <w:vAlign w:val="bottom"/>
            <w:gridSpan w:val="1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4">
              <w:r>
                <w:rPr>
                  <w:rFonts w:ascii="Arial" w:cs="Arial" w:eastAsia="Arial" w:hAnsi="Arial"/>
                  <w:sz w:val="10"/>
                  <w:szCs w:val="10"/>
                  <w:color w:val="0000EE"/>
                  <w:w w:val="71"/>
                </w:rPr>
                <w:t>34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7120" w:type="dxa"/>
            <w:vAlign w:val="bottom"/>
            <w:gridSpan w:val="1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36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7540" w:type="dxa"/>
            <w:vAlign w:val="bottom"/>
            <w:gridSpan w:val="16"/>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document is in two parts: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prospectus supplement and the accompanying base prospectus contain and incorporate by reference information that you should consider when making your investment decision. We have not, and neither the selling shareholder nor the underwriter or its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the selling shareholder are making an offer to sell our Class A shares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None of Plains GP Holdings, L.P., the selling shareholder, the underwriter or any of their respective representatives is making any representation to you regarding the legality of an investment in our Class A shares by you under applicable laws. You should consult with your own advisors as to legal, tax, business, financial and related aspects of an investment in the Class A shares.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This prospectus supplement contains forward-looking statements that are subject to a number of risks and uncertainties, many of which are beyond our control. Please read "Forward-Looking Statements" and "Risk Factors."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22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"ours," "we," "us," "the Partnership," "Plains GP Holdings, L.P." or "PAGP"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refers to Plains All American Pipeline, L.P. (NYSE: PAA), individually, or to PAA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 refers to the entity identified as the selling shareholder in "Selling Shareholder."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80"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on future results. Please read "Risk Factors" on page S-5 of this prospectus supplement and as discussed in Item 1A. "Risk Factors" in our Annual Report on </w:t>
      </w:r>
      <w:hyperlink r:id="rId19">
        <w:r>
          <w:rPr>
            <w:rFonts w:ascii="Arial" w:cs="Arial" w:eastAsia="Arial" w:hAnsi="Arial"/>
            <w:sz w:val="16"/>
            <w:szCs w:val="16"/>
            <w:u w:val="single" w:color="auto"/>
            <w:color w:val="0000EE"/>
          </w:rPr>
          <w:t>Form 10-K for the fiscal year ended December 31, 2018 (File No. 001-36132)</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color w:val="000000"/>
        </w:rPr>
        <w:t>in any subsequent quarterly report on Form 10-Q, which are incorporated in</w:t>
      </w:r>
      <w:r>
        <w:rPr>
          <w:rFonts w:ascii="Arial" w:cs="Arial" w:eastAsia="Arial" w:hAnsi="Arial"/>
          <w:sz w:val="16"/>
          <w:szCs w:val="16"/>
          <w:color w:val="0000EE"/>
        </w:rPr>
        <w:t xml:space="preserve"> </w:t>
      </w:r>
      <w:r>
        <w:rPr>
          <w:rFonts w:ascii="Arial" w:cs="Arial" w:eastAsia="Arial" w:hAnsi="Arial"/>
          <w:sz w:val="16"/>
          <w:szCs w:val="16"/>
          <w:color w:val="000000"/>
        </w:rPr>
        <w:t>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in or incorporated by reference into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w:t>
      </w:r>
      <w:hyperlink r:id="rId19">
        <w:r>
          <w:rPr>
            <w:rFonts w:ascii="Arial" w:cs="Arial" w:eastAsia="Arial" w:hAnsi="Arial"/>
            <w:sz w:val="16"/>
            <w:szCs w:val="16"/>
            <w:i w:val="1"/>
            <w:iCs w:val="1"/>
            <w:color w:val="auto"/>
          </w:rPr>
          <w:t xml:space="preserve">complete understanding of this offering of Class A shares. Please read "Risk Factors" on page S-5 of this prospectus supplement and in our </w:t>
        </w:r>
        <w:r>
          <w:rPr>
            <w:rFonts w:ascii="Arial" w:cs="Arial" w:eastAsia="Arial" w:hAnsi="Arial"/>
            <w:sz w:val="16"/>
            <w:szCs w:val="16"/>
            <w:i w:val="1"/>
            <w:iCs w:val="1"/>
            <w:u w:val="single" w:color="auto"/>
            <w:color w:val="0000EE"/>
          </w:rPr>
          <w:t>Annual Report</w:t>
        </w:r>
      </w:hyperlink>
      <w:r>
        <w:rPr>
          <w:rFonts w:ascii="Arial" w:cs="Arial" w:eastAsia="Arial" w:hAnsi="Arial"/>
          <w:sz w:val="16"/>
          <w:szCs w:val="16"/>
          <w:i w:val="1"/>
          <w:iCs w:val="1"/>
          <w:color w:val="auto"/>
        </w:rPr>
        <w:t xml:space="preserve"> </w:t>
      </w:r>
      <w:hyperlink r:id="rId19">
        <w:r>
          <w:rPr>
            <w:rFonts w:ascii="Arial" w:cs="Arial" w:eastAsia="Arial" w:hAnsi="Arial"/>
            <w:sz w:val="16"/>
            <w:szCs w:val="16"/>
            <w:i w:val="1"/>
            <w:iCs w:val="1"/>
            <w:u w:val="single" w:color="auto"/>
            <w:color w:val="0000EE"/>
          </w:rPr>
          <w:t>on Form 10-K for the fiscal year ended December 31, 2018</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subsequent quarterly report on Form 10-Q, which are incorporated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herein, for information regarding risks you should consider before investing in our Class A shares.</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purposes. As of September 16, 2019, our sole cash-generating assets consisted of (i) a 100% managing member interest in GP LLC that has also elected to</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 taxed as a corporation for United States federal income tax purposes and (ii) an approximate 63% limited partner interest in AAP through our direct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ownership of approximately 166.0 million Class A units of AAP ("AAP Units") and indirect ownership of approximately 1.0 million AAP units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through GP LLC. GP LLC also holds the non-economic general partner interest in AAP. AAP, as of September 16, 2019, directly owned a limited partner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 PAA through its ownership of approximately 267.3 million PAA common units (approximately 33% of PAA's total outstanding common units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Series A preferred units combined). AAP is the sole member of PAA GP, which directly holds the non-economic general partner interest in PAA.</w:t>
      </w:r>
    </w:p>
    <w:p>
      <w:pPr>
        <w:spacing w:after="0" w:line="242" w:lineRule="exact"/>
        <w:rPr>
          <w:sz w:val="20"/>
          <w:szCs w:val="20"/>
          <w:color w:val="auto"/>
        </w:rPr>
      </w:pPr>
    </w:p>
    <w:p>
      <w:pPr>
        <w:jc w:val="both"/>
        <w:ind w:left="240" w:right="120" w:firstLine="351"/>
        <w:spacing w:after="0" w:line="29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67" w:lineRule="exact"/>
        <w:rPr>
          <w:sz w:val="20"/>
          <w:szCs w:val="20"/>
          <w:color w:val="auto"/>
        </w:rPr>
      </w:pPr>
    </w:p>
    <w:p>
      <w:pPr>
        <w:ind w:left="240" w:right="20" w:firstLine="351"/>
        <w:spacing w:after="0" w:line="256" w:lineRule="auto"/>
        <w:rPr>
          <w:sz w:val="20"/>
          <w:szCs w:val="20"/>
          <w:color w:val="auto"/>
        </w:rPr>
      </w:pPr>
      <w:r>
        <w:rPr>
          <w:rFonts w:ascii="Arial" w:cs="Arial" w:eastAsia="Arial" w:hAnsi="Arial"/>
          <w:sz w:val="18"/>
          <w:szCs w:val="18"/>
          <w:color w:val="auto"/>
        </w:rPr>
        <w:t>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160"/>
        <w:spacing w:after="0" w:line="306" w:lineRule="auto"/>
        <w:rPr>
          <w:sz w:val="20"/>
          <w:szCs w:val="20"/>
          <w:color w:val="auto"/>
        </w:rPr>
      </w:pPr>
      <w:r>
        <w:rPr>
          <w:rFonts w:ascii="Arial" w:cs="Arial" w:eastAsia="Arial" w:hAnsi="Arial"/>
          <w:sz w:val="16"/>
          <w:szCs w:val="16"/>
          <w:color w:val="auto"/>
        </w:rPr>
        <w:t>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From time to time, we may also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174" w:lineRule="exact"/>
        <w:rPr>
          <w:sz w:val="20"/>
          <w:szCs w:val="20"/>
          <w:color w:val="auto"/>
        </w:rPr>
      </w:pPr>
    </w:p>
    <w:p>
      <w:pPr>
        <w:ind w:left="240" w:right="14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Offering</w:t>
      </w:r>
    </w:p>
    <w:p>
      <w:pPr>
        <w:spacing w:after="0" w:line="231" w:lineRule="exact"/>
        <w:rPr>
          <w:sz w:val="20"/>
          <w:szCs w:val="20"/>
          <w:color w:val="auto"/>
        </w:rPr>
      </w:pPr>
    </w:p>
    <w:p>
      <w:pPr>
        <w:ind w:left="600"/>
        <w:spacing w:after="0"/>
        <w:tabs>
          <w:tab w:leader="none" w:pos="8840" w:val="left"/>
        </w:tabs>
        <w:rPr>
          <w:sz w:val="20"/>
          <w:szCs w:val="20"/>
          <w:color w:val="auto"/>
        </w:rPr>
      </w:pPr>
      <w:r>
        <w:rPr>
          <w:rFonts w:ascii="Arial" w:cs="Arial" w:eastAsia="Arial" w:hAnsi="Arial"/>
          <w:sz w:val="18"/>
          <w:szCs w:val="18"/>
          <w:color w:val="auto"/>
        </w:rPr>
        <w:t>Concurrently with this offering, the selling shareholder has commenced a public offering of an aggregate of</w:t>
      </w:r>
      <w:r>
        <w:rPr>
          <w:sz w:val="20"/>
          <w:szCs w:val="20"/>
          <w:color w:val="auto"/>
        </w:rPr>
        <w:tab/>
      </w:r>
      <w:r>
        <w:rPr>
          <w:rFonts w:ascii="Arial" w:cs="Arial" w:eastAsia="Arial" w:hAnsi="Arial"/>
          <w:sz w:val="16"/>
          <w:szCs w:val="16"/>
          <w:color w:val="auto"/>
        </w:rPr>
        <w:t>PAA common units, in an</w:t>
      </w:r>
    </w:p>
    <w:p>
      <w:pPr>
        <w:spacing w:after="0" w:line="15" w:lineRule="exact"/>
        <w:rPr>
          <w:sz w:val="20"/>
          <w:szCs w:val="20"/>
          <w:color w:val="auto"/>
        </w:rPr>
      </w:pPr>
    </w:p>
    <w:p>
      <w:pPr>
        <w:ind w:left="240" w:right="120"/>
        <w:spacing w:after="0" w:line="295" w:lineRule="auto"/>
        <w:rPr>
          <w:sz w:val="20"/>
          <w:szCs w:val="20"/>
          <w:color w:val="auto"/>
        </w:rPr>
      </w:pPr>
      <w:r>
        <w:rPr>
          <w:rFonts w:ascii="Arial" w:cs="Arial" w:eastAsia="Arial" w:hAnsi="Arial"/>
          <w:sz w:val="16"/>
          <w:szCs w:val="16"/>
          <w:color w:val="auto"/>
        </w:rPr>
        <w:t>offering we refer to herein as the concurrent offering. The concurrent offering is expected to close simultaneously with this offering, but we cannot assure you that the concurrent offering will close on these terms, on a timely basis or at all. This offering is not conditioned upon the closing of the concurrent offering and the concurrent offering is not conditioned upon the closing of this offering. This prospectus supplement shall not be deemed to be an offer to sell or a solicitation of an offer to buy the securities offered in the concurrent offering.</w:t>
      </w: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jc w:val="both"/>
        <w:ind w:left="240" w:right="340" w:firstLine="351"/>
        <w:spacing w:after="0" w:line="306" w:lineRule="auto"/>
        <w:rPr>
          <w:sz w:val="20"/>
          <w:szCs w:val="20"/>
          <w:color w:val="auto"/>
        </w:rPr>
      </w:pPr>
      <w:r>
        <w:rPr>
          <w:rFonts w:ascii="Arial" w:cs="Arial" w:eastAsia="Arial" w:hAnsi="Arial"/>
          <w:sz w:val="16"/>
          <w:szCs w:val="16"/>
          <w:color w:val="auto"/>
        </w:rPr>
        <w:t>Our executive offices are located at 333 Clay Street, Suite 1600, Houston, Texas 77002. Our telephone number is (713) 646-4100. We maintain a website at www.plainsallamerican.com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right="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Annual Report on </w:t>
      </w:r>
      <w:hyperlink r:id="rId19">
        <w:r>
          <w:rPr>
            <w:rFonts w:ascii="Arial" w:cs="Arial" w:eastAsia="Arial" w:hAnsi="Arial"/>
            <w:sz w:val="15"/>
            <w:szCs w:val="15"/>
            <w:u w:val="single" w:color="auto"/>
            <w:color w:val="0000EE"/>
          </w:rPr>
          <w:t>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4">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5">
        <w:r>
          <w:rPr>
            <w:rFonts w:ascii="Arial" w:cs="Arial" w:eastAsia="Arial" w:hAnsi="Arial"/>
            <w:sz w:val="15"/>
            <w:szCs w:val="15"/>
            <w:u w:val="single" w:color="auto"/>
            <w:color w:val="0000EE"/>
          </w:rPr>
          <w:t>June 30, 2019</w:t>
        </w:r>
      </w:hyperlink>
      <w:r>
        <w:rPr>
          <w:rFonts w:ascii="Arial" w:cs="Arial" w:eastAsia="Arial" w:hAnsi="Arial"/>
          <w:sz w:val="15"/>
          <w:szCs w:val="15"/>
          <w:color w:val="auto"/>
        </w:rPr>
        <w:t>, 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Class A Shares</w:t>
      </w:r>
    </w:p>
    <w:p>
      <w:pPr>
        <w:spacing w:after="0" w:line="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Offered by</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Selling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Class A shares.</w:t>
      </w:r>
    </w:p>
    <w:p>
      <w:pPr>
        <w:spacing w:after="0" w:line="217" w:lineRule="exact"/>
        <w:rPr>
          <w:sz w:val="20"/>
          <w:szCs w:val="20"/>
          <w:color w:val="auto"/>
        </w:rPr>
      </w:pPr>
    </w:p>
    <w:p>
      <w:pPr>
        <w:sectPr>
          <w:pgSz w:w="11900" w:h="16838" w:orient="portrait"/>
          <w:cols w:equalWidth="0" w:num="2">
            <w:col w:w="2420" w:space="720"/>
            <w:col w:w="8280"/>
          </w:cols>
          <w:pgMar w:left="240" w:top="131" w:right="239" w:bottom="1440" w:gutter="0" w:footer="0" w:header="0"/>
          <w:type w:val="continuous"/>
        </w:sectPr>
      </w:pPr>
    </w:p>
    <w:p>
      <w:pPr>
        <w:spacing w:after="0" w:line="4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Class A Shares</w:t>
      </w:r>
    </w:p>
    <w:p>
      <w:pPr>
        <w:spacing w:after="0" w:line="5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Outstanding</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After This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right="1380" w:firstLine="527"/>
        <w:spacing w:after="0" w:line="268" w:lineRule="auto"/>
        <w:rPr>
          <w:sz w:val="20"/>
          <w:szCs w:val="20"/>
          <w:color w:val="auto"/>
        </w:rPr>
      </w:pPr>
      <w:r>
        <w:rPr>
          <w:rFonts w:ascii="Arial" w:cs="Arial" w:eastAsia="Arial" w:hAnsi="Arial"/>
          <w:sz w:val="18"/>
          <w:szCs w:val="18"/>
          <w:color w:val="auto"/>
        </w:rPr>
        <w:t>Class A shares. As a result of this offering, and the concurrent offering, PAGP's ownership interest in AAP will increase from approximately % to approximately %.</w:t>
      </w:r>
    </w:p>
    <w:p>
      <w:pPr>
        <w:spacing w:after="0" w:line="186" w:lineRule="exact"/>
        <w:rPr>
          <w:sz w:val="20"/>
          <w:szCs w:val="20"/>
          <w:color w:val="auto"/>
        </w:rPr>
      </w:pPr>
    </w:p>
    <w:p>
      <w:pPr>
        <w:sectPr>
          <w:pgSz w:w="11900" w:h="16838" w:orient="portrait"/>
          <w:cols w:equalWidth="0" w:num="2">
            <w:col w:w="2400" w:space="200"/>
            <w:col w:w="8820"/>
          </w:cols>
          <w:pgMar w:left="240" w:top="131"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Use of</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Proceeds</w:t>
      </w:r>
    </w:p>
    <w:p>
      <w:pPr>
        <w:spacing w:after="0" w:line="20" w:lineRule="exact"/>
        <w:rPr>
          <w:sz w:val="20"/>
          <w:szCs w:val="20"/>
          <w:color w:val="auto"/>
        </w:rPr>
      </w:pPr>
      <w:r>
        <w:rPr>
          <w:sz w:val="20"/>
          <w:szCs w:val="20"/>
          <w:color w:val="auto"/>
        </w:rPr>
        <w:br w:type="column"/>
      </w:r>
    </w:p>
    <w:p>
      <w:pPr>
        <w:ind w:right="1480"/>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 in this offering. Please read "Use of Proceeds" in this prospectus supplement for further information.</w:t>
      </w:r>
    </w:p>
    <w:p>
      <w:pPr>
        <w:spacing w:after="0" w:line="139" w:lineRule="exact"/>
        <w:rPr>
          <w:sz w:val="20"/>
          <w:szCs w:val="20"/>
          <w:color w:val="auto"/>
        </w:rPr>
      </w:pPr>
    </w:p>
    <w:p>
      <w:pPr>
        <w:sectPr>
          <w:pgSz w:w="11900" w:h="16838" w:orient="portrait"/>
          <w:cols w:equalWidth="0" w:num="2">
            <w:col w:w="2160" w:space="440"/>
            <w:col w:w="8820"/>
          </w:cols>
          <w:pgMar w:left="240" w:top="131"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Cash</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Distributions</w:t>
      </w:r>
    </w:p>
    <w:p>
      <w:pPr>
        <w:spacing w:after="0" w:line="20" w:lineRule="exact"/>
        <w:rPr>
          <w:sz w:val="20"/>
          <w:szCs w:val="20"/>
          <w:color w:val="auto"/>
        </w:rPr>
      </w:pPr>
      <w:r>
        <w:rPr>
          <w:sz w:val="20"/>
          <w:szCs w:val="20"/>
          <w:color w:val="auto"/>
        </w:rPr>
        <w:br w:type="column"/>
      </w:r>
    </w:p>
    <w:p>
      <w:pPr>
        <w:ind w:right="1340"/>
        <w:spacing w:after="0" w:line="283" w:lineRule="auto"/>
        <w:rPr>
          <w:sz w:val="20"/>
          <w:szCs w:val="20"/>
          <w:color w:val="auto"/>
        </w:rPr>
      </w:pPr>
      <w:r>
        <w:rPr>
          <w:rFonts w:ascii="Arial" w:cs="Arial" w:eastAsia="Arial" w:hAnsi="Arial"/>
          <w:sz w:val="16"/>
          <w:szCs w:val="16"/>
          <w:color w:val="auto"/>
        </w:rPr>
        <w:t>Our partnership agreement requires that within 55 days following the end of each quarter, we distribute all of our available cash to Class A shareholders of record upon the applicable record date. Available cash generally means, for any quarter ending prior to liquidation, all cash and cash equivalents on hand at the date of determination of available cash for the distribution in respect of such quarter (including expected</w:t>
      </w:r>
    </w:p>
    <w:p>
      <w:pPr>
        <w:spacing w:after="0" w:line="3" w:lineRule="exact"/>
        <w:rPr>
          <w:sz w:val="20"/>
          <w:szCs w:val="20"/>
          <w:color w:val="auto"/>
        </w:rPr>
      </w:pPr>
    </w:p>
    <w:p>
      <w:pPr>
        <w:sectPr>
          <w:pgSz w:w="11900" w:h="16838" w:orient="portrait"/>
          <w:cols w:equalWidth="0" w:num="2">
            <w:col w:w="2440" w:space="160"/>
            <w:col w:w="8820"/>
          </w:cols>
          <w:pgMar w:left="240" w:top="131" w:right="239" w:bottom="1440" w:gutter="0" w:footer="0" w:header="0"/>
          <w:type w:val="continuous"/>
        </w:sectPr>
      </w:pPr>
    </w:p>
    <w:p>
      <w:pPr>
        <w:ind w:left="2600" w:right="1440"/>
        <w:spacing w:after="0" w:line="287" w:lineRule="auto"/>
        <w:rPr>
          <w:sz w:val="20"/>
          <w:szCs w:val="20"/>
          <w:color w:val="auto"/>
        </w:rPr>
      </w:pPr>
      <w:r>
        <w:rPr>
          <w:rFonts w:ascii="Arial" w:cs="Arial" w:eastAsia="Arial" w:hAnsi="Arial"/>
          <w:sz w:val="16"/>
          <w:szCs w:val="16"/>
          <w:color w:val="auto"/>
        </w:rPr>
        <w:t>distributions from AAP in respect of such quarter), less the amount of cash reserves established by our general partner, which will not be subject to a cap, to (i) comply with applicable law or any agreement binding upon us or our subsidiaries (exclusive of PAA and its subsidiaries), (ii) provide funds for future distributions to shareholders, (iii) provide for future capital expenditures, debt service and other credit needs as well as any federal, state, provincial or other income tax that may affect the Partnership in the future or (iv) provide for the proper conduct of our business, including with respect to the matters described under "The Partnership Agreement" of the accompanying base prospectus. For a description of our cash distribution policy, please read "Our Cash Distribution Policy" in the accompanying base prospectus.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On August 14, 2019, we paid a quarterly cash distribution of $0.36 per Class A share ($1.44 per Class A</w:t>
            </w:r>
          </w:p>
        </w:tc>
      </w:t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share on an annualized basis) to holders of record of such Class A shares at the close of business on</w:t>
            </w:r>
          </w:p>
        </w:tc>
      </w:t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July 31, 2019. This distribution represented a year-over-year distribution increase of approximately 20%</w:t>
            </w:r>
          </w:p>
        </w:tc>
      </w:t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over the quarterly distribution of $0.30 per Class A share ($1.20 per Class A share on an annualized basis)</w:t>
            </w:r>
          </w:p>
        </w:tc>
      </w:tr>
      <w:tr>
        <w:trPr>
          <w:trHeight w:val="222"/>
        </w:trPr>
        <w:tc>
          <w:tcPr>
            <w:tcW w:w="2320" w:type="dxa"/>
            <w:vAlign w:val="bottom"/>
          </w:tcPr>
          <w:p>
            <w:pPr>
              <w:spacing w:after="0"/>
              <w:rPr>
                <w:sz w:val="19"/>
                <w:szCs w:val="19"/>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we paid in August 2018.</w:t>
            </w:r>
          </w:p>
        </w:tc>
      </w:tr>
      <w:tr>
        <w:trPr>
          <w:trHeight w:val="426"/>
        </w:trPr>
        <w:tc>
          <w:tcPr>
            <w:tcW w:w="2320" w:type="dxa"/>
            <w:vAlign w:val="bottom"/>
          </w:tcPr>
          <w:p>
            <w:pPr>
              <w:spacing w:after="0"/>
              <w:rPr>
                <w:sz w:val="24"/>
                <w:szCs w:val="24"/>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Cash distributions in respect of the third quarter of 2019 have not been declared or paid. Because this</w:t>
            </w:r>
          </w:p>
        </w:tc>
      </w:t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offering is expected to close before the record date for the third quarter of 2019 distribution, purchasers in</w:t>
            </w:r>
          </w:p>
        </w:tc>
      </w:tr>
      <w:tr>
        <w:trPr>
          <w:trHeight w:val="216"/>
        </w:trPr>
        <w:tc>
          <w:tcPr>
            <w:tcW w:w="2320" w:type="dxa"/>
            <w:vAlign w:val="bottom"/>
          </w:tcPr>
          <w:p>
            <w:pPr>
              <w:spacing w:after="0"/>
              <w:rPr>
                <w:sz w:val="18"/>
                <w:szCs w:val="18"/>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this offering will be entitled to receive the third quarter of 2019 distribution so long as they are holders of</w:t>
            </w:r>
          </w:p>
        </w:tc>
      </w:tr>
      <w:tr>
        <w:trPr>
          <w:trHeight w:val="222"/>
        </w:trPr>
        <w:tc>
          <w:tcPr>
            <w:tcW w:w="2320" w:type="dxa"/>
            <w:vAlign w:val="bottom"/>
          </w:tcPr>
          <w:p>
            <w:pPr>
              <w:spacing w:after="0"/>
              <w:rPr>
                <w:sz w:val="19"/>
                <w:szCs w:val="19"/>
                <w:color w:val="auto"/>
              </w:rPr>
            </w:pPr>
          </w:p>
        </w:tc>
        <w:tc>
          <w:tcPr>
            <w:tcW w:w="9100" w:type="dxa"/>
            <w:vAlign w:val="bottom"/>
          </w:tcPr>
          <w:p>
            <w:pPr>
              <w:ind w:left="280"/>
              <w:spacing w:after="0"/>
              <w:rPr>
                <w:sz w:val="20"/>
                <w:szCs w:val="20"/>
                <w:color w:val="auto"/>
              </w:rPr>
            </w:pPr>
            <w:r>
              <w:rPr>
                <w:rFonts w:ascii="Arial" w:cs="Arial" w:eastAsia="Arial" w:hAnsi="Arial"/>
                <w:sz w:val="18"/>
                <w:szCs w:val="18"/>
                <w:color w:val="auto"/>
              </w:rPr>
              <w:t>record on the record date for such distribution.</w:t>
            </w:r>
          </w:p>
        </w:tc>
      </w:tr>
      <w:tr>
        <w:trPr>
          <w:trHeight w:val="426"/>
        </w:trPr>
        <w:tc>
          <w:tcPr>
            <w:tcW w:w="2320" w:type="dxa"/>
            <w:vAlign w:val="bottom"/>
          </w:tcPr>
          <w:p>
            <w:pPr>
              <w:ind w:left="1340"/>
              <w:spacing w:after="0"/>
              <w:rPr>
                <w:sz w:val="20"/>
                <w:szCs w:val="20"/>
                <w:color w:val="auto"/>
              </w:rPr>
            </w:pPr>
            <w:r>
              <w:rPr>
                <w:rFonts w:ascii="Arial" w:cs="Arial" w:eastAsia="Arial" w:hAnsi="Arial"/>
                <w:sz w:val="18"/>
                <w:szCs w:val="18"/>
                <w:color w:val="auto"/>
              </w:rPr>
              <w:t>Exchange</w:t>
            </w:r>
          </w:p>
        </w:tc>
        <w:tc>
          <w:tcPr>
            <w:tcW w:w="9100" w:type="dxa"/>
            <w:vAlign w:val="bottom"/>
          </w:tcPr>
          <w:p>
            <w:pPr>
              <w:spacing w:after="0"/>
              <w:rPr>
                <w:sz w:val="24"/>
                <w:szCs w:val="24"/>
                <w:color w:val="auto"/>
              </w:rPr>
            </w:pPr>
          </w:p>
        </w:tc>
      </w:tr>
      <w:tr>
        <w:trPr>
          <w:trHeight w:val="222"/>
        </w:trPr>
        <w:tc>
          <w:tcPr>
            <w:tcW w:w="2320" w:type="dxa"/>
            <w:vAlign w:val="bottom"/>
          </w:tcPr>
          <w:p>
            <w:pPr>
              <w:ind w:left="1520"/>
              <w:spacing w:after="0"/>
              <w:rPr>
                <w:sz w:val="20"/>
                <w:szCs w:val="20"/>
                <w:color w:val="auto"/>
              </w:rPr>
            </w:pPr>
            <w:r>
              <w:rPr>
                <w:rFonts w:ascii="Arial" w:cs="Arial" w:eastAsia="Arial" w:hAnsi="Arial"/>
                <w:sz w:val="18"/>
                <w:szCs w:val="18"/>
                <w:color w:val="auto"/>
              </w:rPr>
              <w:t>Listing</w:t>
            </w:r>
          </w:p>
        </w:tc>
        <w:tc>
          <w:tcPr>
            <w:tcW w:w="9100" w:type="dxa"/>
            <w:vAlign w:val="bottom"/>
          </w:tcPr>
          <w:p>
            <w:pPr>
              <w:ind w:left="280"/>
              <w:spacing w:after="0"/>
              <w:rPr>
                <w:sz w:val="20"/>
                <w:szCs w:val="20"/>
                <w:color w:val="auto"/>
              </w:rPr>
            </w:pPr>
            <w:r>
              <w:rPr>
                <w:rFonts w:ascii="Arial" w:cs="Arial" w:eastAsia="Arial" w:hAnsi="Arial"/>
                <w:sz w:val="18"/>
                <w:szCs w:val="18"/>
                <w:color w:val="auto"/>
              </w:rPr>
              <w:t>Our Class A shares are traded on the NYSE under the symbol "PAGP."</w:t>
            </w:r>
          </w:p>
        </w:tc>
      </w:tr>
      <w:tr>
        <w:trPr>
          <w:trHeight w:val="228"/>
        </w:trPr>
        <w:tc>
          <w:tcPr>
            <w:tcW w:w="232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r>
      <w:tr>
        <w:trPr>
          <w:trHeight w:val="427"/>
        </w:trPr>
        <w:tc>
          <w:tcPr>
            <w:tcW w:w="2320" w:type="dxa"/>
            <w:vAlign w:val="bottom"/>
          </w:tcPr>
          <w:p>
            <w:pPr>
              <w:spacing w:after="0"/>
              <w:rPr>
                <w:sz w:val="24"/>
                <w:szCs w:val="24"/>
                <w:color w:val="auto"/>
              </w:rPr>
            </w:pPr>
          </w:p>
        </w:tc>
        <w:tc>
          <w:tcPr>
            <w:tcW w:w="9100" w:type="dxa"/>
            <w:vAlign w:val="bottom"/>
          </w:tcPr>
          <w:p>
            <w:pPr>
              <w:ind w:left="3280"/>
              <w:spacing w:after="0"/>
              <w:rPr>
                <w:sz w:val="20"/>
                <w:szCs w:val="20"/>
                <w:color w:val="auto"/>
              </w:rPr>
            </w:pPr>
            <w:r>
              <w:rPr>
                <w:rFonts w:ascii="Arial" w:cs="Arial" w:eastAsia="Arial" w:hAnsi="Arial"/>
                <w:sz w:val="18"/>
                <w:szCs w:val="18"/>
                <w:color w:val="auto"/>
              </w:rPr>
              <w:t>S-3</w:t>
            </w:r>
          </w:p>
        </w:tc>
      </w:tr>
      <w:tr>
        <w:trPr>
          <w:trHeight w:val="228"/>
        </w:trPr>
        <w:tc>
          <w:tcPr>
            <w:tcW w:w="2320" w:type="dxa"/>
            <w:vAlign w:val="bottom"/>
            <w:tcBorders>
              <w:bottom w:val="single" w:sz="8" w:color="808080"/>
            </w:tcBorders>
          </w:tcPr>
          <w:p>
            <w:pPr>
              <w:spacing w:after="0"/>
              <w:rPr>
                <w:sz w:val="19"/>
                <w:szCs w:val="19"/>
                <w:color w:val="auto"/>
              </w:rPr>
            </w:pPr>
          </w:p>
        </w:tc>
        <w:tc>
          <w:tcPr>
            <w:tcW w:w="9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color w:val="auto"/>
        </w:rPr>
      </w:pPr>
      <w:r>
        <w:rPr>
          <w:rFonts w:ascii="Arial" w:cs="Arial" w:eastAsia="Arial" w:hAnsi="Arial"/>
          <w:sz w:val="16"/>
          <w:szCs w:val="16"/>
          <w:color w:val="auto"/>
        </w:rPr>
        <w:t xml:space="preserve">Before making an investment in the Class A shares offered hereby, you should carefully consider the risk factors included in Item 1A. "Risk Factors" of our Annual Report on </w:t>
      </w:r>
      <w:hyperlink r:id="rId19">
        <w:r>
          <w:rPr>
            <w:rFonts w:ascii="Arial" w:cs="Arial" w:eastAsia="Arial" w:hAnsi="Arial"/>
            <w:sz w:val="16"/>
            <w:szCs w:val="16"/>
            <w:u w:val="single" w:color="auto"/>
            <w:color w:val="0000EE"/>
          </w:rPr>
          <w:t>Form 10-K for the fiscal year ended December 31, 2018 (File No. 001-36132)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 on Form 10-Q, which are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Class A shares could decline, and you could lose all or part of your investment.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not receive any of the proceeds from the sale of Class A shares by the selling shareholder in this offering. We will cause PAA to pay certain expenses, other than underwriting discounts and commissions, associated with the sale of Class A shares to be offered by the selling shareholder under this prospectus supplement.</w:t>
      </w:r>
    </w:p>
    <w:p>
      <w:pPr>
        <w:spacing w:after="0" w:line="19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SHAREHOLDER</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table sets forth the number Class A shares owned by the selling shareholder prior to this offering, the number of Class A shares to be offered for sale by the selling shareholder in this offering, the number of Class A shares to be owned by the selling shareholder after completion of this offering and the percentage of our issued and outstanding Class A shares owned by the selling shareholder prior to this offering and to be owned after the completion of this offering.</w:t>
      </w:r>
    </w:p>
    <w:p>
      <w:pPr>
        <w:spacing w:after="0" w:line="197"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color w:val="auto"/>
        </w:rPr>
        <w:t>Beneficial ownership of shares is determined under the rules of the SEC and generally includes any shares over which a person exercises sole or shared voting or investment power. Percentage of beneficial ownership is based on 167,004,761 Class A shares issued and outstanding as of September 16, 2019.</w:t>
      </w:r>
    </w:p>
    <w:p>
      <w:pPr>
        <w:spacing w:after="0" w:line="11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Except as indicated in footnotes to this table, we believe that the shareholder named in this table has sole voting and investment power with respect to all Class A shares shown to be beneficially owned by it, based on information provided to us by such shareholder.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 the Offering</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Hereby(2)</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Oxy Holding Company (Pipeline), Inc.(1)</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88" w:lineRule="auto"/>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Class A shares held by Oxy Holding Company (Pipeline), Inc. is controlled by the board of directors of Occidental Petroleum Company. Pursuant to the Third Amended and Restated Limited Liability Company Agreement of our general partner (the "PAGP GP LLC Agreement"), Oxy Holding Company (Pipeline), Inc. will have the right to designate a director to our general partner's board of directors for as long as it owns at least a 10% Qualifying Interest (as that term is defined in the PAGP GP LLC Agreement). Oscar K. Brown currently serves as Oxy Holding Company (Pipeline), Inc.'s designee.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our general partner's board of directors effective upon closing of the concurrent offerings.</w:t>
      </w:r>
    </w:p>
    <w:p>
      <w:pPr>
        <w:spacing w:after="0" w:line="174" w:lineRule="exact"/>
        <w:rPr>
          <w:sz w:val="20"/>
          <w:szCs w:val="20"/>
          <w:color w:val="auto"/>
        </w:rPr>
      </w:pPr>
    </w:p>
    <w:p>
      <w:pPr>
        <w:ind w:left="1680" w:right="260" w:hanging="539"/>
        <w:spacing w:after="0" w:line="268" w:lineRule="auto"/>
        <w:tabs>
          <w:tab w:leader="none" w:pos="16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In addition to the Class A shares offered in this offering, the selling shareholder is offering common units of PAA in the concurrent offering..</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jc w:val="both"/>
        <w:ind w:right="8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This discussion supersedes the discussion under "Material U.S. Federal Income Tax Consequences" in the accompanying base prospectus. Additionally, this discussion should be read in conjunction with the risk factors included under the caption "Tax Risks" in our Annual Report on Form 10-K for the year ended December 31, 2018, and any tax-related risk factors included in any of our Quarterly Reports on Forms 10-Q filed after such Annual Report.</w:t>
      </w:r>
    </w:p>
    <w:p>
      <w:pPr>
        <w:spacing w:after="0" w:line="16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72" w:lineRule="exact"/>
        <w:rPr>
          <w:sz w:val="20"/>
          <w:szCs w:val="20"/>
          <w:color w:val="auto"/>
        </w:rPr>
      </w:pPr>
    </w:p>
    <w:p>
      <w:pPr>
        <w:jc w:val="both"/>
        <w:ind w:right="300" w:firstLine="341"/>
        <w:spacing w:after="0" w:line="306" w:lineRule="auto"/>
        <w:rPr>
          <w:sz w:val="20"/>
          <w:szCs w:val="20"/>
          <w:color w:val="auto"/>
        </w:rPr>
      </w:pPr>
      <w:r>
        <w:rPr>
          <w:rFonts w:ascii="Arial" w:cs="Arial" w:eastAsia="Arial" w:hAnsi="Arial"/>
          <w:sz w:val="16"/>
          <w:szCs w:val="16"/>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1"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8"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or withholding tax on any gain realized upon the sale or other disposition of our Class A shares unless:</w:t>
      </w:r>
    </w:p>
    <w:p>
      <w:pPr>
        <w:spacing w:after="0" w:line="199" w:lineRule="exact"/>
        <w:rPr>
          <w:sz w:val="20"/>
          <w:szCs w:val="20"/>
          <w:color w:val="auto"/>
        </w:rPr>
      </w:pPr>
    </w:p>
    <w:p>
      <w:pPr>
        <w:ind w:left="1080" w:right="1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66"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Any dividends paid to a non-U.S. holder must be reported annually to the IRS and to each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72"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Subject to the terms and conditions set forth in an underwriting agreement among us, the selling shareholder and Barclays Capital Inc.(the "underwriter"), the selling shareholder has agreed to sell to the underwriter and the underwriter has agreed to purchase all of the Class A shares included in this offering.</w:t>
      </w:r>
    </w:p>
    <w:p>
      <w:pPr>
        <w:spacing w:after="0" w:line="11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Class A shares included in this offering are subject to approval of legal matters by counsel and to other conditions. Under the terms of the underwriting agreement, the underwriter is committed to purchase all of the Class A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Commissions and Discounts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ind w:left="360"/>
              <w:spacing w:after="0"/>
              <w:rPr>
                <w:sz w:val="20"/>
                <w:szCs w:val="20"/>
                <w:color w:val="auto"/>
              </w:rPr>
            </w:pPr>
            <w:r>
              <w:rPr>
                <w:rFonts w:ascii="Arial" w:cs="Arial" w:eastAsia="Arial" w:hAnsi="Arial"/>
                <w:sz w:val="18"/>
                <w:szCs w:val="18"/>
                <w:color w:val="auto"/>
                <w:w w:val="93"/>
              </w:rPr>
              <w:t>The following table summarizes the underwriting discount the selling shareholder will pay to the underwriters.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to offer some of the Class A shares directly to the public at the public offering price set forth on the cover page of this prospectus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some of the Class A shares to dealers at the public offering price less a concession not to exceed $ per Class A share. If all of the Class A shares are not sold at the initial offering price, the underwriters may change the public offering price and the other selling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 xml:space="preserve">We have agreed that, for a period of 30 days from the date of this prospectus supplement, we will not, without the prior written consent of the underwriter, offer, sell, contract to sell, pledge or otherwise dispose of any Class A shares, PAA common units or any securities convertible into, or exercisable or exchangeable for or that represent the right to receive Class A shares, PAA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Class A shares or PAA common units, including the grant of any options or warrants to purchase Class A shares or PAA common units. This agreement also will not apply to</w:t>
      </w:r>
    </w:p>
    <w:p>
      <w:pPr>
        <w:spacing w:after="0" w:line="3" w:lineRule="exact"/>
        <w:rPr>
          <w:sz w:val="20"/>
          <w:szCs w:val="20"/>
          <w:color w:val="auto"/>
        </w:rPr>
      </w:pPr>
    </w:p>
    <w:p>
      <w:pPr>
        <w:ind w:right="120" w:firstLine="8"/>
        <w:spacing w:after="0" w:line="288" w:lineRule="auto"/>
        <w:tabs>
          <w:tab w:leader="none" w:pos="2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grants under existing employee benefit plans (including long-term incentive plans adopted by our general partner, AAP or GP LLC), (ii) issuances of Class A shares, PAA common units or any securities convertible or exchangeable into Class A shares or PAA common units as payment of any part of the purchase price in connection with acquisitions by us and our affiliates or any third parties (with any transferees in such acquisitions agreeing to be bound by the lock-up agreement for the remainder of the term), or (iii) issuances or deliveries of Class A shares or PAA common units in connection with the conversion, vesting or exercise of securities (including long-term incentive plan awards and the right of holders of AAP Class A units to exchange such AAP Class A Units and our Class B shares for our Class A shares or redeem such AAP Class A units and our Class B shares for PAA common units) currently outstanding. The underwriter, in its sole discretion, may release any of the Class A shares or PAA common units subject to these lock-up agreements at any time without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NYSE under the symbol "PAGP."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offering, the underwriter may purchase and sell Class A shares in the open market. These transactions may include short sales, syndicate covering transactions and stabilizing transactions. Short sales involve syndicate sales of Class A shares in excess of the number of Class A shares to be purchased by the underwriter in the offering, which creates a syndicate short position. "Covered" short sales are sales of Class A shares made in an amount up to the number of Class A shares represented by the underwriter's option to purchase additional Class A shares. In determining the source of Class A shares to close out the covered syndicate short position, the underwriter will consider, among other things, the price of Class A shares available for purchase in the open market as compared to the price at which it may purchase units through the option to purchase additional Class A shares. Transactions to close out the covered syndicate short position involve either purchases of the Class A shares in the open market after the distribution has been completed or the exercise of the option to purchase additional Class A shares. The underwriter may also make "naked" short sales of Class A shares in excess of the option to purchase additional Class A shares. The underwriter must close out any naked short position by purchasing Class A shares in the open market. A naked short position is more likely to be created if the underwriter is concerned that there may be downward pressure on the price of the Class A shares in the open market after pricing that could adversely affect investors who purchase in the offering. Stabilizing transactions consist of bids for or purchases of Class A shares in the open market while the offering is in progress.</w:t>
      </w:r>
    </w:p>
    <w:p>
      <w:pPr>
        <w:spacing w:after="0" w:line="178" w:lineRule="exact"/>
        <w:rPr>
          <w:sz w:val="20"/>
          <w:szCs w:val="20"/>
          <w:color w:val="auto"/>
        </w:rPr>
      </w:pPr>
    </w:p>
    <w:p>
      <w:pPr>
        <w:ind w:right="440" w:firstLine="348"/>
        <w:spacing w:after="0" w:line="370" w:lineRule="auto"/>
        <w:rPr>
          <w:sz w:val="20"/>
          <w:szCs w:val="20"/>
          <w:color w:val="auto"/>
        </w:rPr>
      </w:pPr>
      <w:r>
        <w:rPr>
          <w:rFonts w:ascii="Arial" w:cs="Arial" w:eastAsia="Arial" w:hAnsi="Arial"/>
          <w:sz w:val="15"/>
          <w:szCs w:val="15"/>
          <w:color w:val="auto"/>
        </w:rPr>
        <w:t>The underwriter also may impose a penalty bid. Penalty bids permit the underwriter to reclaim a selling concession from a syndicate member when the underwriter repurchases Class A shares originally sold by that syndicate member in order to cover syndicate short positions or make stabilizing purchases.</w:t>
      </w:r>
    </w:p>
    <w:p>
      <w:pPr>
        <w:spacing w:after="0" w:line="11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Class A shares. They may also cause the price of the Class A shares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tabs>
          <w:tab w:leader="none" w:pos="9900" w:val="left"/>
        </w:tabs>
        <w:rPr>
          <w:sz w:val="20"/>
          <w:szCs w:val="20"/>
          <w:color w:val="auto"/>
        </w:rPr>
      </w:pPr>
      <w:r>
        <w:rPr>
          <w:rFonts w:ascii="Arial" w:cs="Arial" w:eastAsia="Arial" w:hAnsi="Arial"/>
          <w:sz w:val="16"/>
          <w:szCs w:val="16"/>
          <w:color w:val="auto"/>
        </w:rPr>
        <w:t>We estimate that our total expenses of this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affiliate of the underwriter is a lender under PAA's senior unsecured revolving credit facility.</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acquire, long and/or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in electronic format may be made available on the website maintained by the underwriter. The underwriter may agree to allocate a number of Class A shares for sale to their online brokerage account holders. The Class A shares will be allocated to the underwriter, which may make Internet distributions on the same basis as other allocations. In addition, Class A shares may be sold by the underwriter to securities dealers who resell Class A shares to online brokerage account holders.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Class A shares. The underwriter is not responsible for information contained in websites that it does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agreed to indemnify the underwriter and the selling shareholder against certain liabilities, including liabilities under the Securities Act of 1933, as amended, or to contribute to payments the underwriter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shares offered in this prospectus supplement have not been and will not be registered under the Financial Instruments and Exchange Law of Japan (the "Financial Instruments and Exchange Law"), and the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requirements of Japanese law.</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 the in the SFA.</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by operation of law.</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Solely for the purposes of its obligations pursuant to Sections 309B(1)(a) and 309B(1)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Class A shares offered in this prospectus supplement will be passed upon for us by Vinson &amp; Elkins L.L.P., Houston, Texas. Certain legal matters will be passed upon for the underwriter by Baker Botts L.L.P., Houston, Texas. Certain legal matters will be passed upon for the selling shareholder by Latham &amp; Watkins, LLP, Houston, Texas.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9">
        <w:r>
          <w:rPr>
            <w:rFonts w:ascii="Arial" w:cs="Arial" w:eastAsia="Arial" w:hAnsi="Arial"/>
            <w:sz w:val="18"/>
            <w:szCs w:val="18"/>
            <w:color w:val="auto"/>
          </w:rPr>
          <w:t xml:space="preserve">Report on Internal Control over Financial Reporting) incorporated in this Prospectus Supplement by reference to the Annual Report on </w:t>
        </w:r>
        <w:r>
          <w:rPr>
            <w:rFonts w:ascii="Arial" w:cs="Arial" w:eastAsia="Arial" w:hAnsi="Arial"/>
            <w:sz w:val="18"/>
            <w:szCs w:val="18"/>
            <w:u w:val="single" w:color="auto"/>
            <w:color w:val="0000EE"/>
          </w:rPr>
          <w:t>Form 10-K for the year</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Class A shares contemplated by this prospectus supplement are complete:</w:t>
      </w:r>
    </w:p>
    <w:p>
      <w:pPr>
        <w:spacing w:after="0" w:line="208" w:lineRule="exact"/>
        <w:rPr>
          <w:sz w:val="20"/>
          <w:szCs w:val="20"/>
          <w:color w:val="auto"/>
        </w:rPr>
      </w:pPr>
    </w:p>
    <w:p>
      <w:pPr>
        <w:ind w:left="1080" w:right="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9">
        <w:r>
          <w:rPr>
            <w:rFonts w:ascii="Arial" w:cs="Arial" w:eastAsia="Arial" w:hAnsi="Arial"/>
            <w:sz w:val="18"/>
            <w:szCs w:val="18"/>
            <w:u w:val="single" w:color="auto"/>
            <w:color w:val="0000EE"/>
          </w:rPr>
          <w:t>Form 10-K for the fiscal year ended December 31, 2018</w:t>
        </w:r>
      </w:hyperlink>
      <w:r>
        <w:rPr>
          <w:rFonts w:ascii="Arial" w:cs="Arial" w:eastAsia="Arial" w:hAnsi="Arial"/>
          <w:sz w:val="18"/>
          <w:szCs w:val="18"/>
          <w:color w:val="auto"/>
        </w:rPr>
        <w:t>, including information specifically incorporated by reference from our Proxy Statement for our 2019 Annual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43">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May 17, 2019</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May 30,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August 21,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September 11, 2019</w:t>
        </w:r>
      </w:hyperlink>
      <w:r>
        <w:rPr>
          <w:rFonts w:ascii="Arial" w:cs="Arial" w:eastAsia="Arial" w:hAnsi="Arial"/>
          <w:sz w:val="18"/>
          <w:szCs w:val="18"/>
          <w:color w:val="auto"/>
        </w:rPr>
        <w:t xml:space="preserve"> and </w:t>
      </w:r>
      <w:hyperlink r:id="rId49">
        <w:r>
          <w:rPr>
            <w:rFonts w:ascii="Arial" w:cs="Arial" w:eastAsia="Arial" w:hAnsi="Arial"/>
            <w:sz w:val="18"/>
            <w:szCs w:val="18"/>
            <w:u w:val="single" w:color="auto"/>
            <w:color w:val="0000EE"/>
          </w:rPr>
          <w:t>September 17,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the description of our Class A shares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ind w:left="5080"/>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ind w:left="4740"/>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ind w:left="492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340" w:firstLine="348"/>
        <w:spacing w:after="0" w:line="268"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us. The SEC's website address is www.sec.gov.</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152400</wp:posOffset>
            </wp:positionV>
            <wp:extent cx="3112770" cy="694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11277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402,447,679 Class A Shares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402,447,679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1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8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8"/>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Guide to Reading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8"/>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326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9">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About Plains GP Holdings, L.P.</w:t>
              </w:r>
            </w:hyperlink>
          </w:p>
        </w:tc>
        <w:tc>
          <w:tcPr>
            <w:tcW w:w="3780" w:type="dxa"/>
            <w:vAlign w:val="bottom"/>
            <w:gridSpan w:val="7"/>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5160" w:type="dxa"/>
            <w:vAlign w:val="bottom"/>
            <w:gridSpan w:val="1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490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Price Range of Class A Shares and Distributions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Our Cash Distribution Policy</w:t>
              </w:r>
            </w:hyperlink>
          </w:p>
        </w:tc>
        <w:tc>
          <w:tcPr>
            <w:tcW w:w="2660" w:type="dxa"/>
            <w:vAlign w:val="bottom"/>
            <w:gridSpan w:val="3"/>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The Partnership Agreement</w:t>
              </w:r>
            </w:hyperlink>
          </w:p>
        </w:tc>
        <w:tc>
          <w:tcPr>
            <w:tcW w:w="4000" w:type="dxa"/>
            <w:vAlign w:val="bottom"/>
            <w:gridSpan w:val="9"/>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Description of Our Shares</w:t>
              </w:r>
            </w:hyperlink>
          </w:p>
        </w:tc>
        <w:tc>
          <w:tcPr>
            <w:tcW w:w="4120" w:type="dxa"/>
            <w:vAlign w:val="bottom"/>
            <w:gridSpan w:val="10"/>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Plan of Distribution</w:t>
              </w:r>
            </w:hyperlink>
          </w:p>
        </w:tc>
        <w:tc>
          <w:tcPr>
            <w:tcW w:w="460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466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5080" w:type="dxa"/>
            <w:vAlign w:val="bottom"/>
            <w:gridSpan w:val="15"/>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spacing w:after="0" w:line="17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GUIDE TO READING THIS PROSPECTUS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in one or more offerings, offer and sell up to 402,447,679 of our Class A shares.</w:t>
      </w:r>
    </w:p>
    <w:p>
      <w:pPr>
        <w:spacing w:after="0" w:line="13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8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our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refer to the Amended and Restated Agreement of Limited Partnership of Plains GP Holdings, L.P.;</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initial public offering (our "IPO");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 and</w:t>
      </w:r>
    </w:p>
    <w:p>
      <w:pPr>
        <w:spacing w:after="0" w:line="238"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our Annual Report on Form 10-K for the year ended December 31, 2013;</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57">
        <w:r>
          <w:rPr>
            <w:rFonts w:ascii="Arial" w:cs="Arial" w:eastAsia="Arial" w:hAnsi="Arial"/>
            <w:sz w:val="18"/>
            <w:szCs w:val="18"/>
            <w:u w:val="single" w:color="auto"/>
            <w:color w:val="0000EE"/>
          </w:rPr>
          <w:t>March 31, 2014</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June 30, 2014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9">
        <w:r>
          <w:rPr>
            <w:rFonts w:ascii="Arial" w:cs="Arial" w:eastAsia="Arial" w:hAnsi="Arial"/>
            <w:sz w:val="18"/>
            <w:szCs w:val="18"/>
            <w:u w:val="single" w:color="auto"/>
            <w:color w:val="0000EE"/>
          </w:rPr>
          <w:t>September 30, 2014</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4"/>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60">
        <w:r>
          <w:rPr>
            <w:rFonts w:ascii="Arial" w:cs="Arial" w:eastAsia="Arial" w:hAnsi="Arial"/>
            <w:sz w:val="18"/>
            <w:szCs w:val="18"/>
            <w:u w:val="single" w:color="auto"/>
            <w:color w:val="0000EE"/>
          </w:rPr>
          <w:t>January 10, 2014</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January 28, 2014</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April 29, 2014</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September 11, 2014</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September 25, 2014</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November 6, 2014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November 13, 2014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 xml:space="preserve">November 19, 2014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8">
        <w:r>
          <w:rPr>
            <w:rFonts w:ascii="Arial" w:cs="Arial" w:eastAsia="Arial" w:hAnsi="Arial"/>
            <w:sz w:val="18"/>
            <w:szCs w:val="18"/>
            <w:u w:val="single" w:color="auto"/>
            <w:color w:val="0000EE"/>
          </w:rPr>
          <w:t>November 26,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600" w:hanging="532"/>
        <w:spacing w:after="0" w:line="268" w:lineRule="auto"/>
        <w:tabs>
          <w:tab w:leader="none" w:pos="1080" w:val="left"/>
        </w:tabs>
        <w:numPr>
          <w:ilvl w:val="0"/>
          <w:numId w:val="14"/>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the description of our Class A shares contained in our Registration Statement on Form 8-A, filed on October 15, 2013, and any subsequent</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207"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 November 24, 2014, our only cash-generating assets consisted of 205,046,637 Class A Units of AAP, which we refer to as AAP units, which represent a 33.8% limited partner interest in AAP (31.5% economic interest including the dilutive effect of the Class B units of AAP (the "AAP management units")). AAP currently owns all of the incentive distribution rights ("IDRs") and an indirect 2% general partner interest in PAA.</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AAP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November 24, 2014, we had 205,046,637 Class A shares outstanding, held by approximately 32,000 shareholders, including Class A shares held in street name. Our Class A shares are traded on the NYSE under the symbol "PAGP."</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December 9, 2014 was $25.44 per Class A share.</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Class A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Price Range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Distributions per</w:t>
            </w: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Class A Share(1)</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Fourth Quarter(2)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0.12505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0.17055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0.19075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 (through December 9, 2014)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55 days after the quarter end.</w:t>
      </w:r>
    </w:p>
    <w:p>
      <w:pPr>
        <w:spacing w:after="0" w:line="252" w:lineRule="exact"/>
        <w:rPr>
          <w:rFonts w:ascii="Arial" w:cs="Arial" w:eastAsia="Arial" w:hAnsi="Arial"/>
          <w:sz w:val="18"/>
          <w:szCs w:val="18"/>
          <w:color w:val="auto"/>
        </w:rPr>
      </w:pPr>
    </w:p>
    <w:p>
      <w:pPr>
        <w:ind w:left="2260" w:right="60" w:hanging="540"/>
        <w:spacing w:after="0" w:line="259" w:lineRule="auto"/>
        <w:tabs>
          <w:tab w:leader="none" w:pos="2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trading period from October 16, 2013, the day our common units began trading on the NYSE, through December 31, 2013. We closed our initial public offering on October 21, 2013 and, therefore, made a prorated cash distribution for the fourth quarter of 2013.</w:t>
      </w:r>
    </w:p>
    <w:p>
      <w:pPr>
        <w:spacing w:after="0" w:line="207" w:lineRule="exact"/>
        <w:rPr>
          <w:rFonts w:ascii="Arial" w:cs="Arial" w:eastAsia="Arial" w:hAnsi="Arial"/>
          <w:sz w:val="18"/>
          <w:szCs w:val="18"/>
          <w:color w:val="auto"/>
        </w:rPr>
      </w:pPr>
    </w:p>
    <w:p>
      <w:pPr>
        <w:ind w:left="2260" w:hanging="540"/>
        <w:spacing w:after="0"/>
        <w:tabs>
          <w:tab w:leader="none" w:pos="2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distributions in respect of the fourth quarter of 2014 have not been declared or paid.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November 24, 2014, our only cash-generating assets consisted of our indirect partnership interests in PAA through our 33.8% limited partnership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revenue PAA and AAP are able to generate from their respective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capital expenditures PAA or AAP makes;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PAA's and AAP's operating, maintenance and general and administrative expenses or related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and AAP's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and AAP's working capital needs;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distributions contained in PAA's or AAP's debt agreements and any future debt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PAA's and AAP's ability to borrow under their respective revolving credit agreements to make distributions;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to waive, reduce, limit or modify PAA's IDRs.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75" w:lineRule="exact"/>
        <w:rPr>
          <w:sz w:val="20"/>
          <w:szCs w:val="20"/>
          <w:color w:val="auto"/>
        </w:rPr>
      </w:pPr>
    </w:p>
    <w:p>
      <w:pPr>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duty or obligation whatsoever to us or the shareholders, including any duty to act in good faith or in the best interests of us or the shareholders.</w:t>
      </w:r>
    </w:p>
    <w:p>
      <w:pPr>
        <w:sectPr>
          <w:pgSz w:w="11900" w:h="16838" w:orient="portrait"/>
          <w:cols w:equalWidth="0" w:num="1">
            <w:col w:w="11400"/>
          </w:cols>
          <w:pgMar w:left="240" w:top="131" w:right="259" w:bottom="1440" w:gutter="0" w:footer="0" w:header="0"/>
        </w:sectPr>
      </w:pPr>
    </w:p>
    <w:p>
      <w:pPr>
        <w:spacing w:after="0" w:line="2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Issuance of</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additional shares</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 other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securities)</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Amendment of our</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35" w:lineRule="exact"/>
        <w:rPr>
          <w:sz w:val="20"/>
          <w:szCs w:val="20"/>
          <w:color w:val="auto"/>
        </w:rPr>
      </w:pPr>
    </w:p>
    <w:p>
      <w:pPr>
        <w:ind w:left="1320" w:hanging="179"/>
        <w:spacing w:after="0" w:line="255"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320" w:right="6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Withdrawal of our</w:t>
      </w:r>
    </w:p>
    <w:p>
      <w:pPr>
        <w:spacing w:after="0" w:line="3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Removal of our</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partner</w:t>
      </w: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Transfer of the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w:t>
      </w:r>
    </w:p>
    <w:p>
      <w:pPr>
        <w:spacing w:after="0" w:line="225" w:lineRule="exact"/>
        <w:rPr>
          <w:sz w:val="20"/>
          <w:szCs w:val="20"/>
          <w:color w:val="auto"/>
        </w:rPr>
      </w:pPr>
    </w:p>
    <w:p>
      <w:pPr>
        <w:ind w:right="1300"/>
        <w:spacing w:after="0" w:line="298"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540"/>
        <w:spacing w:after="0" w:line="268" w:lineRule="auto"/>
        <w:rPr>
          <w:sz w:val="20"/>
          <w:szCs w:val="20"/>
          <w:color w:val="auto"/>
        </w:rPr>
      </w:pPr>
      <w:r>
        <w:rPr>
          <w:rFonts w:ascii="Arial" w:cs="Arial" w:eastAsia="Arial" w:hAnsi="Arial"/>
          <w:sz w:val="18"/>
          <w:szCs w:val="18"/>
          <w:color w:val="auto"/>
        </w:rPr>
        <w:t>A majority of our outstanding shares in certain circumstances. Please read "—Merger, Sale or Other Disposition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26" w:lineRule="exact"/>
        <w:rPr>
          <w:sz w:val="20"/>
          <w:szCs w:val="20"/>
          <w:color w:val="auto"/>
        </w:rPr>
      </w:pPr>
    </w:p>
    <w:p>
      <w:pPr>
        <w:ind w:right="1240"/>
        <w:spacing w:after="0" w:line="281" w:lineRule="auto"/>
        <w:rPr>
          <w:sz w:val="20"/>
          <w:szCs w:val="20"/>
          <w:color w:val="auto"/>
        </w:rPr>
      </w:pPr>
      <w:r>
        <w:rPr>
          <w:rFonts w:ascii="Arial" w:cs="Arial" w:eastAsia="Arial" w:hAnsi="Arial"/>
          <w:sz w:val="15"/>
          <w:szCs w:val="15"/>
          <w:color w:val="auto"/>
        </w:rPr>
        <w:t>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outstanding shares, including shares held by our general partner, the Legacy Owners and their respective affiliates. Please read "—Withdrawal or Removal of the General Partner."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206" w:lineRule="exact"/>
        <w:rPr>
          <w:sz w:val="20"/>
          <w:szCs w:val="20"/>
          <w:color w:val="auto"/>
        </w:rPr>
      </w:pPr>
    </w:p>
    <w:p>
      <w:pPr>
        <w:sectPr>
          <w:pgSz w:w="11900" w:h="16838" w:orient="portrait"/>
          <w:cols w:equalWidth="0" w:num="2">
            <w:col w:w="2620" w:space="220"/>
            <w:col w:w="8560"/>
          </w:cols>
          <w:pgMar w:left="240" w:top="131"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then-existing shareholders in our cash distributions. In addition, the issuance of additional partnership interests may dilute the value of the interests of the then-existing holders of shares in our net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and Class B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 any material respect;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necessary or appropriate to implement certain governance procedures following the trigger date, including the staggering of our board of directors and the public election of directors;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are required to effect the intent of the statements contained in this prospectus and in the provisions of our partnership agreement or as are otherwise contemplated by our partnership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Opinion of Counsel and Shareholder Approval</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where required, the approval of 90% of the outstanding shares is required for an amendment to become effective.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 Following Trigger Date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w:t>
      </w:r>
    </w:p>
    <w:p>
      <w:pPr>
        <w:spacing w:after="0" w:line="172"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w:t>
      </w:r>
    </w:p>
    <w:p>
      <w:pPr>
        <w:spacing w:after="0" w:line="174"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amended and restated partnership agreement.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that is not a substituted limited partner, a non-citizen assignee does not have the right to direct the voting of his shares and may not receive distributions in kind upon our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on any stock exchange. All of our Class B shares are owned by the Legacy Owners or their permitted transferees.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For purposes of any transfer or exchange of AAP units owned by the Legacy Owners,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Additionally, if the Class A shares are publicly traded at any time after December 31, 2015, a holder of vested AAP management units will be entitled to convert his or her AAP management units into AAP units and a like number of Class B shares based on a conversion ratio calculated in accordance with the AAP limited partnership agreement (which conversion ratio will not be more than one-to-one and was approximately 0.925 AAP units for each AAP management unit as of the date of the distribution that was paid with respect to the third quarter of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00" w:hanging="5072"/>
        <w:spacing w:after="0" w:line="519" w:lineRule="auto"/>
        <w:tabs>
          <w:tab w:leader="none" w:pos="10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purposes of any transfer or exchange of AAP units and our Class B shares, the AAP partnership agreement, our general partner's limited liability company agreement and our partnership agreement contain provisions linking each AAP unit with one of our Class B shares and a general partner unit. Please read "—Exchange Right"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4"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spacing w:after="0" w:line="21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that hold or are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that hold in excess of 5% of our Class A shares.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6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5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3.8% Tax On Unearned Income</w:t>
      </w:r>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w:t>
      </w:r>
    </w:p>
    <w:p>
      <w:pPr>
        <w:ind w:left="5620" w:right="5240" w:hanging="5612"/>
        <w:spacing w:after="0" w:line="605" w:lineRule="auto"/>
        <w:tabs>
          <w:tab w:leader="none" w:pos="2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"net investment income," or (ii) the excess of "modified adjusted gross income" over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w:t>
      </w:r>
    </w:p>
    <w:p>
      <w:pPr>
        <w:spacing w:after="0" w:line="177"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disposition of our Class A shares unless:</w:t>
      </w:r>
    </w:p>
    <w:p>
      <w:pPr>
        <w:spacing w:after="0" w:line="199" w:lineRule="exact"/>
        <w:rPr>
          <w:sz w:val="20"/>
          <w:szCs w:val="20"/>
          <w:color w:val="auto"/>
        </w:rPr>
      </w:pPr>
    </w:p>
    <w:p>
      <w:pPr>
        <w:ind w:left="1080" w:right="1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Class A shares constitute a U.S.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tax treaty) on the amount of such gain (which may be offset by U.S. source capital losses).</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withholding was not required. Pursuant to tax treaties or other agreements, the IRS may make such reports available to tax authorities in the recipient's country of residence.</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impose a 30% withholding tax on any dividends paid on our Class A shares and on the gross proceeds from a disposition of our Class A shares (if such disposition occurs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Prospective purchasers of our Class A shares are urged to consult their own tax advisors with respect to the tax consequences of these withholding provisions.</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spacing w:after="0" w:line="18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w:t>
      </w:r>
    </w:p>
    <w:p>
      <w:pPr>
        <w:spacing w:after="0" w:line="13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spacing w:after="0" w:line="208" w:lineRule="exact"/>
        <w:rPr>
          <w:sz w:val="20"/>
          <w:szCs w:val="20"/>
          <w:color w:val="auto"/>
        </w:rPr>
      </w:pPr>
    </w:p>
    <w:p>
      <w:pPr>
        <w:ind w:left="1080" w:right="300" w:hanging="532"/>
        <w:spacing w:after="0" w:line="370"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402,447,679 Class A shares by the selling shareholders. These Class A shares have been or will be issued to the selling shareholders upon exercise by the selling shareholders of the Exchange Right for an equivalent number of Class B shares, AAP units and general partner units, which were acquired by the selling shareholders in connection with our IPO in October 2013 or subsequent transfers in connection with charitable donations. Any issuance of the Class A shares to the selling shareholders in connection with exercise of the Exchange Right will be, and the initial issuance of the Class B shares (and related AAP units and general partner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Oxy, EMG and Kayne Anderson own a significant equity position in us. Further, each of Oxy, EMG and Kayne Anderson are entitled to appoint one member of the board of directors of our general partner pursuant to our general partner's limited liability company agreement. PAA Management, L.P. is owned by certain current and former members of PAA senior management, including Greg L. Armstrong who serves as Chairman of the Board and Chief Executive Officer of our general partner.</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following table sets forth information relating to the selling shareholders as of November 24, 2014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Except as set forth below, none of the selling shareholders is a broker-dealer registered under Section 15 of the Exchange Act or an affiliate of a broker-dealer registered under Section 15 of the Exchange Act. Each of Oxy, EMG, PAA Management L.P. and Kayne Anderson may be deemed under federal securities laws to be an underwriter with respect to the Class A shares it may sell in connection with these offerings.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7" w:lineRule="exact"/>
        <w:rPr>
          <w:sz w:val="20"/>
          <w:szCs w:val="20"/>
          <w:color w:val="auto"/>
        </w:rPr>
      </w:pPr>
    </w:p>
    <w:p>
      <w:pPr>
        <w:ind w:right="280" w:firstLine="341"/>
        <w:spacing w:after="0" w:line="370" w:lineRule="auto"/>
        <w:rPr>
          <w:sz w:val="20"/>
          <w:szCs w:val="20"/>
          <w:color w:val="auto"/>
        </w:rPr>
      </w:pPr>
      <w:r>
        <w:rPr>
          <w:rFonts w:ascii="Arial" w:cs="Arial" w:eastAsia="Arial" w:hAnsi="Arial"/>
          <w:sz w:val="15"/>
          <w:szCs w:val="15"/>
          <w:color w:val="auto"/>
        </w:rPr>
        <w:t>As of November 24, 2014, there were an aggregate of 205,046,637 Class A shares and 400,983,136 Class B shares outstanding. The beneficial ownership information presented below assumes that all 400,983,136 Class B shares (and related AAP units and general partner units) have been exchanged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Exchange Right 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to be</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Owned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Prior to</w:t>
            </w:r>
          </w:p>
        </w:tc>
        <w:tc>
          <w:tcPr>
            <w:tcW w:w="10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0"/>
              </w:rPr>
              <w:t>Class A Shares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61"/>
        </w:trPr>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the Offering</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Offered Hereby</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EMG Investment, LLC(1)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121,516,879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121,516,879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KAFU Holdings, L.P.(2)</w:t>
            </w:r>
          </w:p>
        </w:tc>
        <w:tc>
          <w:tcPr>
            <w:tcW w:w="1000" w:type="dxa"/>
            <w:vAlign w:val="bottom"/>
          </w:tcPr>
          <w:p>
            <w:pPr>
              <w:jc w:val="right"/>
              <w:spacing w:after="0"/>
              <w:rPr>
                <w:sz w:val="20"/>
                <w:szCs w:val="20"/>
                <w:color w:val="auto"/>
              </w:rPr>
            </w:pPr>
            <w:r>
              <w:rPr>
                <w:rFonts w:ascii="Arial" w:cs="Arial" w:eastAsia="Arial" w:hAnsi="Arial"/>
                <w:sz w:val="18"/>
                <w:szCs w:val="18"/>
                <w:color w:val="auto"/>
              </w:rPr>
              <w:t>96,407,031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c>
          <w:tcPr>
            <w:tcW w:w="1040" w:type="dxa"/>
            <w:vAlign w:val="bottom"/>
          </w:tcPr>
          <w:p>
            <w:pPr>
              <w:jc w:val="right"/>
              <w:spacing w:after="0"/>
              <w:rPr>
                <w:sz w:val="20"/>
                <w:szCs w:val="20"/>
                <w:color w:val="auto"/>
              </w:rPr>
            </w:pPr>
            <w:r>
              <w:rPr>
                <w:rFonts w:ascii="Arial" w:cs="Arial" w:eastAsia="Arial" w:hAnsi="Arial"/>
                <w:sz w:val="18"/>
                <w:szCs w:val="18"/>
                <w:color w:val="auto"/>
              </w:rPr>
              <w:t>96,407,031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Oxy Holding Company (Pipeline), Inc.(3)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79,830,161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79,830,161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PAA Management, L.P.(4)</w:t>
            </w:r>
          </w:p>
        </w:tc>
        <w:tc>
          <w:tcPr>
            <w:tcW w:w="1000" w:type="dxa"/>
            <w:vAlign w:val="bottom"/>
          </w:tcPr>
          <w:p>
            <w:pPr>
              <w:jc w:val="right"/>
              <w:spacing w:after="0"/>
              <w:rPr>
                <w:sz w:val="20"/>
                <w:szCs w:val="20"/>
                <w:color w:val="auto"/>
              </w:rPr>
            </w:pPr>
            <w:r>
              <w:rPr>
                <w:rFonts w:ascii="Arial" w:cs="Arial" w:eastAsia="Arial" w:hAnsi="Arial"/>
                <w:sz w:val="18"/>
                <w:szCs w:val="18"/>
                <w:color w:val="auto"/>
              </w:rPr>
              <w:t>21,835,922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1040" w:type="dxa"/>
            <w:vAlign w:val="bottom"/>
          </w:tcPr>
          <w:p>
            <w:pPr>
              <w:jc w:val="right"/>
              <w:spacing w:after="0"/>
              <w:rPr>
                <w:sz w:val="20"/>
                <w:szCs w:val="20"/>
                <w:color w:val="auto"/>
              </w:rPr>
            </w:pPr>
            <w:r>
              <w:rPr>
                <w:rFonts w:ascii="Arial" w:cs="Arial" w:eastAsia="Arial" w:hAnsi="Arial"/>
                <w:sz w:val="18"/>
                <w:szCs w:val="18"/>
                <w:color w:val="auto"/>
              </w:rPr>
              <w:t>21,835,922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Windy, L.L.C.(5)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18,180,893</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18,180,893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 First Reserve XII,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15,057,415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1040" w:type="dxa"/>
            <w:vAlign w:val="bottom"/>
          </w:tcPr>
          <w:p>
            <w:pPr>
              <w:jc w:val="right"/>
              <w:spacing w:after="0"/>
              <w:rPr>
                <w:sz w:val="20"/>
                <w:szCs w:val="20"/>
                <w:color w:val="auto"/>
              </w:rPr>
            </w:pPr>
            <w:r>
              <w:rPr>
                <w:rFonts w:ascii="Arial" w:cs="Arial" w:eastAsia="Arial" w:hAnsi="Arial"/>
                <w:sz w:val="18"/>
                <w:szCs w:val="18"/>
                <w:color w:val="auto"/>
              </w:rPr>
              <w:t>15,057,415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E. Strome Living Trust(7)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12,377,714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12,377,714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Strome PAA, L.P.(8)</w:t>
            </w:r>
          </w:p>
        </w:tc>
        <w:tc>
          <w:tcPr>
            <w:tcW w:w="1000" w:type="dxa"/>
            <w:vAlign w:val="bottom"/>
          </w:tcPr>
          <w:p>
            <w:pPr>
              <w:jc w:val="right"/>
              <w:spacing w:after="0"/>
              <w:rPr>
                <w:sz w:val="20"/>
                <w:szCs w:val="20"/>
                <w:color w:val="auto"/>
              </w:rPr>
            </w:pPr>
            <w:r>
              <w:rPr>
                <w:rFonts w:ascii="Arial" w:cs="Arial" w:eastAsia="Arial" w:hAnsi="Arial"/>
                <w:sz w:val="18"/>
                <w:szCs w:val="18"/>
                <w:color w:val="auto"/>
              </w:rPr>
              <w:t>8,109,344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40" w:type="dxa"/>
            <w:vAlign w:val="bottom"/>
          </w:tcPr>
          <w:p>
            <w:pPr>
              <w:jc w:val="right"/>
              <w:spacing w:after="0"/>
              <w:rPr>
                <w:sz w:val="20"/>
                <w:szCs w:val="20"/>
                <w:color w:val="auto"/>
              </w:rPr>
            </w:pPr>
            <w:r>
              <w:rPr>
                <w:rFonts w:ascii="Arial" w:cs="Arial" w:eastAsia="Arial" w:hAnsi="Arial"/>
                <w:sz w:val="18"/>
                <w:szCs w:val="18"/>
                <w:color w:val="auto"/>
              </w:rPr>
              <w:t>8,109,344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Lynx Holdings I, LLC(9)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8,476,802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KAFU Holdings II, L.P.(2)</w:t>
            </w:r>
          </w:p>
        </w:tc>
        <w:tc>
          <w:tcPr>
            <w:tcW w:w="1000" w:type="dxa"/>
            <w:vAlign w:val="bottom"/>
          </w:tcPr>
          <w:p>
            <w:pPr>
              <w:jc w:val="right"/>
              <w:spacing w:after="0"/>
              <w:rPr>
                <w:sz w:val="20"/>
                <w:szCs w:val="20"/>
                <w:color w:val="auto"/>
              </w:rPr>
            </w:pPr>
            <w:r>
              <w:rPr>
                <w:rFonts w:ascii="Arial" w:cs="Arial" w:eastAsia="Arial" w:hAnsi="Arial"/>
                <w:sz w:val="18"/>
                <w:szCs w:val="18"/>
                <w:color w:val="auto"/>
              </w:rPr>
              <w:t>6,795,545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6,795,545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Kayne Anderson MLP Investment Company(10)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6,402,046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6,402,046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w w:val="97"/>
              </w:rPr>
              <w:t>Kayne Anderson Midstream/Energy Fund, Inc.</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2,247,670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411,400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Company(10)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Jewish Community Foundation of Los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auto"/>
              </w:rPr>
              <w:t>Angeles(11)</w:t>
            </w:r>
          </w:p>
        </w:tc>
        <w:tc>
          <w:tcPr>
            <w:tcW w:w="1000" w:type="dxa"/>
            <w:vAlign w:val="bottom"/>
          </w:tcPr>
          <w:p>
            <w:pPr>
              <w:jc w:val="right"/>
              <w:spacing w:after="0"/>
              <w:rPr>
                <w:sz w:val="20"/>
                <w:szCs w:val="20"/>
                <w:color w:val="auto"/>
              </w:rPr>
            </w:pPr>
            <w:r>
              <w:rPr>
                <w:rFonts w:ascii="Arial" w:cs="Arial" w:eastAsia="Arial" w:hAnsi="Arial"/>
                <w:sz w:val="18"/>
                <w:szCs w:val="18"/>
                <w:color w:val="auto"/>
              </w:rPr>
              <w:t>947,060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947,060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B. Targoff CRUT(12)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Johns Hopkins University(13)</w:t>
            </w:r>
          </w:p>
        </w:tc>
        <w:tc>
          <w:tcPr>
            <w:tcW w:w="1000" w:type="dxa"/>
            <w:vAlign w:val="bottom"/>
          </w:tcPr>
          <w:p>
            <w:pPr>
              <w:jc w:val="right"/>
              <w:spacing w:after="0"/>
              <w:rPr>
                <w:sz w:val="20"/>
                <w:szCs w:val="20"/>
                <w:color w:val="auto"/>
              </w:rPr>
            </w:pPr>
            <w:r>
              <w:rPr>
                <w:rFonts w:ascii="Arial" w:cs="Arial" w:eastAsia="Arial" w:hAnsi="Arial"/>
                <w:sz w:val="18"/>
                <w:szCs w:val="18"/>
                <w:color w:val="auto"/>
              </w:rPr>
              <w:t>13,000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Hebrew Union College—Jewish Institute of</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Religion(14)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Other Legacy Shareholders(15)</w:t>
            </w:r>
          </w:p>
        </w:tc>
        <w:tc>
          <w:tcPr>
            <w:tcW w:w="1000" w:type="dxa"/>
            <w:vAlign w:val="bottom"/>
          </w:tcPr>
          <w:p>
            <w:pPr>
              <w:jc w:val="right"/>
              <w:spacing w:after="0"/>
              <w:rPr>
                <w:sz w:val="20"/>
                <w:szCs w:val="20"/>
                <w:color w:val="auto"/>
              </w:rPr>
            </w:pPr>
            <w:r>
              <w:rPr>
                <w:rFonts w:ascii="Arial" w:cs="Arial" w:eastAsia="Arial" w:hAnsi="Arial"/>
                <w:sz w:val="18"/>
                <w:szCs w:val="18"/>
                <w:color w:val="auto"/>
              </w:rPr>
              <w:t>3,239,111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3,239,111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120" w:hanging="531"/>
        <w:spacing w:after="0" w:line="256"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John T. Raymond and John G. Calvert, the Chief Executive Officer and Chief Operating Officer, respectively, of the manager of the selling shareholder, exercise shared voting and dispositive power over the Class A shares held by the selling shareholder. Each of Messrs. Raymond and Calvert disclaims beneficial ownership of any of our Class A shares held by the selling shareholder except to the extent of his pecuniary interest therein.</w:t>
      </w:r>
    </w:p>
    <w:p>
      <w:pPr>
        <w:spacing w:after="0" w:line="210" w:lineRule="exact"/>
        <w:rPr>
          <w:rFonts w:ascii="Arial" w:cs="Arial" w:eastAsia="Arial" w:hAnsi="Arial"/>
          <w:sz w:val="18"/>
          <w:szCs w:val="18"/>
          <w:color w:val="auto"/>
        </w:rPr>
      </w:pPr>
    </w:p>
    <w:p>
      <w:pPr>
        <w:ind w:left="1680" w:right="20" w:hanging="531"/>
        <w:spacing w:after="0" w:line="306"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0" w:lineRule="exact"/>
        <w:rPr>
          <w:rFonts w:ascii="Arial" w:cs="Arial" w:eastAsia="Arial" w:hAnsi="Arial"/>
          <w:sz w:val="16"/>
          <w:szCs w:val="16"/>
          <w:color w:val="auto"/>
        </w:rPr>
      </w:pPr>
    </w:p>
    <w:p>
      <w:pPr>
        <w:ind w:left="1680"/>
        <w:spacing w:after="0" w:line="255" w:lineRule="auto"/>
        <w:rPr>
          <w:rFonts w:ascii="Arial" w:cs="Arial" w:eastAsia="Arial" w:hAnsi="Arial"/>
          <w:sz w:val="16"/>
          <w:szCs w:val="16"/>
          <w:color w:val="auto"/>
        </w:rPr>
      </w:pPr>
      <w:r>
        <w:rPr>
          <w:rFonts w:ascii="Arial" w:cs="Arial" w:eastAsia="Arial" w:hAnsi="Arial"/>
          <w:sz w:val="18"/>
          <w:szCs w:val="18"/>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254"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w:t>
      </w:r>
    </w:p>
    <w:p>
      <w:pPr>
        <w:spacing w:after="0" w:line="225" w:lineRule="exact"/>
        <w:rPr>
          <w:rFonts w:ascii="Arial" w:cs="Arial" w:eastAsia="Arial" w:hAnsi="Arial"/>
          <w:sz w:val="18"/>
          <w:szCs w:val="18"/>
          <w:color w:val="auto"/>
        </w:rPr>
      </w:pPr>
    </w:p>
    <w:p>
      <w:pPr>
        <w:ind w:left="1680" w:hanging="531"/>
        <w:spacing w:after="0" w:line="291"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shareholder, which acts by majority approval, exercises voting and dispositive power over the Class A shares held by the selling shareholder, subject to approval by a majority in interest of the members of selling shareholder's general partner. The members of the board of directors are Greg L. Armstrong, Harry N. Pefanis and Phil D. Kramer; these individuals own or have voting rights with respect to over 50% of the member interest in selling shareholder's general partner. Each of the members of the board of directors disclaims beneficial ownership of any of our Class A shares held by the selling shareholder except to the extent of his pecuniary interest therein.</w:t>
      </w:r>
    </w:p>
    <w:p>
      <w:pPr>
        <w:spacing w:after="0" w:line="187" w:lineRule="exact"/>
        <w:rPr>
          <w:rFonts w:ascii="Arial" w:cs="Arial" w:eastAsia="Arial" w:hAnsi="Arial"/>
          <w:sz w:val="16"/>
          <w:szCs w:val="16"/>
          <w:color w:val="auto"/>
        </w:rPr>
      </w:pPr>
    </w:p>
    <w:p>
      <w:pPr>
        <w:ind w:left="1680" w:right="8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 David Scott, the President of Tetrad Corporation, which is the sole manager of the selling shareholder, exercises sole voting and dispositive power over the Class A shares held by the selling shareholder. Mr. Scott disclaims beneficial ownership of any of our Class A shares held by the selling shareholder except to the extent of his pecuniary interest therein.</w:t>
      </w:r>
    </w:p>
    <w:p>
      <w:pPr>
        <w:spacing w:after="0" w:line="174" w:lineRule="exact"/>
        <w:rPr>
          <w:rFonts w:ascii="Arial" w:cs="Arial" w:eastAsia="Arial" w:hAnsi="Arial"/>
          <w:sz w:val="16"/>
          <w:szCs w:val="16"/>
          <w:color w:val="auto"/>
        </w:rPr>
      </w:pPr>
    </w:p>
    <w:p>
      <w:pPr>
        <w:ind w:left="1680" w:right="10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common units in the ordinary course of business and, at the time of the acquisition, had no agreements or understandings, directly or indirectly, with any party to distribute the common units held by the selling shareholder.</w:t>
      </w:r>
    </w:p>
    <w:p>
      <w:pPr>
        <w:spacing w:after="0" w:line="160" w:lineRule="exact"/>
        <w:rPr>
          <w:rFonts w:ascii="Arial" w:cs="Arial" w:eastAsia="Arial" w:hAnsi="Arial"/>
          <w:sz w:val="16"/>
          <w:szCs w:val="16"/>
          <w:color w:val="auto"/>
        </w:rPr>
      </w:pPr>
    </w:p>
    <w:p>
      <w:pPr>
        <w:ind w:left="1680" w:right="120"/>
        <w:spacing w:after="0" w:line="298" w:lineRule="auto"/>
        <w:rPr>
          <w:rFonts w:ascii="Arial" w:cs="Arial" w:eastAsia="Arial" w:hAnsi="Arial"/>
          <w:sz w:val="16"/>
          <w:szCs w:val="16"/>
          <w:color w:val="auto"/>
        </w:rPr>
      </w:pPr>
      <w:r>
        <w:rPr>
          <w:rFonts w:ascii="Arial" w:cs="Arial" w:eastAsia="Arial" w:hAnsi="Arial"/>
          <w:sz w:val="16"/>
          <w:szCs w:val="16"/>
          <w:color w:val="auto"/>
        </w:rPr>
        <w:t>The board of managers of the selling shareholder, which acts by majority approval, exercises voting and dispositive power over the Class A shares held by the selling shareholder. The members of the board of managers are Kevin McCarthy, James Baker, Timothy Day, Kenneth Moore, Gary Reaves II and Michael France. Each of the members of the board of managers disclaims beneficial ownership of any of our Class A shares held by the selling shareholder except to the extent of his pecuniary interest therein.</w:t>
      </w:r>
    </w:p>
    <w:p>
      <w:pPr>
        <w:spacing w:after="0" w:line="193" w:lineRule="exact"/>
        <w:rPr>
          <w:rFonts w:ascii="Arial" w:cs="Arial" w:eastAsia="Arial" w:hAnsi="Arial"/>
          <w:sz w:val="16"/>
          <w:szCs w:val="16"/>
          <w:color w:val="auto"/>
        </w:rPr>
      </w:pPr>
    </w:p>
    <w:p>
      <w:pPr>
        <w:ind w:left="1680" w:right="100" w:hanging="531"/>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 E. Strome, the trustee of the selling shareholder, exercises sole voting and dispositive power over the Class A shares held by the selling shareholder. Mr. Strome disclaims beneficial ownership of any of our Class A shares held by the selling shareholder except to the extent of his pecuniary interest therein.</w:t>
      </w:r>
    </w:p>
    <w:p>
      <w:pPr>
        <w:spacing w:after="0" w:line="207" w:lineRule="exact"/>
        <w:rPr>
          <w:rFonts w:ascii="Arial" w:cs="Arial" w:eastAsia="Arial" w:hAnsi="Arial"/>
          <w:sz w:val="18"/>
          <w:szCs w:val="18"/>
          <w:color w:val="auto"/>
        </w:rPr>
      </w:pPr>
    </w:p>
    <w:p>
      <w:pPr>
        <w:ind w:left="168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Mark E. Strome, the President and CEO of Strome Investment Management, LP, the selling shareholder's general partner, exercises sole voting and dispositive power over the Class A shares held by the selling shareholder. Mr. Strome disclaims beneficial ownership of any of our Class A shares held by the selling shareholder except to the extent of his pecuniary interest therein.</w:t>
      </w:r>
    </w:p>
    <w:p>
      <w:pPr>
        <w:spacing w:after="0" w:line="174"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John T. Raymond, the sole member of the selling shareholder, exercises sole voting and dispositive power over the Class A shares held by the selling shareholder.</w:t>
      </w:r>
    </w:p>
    <w:p>
      <w:pPr>
        <w:spacing w:after="0" w:line="212" w:lineRule="exact"/>
        <w:rPr>
          <w:rFonts w:ascii="Arial" w:cs="Arial" w:eastAsia="Arial" w:hAnsi="Arial"/>
          <w:sz w:val="18"/>
          <w:szCs w:val="18"/>
          <w:color w:val="auto"/>
        </w:rPr>
      </w:pPr>
    </w:p>
    <w:p>
      <w:pPr>
        <w:ind w:left="1680" w:right="8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40"/>
        <w:spacing w:after="0" w:line="291" w:lineRule="auto"/>
        <w:rPr>
          <w:sz w:val="20"/>
          <w:szCs w:val="20"/>
          <w:color w:val="auto"/>
        </w:rPr>
      </w:pPr>
      <w:r>
        <w:rPr>
          <w:rFonts w:ascii="Arial" w:cs="Arial" w:eastAsia="Arial" w:hAnsi="Arial"/>
          <w:sz w:val="16"/>
          <w:szCs w:val="16"/>
          <w:color w:val="auto"/>
        </w:rPr>
        <w:t>KA Fund Advisors, LLC ("KAFA") serves as the manager of the selling shareholder. KACALP is the sole managing member of KAFA. Richard A. Kayne is the controlling owner of KACALP; and Kevin McCarthy is the chairman and chief executive officer of the selling shareholder and John C. Frey is an executive vice president and co-portfolio manager of the selling shareholder. Therefore, each of Messrs. Kayne, McCarthy and Frey may be deemed to exercise shared voting and dispositive power over the Class A shares held by the selling shareholder. Each of Messrs. Kayne, McCarthy and Frey disclaims beneficial ownership of any of our Class A shares held by the selling shareholder except to the extent of his pecuniary interest therein.</w:t>
      </w:r>
    </w:p>
    <w:p>
      <w:pPr>
        <w:spacing w:after="0" w:line="188" w:lineRule="exact"/>
        <w:rPr>
          <w:sz w:val="20"/>
          <w:szCs w:val="20"/>
          <w:color w:val="auto"/>
        </w:rPr>
      </w:pPr>
    </w:p>
    <w:p>
      <w:pPr>
        <w:ind w:left="1680" w:hanging="531"/>
        <w:spacing w:after="0" w:line="291" w:lineRule="auto"/>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of Michael J. Januzik, Chief Financial Officer, Marvin I. Schotland, Chief Executive Officer, Lawrence Rauch, Chairman of the Board, Anthony Chanin, Vice President, William R. Feiler, Vice President, Abby Feinman, Vice President, Harold J. Masor, Vice President, Evan Schlessinger, Vice President, Michael Smooke, Vice President, Adlai Wertman, Vice President, Scott Richland, Treasurer, and Selwyn Gerber, Secretary,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201" w:lineRule="exact"/>
        <w:rPr>
          <w:rFonts w:ascii="Arial" w:cs="Arial" w:eastAsia="Arial" w:hAnsi="Arial"/>
          <w:sz w:val="16"/>
          <w:szCs w:val="16"/>
          <w:color w:val="auto"/>
        </w:rPr>
      </w:pPr>
    </w:p>
    <w:p>
      <w:pPr>
        <w:ind w:left="1680" w:right="120" w:hanging="531"/>
        <w:spacing w:after="0" w:line="259"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Michael Targoff, the trustee of the selling shareholder, exercises sole voting and dispositive power over the Class A shares held by the selling shareholder. Mr. Targoff disclaims beneficial ownership of any of our Class A shares held by the selling shareholder except to the extent of his pecuniary interest therein.</w:t>
      </w:r>
    </w:p>
    <w:p>
      <w:pPr>
        <w:spacing w:after="0" w:line="207" w:lineRule="exact"/>
        <w:rPr>
          <w:rFonts w:ascii="Arial" w:cs="Arial" w:eastAsia="Arial" w:hAnsi="Arial"/>
          <w:sz w:val="18"/>
          <w:szCs w:val="18"/>
          <w:color w:val="auto"/>
        </w:rPr>
      </w:pPr>
    </w:p>
    <w:p>
      <w:pPr>
        <w:ind w:left="1680" w:right="160" w:hanging="531"/>
        <w:spacing w:after="0" w:line="255"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Daniel G. Ennis, Senior Vice President for Finance and Administration and Treasurer, Ronald J. Daniels, President, Robert C. Lieberman, Provost and Senior Vice President for Academic Affairs and Kathryn J. Crecelius, Chief Investment Officer, of the selling shareholder, exercises sole voting and dispositive power over the Class A shares held by the selling shareholder. Each of the foregoing individuals disclaims beneficial ownership of any of the Class A shares held by the selling shareholder, except to the extent of his or her pecuniary interest therein.</w:t>
      </w:r>
    </w:p>
    <w:p>
      <w:pPr>
        <w:spacing w:after="0" w:line="210" w:lineRule="exact"/>
        <w:rPr>
          <w:rFonts w:ascii="Arial" w:cs="Arial" w:eastAsia="Arial" w:hAnsi="Arial"/>
          <w:sz w:val="18"/>
          <w:szCs w:val="18"/>
          <w:color w:val="auto"/>
        </w:rPr>
      </w:pPr>
    </w:p>
    <w:p>
      <w:pPr>
        <w:ind w:left="1680" w:right="440" w:hanging="531"/>
        <w:spacing w:after="0" w:line="259"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Sandra M. Mills, the Chief Financial Officer of the selling shareholder, exercises sole voting and dispositive power over the Class A shares held by the selling shareholder. Ms. Mills disclaims beneficial ownership of any of our Class A shares held by the selling shareholder except to the extent of her pecuniary interest therein.</w:t>
      </w:r>
    </w:p>
    <w:p>
      <w:pPr>
        <w:spacing w:after="0" w:line="221"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six persons not otherwise listed above, none of which currently owns more than 0.15% of the Class A shares. Collectively, these shareholders own approximately 0.53% of the Class A shares. The selling shareholders comprise long-term legacy investors, none of whom are our employees.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624840</wp:posOffset>
            </wp:positionV>
            <wp:extent cx="3679190" cy="823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3679190" cy="82359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20"/>
        <w:spacing w:after="0"/>
        <w:rPr>
          <w:sz w:val="20"/>
          <w:szCs w:val="20"/>
          <w:color w:val="auto"/>
        </w:rPr>
      </w:pPr>
      <w:r>
        <w:rPr>
          <w:rFonts w:ascii="Arial" w:cs="Arial" w:eastAsia="Arial" w:hAnsi="Arial"/>
          <w:sz w:val="24"/>
          <w:szCs w:val="24"/>
          <w:b w:val="1"/>
          <w:bCs w:val="1"/>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35"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20"/>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Roman"/>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3"/>
    </w:lvl>
  </w:abstractNum>
  <w:abstractNum w:abstractNumId="45">
    <w:nsid w:val="6DE91B18"/>
    <w:multiLevelType w:val="hybridMultilevel"/>
    <w:lvl w:ilvl="0">
      <w:lvlJc w:val="left"/>
      <w:lvlText w:val="(%1)"/>
      <w:numFmt w:val="decimal"/>
      <w:start w:val="11"/>
    </w:lvl>
  </w:abstractNum>
  <w:abstractNum w:abstractNumId="46">
    <w:nsid w:val="38437FDB"/>
    <w:multiLevelType w:val="hybridMultilevel"/>
    <w:lvl w:ilvl="0">
      <w:lvlJc w:val="left"/>
      <w:lvlText w:val="•"/>
      <w:numFmt w:val="bullet"/>
      <w:start w:val="1"/>
    </w:lvl>
    <w:lvl w:ilvl="1">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jpe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jpe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9" Type="http://schemas.openxmlformats.org/officeDocument/2006/relationships/hyperlink" Target="http://www.sec.gov/Archives/edgar/data/1581990/000158199019000004/pagp201810-k.htm" TargetMode="External"/><Relationship Id="rId24" Type="http://schemas.openxmlformats.org/officeDocument/2006/relationships/hyperlink" Target="http://www.sec.gov/Archives/edgar/data/1581990/000158199019000007/pagpq1201910-q.htm" TargetMode="External"/><Relationship Id="rId25" Type="http://schemas.openxmlformats.org/officeDocument/2006/relationships/hyperlink" Target="http://www.sec.gov/Archives/edgar/data/1581990/000158199019000010/0001581990-19-000010-index.htm" TargetMode="External"/><Relationship Id="rId43" Type="http://schemas.openxmlformats.org/officeDocument/2006/relationships/hyperlink" Target="http://www.sec.gov/Archives/edgar/data/1581990/000110465919000816/a19-1278_18k.htm" TargetMode="External"/><Relationship Id="rId44" Type="http://schemas.openxmlformats.org/officeDocument/2006/relationships/hyperlink" Target="http://www.sec.gov/Archives/edgar/data/1581990/000110465919010377/a19-5370_18k.htm" TargetMode="External"/><Relationship Id="rId45" Type="http://schemas.openxmlformats.org/officeDocument/2006/relationships/hyperlink" Target="http://www.sec.gov/Archives/edgar/data/1581990/000110465919030042/a19-10136_18k.htm" TargetMode="External"/><Relationship Id="rId46" Type="http://schemas.openxmlformats.org/officeDocument/2006/relationships/hyperlink" Target="http://www.sec.gov/Archives/edgar/data/1581990/000110465919032813/a19-10857_18k.htm" TargetMode="External"/><Relationship Id="rId47" Type="http://schemas.openxmlformats.org/officeDocument/2006/relationships/hyperlink" Target="http://www.sec.gov/Archives/edgar/data/1581990/000141057819000873/0001410578-19-000873-index.htm" TargetMode="External"/><Relationship Id="rId48" Type="http://schemas.openxmlformats.org/officeDocument/2006/relationships/hyperlink" Target="http://www.sec.gov/Archives/edgar/data/1581990/000141057819001184/0001410578-19-001184-index.htm" TargetMode="External"/><Relationship Id="rId49" Type="http://schemas.openxmlformats.org/officeDocument/2006/relationships/hyperlink" Target="http://www.sec.gov/Archives/edgar/data/1581990/000141057819001284/0001410578-19-001284-index.htm" TargetMode="External"/><Relationship Id="rId50" Type="http://schemas.openxmlformats.org/officeDocument/2006/relationships/hyperlink" Target="http://www.sec.gov/Archives/edgar/data/1581990/000110465916157336/a16-21686_18a12ba.htm" TargetMode="External"/><Relationship Id="rId56" Type="http://schemas.openxmlformats.org/officeDocument/2006/relationships/hyperlink" Target="http://www.sec.gov/Archives/edgar/data/1581990/000110465914018845/a14-4590_210k.htm" TargetMode="External"/><Relationship Id="rId57" Type="http://schemas.openxmlformats.org/officeDocument/2006/relationships/hyperlink" Target="http://www.sec.gov/Archives/edgar/data/1581990/000110465914037994/a14-8899_110q.htm" TargetMode="External"/><Relationship Id="rId58" Type="http://schemas.openxmlformats.org/officeDocument/2006/relationships/hyperlink" Target="http://www.sec.gov/Archives/edgar/data/1581990/000110465914059798/a14-13921_110q.htm" TargetMode="External"/><Relationship Id="rId59" Type="http://schemas.openxmlformats.org/officeDocument/2006/relationships/hyperlink" Target="http://www.sec.gov/Archives/edgar/data/1581990/000110465914078161/a14-19478_110q.htm" TargetMode="External"/><Relationship Id="rId60" Type="http://schemas.openxmlformats.org/officeDocument/2006/relationships/hyperlink" Target="http://www.sec.gov/Archives/edgar/data/1581990/000110465914001478/a14-3242_18k.htm" TargetMode="External"/><Relationship Id="rId61" Type="http://schemas.openxmlformats.org/officeDocument/2006/relationships/hyperlink" Target="http://www.sec.gov/Archives/edgar/data/1581990/000110465914004467/a14-4460_18k.htm" TargetMode="External"/><Relationship Id="rId62" Type="http://schemas.openxmlformats.org/officeDocument/2006/relationships/hyperlink" Target="http://www.sec.gov/Archives/edgar/data/1581990/000119312514164185/d717953d8k.htm" TargetMode="External"/><Relationship Id="rId63" Type="http://schemas.openxmlformats.org/officeDocument/2006/relationships/hyperlink" Target="http://www.sec.gov/Archives/edgar/data/1581990/000119312514338295/d787197d8k.htm" TargetMode="External"/><Relationship Id="rId64" Type="http://schemas.openxmlformats.org/officeDocument/2006/relationships/hyperlink" Target="http://www.sec.gov/Archives/edgar/data/1581990/000119312514353366/d794715d8k.htm" TargetMode="External"/><Relationship Id="rId65" Type="http://schemas.openxmlformats.org/officeDocument/2006/relationships/hyperlink" Target="http://www.sec.gov/Archives/edgar/data/1581990/000110465914077278/a14-23674_28k.htm" TargetMode="External"/><Relationship Id="rId66" Type="http://schemas.openxmlformats.org/officeDocument/2006/relationships/hyperlink" Target="http://www.sec.gov/Archives/edgar/data/1581990/000110465914080443/a14-24338_18k.htm" TargetMode="External"/><Relationship Id="rId67" Type="http://schemas.openxmlformats.org/officeDocument/2006/relationships/hyperlink" Target="http://www.sec.gov/Archives/edgar/data/1581990/000110465914082027/a14-24842_18k.htm" TargetMode="External"/><Relationship Id="rId68" Type="http://schemas.openxmlformats.org/officeDocument/2006/relationships/hyperlink" Target="http://www.sec.gov/Archives/edgar/data/1581990/000110465914083407/a14-25141_28k.htm" TargetMode="External"/><Relationship Id="rId69" Type="http://schemas.openxmlformats.org/officeDocument/2006/relationships/hyperlink" Target="http://www.sec.gov/Archives/edgar/data/1581990/000110465913075443/a13-15636_11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2020-01-07T23:24:39Z</dcterms:created>
  <dcterms:modified xsi:type="dcterms:W3CDTF">2020-01-07T23:24:39Z</dcterms:modified>
</cp:coreProperties>
</file>