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SCHEDULE 13G</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74930</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CLASS A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74930</wp:posOffset>
            </wp:positionV>
            <wp:extent cx="43478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72651A108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74930</wp:posOffset>
            </wp:positionV>
            <wp:extent cx="43478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both"/>
        <w:spacing w:after="0" w:line="232" w:lineRule="exact"/>
        <w:rPr>
          <w:sz w:val="20"/>
          <w:szCs w:val="20"/>
          <w:color w:val="auto"/>
        </w:rPr>
      </w:pPr>
      <w:r>
        <w:rPr>
          <w:rFonts w:ascii="Arial" w:cs="Arial" w:eastAsia="Arial" w:hAnsi="Arial"/>
          <w:sz w:val="18"/>
          <w:szCs w:val="18"/>
          <w:color w:val="auto"/>
        </w:rPr>
        <w:t xml:space="preserve">Check the following box if a fee is being paid with this statement </w:t>
      </w:r>
      <w:r>
        <w:rPr>
          <w:rFonts w:ascii="MS PGothic" w:cs="MS PGothic" w:eastAsia="MS PGothic" w:hAnsi="MS PGothic"/>
          <w:sz w:val="18"/>
          <w:szCs w:val="18"/>
          <w:color w:val="auto"/>
        </w:rPr>
        <w:t>☐</w:t>
      </w:r>
      <w:r>
        <w:rPr>
          <w:rFonts w:ascii="Arial" w:cs="Arial" w:eastAsia="Arial" w:hAnsi="Arial"/>
          <w:sz w:val="18"/>
          <w:szCs w:val="18"/>
          <w:color w:val="auto"/>
        </w:rPr>
        <w:t>.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3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jc w:val="both"/>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CUSIP NO. 72651A108</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60" w:type="dxa"/>
            <w:vAlign w:val="bottom"/>
          </w:tcPr>
          <w:p>
            <w:pPr>
              <w:ind w:left="2500"/>
              <w:spacing w:after="0"/>
              <w:rPr>
                <w:sz w:val="20"/>
                <w:szCs w:val="20"/>
                <w:color w:val="auto"/>
              </w:rPr>
            </w:pPr>
            <w:r>
              <w:rPr>
                <w:rFonts w:ascii="Arial" w:cs="Arial" w:eastAsia="Arial" w:hAnsi="Arial"/>
                <w:sz w:val="18"/>
                <w:szCs w:val="18"/>
                <w:color w:val="auto"/>
              </w:rPr>
              <w:t>13G</w:t>
            </w:r>
          </w:p>
        </w:tc>
        <w:tc>
          <w:tcPr>
            <w:tcW w:w="2020" w:type="dxa"/>
            <w:vAlign w:val="bottom"/>
          </w:tcPr>
          <w:p>
            <w:pPr>
              <w:ind w:left="420"/>
              <w:spacing w:after="0"/>
              <w:rPr>
                <w:sz w:val="20"/>
                <w:szCs w:val="20"/>
                <w:color w:val="auto"/>
              </w:rPr>
            </w:pPr>
            <w:r>
              <w:rPr>
                <w:rFonts w:ascii="Arial" w:cs="Arial" w:eastAsia="Arial" w:hAnsi="Arial"/>
                <w:sz w:val="18"/>
                <w:szCs w:val="18"/>
                <w:color w:val="auto"/>
                <w:w w:val="88"/>
              </w:rPr>
              <w:t>PAGE 2 OF 8 PAGES</w:t>
            </w:r>
          </w:p>
        </w:tc>
        <w:tc>
          <w:tcPr>
            <w:tcW w:w="0" w:type="dxa"/>
            <w:vAlign w:val="bottom"/>
          </w:tcPr>
          <w:p>
            <w:pPr>
              <w:spacing w:after="0"/>
              <w:rPr>
                <w:sz w:val="1"/>
                <w:szCs w:val="1"/>
                <w:color w:val="auto"/>
              </w:rPr>
            </w:pPr>
          </w:p>
        </w:tc>
      </w:tr>
      <w:tr>
        <w:trPr>
          <w:trHeight w:val="216"/>
        </w:trPr>
        <w:tc>
          <w:tcPr>
            <w:tcW w:w="1400" w:type="dxa"/>
            <w:vAlign w:val="bottom"/>
            <w:tcBorders>
              <w:bottom w:val="single" w:sz="8" w:color="auto"/>
            </w:tcBorders>
          </w:tcPr>
          <w:p>
            <w:pPr>
              <w:spacing w:after="0"/>
              <w:rPr>
                <w:sz w:val="18"/>
                <w:szCs w:val="18"/>
                <w:color w:val="auto"/>
              </w:rPr>
            </w:pPr>
          </w:p>
        </w:tc>
        <w:tc>
          <w:tcPr>
            <w:tcW w:w="8000" w:type="dxa"/>
            <w:vAlign w:val="bottom"/>
            <w:tcBorders>
              <w:bottom w:val="single" w:sz="8" w:color="auto"/>
            </w:tcBorders>
            <w:gridSpan w:val="4"/>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 OF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S.S. or I.R.S. IDENTIFICATION NO. OF ABOVE PERSON</w:t>
            </w:r>
          </w:p>
        </w:tc>
        <w:tc>
          <w:tcPr>
            <w:tcW w:w="20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400" w:type="dxa"/>
            <w:vAlign w:val="bottom"/>
            <w:tcBorders>
              <w:left w:val="single" w:sz="8" w:color="auto"/>
              <w:right w:val="single" w:sz="8" w:color="auto"/>
            </w:tcBorders>
            <w:vMerge w:val="continue"/>
          </w:tcPr>
          <w:p>
            <w:pPr>
              <w:spacing w:after="0"/>
              <w:rPr>
                <w:sz w:val="18"/>
                <w:szCs w:val="18"/>
                <w:color w:val="auto"/>
              </w:rPr>
            </w:pPr>
          </w:p>
        </w:tc>
        <w:tc>
          <w:tcPr>
            <w:tcW w:w="8000" w:type="dxa"/>
            <w:vAlign w:val="bottom"/>
            <w:gridSpan w:val="4"/>
            <w:vMerge w:val="restart"/>
          </w:tcPr>
          <w:p>
            <w:pPr>
              <w:ind w:left="20"/>
              <w:spacing w:after="0"/>
              <w:rPr>
                <w:sz w:val="20"/>
                <w:szCs w:val="20"/>
                <w:color w:val="auto"/>
              </w:rPr>
            </w:pPr>
            <w:r>
              <w:rPr>
                <w:rFonts w:ascii="Arial" w:cs="Arial" w:eastAsia="Arial" w:hAnsi="Arial"/>
                <w:sz w:val="18"/>
                <w:szCs w:val="18"/>
                <w:color w:val="auto"/>
                <w:w w:val="95"/>
              </w:rPr>
              <w:t>A)KAYNE ANDERSON CAPITAL ADVISORS, L.P. - 95-4486379</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5"/>
        </w:trPr>
        <w:tc>
          <w:tcPr>
            <w:tcW w:w="1400" w:type="dxa"/>
            <w:vAlign w:val="bottom"/>
            <w:tcBorders>
              <w:left w:val="single" w:sz="8" w:color="auto"/>
              <w:right w:val="single" w:sz="8" w:color="auto"/>
            </w:tcBorders>
          </w:tcPr>
          <w:p>
            <w:pPr>
              <w:spacing w:after="0"/>
              <w:rPr>
                <w:sz w:val="5"/>
                <w:szCs w:val="5"/>
                <w:color w:val="auto"/>
              </w:rPr>
            </w:pPr>
          </w:p>
        </w:tc>
        <w:tc>
          <w:tcPr>
            <w:tcW w:w="8000" w:type="dxa"/>
            <w:vAlign w:val="bottom"/>
            <w:gridSpan w:val="4"/>
            <w:vMerge w:val="continue"/>
          </w:tcPr>
          <w:p>
            <w:pPr>
              <w:spacing w:after="0"/>
              <w:rPr>
                <w:sz w:val="5"/>
                <w:szCs w:val="5"/>
                <w:color w:val="auto"/>
              </w:rPr>
            </w:pPr>
          </w:p>
        </w:tc>
        <w:tc>
          <w:tcPr>
            <w:tcW w:w="20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(B)</w:t>
            </w:r>
          </w:p>
        </w:tc>
        <w:tc>
          <w:tcPr>
            <w:tcW w:w="7420" w:type="dxa"/>
            <w:vAlign w:val="bottom"/>
            <w:gridSpan w:val="3"/>
          </w:tcPr>
          <w:p>
            <w:pPr>
              <w:spacing w:after="0"/>
              <w:rPr>
                <w:sz w:val="20"/>
                <w:szCs w:val="20"/>
                <w:color w:val="auto"/>
              </w:rPr>
            </w:pPr>
            <w:r>
              <w:rPr>
                <w:rFonts w:ascii="Arial" w:cs="Arial" w:eastAsia="Arial" w:hAnsi="Arial"/>
                <w:sz w:val="18"/>
                <w:szCs w:val="18"/>
                <w:color w:val="auto"/>
              </w:rPr>
              <w:t>RICHARD A. KAYNE</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8000" w:type="dxa"/>
            <w:vAlign w:val="bottom"/>
            <w:tcBorders>
              <w:bottom w:val="single" w:sz="8" w:color="auto"/>
            </w:tcBorders>
            <w:gridSpan w:val="4"/>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58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580" w:type="dxa"/>
            <w:vAlign w:val="bottom"/>
            <w:tcBorders>
              <w:bottom w:val="single" w:sz="8" w:color="auto"/>
            </w:tcBorders>
          </w:tcPr>
          <w:p>
            <w:pPr>
              <w:ind w:left="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tcBorders>
              <w:right w:val="single" w:sz="8" w:color="BFBFBF"/>
            </w:tcBorders>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6660" w:type="dxa"/>
            <w:vAlign w:val="bottom"/>
            <w:shd w:val="clear" w:color="auto" w:fill="BFBFBF"/>
          </w:tcPr>
          <w:p>
            <w:pPr>
              <w:spacing w:after="0"/>
              <w:rPr>
                <w:sz w:val="20"/>
                <w:szCs w:val="20"/>
                <w:color w:val="auto"/>
              </w:rPr>
            </w:pPr>
          </w:p>
        </w:tc>
        <w:tc>
          <w:tcPr>
            <w:tcW w:w="20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580" w:type="dxa"/>
            <w:vAlign w:val="bottom"/>
            <w:shd w:val="clear" w:color="auto" w:fill="BFBFBF"/>
          </w:tcPr>
          <w:p>
            <w:pPr>
              <w:spacing w:after="0"/>
              <w:rPr>
                <w:sz w:val="24"/>
                <w:szCs w:val="24"/>
                <w:color w:val="auto"/>
              </w:rPr>
            </w:pPr>
          </w:p>
        </w:tc>
        <w:tc>
          <w:tcPr>
            <w:tcW w:w="80" w:type="dxa"/>
            <w:vAlign w:val="bottom"/>
            <w:tcBorders>
              <w:right w:val="single" w:sz="8" w:color="BFBFBF"/>
            </w:tcBorders>
            <w:shd w:val="clear" w:color="auto" w:fill="BFBFBF"/>
          </w:tcPr>
          <w:p>
            <w:pPr>
              <w:spacing w:after="0"/>
              <w:rPr>
                <w:sz w:val="24"/>
                <w:szCs w:val="24"/>
                <w:color w:val="auto"/>
              </w:rPr>
            </w:pPr>
          </w:p>
        </w:tc>
        <w:tc>
          <w:tcPr>
            <w:tcW w:w="680" w:type="dxa"/>
            <w:vAlign w:val="bottom"/>
            <w:tcBorders>
              <w:right w:val="single" w:sz="8" w:color="BFBFBF"/>
            </w:tcBorders>
            <w:shd w:val="clear" w:color="auto" w:fill="BFBFBF"/>
          </w:tcPr>
          <w:p>
            <w:pPr>
              <w:spacing w:after="0"/>
              <w:rPr>
                <w:sz w:val="24"/>
                <w:szCs w:val="24"/>
                <w:color w:val="auto"/>
              </w:rPr>
            </w:pPr>
          </w:p>
        </w:tc>
        <w:tc>
          <w:tcPr>
            <w:tcW w:w="6660" w:type="dxa"/>
            <w:vAlign w:val="bottom"/>
            <w:shd w:val="clear" w:color="auto" w:fill="BFBFBF"/>
          </w:tcPr>
          <w:p>
            <w:pPr>
              <w:spacing w:after="0"/>
              <w:rPr>
                <w:sz w:val="24"/>
                <w:szCs w:val="24"/>
                <w:color w:val="auto"/>
              </w:rPr>
            </w:pPr>
          </w:p>
        </w:tc>
        <w:tc>
          <w:tcPr>
            <w:tcW w:w="20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80" w:type="dxa"/>
            <w:vAlign w:val="bottom"/>
            <w:tcBorders>
              <w:bottom w:val="single" w:sz="8" w:color="auto"/>
              <w:right w:val="single" w:sz="8" w:color="BFBFBF"/>
            </w:tcBorders>
            <w:shd w:val="clear" w:color="auto" w:fill="BFBFBF"/>
          </w:tcPr>
          <w:p>
            <w:pPr>
              <w:spacing w:after="0"/>
              <w:rPr>
                <w:sz w:val="23"/>
                <w:szCs w:val="23"/>
                <w:color w:val="auto"/>
              </w:rPr>
            </w:pPr>
          </w:p>
        </w:tc>
        <w:tc>
          <w:tcPr>
            <w:tcW w:w="6660" w:type="dxa"/>
            <w:vAlign w:val="bottom"/>
            <w:tcBorders>
              <w:bottom w:val="single" w:sz="8" w:color="auto"/>
            </w:tcBorders>
            <w:shd w:val="clear" w:color="auto" w:fill="BFBFBF"/>
          </w:tcPr>
          <w:p>
            <w:pPr>
              <w:spacing w:after="0"/>
              <w:rPr>
                <w:sz w:val="23"/>
                <w:szCs w:val="23"/>
                <w:color w:val="auto"/>
              </w:rPr>
            </w:pPr>
          </w:p>
        </w:tc>
        <w:tc>
          <w:tcPr>
            <w:tcW w:w="20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8000" w:type="dxa"/>
            <w:vAlign w:val="bottom"/>
            <w:gridSpan w:val="4"/>
          </w:tcPr>
          <w:p>
            <w:pPr>
              <w:ind w:left="20"/>
              <w:spacing w:after="0"/>
              <w:rPr>
                <w:sz w:val="20"/>
                <w:szCs w:val="20"/>
                <w:color w:val="auto"/>
              </w:rPr>
            </w:pPr>
            <w:r>
              <w:rPr>
                <w:rFonts w:ascii="Arial" w:cs="Arial" w:eastAsia="Arial" w:hAnsi="Arial"/>
                <w:sz w:val="18"/>
                <w:szCs w:val="18"/>
                <w:color w:val="auto"/>
              </w:rPr>
              <w:t>(A)  IS A CALIFORNIA LIMITED PARTNERSHIP</w:t>
            </w: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8000" w:type="dxa"/>
            <w:vAlign w:val="bottom"/>
            <w:gridSpan w:val="4"/>
          </w:tcPr>
          <w:p>
            <w:pPr>
              <w:ind w:left="20"/>
              <w:spacing w:after="0"/>
              <w:rPr>
                <w:sz w:val="20"/>
                <w:szCs w:val="20"/>
                <w:color w:val="auto"/>
              </w:rPr>
            </w:pPr>
            <w:r>
              <w:rPr>
                <w:rFonts w:ascii="Arial" w:cs="Arial" w:eastAsia="Arial" w:hAnsi="Arial"/>
                <w:sz w:val="18"/>
                <w:szCs w:val="18"/>
                <w:color w:val="auto"/>
              </w:rPr>
              <w:t>(B)  UNITED STATES</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SOLE VOTING POWER</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(A) 0</w:t>
            </w: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(B) 549,917</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SHARED VOTING POWER</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980" w:type="dxa"/>
            <w:vAlign w:val="bottom"/>
            <w:tcBorders>
              <w:lef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80" w:type="dxa"/>
            <w:vAlign w:val="bottom"/>
            <w:tcBorders>
              <w:right w:val="single" w:sz="8" w:color="auto"/>
            </w:tcBorders>
          </w:tcPr>
          <w:p>
            <w:pPr>
              <w:spacing w:after="0"/>
              <w:rPr>
                <w:sz w:val="21"/>
                <w:szCs w:val="21"/>
                <w:color w:val="auto"/>
              </w:rPr>
            </w:pPr>
          </w:p>
        </w:tc>
        <w:tc>
          <w:tcPr>
            <w:tcW w:w="680" w:type="dxa"/>
            <w:vAlign w:val="bottom"/>
            <w:tcBorders>
              <w:right w:val="single" w:sz="8" w:color="auto"/>
            </w:tcBorders>
            <w:vMerge w:val="continue"/>
          </w:tcPr>
          <w:p>
            <w:pPr>
              <w:spacing w:after="0"/>
              <w:rPr>
                <w:sz w:val="21"/>
                <w:szCs w:val="21"/>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(A) 6,773,541</w:t>
            </w:r>
          </w:p>
        </w:tc>
        <w:tc>
          <w:tcPr>
            <w:tcW w:w="20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980" w:type="dxa"/>
            <w:vAlign w:val="bottom"/>
            <w:tcBorders>
              <w:lef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BENEFICIALLY</w:t>
            </w:r>
          </w:p>
        </w:tc>
        <w:tc>
          <w:tcPr>
            <w:tcW w:w="8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(B) 6,773,541</w:t>
            </w:r>
          </w:p>
        </w:tc>
        <w:tc>
          <w:tcPr>
            <w:tcW w:w="20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980" w:type="dxa"/>
            <w:vAlign w:val="bottom"/>
            <w:tcBorders>
              <w:left w:val="single" w:sz="8" w:color="auto"/>
            </w:tcBorders>
            <w:gridSpan w:val="2"/>
            <w:vMerge w:val="restart"/>
          </w:tcPr>
          <w:p>
            <w:pPr>
              <w:jc w:val="center"/>
              <w:spacing w:after="0" w:line="198" w:lineRule="exact"/>
              <w:rPr>
                <w:sz w:val="20"/>
                <w:szCs w:val="20"/>
                <w:color w:val="auto"/>
              </w:rPr>
            </w:pPr>
            <w:r>
              <w:rPr>
                <w:rFonts w:ascii="Arial" w:cs="Arial" w:eastAsia="Arial" w:hAnsi="Arial"/>
                <w:sz w:val="18"/>
                <w:szCs w:val="18"/>
                <w:b w:val="1"/>
                <w:bCs w:val="1"/>
                <w:color w:val="auto"/>
              </w:rPr>
              <w:t>OWNED BY EACH</w:t>
            </w:r>
          </w:p>
        </w:tc>
        <w:tc>
          <w:tcPr>
            <w:tcW w:w="80" w:type="dxa"/>
            <w:vAlign w:val="bottom"/>
            <w:tcBorders>
              <w:right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6660" w:type="dxa"/>
            <w:vAlign w:val="bottom"/>
            <w:tcBorders>
              <w:bottom w:val="single" w:sz="8" w:color="auto"/>
            </w:tcBorders>
          </w:tcPr>
          <w:p>
            <w:pPr>
              <w:spacing w:after="0"/>
              <w:rPr>
                <w:sz w:val="9"/>
                <w:szCs w:val="9"/>
                <w:color w:val="auto"/>
              </w:rPr>
            </w:pPr>
          </w:p>
        </w:tc>
        <w:tc>
          <w:tcPr>
            <w:tcW w:w="20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980" w:type="dxa"/>
            <w:vAlign w:val="bottom"/>
            <w:tcBorders>
              <w:left w:val="single" w:sz="8" w:color="auto"/>
            </w:tcBorders>
            <w:gridSpan w:val="2"/>
            <w:vMerge w:val="continue"/>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6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SOLE DISPOSITIVE POWER</w:t>
            </w: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980" w:type="dxa"/>
            <w:vAlign w:val="bottom"/>
            <w:tcBorders>
              <w:lef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8"/>
              </w:rPr>
              <w:t>REPORTING PERSON</w:t>
            </w:r>
          </w:p>
        </w:tc>
        <w:tc>
          <w:tcPr>
            <w:tcW w:w="8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6660" w:type="dxa"/>
            <w:vAlign w:val="bottom"/>
            <w:vMerge w:val="continue"/>
          </w:tcPr>
          <w:p>
            <w:pPr>
              <w:spacing w:after="0"/>
              <w:rPr>
                <w:sz w:val="14"/>
                <w:szCs w:val="14"/>
                <w:color w:val="auto"/>
              </w:rPr>
            </w:pPr>
          </w:p>
        </w:tc>
        <w:tc>
          <w:tcPr>
            <w:tcW w:w="20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980" w:type="dxa"/>
            <w:vAlign w:val="bottom"/>
            <w:tcBorders>
              <w:left w:val="single" w:sz="8" w:color="auto"/>
            </w:tcBorders>
            <w:gridSpan w:val="2"/>
            <w:vMerge w:val="continue"/>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vMerge w:val="continue"/>
          </w:tcPr>
          <w:p>
            <w:pPr>
              <w:spacing w:after="0"/>
              <w:rPr>
                <w:sz w:val="4"/>
                <w:szCs w:val="4"/>
                <w:color w:val="auto"/>
              </w:rPr>
            </w:pPr>
          </w:p>
        </w:tc>
        <w:tc>
          <w:tcPr>
            <w:tcW w:w="6660" w:type="dxa"/>
            <w:vAlign w:val="bottom"/>
          </w:tcPr>
          <w:p>
            <w:pPr>
              <w:spacing w:after="0"/>
              <w:rPr>
                <w:sz w:val="4"/>
                <w:szCs w:val="4"/>
                <w:color w:val="auto"/>
              </w:rPr>
            </w:pPr>
          </w:p>
        </w:tc>
        <w:tc>
          <w:tcPr>
            <w:tcW w:w="20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29"/>
              <w:spacing w:after="0"/>
              <w:rPr>
                <w:sz w:val="20"/>
                <w:szCs w:val="20"/>
                <w:color w:val="auto"/>
              </w:rPr>
            </w:pPr>
            <w:r>
              <w:rPr>
                <w:rFonts w:ascii="Arial" w:cs="Arial" w:eastAsia="Arial" w:hAnsi="Arial"/>
                <w:sz w:val="18"/>
                <w:szCs w:val="18"/>
                <w:b w:val="1"/>
                <w:bCs w:val="1"/>
                <w:color w:val="auto"/>
              </w:rPr>
              <w:t>WITH</w:t>
            </w:r>
          </w:p>
        </w:tc>
        <w:tc>
          <w:tcPr>
            <w:tcW w:w="5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continue"/>
          </w:tcPr>
          <w:p>
            <w:pPr>
              <w:spacing w:after="0"/>
              <w:rPr>
                <w:sz w:val="20"/>
                <w:szCs w:val="20"/>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(A) 0</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(B) 549,917</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SHARED DISPOSITIVE POWER</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vMerge w:val="continue"/>
          </w:tcPr>
          <w:p>
            <w:pPr>
              <w:spacing w:after="0"/>
              <w:rPr>
                <w:sz w:val="24"/>
                <w:szCs w:val="24"/>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(A) 6,773,541</w:t>
            </w: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6660" w:type="dxa"/>
            <w:vAlign w:val="bottom"/>
          </w:tcPr>
          <w:p>
            <w:pPr>
              <w:ind w:left="20"/>
              <w:spacing w:after="0"/>
              <w:rPr>
                <w:sz w:val="20"/>
                <w:szCs w:val="20"/>
                <w:color w:val="auto"/>
              </w:rPr>
            </w:pPr>
            <w:r>
              <w:rPr>
                <w:rFonts w:ascii="Arial" w:cs="Arial" w:eastAsia="Arial" w:hAnsi="Arial"/>
                <w:sz w:val="18"/>
                <w:szCs w:val="18"/>
                <w:color w:val="auto"/>
              </w:rPr>
              <w:t>(B) 6,773,541</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tcBorders>
          </w:tcPr>
          <w:p>
            <w:pPr>
              <w:spacing w:after="0"/>
              <w:rPr>
                <w:sz w:val="4"/>
                <w:szCs w:val="4"/>
                <w:color w:val="auto"/>
              </w:rPr>
            </w:pPr>
          </w:p>
        </w:tc>
        <w:tc>
          <w:tcPr>
            <w:tcW w:w="660" w:type="dxa"/>
            <w:vAlign w:val="bottom"/>
            <w:tcBorders>
              <w:bottom w:val="single" w:sz="8" w:color="auto"/>
              <w:right w:val="single" w:sz="8" w:color="auto"/>
            </w:tcBorders>
            <w:gridSpan w:val="2"/>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(A) 6,773,541</w:t>
            </w: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(B) 7,323,458</w:t>
            </w:r>
          </w:p>
        </w:tc>
        <w:tc>
          <w:tcPr>
            <w:tcW w:w="66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BOX IF THE AGGREGATE AMOUNT IN ROW (9) EXCLUDES CERTAIN SHARES*</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58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60" w:type="dxa"/>
            <w:vAlign w:val="bottom"/>
          </w:tcPr>
          <w:p>
            <w:pPr>
              <w:spacing w:after="0"/>
              <w:rPr>
                <w:sz w:val="6"/>
                <w:szCs w:val="6"/>
                <w:color w:val="auto"/>
              </w:rPr>
            </w:pPr>
          </w:p>
        </w:tc>
        <w:tc>
          <w:tcPr>
            <w:tcW w:w="20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6660" w:type="dxa"/>
            <w:vAlign w:val="bottom"/>
            <w:tcBorders>
              <w:bottom w:val="single" w:sz="8" w:color="auto"/>
            </w:tcBorders>
          </w:tcPr>
          <w:p>
            <w:pPr>
              <w:spacing w:after="0"/>
              <w:rPr>
                <w:sz w:val="12"/>
                <w:szCs w:val="12"/>
                <w:color w:val="auto"/>
              </w:rPr>
            </w:pPr>
          </w:p>
        </w:tc>
        <w:tc>
          <w:tcPr>
            <w:tcW w:w="20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(A) 4.45%</w:t>
            </w: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color w:val="auto"/>
              </w:rPr>
              <w:t>(B) 4.81%</w:t>
            </w:r>
          </w:p>
        </w:tc>
        <w:tc>
          <w:tcPr>
            <w:tcW w:w="66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800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w:t>
            </w: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right w:val="single" w:sz="8" w:color="auto"/>
            </w:tcBorders>
            <w:vMerge w:val="continue"/>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(A) IA</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Borders>
              <w:left w:val="single" w:sz="8" w:color="auto"/>
              <w:right w:val="single" w:sz="8" w:color="auto"/>
            </w:tcBorders>
          </w:tcPr>
          <w:p>
            <w:pPr>
              <w:spacing w:after="0"/>
              <w:rPr>
                <w:sz w:val="20"/>
                <w:szCs w:val="20"/>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(B) IN</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bottom w:val="single" w:sz="8" w:color="auto"/>
              <w:right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6"/>
        </w:trPr>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60" w:type="dxa"/>
            <w:vAlign w:val="bottom"/>
          </w:tcPr>
          <w:p>
            <w:pPr>
              <w:ind w:left="1120"/>
              <w:spacing w:after="0"/>
              <w:rPr>
                <w:sz w:val="20"/>
                <w:szCs w:val="20"/>
                <w:color w:val="auto"/>
              </w:rPr>
            </w:pPr>
            <w:r>
              <w:rPr>
                <w:rFonts w:ascii="Arial" w:cs="Arial" w:eastAsia="Arial" w:hAnsi="Arial"/>
                <w:sz w:val="18"/>
                <w:szCs w:val="18"/>
                <w:color w:val="auto"/>
              </w:rPr>
              <w:t>*SEE INSTRUCTIONS BEFORE FILLING OUT!</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60" w:type="dxa"/>
            <w:vAlign w:val="bottom"/>
          </w:tcPr>
          <w:p>
            <w:pPr>
              <w:ind w:left="2580"/>
              <w:spacing w:after="0"/>
              <w:rPr>
                <w:sz w:val="20"/>
                <w:szCs w:val="20"/>
                <w:color w:val="auto"/>
              </w:rPr>
            </w:pPr>
            <w:r>
              <w:rPr>
                <w:rFonts w:ascii="Arial" w:cs="Arial" w:eastAsia="Arial" w:hAnsi="Arial"/>
                <w:sz w:val="14"/>
                <w:szCs w:val="14"/>
                <w:color w:val="auto"/>
              </w:rPr>
              <w:t>PAGE 2 OF 8</w:t>
            </w: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6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180" w:type="dxa"/>
            <w:vAlign w:val="bottom"/>
          </w:tcPr>
          <w:p>
            <w:pPr>
              <w:ind w:left="2000"/>
              <w:spacing w:after="0"/>
              <w:rPr>
                <w:sz w:val="20"/>
                <w:szCs w:val="20"/>
                <w:color w:val="auto"/>
              </w:rPr>
            </w:pPr>
            <w:r>
              <w:rPr>
                <w:rFonts w:ascii="Arial" w:cs="Arial" w:eastAsia="Arial" w:hAnsi="Arial"/>
                <w:sz w:val="18"/>
                <w:szCs w:val="18"/>
                <w:color w:val="auto"/>
              </w:rPr>
              <w:t>*********************</w:t>
            </w:r>
          </w:p>
        </w:tc>
        <w:tc>
          <w:tcPr>
            <w:tcW w:w="2140" w:type="dxa"/>
            <w:vAlign w:val="bottom"/>
          </w:tcPr>
          <w:p>
            <w:pPr>
              <w:spacing w:after="0"/>
              <w:rPr>
                <w:sz w:val="19"/>
                <w:szCs w:val="19"/>
                <w:color w:val="auto"/>
              </w:rPr>
            </w:pP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Item 1.</w:t>
            </w:r>
          </w:p>
        </w:tc>
        <w:tc>
          <w:tcPr>
            <w:tcW w:w="440" w:type="dxa"/>
            <w:vAlign w:val="bottom"/>
          </w:tcPr>
          <w:p>
            <w:pPr>
              <w:ind w:left="160"/>
              <w:spacing w:after="0"/>
              <w:rPr>
                <w:sz w:val="20"/>
                <w:szCs w:val="20"/>
                <w:color w:val="auto"/>
              </w:rPr>
            </w:pPr>
            <w:r>
              <w:rPr>
                <w:rFonts w:ascii="Arial" w:cs="Arial" w:eastAsia="Arial" w:hAnsi="Arial"/>
                <w:sz w:val="18"/>
                <w:szCs w:val="18"/>
                <w:color w:val="auto"/>
              </w:rPr>
              <w:t>(a)</w:t>
            </w:r>
          </w:p>
        </w:tc>
        <w:tc>
          <w:tcPr>
            <w:tcW w:w="1640" w:type="dxa"/>
            <w:vAlign w:val="bottom"/>
          </w:tcPr>
          <w:p>
            <w:pPr>
              <w:ind w:left="60"/>
              <w:spacing w:after="0"/>
              <w:rPr>
                <w:sz w:val="20"/>
                <w:szCs w:val="20"/>
                <w:color w:val="auto"/>
              </w:rPr>
            </w:pPr>
            <w:r>
              <w:rPr>
                <w:rFonts w:ascii="Arial" w:cs="Arial" w:eastAsia="Arial" w:hAnsi="Arial"/>
                <w:sz w:val="18"/>
                <w:szCs w:val="18"/>
                <w:color w:val="auto"/>
              </w:rPr>
              <w:t>Issuer:</w:t>
            </w:r>
          </w:p>
        </w:tc>
        <w:tc>
          <w:tcPr>
            <w:tcW w:w="4180" w:type="dxa"/>
            <w:vAlign w:val="bottom"/>
          </w:tcPr>
          <w:p>
            <w:pPr>
              <w:ind w:left="480"/>
              <w:spacing w:after="0"/>
              <w:rPr>
                <w:sz w:val="20"/>
                <w:szCs w:val="20"/>
                <w:color w:val="auto"/>
              </w:rPr>
            </w:pPr>
            <w:r>
              <w:rPr>
                <w:rFonts w:ascii="Arial" w:cs="Arial" w:eastAsia="Arial" w:hAnsi="Arial"/>
                <w:sz w:val="18"/>
                <w:szCs w:val="18"/>
                <w:color w:val="auto"/>
              </w:rPr>
              <w:t>Plains GP Holdings, L.P.</w:t>
            </w:r>
          </w:p>
        </w:tc>
        <w:tc>
          <w:tcPr>
            <w:tcW w:w="2140" w:type="dxa"/>
            <w:vAlign w:val="bottom"/>
          </w:tcPr>
          <w:p>
            <w:pPr>
              <w:spacing w:after="0"/>
              <w:rPr>
                <w:sz w:val="20"/>
                <w:szCs w:val="20"/>
                <w:color w:val="auto"/>
              </w:rPr>
            </w:pPr>
          </w:p>
        </w:tc>
      </w:tr>
      <w:tr>
        <w:trPr>
          <w:trHeight w:val="243"/>
        </w:trPr>
        <w:tc>
          <w:tcPr>
            <w:tcW w:w="660" w:type="dxa"/>
            <w:vAlign w:val="bottom"/>
          </w:tcPr>
          <w:p>
            <w:pPr>
              <w:spacing w:after="0"/>
              <w:rPr>
                <w:sz w:val="21"/>
                <w:szCs w:val="21"/>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(b)</w:t>
            </w:r>
          </w:p>
        </w:tc>
        <w:tc>
          <w:tcPr>
            <w:tcW w:w="1640" w:type="dxa"/>
            <w:vAlign w:val="bottom"/>
          </w:tcPr>
          <w:p>
            <w:pPr>
              <w:ind w:left="60"/>
              <w:spacing w:after="0"/>
              <w:rPr>
                <w:sz w:val="20"/>
                <w:szCs w:val="20"/>
                <w:color w:val="auto"/>
              </w:rPr>
            </w:pPr>
            <w:r>
              <w:rPr>
                <w:rFonts w:ascii="Arial" w:cs="Arial" w:eastAsia="Arial" w:hAnsi="Arial"/>
                <w:sz w:val="18"/>
                <w:szCs w:val="18"/>
                <w:color w:val="auto"/>
              </w:rPr>
              <w:t>Address:</w:t>
            </w:r>
          </w:p>
        </w:tc>
        <w:tc>
          <w:tcPr>
            <w:tcW w:w="4180" w:type="dxa"/>
            <w:vAlign w:val="bottom"/>
          </w:tcPr>
          <w:p>
            <w:pPr>
              <w:ind w:left="480"/>
              <w:spacing w:after="0"/>
              <w:rPr>
                <w:sz w:val="20"/>
                <w:szCs w:val="20"/>
                <w:color w:val="auto"/>
              </w:rPr>
            </w:pPr>
            <w:r>
              <w:rPr>
                <w:rFonts w:ascii="Arial" w:cs="Arial" w:eastAsia="Arial" w:hAnsi="Arial"/>
                <w:sz w:val="18"/>
                <w:szCs w:val="18"/>
                <w:color w:val="auto"/>
              </w:rPr>
              <w:t>333 Clay Street Suite 1600</w:t>
            </w:r>
          </w:p>
        </w:tc>
        <w:tc>
          <w:tcPr>
            <w:tcW w:w="214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Houston, TX 77002</w:t>
            </w:r>
          </w:p>
        </w:tc>
        <w:tc>
          <w:tcPr>
            <w:tcW w:w="2140" w:type="dxa"/>
            <w:vAlign w:val="bottom"/>
          </w:tcPr>
          <w:p>
            <w:pPr>
              <w:spacing w:after="0"/>
              <w:rPr>
                <w:sz w:val="21"/>
                <w:szCs w:val="21"/>
                <w:color w:val="auto"/>
              </w:rPr>
            </w:pPr>
          </w:p>
        </w:tc>
      </w:tr>
      <w:tr>
        <w:trPr>
          <w:trHeight w:val="486"/>
        </w:trPr>
        <w:tc>
          <w:tcPr>
            <w:tcW w:w="660" w:type="dxa"/>
            <w:vAlign w:val="bottom"/>
          </w:tcPr>
          <w:p>
            <w:pPr>
              <w:spacing w:after="0"/>
              <w:rPr>
                <w:sz w:val="20"/>
                <w:szCs w:val="20"/>
                <w:color w:val="auto"/>
              </w:rPr>
            </w:pPr>
            <w:r>
              <w:rPr>
                <w:rFonts w:ascii="Arial" w:cs="Arial" w:eastAsia="Arial" w:hAnsi="Arial"/>
                <w:sz w:val="18"/>
                <w:szCs w:val="18"/>
                <w:color w:val="auto"/>
              </w:rPr>
              <w:t>Item 2.</w:t>
            </w:r>
          </w:p>
        </w:tc>
        <w:tc>
          <w:tcPr>
            <w:tcW w:w="440" w:type="dxa"/>
            <w:vAlign w:val="bottom"/>
          </w:tcPr>
          <w:p>
            <w:pPr>
              <w:ind w:left="160"/>
              <w:spacing w:after="0"/>
              <w:rPr>
                <w:sz w:val="20"/>
                <w:szCs w:val="20"/>
                <w:color w:val="auto"/>
              </w:rPr>
            </w:pPr>
            <w:r>
              <w:rPr>
                <w:rFonts w:ascii="Arial" w:cs="Arial" w:eastAsia="Arial" w:hAnsi="Arial"/>
                <w:sz w:val="18"/>
                <w:szCs w:val="18"/>
                <w:color w:val="auto"/>
              </w:rPr>
              <w:t>(a)</w:t>
            </w:r>
          </w:p>
        </w:tc>
        <w:tc>
          <w:tcPr>
            <w:tcW w:w="1640" w:type="dxa"/>
            <w:vAlign w:val="bottom"/>
          </w:tcPr>
          <w:p>
            <w:pPr>
              <w:ind w:left="60"/>
              <w:spacing w:after="0"/>
              <w:rPr>
                <w:sz w:val="20"/>
                <w:szCs w:val="20"/>
                <w:color w:val="auto"/>
              </w:rPr>
            </w:pPr>
            <w:r>
              <w:rPr>
                <w:rFonts w:ascii="Arial" w:cs="Arial" w:eastAsia="Arial" w:hAnsi="Arial"/>
                <w:sz w:val="18"/>
                <w:szCs w:val="18"/>
                <w:color w:val="auto"/>
              </w:rPr>
              <w:t>Filing Persons:</w:t>
            </w:r>
          </w:p>
        </w:tc>
        <w:tc>
          <w:tcPr>
            <w:tcW w:w="4180" w:type="dxa"/>
            <w:vAlign w:val="bottom"/>
          </w:tcPr>
          <w:p>
            <w:pPr>
              <w:ind w:left="480"/>
              <w:spacing w:after="0"/>
              <w:rPr>
                <w:sz w:val="20"/>
                <w:szCs w:val="20"/>
                <w:color w:val="auto"/>
              </w:rPr>
            </w:pPr>
            <w:r>
              <w:rPr>
                <w:rFonts w:ascii="Arial" w:cs="Arial" w:eastAsia="Arial" w:hAnsi="Arial"/>
                <w:sz w:val="18"/>
                <w:szCs w:val="18"/>
                <w:color w:val="auto"/>
              </w:rPr>
              <w:t>Kayne Anderson</w:t>
            </w:r>
          </w:p>
        </w:tc>
        <w:tc>
          <w:tcPr>
            <w:tcW w:w="2140" w:type="dxa"/>
            <w:vAlign w:val="bottom"/>
          </w:tcPr>
          <w:p>
            <w:pPr>
              <w:ind w:left="280"/>
              <w:spacing w:after="0"/>
              <w:rPr>
                <w:sz w:val="20"/>
                <w:szCs w:val="20"/>
                <w:color w:val="auto"/>
              </w:rPr>
            </w:pPr>
            <w:r>
              <w:rPr>
                <w:rFonts w:ascii="Arial" w:cs="Arial" w:eastAsia="Arial" w:hAnsi="Arial"/>
                <w:sz w:val="18"/>
                <w:szCs w:val="18"/>
                <w:color w:val="auto"/>
              </w:rPr>
              <w:t>Richard A. Kayne</w:t>
            </w:r>
          </w:p>
        </w:tc>
      </w:tr>
      <w:tr>
        <w:trPr>
          <w:trHeight w:val="243"/>
        </w:trPr>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Capital Advisors, L.P.</w:t>
            </w:r>
          </w:p>
        </w:tc>
        <w:tc>
          <w:tcPr>
            <w:tcW w:w="2140" w:type="dxa"/>
            <w:vAlign w:val="bottom"/>
          </w:tcPr>
          <w:p>
            <w:pPr>
              <w:spacing w:after="0"/>
              <w:rPr>
                <w:sz w:val="21"/>
                <w:szCs w:val="21"/>
                <w:color w:val="auto"/>
              </w:rPr>
            </w:pPr>
          </w:p>
        </w:tc>
      </w:tr>
      <w:tr>
        <w:trPr>
          <w:trHeight w:val="486"/>
        </w:trPr>
        <w:tc>
          <w:tcPr>
            <w:tcW w:w="6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(b)</w:t>
            </w:r>
          </w:p>
        </w:tc>
        <w:tc>
          <w:tcPr>
            <w:tcW w:w="1640" w:type="dxa"/>
            <w:vAlign w:val="bottom"/>
          </w:tcPr>
          <w:p>
            <w:pPr>
              <w:ind w:left="60"/>
              <w:spacing w:after="0"/>
              <w:rPr>
                <w:sz w:val="20"/>
                <w:szCs w:val="20"/>
                <w:color w:val="auto"/>
              </w:rPr>
            </w:pPr>
            <w:r>
              <w:rPr>
                <w:rFonts w:ascii="Arial" w:cs="Arial" w:eastAsia="Arial" w:hAnsi="Arial"/>
                <w:sz w:val="18"/>
                <w:szCs w:val="18"/>
                <w:color w:val="auto"/>
              </w:rPr>
              <w:t>Addresses:</w:t>
            </w:r>
          </w:p>
        </w:tc>
        <w:tc>
          <w:tcPr>
            <w:tcW w:w="4180" w:type="dxa"/>
            <w:vAlign w:val="bottom"/>
          </w:tcPr>
          <w:p>
            <w:pPr>
              <w:ind w:left="480"/>
              <w:spacing w:after="0"/>
              <w:rPr>
                <w:sz w:val="20"/>
                <w:szCs w:val="20"/>
                <w:color w:val="auto"/>
              </w:rPr>
            </w:pPr>
            <w:r>
              <w:rPr>
                <w:rFonts w:ascii="Arial" w:cs="Arial" w:eastAsia="Arial" w:hAnsi="Arial"/>
                <w:sz w:val="18"/>
                <w:szCs w:val="18"/>
                <w:color w:val="auto"/>
              </w:rPr>
              <w:t>1800 Avenue of the Stars,</w:t>
            </w:r>
          </w:p>
        </w:tc>
        <w:tc>
          <w:tcPr>
            <w:tcW w:w="2140" w:type="dxa"/>
            <w:vAlign w:val="bottom"/>
          </w:tcPr>
          <w:p>
            <w:pPr>
              <w:ind w:left="280"/>
              <w:spacing w:after="0"/>
              <w:rPr>
                <w:sz w:val="20"/>
                <w:szCs w:val="20"/>
                <w:color w:val="auto"/>
              </w:rPr>
            </w:pPr>
            <w:r>
              <w:rPr>
                <w:rFonts w:ascii="Arial" w:cs="Arial" w:eastAsia="Arial" w:hAnsi="Arial"/>
                <w:sz w:val="18"/>
                <w:szCs w:val="18"/>
                <w:color w:val="auto"/>
                <w:w w:val="88"/>
              </w:rPr>
              <w:t>1800 Avenue of the Stars,</w:t>
            </w:r>
          </w:p>
        </w:tc>
      </w:tr>
      <w:tr>
        <w:trPr>
          <w:trHeight w:val="243"/>
        </w:trPr>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Third Floor</w:t>
            </w:r>
          </w:p>
        </w:tc>
        <w:tc>
          <w:tcPr>
            <w:tcW w:w="2140" w:type="dxa"/>
            <w:vAlign w:val="bottom"/>
          </w:tcPr>
          <w:p>
            <w:pPr>
              <w:ind w:left="280"/>
              <w:spacing w:after="0"/>
              <w:rPr>
                <w:sz w:val="20"/>
                <w:szCs w:val="20"/>
                <w:color w:val="auto"/>
              </w:rPr>
            </w:pPr>
            <w:r>
              <w:rPr>
                <w:rFonts w:ascii="Arial" w:cs="Arial" w:eastAsia="Arial" w:hAnsi="Arial"/>
                <w:sz w:val="18"/>
                <w:szCs w:val="18"/>
                <w:color w:val="auto"/>
              </w:rPr>
              <w:t>Third Floor</w:t>
            </w:r>
          </w:p>
        </w:tc>
      </w:tr>
      <w:tr>
        <w:trPr>
          <w:trHeight w:val="243"/>
        </w:trPr>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Los Angeles, CA 90067</w:t>
            </w:r>
          </w:p>
        </w:tc>
        <w:tc>
          <w:tcPr>
            <w:tcW w:w="2140" w:type="dxa"/>
            <w:vAlign w:val="bottom"/>
          </w:tcPr>
          <w:p>
            <w:pPr>
              <w:ind w:left="280"/>
              <w:spacing w:after="0"/>
              <w:rPr>
                <w:sz w:val="20"/>
                <w:szCs w:val="20"/>
                <w:color w:val="auto"/>
              </w:rPr>
            </w:pPr>
            <w:r>
              <w:rPr>
                <w:rFonts w:ascii="Arial" w:cs="Arial" w:eastAsia="Arial" w:hAnsi="Arial"/>
                <w:sz w:val="18"/>
                <w:szCs w:val="18"/>
                <w:color w:val="auto"/>
                <w:w w:val="97"/>
              </w:rPr>
              <w:t>Los Angeles, CA 90067</w:t>
            </w:r>
          </w:p>
        </w:tc>
      </w:tr>
      <w:tr>
        <w:trPr>
          <w:trHeight w:val="486"/>
        </w:trPr>
        <w:tc>
          <w:tcPr>
            <w:tcW w:w="6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(c)</w:t>
            </w:r>
          </w:p>
        </w:tc>
        <w:tc>
          <w:tcPr>
            <w:tcW w:w="1640" w:type="dxa"/>
            <w:vAlign w:val="bottom"/>
          </w:tcPr>
          <w:p>
            <w:pPr>
              <w:ind w:left="60"/>
              <w:spacing w:after="0"/>
              <w:rPr>
                <w:sz w:val="20"/>
                <w:szCs w:val="20"/>
                <w:color w:val="auto"/>
              </w:rPr>
            </w:pPr>
            <w:r>
              <w:rPr>
                <w:rFonts w:ascii="Arial" w:cs="Arial" w:eastAsia="Arial" w:hAnsi="Arial"/>
                <w:sz w:val="18"/>
                <w:szCs w:val="18"/>
                <w:color w:val="auto"/>
              </w:rPr>
              <w:t>Citizenship:</w:t>
            </w:r>
          </w:p>
        </w:tc>
        <w:tc>
          <w:tcPr>
            <w:tcW w:w="6320" w:type="dxa"/>
            <w:vAlign w:val="bottom"/>
            <w:gridSpan w:val="2"/>
          </w:tcPr>
          <w:p>
            <w:pPr>
              <w:ind w:left="480"/>
              <w:spacing w:after="0"/>
              <w:rPr>
                <w:sz w:val="20"/>
                <w:szCs w:val="20"/>
                <w:color w:val="auto"/>
              </w:rPr>
            </w:pPr>
            <w:r>
              <w:rPr>
                <w:rFonts w:ascii="Arial" w:cs="Arial" w:eastAsia="Arial" w:hAnsi="Arial"/>
                <w:sz w:val="18"/>
                <w:szCs w:val="18"/>
                <w:color w:val="auto"/>
              </w:rPr>
              <w:t>Kayne Anderson Capital Advisors, L.P. is a California limited partnership</w:t>
            </w:r>
          </w:p>
        </w:tc>
      </w:tr>
      <w:tr>
        <w:trPr>
          <w:trHeight w:val="243"/>
        </w:trPr>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180" w:type="dxa"/>
            <w:vAlign w:val="bottom"/>
          </w:tcPr>
          <w:p>
            <w:pPr>
              <w:ind w:left="480"/>
              <w:spacing w:after="0"/>
              <w:rPr>
                <w:sz w:val="20"/>
                <w:szCs w:val="20"/>
                <w:color w:val="auto"/>
              </w:rPr>
            </w:pPr>
            <w:r>
              <w:rPr>
                <w:rFonts w:ascii="Arial" w:cs="Arial" w:eastAsia="Arial" w:hAnsi="Arial"/>
                <w:sz w:val="18"/>
                <w:szCs w:val="18"/>
                <w:color w:val="auto"/>
              </w:rPr>
              <w:t>Richard A. Kayne is a U.S. Citizen</w:t>
            </w:r>
          </w:p>
        </w:tc>
        <w:tc>
          <w:tcPr>
            <w:tcW w:w="2140" w:type="dxa"/>
            <w:vAlign w:val="bottom"/>
          </w:tcPr>
          <w:p>
            <w:pPr>
              <w:spacing w:after="0"/>
              <w:rPr>
                <w:sz w:val="21"/>
                <w:szCs w:val="21"/>
                <w:color w:val="auto"/>
              </w:rPr>
            </w:pPr>
          </w:p>
        </w:tc>
      </w:tr>
      <w:tr>
        <w:trPr>
          <w:trHeight w:val="486"/>
        </w:trPr>
        <w:tc>
          <w:tcPr>
            <w:tcW w:w="6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(d)</w:t>
            </w:r>
          </w:p>
        </w:tc>
        <w:tc>
          <w:tcPr>
            <w:tcW w:w="5820" w:type="dxa"/>
            <w:vAlign w:val="bottom"/>
            <w:gridSpan w:val="2"/>
          </w:tcPr>
          <w:p>
            <w:pPr>
              <w:ind w:left="60"/>
              <w:spacing w:after="0"/>
              <w:rPr>
                <w:sz w:val="20"/>
                <w:szCs w:val="20"/>
                <w:color w:val="auto"/>
              </w:rPr>
            </w:pPr>
            <w:r>
              <w:rPr>
                <w:rFonts w:ascii="Arial" w:cs="Arial" w:eastAsia="Arial" w:hAnsi="Arial"/>
                <w:sz w:val="18"/>
                <w:szCs w:val="18"/>
                <w:color w:val="auto"/>
              </w:rPr>
              <w:t>Title of Class of Securities: Class A Shares</w:t>
            </w:r>
          </w:p>
        </w:tc>
        <w:tc>
          <w:tcPr>
            <w:tcW w:w="2140" w:type="dxa"/>
            <w:vAlign w:val="bottom"/>
          </w:tcPr>
          <w:p>
            <w:pPr>
              <w:spacing w:after="0"/>
              <w:rPr>
                <w:sz w:val="24"/>
                <w:szCs w:val="24"/>
                <w:color w:val="auto"/>
              </w:rPr>
            </w:pPr>
          </w:p>
        </w:tc>
      </w:tr>
      <w:tr>
        <w:trPr>
          <w:trHeight w:val="486"/>
        </w:trPr>
        <w:tc>
          <w:tcPr>
            <w:tcW w:w="66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(e)</w:t>
            </w:r>
          </w:p>
        </w:tc>
        <w:tc>
          <w:tcPr>
            <w:tcW w:w="1640" w:type="dxa"/>
            <w:vAlign w:val="bottom"/>
          </w:tcPr>
          <w:p>
            <w:pPr>
              <w:ind w:left="60"/>
              <w:spacing w:after="0"/>
              <w:rPr>
                <w:sz w:val="20"/>
                <w:szCs w:val="20"/>
                <w:color w:val="auto"/>
              </w:rPr>
            </w:pPr>
            <w:r>
              <w:rPr>
                <w:rFonts w:ascii="Arial" w:cs="Arial" w:eastAsia="Arial" w:hAnsi="Arial"/>
                <w:sz w:val="18"/>
                <w:szCs w:val="18"/>
                <w:color w:val="auto"/>
              </w:rPr>
              <w:t>Cusip Number:</w:t>
            </w:r>
          </w:p>
        </w:tc>
        <w:tc>
          <w:tcPr>
            <w:tcW w:w="4180" w:type="dxa"/>
            <w:vAlign w:val="bottom"/>
          </w:tcPr>
          <w:p>
            <w:pPr>
              <w:ind w:left="480"/>
              <w:spacing w:after="0"/>
              <w:rPr>
                <w:sz w:val="20"/>
                <w:szCs w:val="20"/>
                <w:color w:val="auto"/>
              </w:rPr>
            </w:pPr>
            <w:r>
              <w:rPr>
                <w:rFonts w:ascii="Arial" w:cs="Arial" w:eastAsia="Arial" w:hAnsi="Arial"/>
                <w:sz w:val="18"/>
                <w:szCs w:val="18"/>
                <w:color w:val="auto"/>
              </w:rPr>
              <w:t>72651A108</w:t>
            </w:r>
          </w:p>
        </w:tc>
        <w:tc>
          <w:tcPr>
            <w:tcW w:w="2140" w:type="dxa"/>
            <w:vAlign w:val="bottom"/>
          </w:tcPr>
          <w:p>
            <w:pPr>
              <w:spacing w:after="0"/>
              <w:rPr>
                <w:sz w:val="24"/>
                <w:szCs w:val="24"/>
                <w:color w:val="auto"/>
              </w:rPr>
            </w:pPr>
          </w:p>
        </w:tc>
      </w:tr>
    </w:tbl>
    <w:p>
      <w:pPr>
        <w:spacing w:after="0" w:line="25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Rule 13d-1(b) or 13d-2(b), check whether the person filing is a:</w:t>
      </w:r>
    </w:p>
    <w:p>
      <w:pPr>
        <w:spacing w:after="0" w:line="279" w:lineRule="exact"/>
        <w:rPr>
          <w:sz w:val="20"/>
          <w:szCs w:val="20"/>
          <w:color w:val="auto"/>
        </w:rPr>
      </w:pPr>
    </w:p>
    <w:p>
      <w:pPr>
        <w:ind w:right="540" w:firstLine="812"/>
        <w:spacing w:after="0" w:line="563" w:lineRule="auto"/>
        <w:tabs>
          <w:tab w:leader="none" w:pos="1148" w:val="left"/>
        </w:tabs>
        <w:numPr>
          <w:ilvl w:val="0"/>
          <w:numId w:val="1"/>
        </w:numPr>
        <w:rPr>
          <w:rFonts w:ascii="Arial" w:cs="Arial" w:eastAsia="Arial" w:hAnsi="Arial"/>
          <w:sz w:val="18"/>
          <w:szCs w:val="18"/>
          <w:color w:val="auto"/>
        </w:rPr>
      </w:pPr>
      <w:r>
        <w:rPr>
          <w:rFonts w:ascii="Arial" w:cs="Arial" w:eastAsia="Arial" w:hAnsi="Arial"/>
          <w:sz w:val="18"/>
          <w:szCs w:val="18"/>
          <w:color w:val="auto"/>
        </w:rPr>
        <w:t>Kayne Anderson Capital Advisors, L.P., is an investment adviser registered under section 203 of the Investment Advisers Act of 1940. Item 4. Ownership</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(a)</w:t>
            </w:r>
          </w:p>
        </w:tc>
        <w:tc>
          <w:tcPr>
            <w:tcW w:w="6800" w:type="dxa"/>
            <w:vAlign w:val="bottom"/>
            <w:gridSpan w:val="2"/>
          </w:tcPr>
          <w:p>
            <w:pPr>
              <w:ind w:left="60"/>
              <w:spacing w:after="0"/>
              <w:rPr>
                <w:sz w:val="20"/>
                <w:szCs w:val="20"/>
                <w:color w:val="auto"/>
              </w:rPr>
            </w:pPr>
            <w:r>
              <w:rPr>
                <w:rFonts w:ascii="Arial" w:cs="Arial" w:eastAsia="Arial" w:hAnsi="Arial"/>
                <w:sz w:val="18"/>
                <w:szCs w:val="18"/>
                <w:color w:val="auto"/>
              </w:rPr>
              <w:t>Amount Beneficially Owned:</w:t>
            </w:r>
          </w:p>
        </w:tc>
        <w:tc>
          <w:tcPr>
            <w:tcW w:w="3480" w:type="dxa"/>
            <w:vAlign w:val="bottom"/>
          </w:tcPr>
          <w:p>
            <w:pPr>
              <w:spacing w:after="0"/>
              <w:rPr>
                <w:sz w:val="20"/>
                <w:szCs w:val="20"/>
                <w:color w:val="auto"/>
              </w:rPr>
            </w:pPr>
          </w:p>
        </w:tc>
      </w:tr>
      <w:tr>
        <w:trPr>
          <w:trHeight w:val="486"/>
        </w:trPr>
        <w:tc>
          <w:tcPr>
            <w:tcW w:w="7080" w:type="dxa"/>
            <w:vAlign w:val="bottom"/>
            <w:gridSpan w:val="3"/>
          </w:tcPr>
          <w:p>
            <w:pPr>
              <w:spacing w:after="0"/>
              <w:rPr>
                <w:sz w:val="20"/>
                <w:szCs w:val="20"/>
                <w:color w:val="auto"/>
              </w:rPr>
            </w:pPr>
            <w:r>
              <w:rPr>
                <w:rFonts w:ascii="Arial" w:cs="Arial" w:eastAsia="Arial" w:hAnsi="Arial"/>
                <w:sz w:val="18"/>
                <w:szCs w:val="18"/>
                <w:color w:val="auto"/>
              </w:rPr>
              <w:t>Kayne Anderson Capital Advisors, L.P. Managed Accounts</w:t>
            </w:r>
          </w:p>
        </w:tc>
        <w:tc>
          <w:tcPr>
            <w:tcW w:w="3480" w:type="dxa"/>
            <w:vAlign w:val="bottom"/>
          </w:tcPr>
          <w:p>
            <w:pPr>
              <w:jc w:val="right"/>
              <w:spacing w:after="0"/>
              <w:rPr>
                <w:sz w:val="20"/>
                <w:szCs w:val="20"/>
                <w:color w:val="auto"/>
              </w:rPr>
            </w:pPr>
            <w:r>
              <w:rPr>
                <w:rFonts w:ascii="Arial" w:cs="Arial" w:eastAsia="Arial" w:hAnsi="Arial"/>
                <w:sz w:val="18"/>
                <w:szCs w:val="18"/>
                <w:color w:val="auto"/>
              </w:rPr>
              <w:t>6,773,541</w:t>
            </w:r>
          </w:p>
        </w:tc>
      </w:tr>
      <w:tr>
        <w:trPr>
          <w:trHeight w:val="243"/>
        </w:trPr>
        <w:tc>
          <w:tcPr>
            <w:tcW w:w="7080" w:type="dxa"/>
            <w:vAlign w:val="bottom"/>
            <w:gridSpan w:val="3"/>
          </w:tcPr>
          <w:p>
            <w:pPr>
              <w:spacing w:after="0"/>
              <w:rPr>
                <w:sz w:val="20"/>
                <w:szCs w:val="20"/>
                <w:color w:val="auto"/>
              </w:rPr>
            </w:pPr>
            <w:r>
              <w:rPr>
                <w:rFonts w:ascii="Arial" w:cs="Arial" w:eastAsia="Arial" w:hAnsi="Arial"/>
                <w:sz w:val="18"/>
                <w:szCs w:val="18"/>
                <w:color w:val="auto"/>
              </w:rPr>
              <w:t>Richard A. Kayne</w:t>
            </w:r>
          </w:p>
        </w:tc>
        <w:tc>
          <w:tcPr>
            <w:tcW w:w="3480" w:type="dxa"/>
            <w:vAlign w:val="bottom"/>
          </w:tcPr>
          <w:p>
            <w:pPr>
              <w:jc w:val="right"/>
              <w:spacing w:after="0"/>
              <w:rPr>
                <w:sz w:val="20"/>
                <w:szCs w:val="20"/>
                <w:color w:val="auto"/>
              </w:rPr>
            </w:pPr>
            <w:r>
              <w:rPr>
                <w:rFonts w:ascii="Arial" w:cs="Arial" w:eastAsia="Arial" w:hAnsi="Arial"/>
                <w:sz w:val="18"/>
                <w:szCs w:val="18"/>
                <w:color w:val="auto"/>
              </w:rPr>
              <w:t>7,323,453</w:t>
            </w:r>
          </w:p>
        </w:tc>
      </w:tr>
      <w:tr>
        <w:trPr>
          <w:trHeight w:val="486"/>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6800" w:type="dxa"/>
            <w:vAlign w:val="bottom"/>
            <w:gridSpan w:val="2"/>
          </w:tcPr>
          <w:p>
            <w:pPr>
              <w:ind w:left="60"/>
              <w:spacing w:after="0"/>
              <w:rPr>
                <w:sz w:val="20"/>
                <w:szCs w:val="20"/>
                <w:color w:val="auto"/>
              </w:rPr>
            </w:pPr>
            <w:r>
              <w:rPr>
                <w:rFonts w:ascii="Arial" w:cs="Arial" w:eastAsia="Arial" w:hAnsi="Arial"/>
                <w:sz w:val="18"/>
                <w:szCs w:val="18"/>
                <w:color w:val="auto"/>
              </w:rPr>
              <w:t>Percent of Class:</w:t>
            </w:r>
          </w:p>
        </w:tc>
        <w:tc>
          <w:tcPr>
            <w:tcW w:w="3480" w:type="dxa"/>
            <w:vAlign w:val="bottom"/>
          </w:tcPr>
          <w:p>
            <w:pPr>
              <w:jc w:val="right"/>
              <w:spacing w:after="0"/>
              <w:rPr>
                <w:sz w:val="20"/>
                <w:szCs w:val="20"/>
                <w:color w:val="auto"/>
              </w:rPr>
            </w:pPr>
            <w:r>
              <w:rPr>
                <w:rFonts w:ascii="Arial" w:cs="Arial" w:eastAsia="Arial" w:hAnsi="Arial"/>
                <w:sz w:val="18"/>
                <w:szCs w:val="18"/>
                <w:color w:val="auto"/>
              </w:rPr>
              <w:t>(A) 4.45%</w:t>
            </w:r>
          </w:p>
        </w:tc>
      </w:tr>
      <w:tr>
        <w:trPr>
          <w:trHeight w:val="243"/>
        </w:trPr>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(B) 4.81%</w:t>
            </w:r>
          </w:p>
        </w:tc>
      </w:tr>
      <w:tr>
        <w:trPr>
          <w:trHeight w:val="486"/>
        </w:trPr>
        <w:tc>
          <w:tcPr>
            <w:tcW w:w="280" w:type="dxa"/>
            <w:vAlign w:val="bottom"/>
          </w:tcPr>
          <w:p>
            <w:pPr>
              <w:spacing w:after="0"/>
              <w:rPr>
                <w:sz w:val="20"/>
                <w:szCs w:val="20"/>
                <w:color w:val="auto"/>
              </w:rPr>
            </w:pPr>
            <w:r>
              <w:rPr>
                <w:rFonts w:ascii="Arial" w:cs="Arial" w:eastAsia="Arial" w:hAnsi="Arial"/>
                <w:sz w:val="18"/>
                <w:szCs w:val="18"/>
                <w:color w:val="auto"/>
              </w:rPr>
              <w:t>(c)</w:t>
            </w:r>
          </w:p>
        </w:tc>
        <w:tc>
          <w:tcPr>
            <w:tcW w:w="6800" w:type="dxa"/>
            <w:vAlign w:val="bottom"/>
            <w:gridSpan w:val="2"/>
          </w:tcPr>
          <w:p>
            <w:pPr>
              <w:ind w:left="60"/>
              <w:spacing w:after="0"/>
              <w:rPr>
                <w:sz w:val="20"/>
                <w:szCs w:val="20"/>
                <w:color w:val="auto"/>
              </w:rPr>
            </w:pPr>
            <w:r>
              <w:rPr>
                <w:rFonts w:ascii="Arial" w:cs="Arial" w:eastAsia="Arial" w:hAnsi="Arial"/>
                <w:sz w:val="18"/>
                <w:szCs w:val="18"/>
                <w:color w:val="auto"/>
              </w:rPr>
              <w:t>Number of shares as to which such person has:</w:t>
            </w:r>
          </w:p>
        </w:tc>
        <w:tc>
          <w:tcPr>
            <w:tcW w:w="3480" w:type="dxa"/>
            <w:vAlign w:val="bottom"/>
          </w:tcPr>
          <w:p>
            <w:pPr>
              <w:spacing w:after="0"/>
              <w:rPr>
                <w:sz w:val="24"/>
                <w:szCs w:val="24"/>
                <w:color w:val="auto"/>
              </w:rPr>
            </w:pPr>
          </w:p>
        </w:tc>
      </w:tr>
      <w:tr>
        <w:trPr>
          <w:trHeight w:val="243"/>
        </w:trPr>
        <w:tc>
          <w:tcPr>
            <w:tcW w:w="28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(i)</w:t>
            </w:r>
          </w:p>
        </w:tc>
        <w:tc>
          <w:tcPr>
            <w:tcW w:w="6320" w:type="dxa"/>
            <w:vAlign w:val="bottom"/>
          </w:tcPr>
          <w:p>
            <w:pPr>
              <w:ind w:left="160"/>
              <w:spacing w:after="0"/>
              <w:rPr>
                <w:sz w:val="20"/>
                <w:szCs w:val="20"/>
                <w:color w:val="auto"/>
              </w:rPr>
            </w:pPr>
            <w:r>
              <w:rPr>
                <w:rFonts w:ascii="Arial" w:cs="Arial" w:eastAsia="Arial" w:hAnsi="Arial"/>
                <w:sz w:val="18"/>
                <w:szCs w:val="18"/>
                <w:color w:val="auto"/>
              </w:rPr>
              <w:t>sole power to vote or direct to vote</w:t>
            </w:r>
          </w:p>
        </w:tc>
        <w:tc>
          <w:tcPr>
            <w:tcW w:w="3480" w:type="dxa"/>
            <w:vAlign w:val="bottom"/>
          </w:tcPr>
          <w:p>
            <w:pPr>
              <w:jc w:val="right"/>
              <w:spacing w:after="0"/>
              <w:rPr>
                <w:sz w:val="20"/>
                <w:szCs w:val="20"/>
                <w:color w:val="auto"/>
              </w:rPr>
            </w:pPr>
            <w:r>
              <w:rPr>
                <w:rFonts w:ascii="Arial" w:cs="Arial" w:eastAsia="Arial" w:hAnsi="Arial"/>
                <w:sz w:val="18"/>
                <w:szCs w:val="18"/>
                <w:color w:val="auto"/>
              </w:rPr>
              <w:t>(A) 0</w:t>
            </w:r>
          </w:p>
        </w:tc>
      </w:tr>
      <w:tr>
        <w:trPr>
          <w:trHeight w:val="243"/>
        </w:trPr>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(B) 549,917</w:t>
            </w:r>
          </w:p>
        </w:tc>
      </w:tr>
      <w:tr>
        <w:trPr>
          <w:trHeight w:val="243"/>
        </w:trPr>
        <w:tc>
          <w:tcPr>
            <w:tcW w:w="28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(ii)</w:t>
            </w:r>
          </w:p>
        </w:tc>
        <w:tc>
          <w:tcPr>
            <w:tcW w:w="6320" w:type="dxa"/>
            <w:vAlign w:val="bottom"/>
          </w:tcPr>
          <w:p>
            <w:pPr>
              <w:ind w:left="160"/>
              <w:spacing w:after="0"/>
              <w:rPr>
                <w:sz w:val="20"/>
                <w:szCs w:val="20"/>
                <w:color w:val="auto"/>
              </w:rPr>
            </w:pPr>
            <w:r>
              <w:rPr>
                <w:rFonts w:ascii="Arial" w:cs="Arial" w:eastAsia="Arial" w:hAnsi="Arial"/>
                <w:sz w:val="18"/>
                <w:szCs w:val="18"/>
                <w:color w:val="auto"/>
              </w:rPr>
              <w:t>shared power to vote or direct the vote</w:t>
            </w:r>
          </w:p>
        </w:tc>
        <w:tc>
          <w:tcPr>
            <w:tcW w:w="3480" w:type="dxa"/>
            <w:vAlign w:val="bottom"/>
          </w:tcPr>
          <w:p>
            <w:pPr>
              <w:jc w:val="right"/>
              <w:spacing w:after="0"/>
              <w:rPr>
                <w:sz w:val="20"/>
                <w:szCs w:val="20"/>
                <w:color w:val="auto"/>
              </w:rPr>
            </w:pPr>
            <w:r>
              <w:rPr>
                <w:rFonts w:ascii="Arial" w:cs="Arial" w:eastAsia="Arial" w:hAnsi="Arial"/>
                <w:sz w:val="18"/>
                <w:szCs w:val="18"/>
                <w:color w:val="auto"/>
              </w:rPr>
              <w:t>(A) 6.773,541</w:t>
            </w:r>
          </w:p>
        </w:tc>
      </w:tr>
      <w:tr>
        <w:trPr>
          <w:trHeight w:val="243"/>
        </w:trPr>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(B) 6,773,541</w:t>
            </w:r>
          </w:p>
        </w:tc>
      </w:tr>
      <w:tr>
        <w:trPr>
          <w:trHeight w:val="243"/>
        </w:trPr>
        <w:tc>
          <w:tcPr>
            <w:tcW w:w="28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(iii)</w:t>
            </w:r>
          </w:p>
        </w:tc>
        <w:tc>
          <w:tcPr>
            <w:tcW w:w="6320" w:type="dxa"/>
            <w:vAlign w:val="bottom"/>
          </w:tcPr>
          <w:p>
            <w:pPr>
              <w:ind w:left="160"/>
              <w:spacing w:after="0"/>
              <w:rPr>
                <w:sz w:val="20"/>
                <w:szCs w:val="20"/>
                <w:color w:val="auto"/>
              </w:rPr>
            </w:pPr>
            <w:r>
              <w:rPr>
                <w:rFonts w:ascii="Arial" w:cs="Arial" w:eastAsia="Arial" w:hAnsi="Arial"/>
                <w:sz w:val="18"/>
                <w:szCs w:val="18"/>
                <w:color w:val="auto"/>
              </w:rPr>
              <w:t>sole power to dispose or direct the disposition</w:t>
            </w:r>
          </w:p>
        </w:tc>
        <w:tc>
          <w:tcPr>
            <w:tcW w:w="3480" w:type="dxa"/>
            <w:vAlign w:val="bottom"/>
          </w:tcPr>
          <w:p>
            <w:pPr>
              <w:jc w:val="right"/>
              <w:spacing w:after="0"/>
              <w:rPr>
                <w:sz w:val="20"/>
                <w:szCs w:val="20"/>
                <w:color w:val="auto"/>
              </w:rPr>
            </w:pPr>
            <w:r>
              <w:rPr>
                <w:rFonts w:ascii="Arial" w:cs="Arial" w:eastAsia="Arial" w:hAnsi="Arial"/>
                <w:sz w:val="18"/>
                <w:szCs w:val="18"/>
                <w:color w:val="auto"/>
              </w:rPr>
              <w:t>(A) 0</w:t>
            </w:r>
          </w:p>
        </w:tc>
      </w:tr>
      <w:tr>
        <w:trPr>
          <w:trHeight w:val="243"/>
        </w:trPr>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(B) 549,917</w:t>
            </w:r>
          </w:p>
        </w:tc>
      </w:tr>
      <w:tr>
        <w:trPr>
          <w:trHeight w:val="243"/>
        </w:trPr>
        <w:tc>
          <w:tcPr>
            <w:tcW w:w="280" w:type="dxa"/>
            <w:vAlign w:val="bottom"/>
          </w:tcPr>
          <w:p>
            <w:pPr>
              <w:spacing w:after="0"/>
              <w:rPr>
                <w:sz w:val="21"/>
                <w:szCs w:val="21"/>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auto"/>
              </w:rPr>
              <w:t>(iv)</w:t>
            </w:r>
          </w:p>
        </w:tc>
        <w:tc>
          <w:tcPr>
            <w:tcW w:w="6320" w:type="dxa"/>
            <w:vAlign w:val="bottom"/>
          </w:tcPr>
          <w:p>
            <w:pPr>
              <w:ind w:left="160"/>
              <w:spacing w:after="0"/>
              <w:rPr>
                <w:sz w:val="20"/>
                <w:szCs w:val="20"/>
                <w:color w:val="auto"/>
              </w:rPr>
            </w:pPr>
            <w:r>
              <w:rPr>
                <w:rFonts w:ascii="Arial" w:cs="Arial" w:eastAsia="Arial" w:hAnsi="Arial"/>
                <w:sz w:val="18"/>
                <w:szCs w:val="18"/>
                <w:color w:val="auto"/>
              </w:rPr>
              <w:t>shared power to dispose or direct the disposition of</w:t>
            </w:r>
          </w:p>
        </w:tc>
        <w:tc>
          <w:tcPr>
            <w:tcW w:w="3480" w:type="dxa"/>
            <w:vAlign w:val="bottom"/>
          </w:tcPr>
          <w:p>
            <w:pPr>
              <w:jc w:val="right"/>
              <w:spacing w:after="0"/>
              <w:rPr>
                <w:sz w:val="20"/>
                <w:szCs w:val="20"/>
                <w:color w:val="auto"/>
              </w:rPr>
            </w:pPr>
            <w:r>
              <w:rPr>
                <w:rFonts w:ascii="Arial" w:cs="Arial" w:eastAsia="Arial" w:hAnsi="Arial"/>
                <w:sz w:val="18"/>
                <w:szCs w:val="18"/>
                <w:color w:val="auto"/>
              </w:rPr>
              <w:t>(A) 6,773,541</w:t>
            </w:r>
          </w:p>
        </w:tc>
      </w:tr>
      <w:tr>
        <w:trPr>
          <w:trHeight w:val="243"/>
        </w:trPr>
        <w:tc>
          <w:tcPr>
            <w:tcW w:w="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320" w:type="dxa"/>
            <w:vAlign w:val="bottom"/>
          </w:tcPr>
          <w:p>
            <w:pPr>
              <w:spacing w:after="0"/>
              <w:rPr>
                <w:sz w:val="21"/>
                <w:szCs w:val="21"/>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(B) 6,773,541</w:t>
            </w: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125"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Plains GP Holdings, L.P.(Issuer)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3" w:lineRule="exact"/>
        <w:rPr>
          <w:sz w:val="20"/>
          <w:szCs w:val="20"/>
          <w:color w:val="auto"/>
        </w:rPr>
      </w:pPr>
    </w:p>
    <w:p>
      <w:pPr>
        <w:ind w:left="820"/>
        <w:spacing w:after="0" w:line="226"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6"/>
          <w:szCs w:val="16"/>
          <w:color w:val="auto"/>
        </w:rPr>
        <w:t>Identification and Classification of the Subsidiary Which Acquired the Security Being Reported on By the Parent Holding Company</w:t>
      </w:r>
    </w:p>
    <w:p>
      <w:pPr>
        <w:spacing w:after="0" w:line="20" w:lineRule="exact"/>
        <w:rPr>
          <w:sz w:val="20"/>
          <w:szCs w:val="20"/>
          <w:color w:val="auto"/>
        </w:rPr>
      </w:pPr>
    </w:p>
    <w:p>
      <w:pPr>
        <w:ind w:left="820"/>
        <w:spacing w:after="0"/>
        <w:rPr>
          <w:sz w:val="20"/>
          <w:szCs w:val="20"/>
          <w:color w:val="auto"/>
        </w:rPr>
      </w:pPr>
      <w:r>
        <w:rPr>
          <w:rFonts w:ascii="Arial" w:cs="Arial" w:eastAsia="Arial" w:hAnsi="Arial"/>
          <w:sz w:val="22"/>
          <w:szCs w:val="22"/>
          <w:color w:val="auto"/>
        </w:rPr>
        <w:t>Not applicable.</w:t>
      </w:r>
    </w:p>
    <w:p>
      <w:pPr>
        <w:spacing w:after="0" w:line="22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3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color w:val="auto"/>
        </w:rPr>
        <w:t>Certification</w:t>
      </w:r>
    </w:p>
    <w:p>
      <w:pPr>
        <w:spacing w:after="0" w:line="20" w:lineRule="exact"/>
        <w:rPr>
          <w:sz w:val="20"/>
          <w:szCs w:val="20"/>
          <w:color w:val="auto"/>
        </w:rPr>
      </w:pPr>
    </w:p>
    <w:p>
      <w:pPr>
        <w:ind w:left="820" w:right="20"/>
        <w:spacing w:after="0" w:line="233" w:lineRule="auto"/>
        <w:rPr>
          <w:sz w:val="20"/>
          <w:szCs w:val="20"/>
          <w:color w:val="auto"/>
        </w:rPr>
      </w:pPr>
      <w:r>
        <w:rPr>
          <w:rFonts w:ascii="Arial" w:cs="Arial" w:eastAsia="Arial" w:hAnsi="Arial"/>
          <w:sz w:val="22"/>
          <w:szCs w:val="22"/>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Plains GP Holdings, L.P.(Issuer)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June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34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/S/ DAVID J. SHLADOVSKY</w:t>
            </w: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David J. Shladovsky, Secretary</w:t>
            </w:r>
          </w:p>
        </w:tc>
      </w:tr>
    </w:tbl>
    <w:p>
      <w:pPr>
        <w:spacing w:after="0" w:line="386"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240" w:top="125" w:right="5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u w:val="single" w:color="auto"/>
          <w:color w:val="auto"/>
        </w:rPr>
        <w:t>JOINT FILING AGREEMENT PURSUANT TO RULE 13d-1(f)(1)</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This agreement is made pursuant to Rule 13d-1(f)(1) under the Securities Exchange Act of 1934 (the “Act”) by and between the parties listed below, each referred to herein as a “Joint Filer.” The Joint Filers agree that a statement of beneficial ownership as required by Section 13(d) of the Act and the Rules thereunder may be filed on each of their behalf on Schedule 13D or Schedule 13G, as appropriate, and that said joint filing may thereafter be amended by further joint filings. The Joint Filers state that they each satisfy the requirements for making a joint filing under Rule 13d-1.</w:t>
      </w:r>
    </w:p>
    <w:p>
      <w:pPr>
        <w:spacing w:after="0" w:line="198"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June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p>
      <w:pPr>
        <w:jc w:val="both"/>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right"/>
        <w:ind w:right="8020"/>
        <w:spacing w:after="0"/>
        <w:rPr>
          <w:sz w:val="20"/>
          <w:szCs w:val="20"/>
          <w:color w:val="auto"/>
        </w:rPr>
      </w:pPr>
      <w:r>
        <w:rPr>
          <w:rFonts w:ascii="Arial" w:cs="Arial" w:eastAsia="Arial" w:hAnsi="Arial"/>
          <w:sz w:val="18"/>
          <w:szCs w:val="18"/>
          <w:color w:val="auto"/>
        </w:rPr>
        <w:t>David J. Shladovsky,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23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(cover page)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Plains GP Holdings, L.P.(Issuer)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820" w:hanging="809"/>
        <w:spacing w:after="0" w:line="342" w:lineRule="auto"/>
        <w:tabs>
          <w:tab w:leader="none" w:pos="800" w:val="left"/>
        </w:tabs>
        <w:rPr>
          <w:sz w:val="20"/>
          <w:szCs w:val="20"/>
          <w:color w:val="auto"/>
        </w:rPr>
      </w:pPr>
      <w:r>
        <w:rPr>
          <w:rFonts w:ascii="Arial" w:cs="Arial" w:eastAsia="Arial" w:hAnsi="Arial"/>
          <w:sz w:val="18"/>
          <w:szCs w:val="18"/>
          <w:color w:val="auto"/>
        </w:rPr>
        <w:t>Box 9.</w:t>
      </w:r>
      <w:r>
        <w:rPr>
          <w:sz w:val="20"/>
          <w:szCs w:val="20"/>
          <w:color w:val="auto"/>
        </w:rPr>
        <w:tab/>
      </w:r>
      <w:r>
        <w:rPr>
          <w:rFonts w:ascii="Arial" w:cs="Arial" w:eastAsia="Arial" w:hAnsi="Arial"/>
          <w:sz w:val="16"/>
          <w:szCs w:val="16"/>
          <w:color w:val="auto"/>
        </w:rPr>
        <w:t>The reported units are owned by investment accounts (investment limited partnerships, a registered investment company and institutional accounts) managed, with discretion to purchase or sell securities, by Kayne Anderson Capital Advisors, L.P., as a registered investment adviser.</w:t>
      </w:r>
    </w:p>
    <w:p>
      <w:pPr>
        <w:spacing w:after="0" w:line="151" w:lineRule="exact"/>
        <w:rPr>
          <w:sz w:val="20"/>
          <w:szCs w:val="20"/>
          <w:color w:val="auto"/>
        </w:rPr>
      </w:pPr>
    </w:p>
    <w:p>
      <w:pPr>
        <w:jc w:val="both"/>
        <w:ind w:left="820"/>
        <w:spacing w:after="0" w:line="271" w:lineRule="auto"/>
        <w:rPr>
          <w:sz w:val="20"/>
          <w:szCs w:val="20"/>
          <w:color w:val="auto"/>
        </w:rPr>
      </w:pPr>
      <w:r>
        <w:rPr>
          <w:rFonts w:ascii="Arial" w:cs="Arial" w:eastAsia="Arial" w:hAnsi="Arial"/>
          <w:sz w:val="17"/>
          <w:szCs w:val="17"/>
          <w:color w:val="auto"/>
        </w:rPr>
        <w:t>Kayne Anderson Capital Advisors, L.P. is the general partner (or general partner of the general partner) of the limited partnerships and investment adviser to the other accounts. Richard A. Kayne is the controlling shareholder of the corporate owner of Kayne Anderson Investment Management, Inc., the general partner of Kayne Anderson Capital Advisors, L.P. Mr. Kayne is also a limited partner of each of the limited partnerships and a shareholder of the registered investment company. Kayne Anderson Capital Advisors, L.P. disclaims beneficial ownership of the units reported, except those units attributable to it by virtue of its general partner interests in the limited partnerships. Mr. Kayne disclaims beneficial ownership of the units reported, except those units held by him or attributable to him by virtue of his limited partnership interests in the limited partnerships, his indirect interest in the interest of Kayne Anderson Capital Advisors, L.P. in the limited partnerships, and his ownership of common stock of the registered investment company.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UNDERTAKING</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jointly to file the attached Statement of Beneficial Ownership on Schedule 13G with the U.S. Securities Exchange Commission and Plains GP Holdings, L.P.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June 12, 2017</w:t>
      </w:r>
    </w:p>
    <w:p>
      <w:pPr>
        <w:spacing w:after="0" w:line="252"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/S/ RICHARD A. KAYNE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16" w:lineRule="exact"/>
        <w:rPr>
          <w:sz w:val="20"/>
          <w:szCs w:val="20"/>
          <w:color w:val="auto"/>
        </w:rPr>
      </w:pPr>
    </w:p>
    <w:p>
      <w:pPr>
        <w:jc w:val="center"/>
        <w:ind w:right="5700"/>
        <w:spacing w:after="0"/>
        <w:rPr>
          <w:sz w:val="20"/>
          <w:szCs w:val="20"/>
          <w:color w:val="auto"/>
        </w:rPr>
      </w:pPr>
      <w:r>
        <w:rPr>
          <w:rFonts w:ascii="Arial" w:cs="Arial" w:eastAsia="Arial" w:hAnsi="Arial"/>
          <w:sz w:val="18"/>
          <w:szCs w:val="18"/>
          <w:color w:val="auto"/>
        </w:rPr>
        <w:t>Richard A. Kayne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KAYNE ANDERSON CAPITAL ADVISORS, L.P.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Kayne Anderson Investment Management, Inc.</w:t>
      </w:r>
    </w:p>
    <w:p>
      <w:pPr>
        <w:spacing w:after="0" w:line="225" w:lineRule="exact"/>
        <w:rPr>
          <w:sz w:val="20"/>
          <w:szCs w:val="20"/>
          <w:color w:val="auto"/>
        </w:rPr>
      </w:pPr>
    </w:p>
    <w:p>
      <w:pPr>
        <w:jc w:val="both"/>
        <w:ind w:left="580"/>
        <w:spacing w:after="0"/>
        <w:tabs>
          <w:tab w:leader="none" w:pos="1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89877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jc w:val="right"/>
        <w:ind w:right="8020"/>
        <w:spacing w:after="0"/>
        <w:rPr>
          <w:sz w:val="20"/>
          <w:szCs w:val="20"/>
          <w:color w:val="auto"/>
        </w:rPr>
      </w:pPr>
      <w:r>
        <w:rPr>
          <w:rFonts w:ascii="Arial" w:cs="Arial" w:eastAsia="Arial" w:hAnsi="Arial"/>
          <w:sz w:val="18"/>
          <w:szCs w:val="18"/>
          <w:color w:val="auto"/>
        </w:rPr>
        <w:t>David J. Shladovsky, Secretary</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2019-12-17T05:44:20Z</dcterms:created>
  <dcterms:modified xsi:type="dcterms:W3CDTF">2019-12-17T05:44:20Z</dcterms:modified>
</cp:coreProperties>
</file>