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pPr>
      <w:bookmarkStart w:id="0" w:name="filename1.htm"/>
      <w:bookmarkStart w:id="1" w:name="ksfilename1"/>
      <w:bookmarkEnd w:id="0"/>
      <w:bookmarkEnd w:id="1"/>
      <w:r>
        <w:rPr/>
        <w:t> </w:t>
      </w:r>
    </w:p>
    <w:p>
      <w:pPr>
        <w:pStyle w:val="TextBody"/>
        <w:spacing w:before="0" w:after="0"/>
        <w:ind w:left="0" w:right="0" w:hanging="0"/>
        <w:jc w:val="center"/>
        <w:rPr/>
      </w:pPr>
      <w:r>
        <w:rPr/>
        <w:drawing>
          <wp:inline distT="0" distB="0" distL="0" distR="0">
            <wp:extent cx="3209925" cy="990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990600"/>
                    </a:xfrm>
                    <a:prstGeom prst="rect">
                      <a:avLst/>
                    </a:prstGeom>
                  </pic:spPr>
                </pic:pic>
              </a:graphicData>
            </a:graphic>
          </wp:inline>
        </w:drawing>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September 6,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Mr. Karl Hiller</w:t>
      </w:r>
    </w:p>
    <w:p>
      <w:pPr>
        <w:pStyle w:val="TextBody"/>
        <w:spacing w:before="0" w:after="0"/>
        <w:ind w:left="0" w:right="0" w:hanging="0"/>
        <w:rPr>
          <w:rFonts w:ascii="Times New Roman" w:hAnsi="Times New Roman"/>
          <w:sz w:val="17"/>
        </w:rPr>
      </w:pPr>
      <w:r>
        <w:rPr>
          <w:rFonts w:ascii="Times New Roman" w:hAnsi="Times New Roman"/>
          <w:sz w:val="17"/>
        </w:rPr>
        <w:t>Branch Chief</w:t>
      </w:r>
    </w:p>
    <w:p>
      <w:pPr>
        <w:pStyle w:val="TextBody"/>
        <w:spacing w:before="0" w:after="0"/>
        <w:ind w:left="0" w:right="0" w:hanging="0"/>
        <w:rPr>
          <w:rFonts w:ascii="Times New Roman" w:hAnsi="Times New Roman"/>
          <w:sz w:val="17"/>
        </w:rPr>
      </w:pPr>
      <w:r>
        <w:rPr>
          <w:rFonts w:ascii="Times New Roman" w:hAnsi="Times New Roman"/>
          <w:sz w:val="17"/>
        </w:rPr>
        <w:t>United States Securities and Exchange Commission</w:t>
      </w:r>
    </w:p>
    <w:p>
      <w:pPr>
        <w:pStyle w:val="TextBody"/>
        <w:spacing w:before="0" w:after="0"/>
        <w:ind w:left="0" w:right="0" w:hanging="0"/>
        <w:rPr>
          <w:rFonts w:ascii="Times New Roman" w:hAnsi="Times New Roman"/>
          <w:sz w:val="17"/>
        </w:rPr>
      </w:pPr>
      <w:r>
        <w:rPr>
          <w:rFonts w:ascii="Times New Roman" w:hAnsi="Times New Roman"/>
          <w:sz w:val="17"/>
        </w:rPr>
        <w:t>Division of Corporation Finance</w:t>
      </w:r>
    </w:p>
    <w:p>
      <w:pPr>
        <w:pStyle w:val="TextBody"/>
        <w:spacing w:before="0" w:after="0"/>
        <w:ind w:left="0" w:right="0" w:hanging="0"/>
        <w:rPr>
          <w:rFonts w:ascii="Times New Roman" w:hAnsi="Times New Roman"/>
          <w:sz w:val="17"/>
        </w:rPr>
      </w:pPr>
      <w:r>
        <w:rPr>
          <w:rFonts w:ascii="Times New Roman" w:hAnsi="Times New Roman"/>
          <w:sz w:val="17"/>
        </w:rPr>
        <w:t>100 F Street, N.E.</w:t>
      </w:r>
    </w:p>
    <w:p>
      <w:pPr>
        <w:pStyle w:val="TextBody"/>
        <w:spacing w:before="0" w:after="0"/>
        <w:ind w:left="0" w:right="0" w:hanging="0"/>
        <w:rPr>
          <w:rFonts w:ascii="Times New Roman" w:hAnsi="Times New Roman"/>
          <w:sz w:val="17"/>
        </w:rPr>
      </w:pPr>
      <w:r>
        <w:rPr>
          <w:rFonts w:ascii="Times New Roman" w:hAnsi="Times New Roman"/>
          <w:sz w:val="17"/>
        </w:rPr>
        <w:t>Washington, D.C.  20549-3561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Re:</w:t>
      </w:r>
      <w:r>
        <w:rPr>
          <w:rFonts w:ascii="Times New Roman" w:hAnsi="Times New Roman"/>
        </w:rPr>
        <w:t xml:space="preserve">                             </w:t>
      </w:r>
      <w:r>
        <w:rPr>
          <w:rFonts w:ascii="Times New Roman" w:hAnsi="Times New Roman"/>
          <w:b/>
          <w:sz w:val="17"/>
        </w:rPr>
        <w:t>Plains All American Pipeline, L.P.</w:t>
      </w:r>
    </w:p>
    <w:p>
      <w:pPr>
        <w:pStyle w:val="TextBody"/>
        <w:spacing w:before="0" w:after="0"/>
        <w:ind w:left="0" w:right="0" w:hanging="0"/>
        <w:rPr>
          <w:rFonts w:ascii="Times New Roman" w:hAnsi="Times New Roman"/>
          <w:b/>
          <w:sz w:val="17"/>
        </w:rPr>
      </w:pPr>
      <w:r>
        <w:rPr>
          <w:rFonts w:ascii="Times New Roman" w:hAnsi="Times New Roman"/>
          <w:b/>
          <w:sz w:val="17"/>
        </w:rPr>
        <w:t>Form 10-K for the Fiscal Year Ended December 31, 2012</w:t>
      </w:r>
    </w:p>
    <w:p>
      <w:pPr>
        <w:pStyle w:val="TextBody"/>
        <w:spacing w:before="0" w:after="0"/>
        <w:ind w:left="0" w:right="0" w:hanging="0"/>
        <w:rPr>
          <w:rFonts w:ascii="Times New Roman" w:hAnsi="Times New Roman"/>
          <w:b/>
          <w:sz w:val="17"/>
        </w:rPr>
      </w:pPr>
      <w:r>
        <w:rPr>
          <w:rFonts w:ascii="Times New Roman" w:hAnsi="Times New Roman"/>
          <w:b/>
          <w:sz w:val="17"/>
        </w:rPr>
        <w:t>Filed February 27, 2013</w:t>
      </w:r>
    </w:p>
    <w:p>
      <w:pPr>
        <w:pStyle w:val="TextBody"/>
        <w:spacing w:before="0" w:after="0"/>
        <w:ind w:left="0" w:right="0" w:hanging="0"/>
        <w:rPr>
          <w:rFonts w:ascii="Times New Roman" w:hAnsi="Times New Roman"/>
          <w:b/>
          <w:sz w:val="17"/>
        </w:rPr>
      </w:pPr>
      <w:r>
        <w:rPr>
          <w:rFonts w:ascii="Times New Roman" w:hAnsi="Times New Roman"/>
          <w:b/>
          <w:sz w:val="17"/>
        </w:rPr>
        <w:t>File No. 001-14569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Dear Mr. Hiller: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Set forth below are the responses of Plains All American Pipeline, L.P. (the </w:t>
      </w:r>
      <w:r>
        <w:rPr>
          <w:rFonts w:ascii="Times New Roman" w:hAnsi="Times New Roman"/>
          <w:b/>
          <w:i/>
          <w:sz w:val="17"/>
        </w:rPr>
        <w:t>Company,</w:t>
      </w:r>
      <w:r>
        <w:rPr>
          <w:rFonts w:ascii="Times New Roman" w:hAnsi="Times New Roman"/>
          <w:sz w:val="17"/>
        </w:rPr>
        <w:t> </w:t>
      </w:r>
      <w:r>
        <w:rPr>
          <w:rFonts w:ascii="Times New Roman" w:hAnsi="Times New Roman"/>
          <w:b/>
          <w:i/>
          <w:sz w:val="17"/>
        </w:rPr>
        <w:t>we</w:t>
      </w:r>
      <w:r>
        <w:rPr>
          <w:rFonts w:ascii="Times New Roman" w:hAnsi="Times New Roman"/>
          <w:sz w:val="17"/>
        </w:rPr>
        <w:t>, </w:t>
      </w:r>
      <w:r>
        <w:rPr>
          <w:rFonts w:ascii="Times New Roman" w:hAnsi="Times New Roman"/>
          <w:b/>
          <w:i/>
          <w:sz w:val="17"/>
        </w:rPr>
        <w:t>us</w:t>
      </w:r>
      <w:r>
        <w:rPr>
          <w:rFonts w:ascii="Times New Roman" w:hAnsi="Times New Roman"/>
          <w:sz w:val="17"/>
        </w:rPr>
        <w:t> or </w:t>
      </w:r>
      <w:r>
        <w:rPr>
          <w:rFonts w:ascii="Times New Roman" w:hAnsi="Times New Roman"/>
          <w:b/>
          <w:i/>
          <w:sz w:val="17"/>
        </w:rPr>
        <w:t>our</w:t>
      </w:r>
      <w:r>
        <w:rPr>
          <w:rFonts w:ascii="Times New Roman" w:hAnsi="Times New Roman"/>
          <w:sz w:val="17"/>
        </w:rPr>
        <w:t>) to the comments contained in the letter from the staff (the </w:t>
      </w:r>
      <w:r>
        <w:rPr>
          <w:rFonts w:ascii="Times New Roman" w:hAnsi="Times New Roman"/>
          <w:b/>
          <w:i/>
          <w:sz w:val="17"/>
        </w:rPr>
        <w:t>Staff</w:t>
      </w:r>
      <w:r>
        <w:rPr>
          <w:rFonts w:ascii="Times New Roman" w:hAnsi="Times New Roman"/>
          <w:i/>
          <w:sz w:val="17"/>
        </w:rPr>
        <w:t xml:space="preserve">) </w:t>
      </w:r>
      <w:r>
        <w:rPr>
          <w:rFonts w:ascii="Times New Roman" w:hAnsi="Times New Roman"/>
          <w:sz w:val="17"/>
        </w:rPr>
        <w:t>of the Securities and Exchange Commission (the </w:t>
      </w:r>
      <w:r>
        <w:rPr>
          <w:rFonts w:ascii="Times New Roman" w:hAnsi="Times New Roman"/>
          <w:b/>
          <w:i/>
          <w:sz w:val="17"/>
        </w:rPr>
        <w:t>Commission</w:t>
      </w:r>
      <w:r>
        <w:rPr>
          <w:rFonts w:ascii="Times New Roman" w:hAnsi="Times New Roman"/>
          <w:sz w:val="17"/>
        </w:rPr>
        <w:t>) dated August 29, 2013, with respect to our Form 10-K for the fiscal year ended December 31, 2012.  In response to the Staffs comments, to the extent appropriate, we have included in this letter a proposed revision to our 2012 Form 10-K disclosures.  However, we believe that the revised disclosure contained in this letter would not be material to investors who reviewed our 2012 Form 10-K.  Accordingly, we respectfully request that the Staff permit us to include the revised disclosure in our future filings, rather than amending or supplementing the disclosures in the 2012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responses are for the Staffs review.  For your convenience, we have repeated in bold, italicized text each comment of the Staff exactly as given in the Staffs comment letter.</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u w:val="single"/>
        </w:rPr>
      </w:pPr>
      <w:r>
        <w:rPr>
          <w:rFonts w:ascii="Times New Roman" w:hAnsi="Times New Roman"/>
          <w:b/>
          <w:i/>
          <w:sz w:val="17"/>
          <w:u w:val="single"/>
        </w:rPr>
        <w:t>Form 10-K for the Fiscal Year ended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u w:val="single"/>
        </w:rPr>
      </w:pPr>
      <w:r>
        <w:rPr>
          <w:rFonts w:ascii="Times New Roman" w:hAnsi="Times New Roman"/>
          <w:b/>
          <w:i/>
          <w:sz w:val="17"/>
          <w:u w:val="single"/>
        </w:rPr>
        <w:t>Managements Discussion and Analysis of Financial Condition and Results of Operations, page 63</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u w:val="single"/>
        </w:rPr>
      </w:pPr>
      <w:r>
        <w:rPr>
          <w:rFonts w:ascii="Times New Roman" w:hAnsi="Times New Roman"/>
          <w:b/>
          <w:i/>
          <w:sz w:val="17"/>
          <w:u w:val="single"/>
        </w:rPr>
        <w:t>Results of Operations, page 69</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u w:val="single"/>
        </w:rPr>
      </w:pPr>
      <w:r>
        <w:rPr>
          <w:rFonts w:ascii="Times New Roman" w:hAnsi="Times New Roman"/>
          <w:b/>
          <w:i/>
          <w:sz w:val="17"/>
          <w:u w:val="single"/>
        </w:rPr>
        <w:t>Non-GAAP Financial Measures, page 69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w:t>
      </w:r>
      <w:r>
        <w:rPr>
          <w:rFonts w:ascii="Times New Roman" w:hAnsi="Times New Roman"/>
        </w:rPr>
        <w:t xml:space="preserve">              </w:t>
      </w:r>
      <w:r>
        <w:rPr>
          <w:rFonts w:ascii="Times New Roman" w:hAnsi="Times New Roman"/>
          <w:b/>
          <w:i/>
          <w:sz w:val="17"/>
        </w:rPr>
        <w:t>We note you adjust net income for mark-to-market gains and losses resulting from derivative instruments that are related to underlying activities in future periods or the</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reversal of mark-to-market gains and losses from the prior period, net of inventory valuation adjustments to calculate Adjusted EBITDA.  Please submit details of the components making up these amounts and reconcile the details to information presented in Note 11 and other sections of your financial statements.  In addition, please explain your rationale for netting inventory valuation adjustments against the gains and losses from derivative activities to derive these adjustments.  Please state your objective for including these adjustments in computing your non-GAAP measure.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  We acknowledge the Staffs comment and have included as Attachment I a schedule that provides the details of the components of the referenced amounts and reconciles those details to information presented in Note 11 and Note 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w:t>
      </w:r>
      <w:r>
        <w:rPr>
          <w:rFonts w:ascii="Times New Roman" w:hAnsi="Times New Roman"/>
        </w:rPr>
        <w:t xml:space="preserve"> </w:t>
      </w:r>
      <w:r>
        <w:rPr>
          <w:rFonts w:ascii="Times New Roman" w:hAnsi="Times New Roman"/>
          <w:sz w:val="17"/>
        </w:rPr>
        <w:t>In many instances, the identified underlying transaction is inventory or the anticipated sale of inventory and thus we net inventory valuation adjustments against the gains and losses from derivative instruments that we have identified as associated with that inventory.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the inclusion of these gains and losses, that we associate with a different period, creates volatility in our operating results that is not associated with the underlying performance of our business for the period. Therefore we believe that adjusting EBITDA for these amounts results in a meaningful financial measure that we use internally for financial, operational, compensation and planning decisions.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2.</w:t>
      </w:r>
      <w:r>
        <w:rPr>
          <w:rFonts w:ascii="Times New Roman" w:hAnsi="Times New Roman"/>
        </w:rPr>
        <w:t xml:space="preserve">              </w:t>
      </w:r>
      <w:r>
        <w:rPr>
          <w:rFonts w:ascii="Times New Roman" w:hAnsi="Times New Roman"/>
          <w:b/>
          <w:i/>
          <w:sz w:val="17"/>
        </w:rPr>
        <w:t>Given that you present non-GAAP measures of Implied Distributable Cash Flow, it appears you should also disclose how these measures relate to and compare with actual distributions, with explanations for significant differences and tabular reconciliations for all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  We acknowledge the Staffs comment and advise the staff that we will revise our disclosure in future filings as indicated in red on Attachment II.</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              *              *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05240_7056"/>
      <w:bookmarkEnd w:id="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acknowledge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 are responsible for the adequacy and accuracy of the disclosure in the filing;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staff comments or changes to disclosure in response to staff comments do not foreclose the Commission from taking any action with respect to the filing;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 may not assert staff comments as a defense in any proceeding initiated by the Commission or any person under the federal securities laws of the United States.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Should the Staff have any questions or comments, please contact the undersigned at 713.646.4100 or Chris Herbold, Chief Accounting Officer of Plains All American Pipeline, L.P. at the same number.</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721"/>
        <w:gridCol w:w="4330"/>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pPr>
            <w:r>
              <w:rPr/>
              <w:t> </w:t>
            </w:r>
          </w:p>
        </w:tc>
        <w:tc>
          <w:tcPr>
            <w:tcW w:w="433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pPr>
            <w:r>
              <w:rPr/>
              <w:t> </w:t>
            </w:r>
          </w:p>
        </w:tc>
        <w:tc>
          <w:tcPr>
            <w:tcW w:w="433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pPr>
            <w:r>
              <w:rPr/>
              <w:t> </w:t>
            </w:r>
          </w:p>
        </w:tc>
        <w:tc>
          <w:tcPr>
            <w:tcW w:w="433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3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and Chief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05244_5335"/>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Attachment I</w:t>
      </w:r>
    </w:p>
    <w:p>
      <w:pPr>
        <w:pStyle w:val="TextBody"/>
        <w:spacing w:before="0" w:after="0"/>
        <w:ind w:left="0" w:right="0" w:hanging="0"/>
        <w:rPr/>
      </w:pPr>
      <w:r>
        <w:rPr/>
        <w:t> </w:t>
      </w:r>
    </w:p>
    <w:tbl>
      <w:tblPr>
        <w:tblW w:w="5000" w:type="pct"/>
        <w:jc w:val="left"/>
        <w:tblInd w:w="0" w:type="dxa"/>
        <w:tblCellMar>
          <w:top w:w="28" w:type="dxa"/>
          <w:left w:w="28" w:type="dxa"/>
          <w:bottom w:w="28" w:type="dxa"/>
          <w:right w:w="0" w:type="dxa"/>
        </w:tblCellMar>
      </w:tblPr>
      <w:tblGrid>
        <w:gridCol w:w="5955"/>
        <w:gridCol w:w="204"/>
        <w:gridCol w:w="111"/>
        <w:gridCol w:w="303"/>
        <w:gridCol w:w="832"/>
        <w:gridCol w:w="207"/>
        <w:gridCol w:w="111"/>
        <w:gridCol w:w="825"/>
        <w:gridCol w:w="207"/>
        <w:gridCol w:w="111"/>
        <w:gridCol w:w="303"/>
        <w:gridCol w:w="820"/>
        <w:gridCol w:w="216"/>
      </w:tblGrid>
      <w:tr>
        <w:trPr/>
        <w:tc>
          <w:tcPr>
            <w:tcW w:w="8548" w:type="dxa"/>
            <w:gridSpan w:val="8"/>
            <w:tcBorders>
              <w:top w:val="single" w:sz="8" w:space="0" w:color="000000"/>
              <w:left w:val="single" w:sz="8" w:space="0" w:color="000000"/>
              <w:bottom w:val="single" w:sz="8" w:space="0" w:color="000000"/>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Components of Gain/(Loss) from derivative activities net of inventory valuation adjustments</w:t>
            </w:r>
          </w:p>
        </w:tc>
        <w:tc>
          <w:tcPr>
            <w:tcW w:w="207" w:type="dxa"/>
            <w:tcBorders>
              <w:top w:val="single" w:sz="8" w:space="0" w:color="000000"/>
              <w:bottom w:val="single" w:sz="8" w:space="0" w:color="000000"/>
            </w:tcBorders>
            <w:shd w:fill="auto" w:val="clear"/>
            <w:tcMar>
              <w:left w:w="0" w:type="dxa"/>
            </w:tcMar>
            <w:vAlign w:val="bottom"/>
          </w:tcPr>
          <w:p>
            <w:pPr>
              <w:pStyle w:val="TableContents"/>
              <w:spacing w:before="0" w:after="0"/>
              <w:ind w:left="0" w:right="0" w:hanging="0"/>
              <w:jc w:val="center"/>
              <w:rPr/>
            </w:pPr>
            <w:r>
              <w:rPr/>
              <w:t> </w:t>
            </w:r>
          </w:p>
        </w:tc>
        <w:tc>
          <w:tcPr>
            <w:tcW w:w="1234" w:type="dxa"/>
            <w:gridSpan w:val="3"/>
            <w:tcBorders>
              <w:top w:val="single" w:sz="8" w:space="0" w:color="000000"/>
              <w:bottom w:val="single" w:sz="8" w:space="0" w:color="000000"/>
            </w:tcBorders>
            <w:shd w:fill="auto" w:val="clear"/>
            <w:tcMar>
              <w:left w:w="0" w:type="dxa"/>
            </w:tcMar>
            <w:vAlign w:val="bottom"/>
          </w:tcPr>
          <w:p>
            <w:pPr>
              <w:pStyle w:val="TableContents"/>
              <w:spacing w:before="0" w:after="0"/>
              <w:ind w:left="0" w:right="0" w:hanging="0"/>
              <w:jc w:val="center"/>
              <w:rPr/>
            </w:pPr>
            <w:r>
              <w:rPr/>
              <w:t> </w:t>
            </w:r>
          </w:p>
        </w:tc>
        <w:tc>
          <w:tcPr>
            <w:tcW w:w="216" w:type="dxa"/>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t> </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pPr>
            <w:r>
              <w:rPr/>
              <w:t> </w:t>
            </w:r>
          </w:p>
        </w:tc>
        <w:tc>
          <w:tcPr>
            <w:tcW w:w="204" w:type="dxa"/>
            <w:tcBorders/>
            <w:shd w:fill="auto" w:val="clear"/>
            <w:tcMar>
              <w:top w:w="0" w:type="dxa"/>
              <w:left w:w="0" w:type="dxa"/>
              <w:bottom w:w="0" w:type="dxa"/>
            </w:tcMar>
            <w:vAlign w:val="bottom"/>
          </w:tcPr>
          <w:p>
            <w:pPr>
              <w:pStyle w:val="TableContents"/>
              <w:spacing w:before="0" w:after="0"/>
              <w:ind w:left="0" w:right="0" w:hanging="0"/>
              <w:jc w:val="center"/>
              <w:rPr/>
            </w:pPr>
            <w:r>
              <w:rPr/>
              <w:t> </w:t>
            </w:r>
          </w:p>
        </w:tc>
        <w:tc>
          <w:tcPr>
            <w:tcW w:w="1246" w:type="dxa"/>
            <w:gridSpan w:val="3"/>
            <w:tcBorders/>
            <w:shd w:fill="auto" w:val="clear"/>
            <w:tcMar>
              <w:top w:w="0" w:type="dxa"/>
              <w:left w:w="0" w:type="dxa"/>
              <w:bottom w:w="0" w:type="dxa"/>
            </w:tcMar>
            <w:vAlign w:val="bottom"/>
          </w:tcPr>
          <w:p>
            <w:pPr>
              <w:pStyle w:val="TableContents"/>
              <w:spacing w:before="0" w:after="0"/>
              <w:ind w:left="0" w:right="0" w:hanging="0"/>
              <w:jc w:val="center"/>
              <w:rPr/>
            </w:pPr>
            <w:r>
              <w:rPr/>
              <w:t> </w:t>
            </w:r>
          </w:p>
        </w:tc>
        <w:tc>
          <w:tcPr>
            <w:tcW w:w="207" w:type="dxa"/>
            <w:tcBorders/>
            <w:shd w:fill="auto" w:val="clear"/>
            <w:tcMar>
              <w:top w:w="0" w:type="dxa"/>
              <w:left w:w="0" w:type="dxa"/>
              <w:bottom w:w="0" w:type="dxa"/>
            </w:tcMar>
            <w:vAlign w:val="bottom"/>
          </w:tcPr>
          <w:p>
            <w:pPr>
              <w:pStyle w:val="TableContents"/>
              <w:spacing w:before="0" w:after="0"/>
              <w:ind w:left="0" w:right="0" w:hanging="0"/>
              <w:jc w:val="center"/>
              <w:rPr/>
            </w:pPr>
            <w:r>
              <w:rPr/>
              <w:t> </w:t>
            </w:r>
          </w:p>
        </w:tc>
        <w:tc>
          <w:tcPr>
            <w:tcW w:w="936" w:type="dxa"/>
            <w:gridSpan w:val="2"/>
            <w:tcBorders/>
            <w:shd w:fill="auto" w:val="clear"/>
            <w:tcMar>
              <w:top w:w="0" w:type="dxa"/>
              <w:left w:w="0" w:type="dxa"/>
              <w:bottom w:w="0" w:type="dxa"/>
            </w:tcMar>
            <w:vAlign w:val="bottom"/>
          </w:tcPr>
          <w:p>
            <w:pPr>
              <w:pStyle w:val="TableContents"/>
              <w:spacing w:before="0" w:after="0"/>
              <w:ind w:left="0" w:right="0" w:hanging="0"/>
              <w:jc w:val="center"/>
              <w:rPr/>
            </w:pPr>
            <w:r>
              <w:rPr/>
              <w:t> </w:t>
            </w:r>
          </w:p>
        </w:tc>
        <w:tc>
          <w:tcPr>
            <w:tcW w:w="207" w:type="dxa"/>
            <w:tcBorders/>
            <w:shd w:fill="auto" w:val="clear"/>
            <w:tcMar>
              <w:top w:w="0" w:type="dxa"/>
              <w:left w:w="0" w:type="dxa"/>
              <w:bottom w:w="0" w:type="dxa"/>
            </w:tcMar>
            <w:vAlign w:val="bottom"/>
          </w:tcPr>
          <w:p>
            <w:pPr>
              <w:pStyle w:val="TableContents"/>
              <w:spacing w:before="0" w:after="0"/>
              <w:ind w:left="0" w:right="0" w:hanging="0"/>
              <w:jc w:val="center"/>
              <w:rPr/>
            </w:pPr>
            <w:r>
              <w:rPr/>
              <w:t> </w:t>
            </w:r>
          </w:p>
        </w:tc>
        <w:tc>
          <w:tcPr>
            <w:tcW w:w="1234" w:type="dxa"/>
            <w:gridSpan w:val="3"/>
            <w:tcBorders/>
            <w:shd w:fill="auto" w:val="clear"/>
            <w:tcMar>
              <w:top w:w="0" w:type="dxa"/>
              <w:left w:w="0" w:type="dxa"/>
              <w:bottom w:w="0" w:type="dxa"/>
            </w:tcMar>
            <w:vAlign w:val="bottom"/>
          </w:tcPr>
          <w:p>
            <w:pPr>
              <w:pStyle w:val="TableContents"/>
              <w:spacing w:before="0" w:after="0"/>
              <w:ind w:left="0" w:right="0" w:hanging="0"/>
              <w:jc w:val="center"/>
              <w:rPr/>
            </w:pPr>
            <w:r>
              <w:rPr/>
              <w:t> </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jc w:val="center"/>
              <w:rPr/>
            </w:pPr>
            <w:r>
              <w:rPr/>
              <w:t> </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pPr>
            <w:r>
              <w:rPr/>
              <w:t> </w:t>
            </w:r>
          </w:p>
        </w:tc>
        <w:tc>
          <w:tcPr>
            <w:tcW w:w="204" w:type="dxa"/>
            <w:tcBorders/>
            <w:shd w:fill="auto" w:val="clear"/>
            <w:tcMar>
              <w:top w:w="0" w:type="dxa"/>
              <w:left w:w="0" w:type="dxa"/>
              <w:bottom w:w="0" w:type="dxa"/>
            </w:tcMar>
            <w:vAlign w:val="bottom"/>
          </w:tcPr>
          <w:p>
            <w:pPr>
              <w:pStyle w:val="TableContents"/>
              <w:spacing w:before="0" w:after="0"/>
              <w:ind w:left="0" w:right="0" w:hanging="0"/>
              <w:jc w:val="center"/>
              <w:rPr/>
            </w:pPr>
            <w:r>
              <w:rPr/>
              <w:t> </w:t>
            </w:r>
          </w:p>
        </w:tc>
        <w:tc>
          <w:tcPr>
            <w:tcW w:w="1246" w:type="dxa"/>
            <w:gridSpan w:val="3"/>
            <w:tcBorders>
              <w:bottom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7" w:type="dxa"/>
            <w:tcBorders/>
            <w:shd w:fill="auto" w:val="clear"/>
            <w:tcMar>
              <w:top w:w="0" w:type="dxa"/>
              <w:left w:w="0" w:type="dxa"/>
              <w:bottom w:w="0" w:type="dxa"/>
            </w:tcMar>
            <w:vAlign w:val="bottom"/>
          </w:tcPr>
          <w:p>
            <w:pPr>
              <w:pStyle w:val="TableContents"/>
              <w:spacing w:before="0" w:after="0"/>
              <w:ind w:left="0" w:right="0" w:hanging="0"/>
              <w:jc w:val="center"/>
              <w:rPr/>
            </w:pPr>
            <w:r>
              <w:rPr/>
              <w:t> </w:t>
            </w:r>
          </w:p>
        </w:tc>
        <w:tc>
          <w:tcPr>
            <w:tcW w:w="936" w:type="dxa"/>
            <w:gridSpan w:val="2"/>
            <w:tcBorders>
              <w:bottom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7" w:type="dxa"/>
            <w:tcBorders/>
            <w:shd w:fill="auto" w:val="clear"/>
            <w:tcMar>
              <w:top w:w="0" w:type="dxa"/>
              <w:left w:w="0" w:type="dxa"/>
              <w:bottom w:w="0" w:type="dxa"/>
            </w:tcMar>
            <w:vAlign w:val="bottom"/>
          </w:tcPr>
          <w:p>
            <w:pPr>
              <w:pStyle w:val="TableContents"/>
              <w:spacing w:before="0" w:after="0"/>
              <w:ind w:left="0" w:right="0" w:hanging="0"/>
              <w:jc w:val="center"/>
              <w:rPr/>
            </w:pPr>
            <w:r>
              <w:rPr/>
              <w:t> </w:t>
            </w:r>
          </w:p>
        </w:tc>
        <w:tc>
          <w:tcPr>
            <w:tcW w:w="1234" w:type="dxa"/>
            <w:gridSpan w:val="3"/>
            <w:tcBorders>
              <w:bottom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jc w:val="center"/>
              <w:rPr/>
            </w:pPr>
            <w:r>
              <w:rPr/>
              <w:t> </w:t>
            </w:r>
          </w:p>
        </w:tc>
      </w:tr>
      <w:tr>
        <w:trPr/>
        <w:tc>
          <w:tcPr>
            <w:tcW w:w="5955" w:type="dxa"/>
            <w:tcBorders>
              <w:left w:val="single" w:sz="8" w:space="0" w:color="000000"/>
            </w:tcBorders>
            <w:shd w:fill="CCEEFF" w:val="clear"/>
            <w:tcMar>
              <w:top w:w="0" w:type="dxa"/>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Gain/(loss) from derivative activities</w:t>
            </w:r>
          </w:p>
        </w:tc>
        <w:tc>
          <w:tcPr>
            <w:tcW w:w="204"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936" w:type="dxa"/>
            <w:gridSpan w:val="2"/>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16" w:type="dxa"/>
            <w:tcBorders>
              <w:right w:val="single" w:sz="8" w:space="0" w:color="000000"/>
            </w:tcBorders>
            <w:shd w:fill="CCEEFF"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204"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shd w:fill="auto" w:val="clear"/>
            <w:tcMar>
              <w:top w:w="0" w:type="dxa"/>
              <w:left w:w="0"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07" w:type="dxa"/>
            <w:tcBorders/>
            <w:shd w:fill="auto" w:val="clear"/>
            <w:tcMar>
              <w:top w:w="0" w:type="dxa"/>
              <w:left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6" w:type="dxa"/>
            <w:gridSpan w:val="2"/>
            <w:tcBorders/>
            <w:shd w:fill="auto" w:val="clear"/>
            <w:tcMar>
              <w:top w:w="0" w:type="dxa"/>
              <w:left w:w="0"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shd w:fill="auto" w:val="clear"/>
            <w:tcMar>
              <w:top w:w="0" w:type="dxa"/>
              <w:left w:w="0"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955" w:type="dxa"/>
            <w:tcBorders>
              <w:left w:val="single" w:sz="8" w:space="0" w:color="000000"/>
            </w:tcBorders>
            <w:shd w:fill="CCEEFF" w:val="clear"/>
            <w:tcMar>
              <w:top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204"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936" w:type="dxa"/>
            <w:gridSpan w:val="2"/>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7" w:type="dxa"/>
            <w:tcBorders/>
            <w:shd w:fill="CCEEFF" w:val="clear"/>
            <w:tcMar>
              <w:top w:w="0" w:type="dxa"/>
              <w:left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4"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right w:val="single" w:sz="8" w:space="0" w:color="000000"/>
            </w:tcBorders>
            <w:shd w:fill="CCEEFF"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 Subtotal</w:t>
            </w:r>
          </w:p>
        </w:tc>
        <w:tc>
          <w:tcPr>
            <w:tcW w:w="204"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shd w:fill="auto" w:val="clear"/>
            <w:tcMar>
              <w:top w:w="0" w:type="dxa"/>
              <w:left w:w="0" w:type="dxa"/>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(67</w:t>
            </w:r>
          </w:p>
        </w:tc>
        <w:tc>
          <w:tcPr>
            <w:tcW w:w="207" w:type="dxa"/>
            <w:tcBorders/>
            <w:shd w:fill="auto" w:val="clear"/>
            <w:tcMar>
              <w:top w:w="0" w:type="dxa"/>
              <w:left w:w="0" w:type="dxa"/>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36" w:type="dxa"/>
            <w:gridSpan w:val="2"/>
            <w:tcBorders/>
            <w:shd w:fill="auto" w:val="clear"/>
            <w:tcMar>
              <w:top w:w="0" w:type="dxa"/>
              <w:left w:w="0" w:type="dxa"/>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62</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shd w:fill="auto" w:val="clear"/>
            <w:tcMar>
              <w:top w:w="0" w:type="dxa"/>
              <w:left w:w="0" w:type="dxa"/>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r>
        <w:trPr/>
        <w:tc>
          <w:tcPr>
            <w:tcW w:w="5955" w:type="dxa"/>
            <w:tcBorders>
              <w:left w:val="single" w:sz="8" w:space="0" w:color="000000"/>
            </w:tcBorders>
            <w:shd w:fill="CCEEFF" w:val="clear"/>
            <w:tcMar>
              <w:top w:w="0" w:type="dxa"/>
              <w:bottom w:w="0" w:type="dxa"/>
            </w:tcMar>
            <w:vAlign w:val="bottom"/>
          </w:tcPr>
          <w:p>
            <w:pPr>
              <w:pStyle w:val="TableContents"/>
              <w:spacing w:before="0" w:after="0"/>
              <w:ind w:left="0" w:right="0" w:hanging="0"/>
              <w:rPr/>
            </w:pPr>
            <w:r>
              <w:rPr/>
              <w:t> </w:t>
            </w:r>
          </w:p>
        </w:tc>
        <w:tc>
          <w:tcPr>
            <w:tcW w:w="204"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936" w:type="dxa"/>
            <w:gridSpan w:val="2"/>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16" w:type="dxa"/>
            <w:tcBorders>
              <w:right w:val="single" w:sz="8" w:space="0" w:color="000000"/>
            </w:tcBorders>
            <w:shd w:fill="CCEEFF"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Inventory valuation adjustments</w:t>
            </w:r>
          </w:p>
        </w:tc>
        <w:tc>
          <w:tcPr>
            <w:tcW w:w="204"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bottom w:val="single" w:sz="8" w:space="0" w:color="000000"/>
            </w:tcBorders>
            <w:shd w:fill="auto" w:val="clear"/>
            <w:tcMar>
              <w:top w:w="0" w:type="dxa"/>
              <w:left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w:t>
            </w:r>
          </w:p>
        </w:tc>
        <w:tc>
          <w:tcPr>
            <w:tcW w:w="207" w:type="dxa"/>
            <w:tcBorders/>
            <w:shd w:fill="auto" w:val="clear"/>
            <w:tcMar>
              <w:top w:w="0" w:type="dxa"/>
              <w:left w:w="0" w:type="dxa"/>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36" w:type="dxa"/>
            <w:gridSpan w:val="2"/>
            <w:tcBorders>
              <w:bottom w:val="single" w:sz="8" w:space="0" w:color="000000"/>
            </w:tcBorders>
            <w:shd w:fill="auto" w:val="clear"/>
            <w:tcMar>
              <w:top w:w="0" w:type="dxa"/>
              <w:left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bottom w:val="single" w:sz="8" w:space="0" w:color="000000"/>
            </w:tcBorders>
            <w:shd w:fill="auto" w:val="clear"/>
            <w:tcMar>
              <w:top w:w="0" w:type="dxa"/>
              <w:left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CCEEFF" w:val="clear"/>
            <w:tcMar>
              <w:top w:w="0" w:type="dxa"/>
              <w:bottom w:w="0" w:type="dxa"/>
            </w:tcMar>
            <w:vAlign w:val="bottom"/>
          </w:tcPr>
          <w:p>
            <w:pPr>
              <w:pStyle w:val="TableContents"/>
              <w:spacing w:before="0" w:after="0"/>
              <w:ind w:left="0" w:right="0" w:hanging="0"/>
              <w:rPr/>
            </w:pPr>
            <w:r>
              <w:rPr/>
              <w:t> </w:t>
            </w:r>
          </w:p>
        </w:tc>
        <w:tc>
          <w:tcPr>
            <w:tcW w:w="204"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936" w:type="dxa"/>
            <w:gridSpan w:val="2"/>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16" w:type="dxa"/>
            <w:tcBorders>
              <w:right w:val="single" w:sz="8" w:space="0" w:color="000000"/>
            </w:tcBorders>
            <w:shd w:fill="CCEEFF"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Gain/(loss) from derivative activities net of inventory valuation adjustments (page 70)</w:t>
            </w:r>
          </w:p>
        </w:tc>
        <w:tc>
          <w:tcPr>
            <w:tcW w:w="204"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top w:w="0" w:type="dxa"/>
              <w:left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303" w:type="dxa"/>
            <w:tcBorders>
              <w:bottom w:val="double" w:sz="6" w:space="0" w:color="000000"/>
            </w:tcBorders>
            <w:shd w:fill="auto" w:val="clear"/>
            <w:tcMar>
              <w:top w:w="0" w:type="dxa"/>
              <w:left w:w="0" w:type="dxa"/>
            </w:tcMar>
            <w:vAlign w:val="bottom"/>
          </w:tcPr>
          <w:p>
            <w:pPr>
              <w:pStyle w:val="TableContents"/>
              <w:spacing w:before="0" w:after="0"/>
              <w:ind w:left="0" w:right="0" w:hanging="0"/>
              <w:jc w:val="right"/>
              <w:rPr/>
            </w:pPr>
            <w:r>
              <w:rPr/>
              <w:t> </w:t>
            </w:r>
          </w:p>
        </w:tc>
        <w:tc>
          <w:tcPr>
            <w:tcW w:w="832" w:type="dxa"/>
            <w:tcBorders>
              <w:bottom w:val="double" w:sz="6" w:space="0" w:color="000000"/>
            </w:tcBorders>
            <w:shd w:fill="auto" w:val="clear"/>
            <w:tcMar>
              <w:top w:w="0" w:type="dxa"/>
              <w:left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(74</w:t>
            </w:r>
          </w:p>
        </w:tc>
        <w:tc>
          <w:tcPr>
            <w:tcW w:w="207" w:type="dxa"/>
            <w:tcBorders/>
            <w:shd w:fill="auto" w:val="clear"/>
            <w:tcMar>
              <w:top w:w="0" w:type="dxa"/>
              <w:left w:w="0" w:type="dxa"/>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1" w:type="dxa"/>
            <w:tcBorders>
              <w:bottom w:val="double" w:sz="6" w:space="0" w:color="000000"/>
            </w:tcBorders>
            <w:shd w:fill="auto" w:val="clear"/>
            <w:tcMar>
              <w:top w:w="0" w:type="dxa"/>
              <w:left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5" w:type="dxa"/>
            <w:tcBorders>
              <w:bottom w:val="double" w:sz="6" w:space="0" w:color="000000"/>
            </w:tcBorders>
            <w:shd w:fill="auto" w:val="clear"/>
            <w:tcMar>
              <w:top w:w="0" w:type="dxa"/>
              <w:left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62</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414" w:type="dxa"/>
            <w:gridSpan w:val="2"/>
            <w:tcBorders>
              <w:bottom w:val="double" w:sz="6" w:space="0" w:color="000000"/>
            </w:tcBorders>
            <w:shd w:fill="auto" w:val="clear"/>
            <w:tcMar>
              <w:top w:w="0" w:type="dxa"/>
              <w:left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0" w:type="dxa"/>
            <w:tcBorders>
              <w:bottom w:val="double" w:sz="6" w:space="0" w:color="000000"/>
            </w:tcBorders>
            <w:shd w:fill="auto" w:val="clear"/>
            <w:tcMar>
              <w:top w:w="0" w:type="dxa"/>
              <w:left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r>
        <w:trPr/>
        <w:tc>
          <w:tcPr>
            <w:tcW w:w="5955" w:type="dxa"/>
            <w:tcBorders>
              <w:left w:val="single" w:sz="8" w:space="0" w:color="000000"/>
            </w:tcBorders>
            <w:shd w:fill="CCEEFF" w:val="clear"/>
            <w:tcMar>
              <w:top w:w="0" w:type="dxa"/>
              <w:bottom w:w="0" w:type="dxa"/>
            </w:tcMar>
            <w:vAlign w:val="bottom"/>
          </w:tcPr>
          <w:p>
            <w:pPr>
              <w:pStyle w:val="TableContents"/>
              <w:spacing w:before="0" w:after="0"/>
              <w:ind w:left="0" w:right="0" w:hanging="0"/>
              <w:rPr/>
            </w:pPr>
            <w:r>
              <w:rPr/>
              <w:t> </w:t>
            </w:r>
          </w:p>
        </w:tc>
        <w:tc>
          <w:tcPr>
            <w:tcW w:w="204"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936" w:type="dxa"/>
            <w:gridSpan w:val="2"/>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16" w:type="dxa"/>
            <w:tcBorders>
              <w:right w:val="single" w:sz="8" w:space="0" w:color="000000"/>
            </w:tcBorders>
            <w:shd w:fill="CCEEFF"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bottom w:val="single" w:sz="8" w:space="0" w:color="000000"/>
            </w:tcBorders>
            <w:shd w:fill="auto" w:val="clear"/>
            <w:tcMar>
              <w:top w:w="0" w:type="dxa"/>
            </w:tcMar>
            <w:vAlign w:val="bottom"/>
          </w:tcPr>
          <w:p>
            <w:pPr>
              <w:pStyle w:val="TableContents"/>
              <w:spacing w:before="0" w:after="0"/>
              <w:ind w:left="0" w:right="0" w:hanging="0"/>
              <w:rPr/>
            </w:pPr>
            <w:r>
              <w:rPr/>
              <w:t> </w:t>
            </w:r>
          </w:p>
        </w:tc>
        <w:tc>
          <w:tcPr>
            <w:tcW w:w="204" w:type="dxa"/>
            <w:tcBorders>
              <w:bottom w:val="single" w:sz="8" w:space="0" w:color="000000"/>
            </w:tcBorders>
            <w:shd w:fill="auto" w:val="clear"/>
            <w:tcMar>
              <w:top w:w="0" w:type="dxa"/>
              <w:left w:w="0" w:type="dxa"/>
            </w:tcMar>
            <w:vAlign w:val="bottom"/>
          </w:tcPr>
          <w:p>
            <w:pPr>
              <w:pStyle w:val="TableContents"/>
              <w:spacing w:before="0" w:after="0"/>
              <w:ind w:left="0" w:right="0" w:hanging="0"/>
              <w:rPr/>
            </w:pPr>
            <w:r>
              <w:rPr/>
              <w:t> </w:t>
            </w:r>
          </w:p>
        </w:tc>
        <w:tc>
          <w:tcPr>
            <w:tcW w:w="1246" w:type="dxa"/>
            <w:gridSpan w:val="3"/>
            <w:tcBorders>
              <w:bottom w:val="single" w:sz="8" w:space="0" w:color="000000"/>
            </w:tcBorders>
            <w:shd w:fill="auto" w:val="clear"/>
            <w:tcMar>
              <w:top w:w="0" w:type="dxa"/>
              <w:left w:w="0"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auto" w:val="clear"/>
            <w:tcMar>
              <w:top w:w="0" w:type="dxa"/>
              <w:left w:w="0" w:type="dxa"/>
            </w:tcMar>
            <w:vAlign w:val="bottom"/>
          </w:tcPr>
          <w:p>
            <w:pPr>
              <w:pStyle w:val="TableContents"/>
              <w:spacing w:before="0" w:after="0"/>
              <w:ind w:left="0" w:right="0" w:hanging="0"/>
              <w:rPr/>
            </w:pPr>
            <w:r>
              <w:rPr/>
              <w:t> </w:t>
            </w:r>
          </w:p>
        </w:tc>
        <w:tc>
          <w:tcPr>
            <w:tcW w:w="936" w:type="dxa"/>
            <w:gridSpan w:val="2"/>
            <w:tcBorders>
              <w:bottom w:val="single" w:sz="8" w:space="0" w:color="000000"/>
            </w:tcBorders>
            <w:shd w:fill="auto" w:val="clear"/>
            <w:tcMar>
              <w:top w:w="0" w:type="dxa"/>
              <w:left w:w="0"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auto" w:val="clear"/>
            <w:tcMar>
              <w:top w:w="0" w:type="dxa"/>
              <w:left w:w="0" w:type="dxa"/>
            </w:tcMar>
            <w:vAlign w:val="bottom"/>
          </w:tcPr>
          <w:p>
            <w:pPr>
              <w:pStyle w:val="TableContents"/>
              <w:spacing w:before="0" w:after="0"/>
              <w:ind w:left="0" w:right="0" w:hanging="0"/>
              <w:rPr/>
            </w:pPr>
            <w:r>
              <w:rPr/>
              <w:t> </w:t>
            </w:r>
          </w:p>
        </w:tc>
        <w:tc>
          <w:tcPr>
            <w:tcW w:w="1234" w:type="dxa"/>
            <w:gridSpan w:val="3"/>
            <w:tcBorders>
              <w:bottom w:val="single" w:sz="8" w:space="0" w:color="000000"/>
            </w:tcBorders>
            <w:shd w:fill="auto" w:val="clear"/>
            <w:tcMar>
              <w:top w:w="0" w:type="dxa"/>
              <w:left w:w="0" w:type="dxa"/>
            </w:tcMar>
            <w:vAlign w:val="bottom"/>
          </w:tcPr>
          <w:p>
            <w:pPr>
              <w:pStyle w:val="TableContents"/>
              <w:spacing w:before="0" w:after="0"/>
              <w:ind w:left="0" w:right="0" w:hanging="0"/>
              <w:jc w:val="right"/>
              <w:rPr/>
            </w:pPr>
            <w:r>
              <w:rPr/>
              <w:t> </w:t>
            </w:r>
          </w:p>
        </w:tc>
        <w:tc>
          <w:tcPr>
            <w:tcW w:w="216" w:type="dxa"/>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bottom w:val="single" w:sz="8" w:space="0" w:color="000000"/>
            </w:tcBorders>
            <w:shd w:fill="CCEEFF" w:val="clear"/>
            <w:tcMar>
              <w:top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of Derivative Subtotal to Note 11</w:t>
            </w:r>
          </w:p>
        </w:tc>
        <w:tc>
          <w:tcPr>
            <w:tcW w:w="204" w:type="dxa"/>
            <w:tcBorders>
              <w:bottom w:val="single" w:sz="8" w:space="0" w:color="000000"/>
            </w:tcBorders>
            <w:shd w:fill="CCEEFF" w:val="clear"/>
            <w:tcMar>
              <w:top w:w="0" w:type="dxa"/>
              <w:left w:w="0" w:type="dxa"/>
            </w:tcMar>
            <w:vAlign w:val="bottom"/>
          </w:tcPr>
          <w:p>
            <w:pPr>
              <w:pStyle w:val="TableContents"/>
              <w:spacing w:before="0" w:after="0"/>
              <w:ind w:left="0" w:right="0" w:hanging="0"/>
              <w:rPr/>
            </w:pPr>
            <w:r>
              <w:rPr/>
              <w:t> </w:t>
            </w:r>
          </w:p>
        </w:tc>
        <w:tc>
          <w:tcPr>
            <w:tcW w:w="1246"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CCEEFF" w:val="clear"/>
            <w:tcMar>
              <w:top w:w="0" w:type="dxa"/>
              <w:left w:w="0" w:type="dxa"/>
            </w:tcMar>
            <w:vAlign w:val="bottom"/>
          </w:tcPr>
          <w:p>
            <w:pPr>
              <w:pStyle w:val="TableContents"/>
              <w:spacing w:before="0" w:after="0"/>
              <w:ind w:left="0" w:right="0" w:hanging="0"/>
              <w:rPr/>
            </w:pPr>
            <w:r>
              <w:rPr/>
              <w:t> </w:t>
            </w:r>
          </w:p>
        </w:tc>
        <w:tc>
          <w:tcPr>
            <w:tcW w:w="936" w:type="dxa"/>
            <w:gridSpan w:val="2"/>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CCEEFF" w:val="clear"/>
            <w:tcMar>
              <w:top w:w="0" w:type="dxa"/>
              <w:left w:w="0" w:type="dxa"/>
            </w:tcMar>
            <w:vAlign w:val="bottom"/>
          </w:tcPr>
          <w:p>
            <w:pPr>
              <w:pStyle w:val="TableContents"/>
              <w:spacing w:before="0" w:after="0"/>
              <w:ind w:left="0" w:right="0" w:hanging="0"/>
              <w:rPr/>
            </w:pPr>
            <w:r>
              <w:rPr/>
              <w:t> </w:t>
            </w:r>
          </w:p>
        </w:tc>
        <w:tc>
          <w:tcPr>
            <w:tcW w:w="1234"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pPr>
            <w:r>
              <w:rPr/>
              <w:t> </w:t>
            </w:r>
          </w:p>
        </w:tc>
        <w:tc>
          <w:tcPr>
            <w:tcW w:w="216" w:type="dxa"/>
            <w:tcBorders>
              <w:bottom w:val="single" w:sz="8" w:space="0" w:color="000000"/>
              <w:right w:val="single" w:sz="8" w:space="0" w:color="000000"/>
            </w:tcBorders>
            <w:shd w:fill="CCEEFF" w:val="clear"/>
            <w:tcMar>
              <w:top w:w="0" w:type="dxa"/>
              <w:left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pPr>
            <w:r>
              <w:rPr/>
              <w:t> </w:t>
            </w:r>
          </w:p>
        </w:tc>
        <w:tc>
          <w:tcPr>
            <w:tcW w:w="204"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shd w:fill="auto"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936" w:type="dxa"/>
            <w:gridSpan w:val="2"/>
            <w:tcBorders/>
            <w:shd w:fill="auto"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shd w:fill="auto" w:val="clear"/>
            <w:tcMar>
              <w:top w:w="0" w:type="dxa"/>
              <w:left w:w="0" w:type="dxa"/>
              <w:bottom w:w="0" w:type="dxa"/>
            </w:tcMar>
            <w:vAlign w:val="bottom"/>
          </w:tcPr>
          <w:p>
            <w:pPr>
              <w:pStyle w:val="TableContents"/>
              <w:spacing w:before="0" w:after="0"/>
              <w:ind w:left="0" w:right="0" w:hanging="0"/>
              <w:jc w:val="right"/>
              <w:rPr/>
            </w:pPr>
            <w:r>
              <w:rPr/>
              <w:t> </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CCEEFF" w:val="clear"/>
            <w:tcMar>
              <w:top w:w="0" w:type="dxa"/>
              <w:bottom w:w="0" w:type="dxa"/>
            </w:tcMar>
            <w:vAlign w:val="bottom"/>
          </w:tcPr>
          <w:p>
            <w:pPr>
              <w:pStyle w:val="TableContents"/>
              <w:spacing w:before="0" w:after="0"/>
              <w:ind w:left="0" w:right="0" w:hanging="0"/>
              <w:rPr/>
            </w:pPr>
            <w:r>
              <w:rPr/>
              <w:t> </w:t>
            </w:r>
          </w:p>
        </w:tc>
        <w:tc>
          <w:tcPr>
            <w:tcW w:w="204" w:type="dxa"/>
            <w:tcBorders/>
            <w:shd w:fill="CCEEFF" w:val="clear"/>
            <w:tcMar>
              <w:top w:w="0" w:type="dxa"/>
              <w:left w:w="0" w:type="dxa"/>
              <w:bottom w:w="0" w:type="dxa"/>
            </w:tcMar>
            <w:vAlign w:val="bottom"/>
          </w:tcPr>
          <w:p>
            <w:pPr>
              <w:pStyle w:val="TableContents"/>
              <w:spacing w:before="0" w:after="0"/>
              <w:ind w:left="0" w:right="0" w:hanging="0"/>
              <w:jc w:val="center"/>
              <w:rPr/>
            </w:pPr>
            <w:r>
              <w:rPr/>
              <w:t> </w:t>
            </w:r>
          </w:p>
        </w:tc>
        <w:tc>
          <w:tcPr>
            <w:tcW w:w="1246"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7" w:type="dxa"/>
            <w:tcBorders/>
            <w:shd w:fill="CCEEFF" w:val="clear"/>
            <w:tcMar>
              <w:top w:w="0" w:type="dxa"/>
              <w:left w:w="0" w:type="dxa"/>
              <w:bottom w:w="0" w:type="dxa"/>
            </w:tcMar>
            <w:vAlign w:val="bottom"/>
          </w:tcPr>
          <w:p>
            <w:pPr>
              <w:pStyle w:val="TableContents"/>
              <w:spacing w:before="0" w:after="0"/>
              <w:ind w:left="0" w:right="0" w:hanging="0"/>
              <w:jc w:val="center"/>
              <w:rPr/>
            </w:pPr>
            <w:r>
              <w:rPr/>
              <w:t> </w:t>
            </w:r>
          </w:p>
        </w:tc>
        <w:tc>
          <w:tcPr>
            <w:tcW w:w="936" w:type="dxa"/>
            <w:gridSpan w:val="2"/>
            <w:tcBorders>
              <w:bottom w:val="single" w:sz="8" w:space="0" w:color="000000"/>
            </w:tcBorders>
            <w:shd w:fill="CCEEFF" w:val="clear"/>
            <w:tcMar>
              <w:top w:w="0" w:type="dxa"/>
              <w:left w:w="0"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7" w:type="dxa"/>
            <w:tcBorders/>
            <w:shd w:fill="CCEEFF" w:val="clear"/>
            <w:tcMar>
              <w:top w:w="0" w:type="dxa"/>
              <w:left w:w="0" w:type="dxa"/>
              <w:bottom w:w="0" w:type="dxa"/>
            </w:tcMar>
            <w:vAlign w:val="bottom"/>
          </w:tcPr>
          <w:p>
            <w:pPr>
              <w:pStyle w:val="TableContents"/>
              <w:spacing w:before="0" w:after="0"/>
              <w:ind w:left="0" w:right="0" w:hanging="0"/>
              <w:jc w:val="center"/>
              <w:rPr/>
            </w:pPr>
            <w:r>
              <w:rPr/>
              <w:t> </w:t>
            </w:r>
          </w:p>
        </w:tc>
        <w:tc>
          <w:tcPr>
            <w:tcW w:w="1234"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6" w:type="dxa"/>
            <w:tcBorders>
              <w:right w:val="single" w:sz="8" w:space="0" w:color="000000"/>
            </w:tcBorders>
            <w:shd w:fill="CCEEFF" w:val="clear"/>
            <w:tcMar>
              <w:top w:w="0" w:type="dxa"/>
              <w:left w:w="0" w:type="dxa"/>
              <w:bottom w:w="0" w:type="dxa"/>
              <w:right w:w="28" w:type="dxa"/>
            </w:tcMar>
            <w:vAlign w:val="bottom"/>
          </w:tcPr>
          <w:p>
            <w:pPr>
              <w:pStyle w:val="TableContents"/>
              <w:spacing w:before="0" w:after="0"/>
              <w:ind w:left="0" w:right="0" w:hanging="0"/>
              <w:jc w:val="center"/>
              <w:rPr/>
            </w:pPr>
            <w:r>
              <w:rPr/>
              <w:t> </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a Hedge - Gain/(Loss):</w:t>
            </w:r>
          </w:p>
        </w:tc>
        <w:tc>
          <w:tcPr>
            <w:tcW w:w="204"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shd w:fill="auto"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936" w:type="dxa"/>
            <w:gridSpan w:val="2"/>
            <w:tcBorders/>
            <w:shd w:fill="auto"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shd w:fill="auto" w:val="clear"/>
            <w:tcMar>
              <w:top w:w="0" w:type="dxa"/>
              <w:left w:w="0" w:type="dxa"/>
              <w:bottom w:w="0" w:type="dxa"/>
            </w:tcMar>
            <w:vAlign w:val="bottom"/>
          </w:tcPr>
          <w:p>
            <w:pPr>
              <w:pStyle w:val="TableContents"/>
              <w:spacing w:before="0" w:after="0"/>
              <w:ind w:left="0" w:right="0" w:hanging="0"/>
              <w:jc w:val="right"/>
              <w:rPr/>
            </w:pPr>
            <w:r>
              <w:rPr/>
              <w:t> </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CCEEFF" w:val="clear"/>
            <w:tcMar>
              <w:top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Related to underlying transaction in different period (from above)</w:t>
            </w:r>
          </w:p>
        </w:tc>
        <w:tc>
          <w:tcPr>
            <w:tcW w:w="204"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11" w:type="dxa"/>
            <w:tcBorders/>
            <w:shd w:fill="CCEEFF" w:val="clear"/>
            <w:tcMar>
              <w:top w:w="0" w:type="dxa"/>
              <w:left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3" w:type="dxa"/>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832" w:type="dxa"/>
            <w:tcBorders/>
            <w:shd w:fill="CCEEFF" w:val="clear"/>
            <w:tcMar>
              <w:top w:w="0" w:type="dxa"/>
              <w:left w:w="0"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07" w:type="dxa"/>
            <w:tcBorders/>
            <w:shd w:fill="CCEEFF" w:val="clear"/>
            <w:tcMar>
              <w:top w:w="0" w:type="dxa"/>
              <w:left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shd w:fill="CCEEFF" w:val="clear"/>
            <w:tcMar>
              <w:top w:w="0" w:type="dxa"/>
              <w:left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5" w:type="dxa"/>
            <w:tcBorders/>
            <w:shd w:fill="CCEEFF" w:val="clear"/>
            <w:tcMar>
              <w:top w:w="0" w:type="dxa"/>
              <w:left w:w="0"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11" w:type="dxa"/>
            <w:tcBorders/>
            <w:shd w:fill="CCEEFF" w:val="clear"/>
            <w:tcMar>
              <w:top w:w="0" w:type="dxa"/>
              <w:left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3" w:type="dxa"/>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820" w:type="dxa"/>
            <w:tcBorders/>
            <w:shd w:fill="CCEEFF" w:val="clear"/>
            <w:tcMar>
              <w:top w:w="0" w:type="dxa"/>
              <w:left w:w="0"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6" w:type="dxa"/>
            <w:tcBorders>
              <w:right w:val="single" w:sz="8" w:space="0" w:color="000000"/>
            </w:tcBorders>
            <w:shd w:fill="CCEEFF" w:val="clear"/>
            <w:tcMar>
              <w:top w:w="0" w:type="dxa"/>
              <w:left w:w="0" w:type="dxa"/>
              <w:bottom w:w="0" w:type="dxa"/>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Related to underlying transaction in the period</w:t>
            </w:r>
          </w:p>
        </w:tc>
        <w:tc>
          <w:tcPr>
            <w:tcW w:w="204"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bottom w:val="single" w:sz="8" w:space="0" w:color="000000"/>
            </w:tcBorders>
            <w:shd w:fill="auto" w:val="clear"/>
            <w:tcMar>
              <w:top w:w="0" w:type="dxa"/>
              <w:left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936" w:type="dxa"/>
            <w:gridSpan w:val="2"/>
            <w:tcBorders>
              <w:bottom w:val="single" w:sz="8" w:space="0" w:color="000000"/>
            </w:tcBorders>
            <w:shd w:fill="auto" w:val="clear"/>
            <w:tcMar>
              <w:top w:w="0" w:type="dxa"/>
              <w:left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bottom w:val="single" w:sz="8" w:space="0" w:color="000000"/>
            </w:tcBorders>
            <w:shd w:fill="auto" w:val="clear"/>
            <w:tcMar>
              <w:top w:w="0" w:type="dxa"/>
              <w:left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CCEEFF" w:val="clear"/>
            <w:tcMar>
              <w:top w:w="0" w:type="dxa"/>
              <w:bottom w:w="0" w:type="dxa"/>
            </w:tcMar>
            <w:vAlign w:val="bottom"/>
          </w:tcPr>
          <w:p>
            <w:pPr>
              <w:pStyle w:val="TableContents"/>
              <w:spacing w:before="0" w:after="0"/>
              <w:ind w:left="0" w:right="0" w:hanging="0"/>
              <w:rPr/>
            </w:pPr>
            <w:r>
              <w:rPr/>
              <w:t> </w:t>
            </w:r>
          </w:p>
        </w:tc>
        <w:tc>
          <w:tcPr>
            <w:tcW w:w="204"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936" w:type="dxa"/>
            <w:gridSpan w:val="2"/>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16" w:type="dxa"/>
            <w:tcBorders>
              <w:right w:val="single" w:sz="8" w:space="0" w:color="000000"/>
            </w:tcBorders>
            <w:shd w:fill="CCEEFF"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a Hedge - Gain/(Loss) recognized in net income (pp. F-38/39)</w:t>
            </w:r>
          </w:p>
        </w:tc>
        <w:tc>
          <w:tcPr>
            <w:tcW w:w="204"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top w:w="0" w:type="dxa"/>
              <w:left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303" w:type="dxa"/>
            <w:tcBorders>
              <w:bottom w:val="double" w:sz="6" w:space="0" w:color="000000"/>
            </w:tcBorders>
            <w:shd w:fill="auto" w:val="clear"/>
            <w:tcMar>
              <w:top w:w="0" w:type="dxa"/>
              <w:left w:w="0" w:type="dxa"/>
            </w:tcMar>
            <w:vAlign w:val="bottom"/>
          </w:tcPr>
          <w:p>
            <w:pPr>
              <w:pStyle w:val="TableContents"/>
              <w:spacing w:before="0" w:after="0"/>
              <w:ind w:left="0" w:right="0" w:hanging="0"/>
              <w:jc w:val="right"/>
              <w:rPr/>
            </w:pPr>
            <w:r>
              <w:rPr/>
              <w:t> </w:t>
            </w:r>
          </w:p>
        </w:tc>
        <w:tc>
          <w:tcPr>
            <w:tcW w:w="832" w:type="dxa"/>
            <w:tcBorders>
              <w:bottom w:val="double" w:sz="6" w:space="0" w:color="000000"/>
            </w:tcBorders>
            <w:shd w:fill="auto" w:val="clear"/>
            <w:tcMar>
              <w:top w:w="0" w:type="dxa"/>
              <w:left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62</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top w:w="0" w:type="dxa"/>
              <w:left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5" w:type="dxa"/>
            <w:tcBorders>
              <w:bottom w:val="double" w:sz="6" w:space="0" w:color="000000"/>
            </w:tcBorders>
            <w:shd w:fill="auto" w:val="clear"/>
            <w:tcMar>
              <w:top w:w="0" w:type="dxa"/>
              <w:left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101</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top w:w="0" w:type="dxa"/>
              <w:left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303" w:type="dxa"/>
            <w:tcBorders>
              <w:bottom w:val="double" w:sz="6" w:space="0" w:color="000000"/>
            </w:tcBorders>
            <w:shd w:fill="auto" w:val="clear"/>
            <w:tcMar>
              <w:top w:w="0" w:type="dxa"/>
              <w:left w:w="0" w:type="dxa"/>
            </w:tcMar>
            <w:vAlign w:val="bottom"/>
          </w:tcPr>
          <w:p>
            <w:pPr>
              <w:pStyle w:val="TableContents"/>
              <w:spacing w:before="0" w:after="0"/>
              <w:ind w:left="0" w:right="0" w:hanging="0"/>
              <w:jc w:val="right"/>
              <w:rPr/>
            </w:pPr>
            <w:r>
              <w:rPr/>
              <w:t> </w:t>
            </w:r>
          </w:p>
        </w:tc>
        <w:tc>
          <w:tcPr>
            <w:tcW w:w="820" w:type="dxa"/>
            <w:tcBorders>
              <w:bottom w:val="double" w:sz="6" w:space="0" w:color="000000"/>
            </w:tcBorders>
            <w:shd w:fill="auto" w:val="clear"/>
            <w:tcMar>
              <w:top w:w="0" w:type="dxa"/>
              <w:left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r>
        <w:trPr/>
        <w:tc>
          <w:tcPr>
            <w:tcW w:w="5955" w:type="dxa"/>
            <w:tcBorders>
              <w:left w:val="single" w:sz="8" w:space="0" w:color="000000"/>
            </w:tcBorders>
            <w:shd w:fill="CCEEFF" w:val="clear"/>
            <w:tcMar>
              <w:top w:w="0" w:type="dxa"/>
              <w:bottom w:w="0" w:type="dxa"/>
            </w:tcMar>
            <w:vAlign w:val="bottom"/>
          </w:tcPr>
          <w:p>
            <w:pPr>
              <w:pStyle w:val="TableContents"/>
              <w:spacing w:before="0" w:after="0"/>
              <w:ind w:left="0" w:right="0" w:hanging="0"/>
              <w:rPr/>
            </w:pPr>
            <w:r>
              <w:rPr/>
              <w:t> </w:t>
            </w:r>
          </w:p>
        </w:tc>
        <w:tc>
          <w:tcPr>
            <w:tcW w:w="204"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936" w:type="dxa"/>
            <w:gridSpan w:val="2"/>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shd w:fill="CCEEFF" w:val="clear"/>
            <w:tcMar>
              <w:top w:w="0" w:type="dxa"/>
              <w:left w:w="0" w:type="dxa"/>
              <w:bottom w:w="0" w:type="dxa"/>
            </w:tcMar>
            <w:vAlign w:val="bottom"/>
          </w:tcPr>
          <w:p>
            <w:pPr>
              <w:pStyle w:val="TableContents"/>
              <w:spacing w:before="0" w:after="0"/>
              <w:ind w:left="0" w:right="0" w:hanging="0"/>
              <w:jc w:val="right"/>
              <w:rPr/>
            </w:pPr>
            <w:r>
              <w:rPr/>
              <w:t> </w:t>
            </w:r>
          </w:p>
        </w:tc>
        <w:tc>
          <w:tcPr>
            <w:tcW w:w="216" w:type="dxa"/>
            <w:tcBorders>
              <w:right w:val="single" w:sz="8" w:space="0" w:color="000000"/>
            </w:tcBorders>
            <w:shd w:fill="CCEEFF"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bottom w:val="single" w:sz="8" w:space="0" w:color="000000"/>
            </w:tcBorders>
            <w:shd w:fill="auto" w:val="clear"/>
            <w:tcMar>
              <w:top w:w="0" w:type="dxa"/>
            </w:tcMar>
            <w:vAlign w:val="bottom"/>
          </w:tcPr>
          <w:p>
            <w:pPr>
              <w:pStyle w:val="TableContents"/>
              <w:spacing w:before="0" w:after="0"/>
              <w:ind w:left="0" w:right="0" w:hanging="0"/>
              <w:rPr/>
            </w:pPr>
            <w:r>
              <w:rPr/>
              <w:t> </w:t>
            </w:r>
          </w:p>
        </w:tc>
        <w:tc>
          <w:tcPr>
            <w:tcW w:w="204" w:type="dxa"/>
            <w:tcBorders>
              <w:bottom w:val="single" w:sz="8" w:space="0" w:color="000000"/>
            </w:tcBorders>
            <w:shd w:fill="auto" w:val="clear"/>
            <w:tcMar>
              <w:top w:w="0" w:type="dxa"/>
              <w:left w:w="0" w:type="dxa"/>
            </w:tcMar>
            <w:vAlign w:val="bottom"/>
          </w:tcPr>
          <w:p>
            <w:pPr>
              <w:pStyle w:val="TableContents"/>
              <w:spacing w:before="0" w:after="0"/>
              <w:ind w:left="0" w:right="0" w:hanging="0"/>
              <w:rPr/>
            </w:pPr>
            <w:r>
              <w:rPr/>
              <w:t> </w:t>
            </w:r>
          </w:p>
        </w:tc>
        <w:tc>
          <w:tcPr>
            <w:tcW w:w="1246" w:type="dxa"/>
            <w:gridSpan w:val="3"/>
            <w:tcBorders>
              <w:bottom w:val="single" w:sz="8" w:space="0" w:color="000000"/>
            </w:tcBorders>
            <w:shd w:fill="auto" w:val="clear"/>
            <w:tcMar>
              <w:top w:w="0" w:type="dxa"/>
              <w:left w:w="0"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auto" w:val="clear"/>
            <w:tcMar>
              <w:top w:w="0" w:type="dxa"/>
              <w:left w:w="0" w:type="dxa"/>
            </w:tcMar>
            <w:vAlign w:val="bottom"/>
          </w:tcPr>
          <w:p>
            <w:pPr>
              <w:pStyle w:val="TableContents"/>
              <w:spacing w:before="0" w:after="0"/>
              <w:ind w:left="0" w:right="0" w:hanging="0"/>
              <w:rPr/>
            </w:pPr>
            <w:r>
              <w:rPr/>
              <w:t> </w:t>
            </w:r>
          </w:p>
        </w:tc>
        <w:tc>
          <w:tcPr>
            <w:tcW w:w="936" w:type="dxa"/>
            <w:gridSpan w:val="2"/>
            <w:tcBorders>
              <w:bottom w:val="single" w:sz="8" w:space="0" w:color="000000"/>
            </w:tcBorders>
            <w:shd w:fill="auto" w:val="clear"/>
            <w:tcMar>
              <w:top w:w="0" w:type="dxa"/>
              <w:left w:w="0"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auto" w:val="clear"/>
            <w:tcMar>
              <w:top w:w="0" w:type="dxa"/>
              <w:left w:w="0" w:type="dxa"/>
            </w:tcMar>
            <w:vAlign w:val="bottom"/>
          </w:tcPr>
          <w:p>
            <w:pPr>
              <w:pStyle w:val="TableContents"/>
              <w:spacing w:before="0" w:after="0"/>
              <w:ind w:left="0" w:right="0" w:hanging="0"/>
              <w:rPr/>
            </w:pPr>
            <w:r>
              <w:rPr/>
              <w:t> </w:t>
            </w:r>
          </w:p>
        </w:tc>
        <w:tc>
          <w:tcPr>
            <w:tcW w:w="1234" w:type="dxa"/>
            <w:gridSpan w:val="3"/>
            <w:tcBorders>
              <w:bottom w:val="single" w:sz="8" w:space="0" w:color="000000"/>
            </w:tcBorders>
            <w:shd w:fill="auto" w:val="clear"/>
            <w:tcMar>
              <w:top w:w="0" w:type="dxa"/>
              <w:left w:w="0" w:type="dxa"/>
            </w:tcMar>
            <w:vAlign w:val="bottom"/>
          </w:tcPr>
          <w:p>
            <w:pPr>
              <w:pStyle w:val="TableContents"/>
              <w:spacing w:before="0" w:after="0"/>
              <w:ind w:left="0" w:right="0" w:hanging="0"/>
              <w:jc w:val="right"/>
              <w:rPr/>
            </w:pPr>
            <w:r>
              <w:rPr/>
              <w:t> </w:t>
            </w:r>
          </w:p>
        </w:tc>
        <w:tc>
          <w:tcPr>
            <w:tcW w:w="216" w:type="dxa"/>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bottom w:val="single" w:sz="8" w:space="0" w:color="000000"/>
            </w:tcBorders>
            <w:shd w:fill="CCEEFF" w:val="clear"/>
            <w:tcMar>
              <w:top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of Inventory Valuation Adjustments to Note 5</w:t>
            </w:r>
          </w:p>
        </w:tc>
        <w:tc>
          <w:tcPr>
            <w:tcW w:w="204" w:type="dxa"/>
            <w:tcBorders>
              <w:bottom w:val="single" w:sz="8" w:space="0" w:color="000000"/>
            </w:tcBorders>
            <w:shd w:fill="CCEEFF" w:val="clear"/>
            <w:tcMar>
              <w:top w:w="0" w:type="dxa"/>
              <w:left w:w="0" w:type="dxa"/>
            </w:tcMar>
            <w:vAlign w:val="bottom"/>
          </w:tcPr>
          <w:p>
            <w:pPr>
              <w:pStyle w:val="TableContents"/>
              <w:spacing w:before="0" w:after="0"/>
              <w:ind w:left="0" w:right="0" w:hanging="0"/>
              <w:rPr/>
            </w:pPr>
            <w:r>
              <w:rPr/>
              <w:t> </w:t>
            </w:r>
          </w:p>
        </w:tc>
        <w:tc>
          <w:tcPr>
            <w:tcW w:w="1246"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CCEEFF" w:val="clear"/>
            <w:tcMar>
              <w:top w:w="0" w:type="dxa"/>
              <w:left w:w="0" w:type="dxa"/>
            </w:tcMar>
            <w:vAlign w:val="bottom"/>
          </w:tcPr>
          <w:p>
            <w:pPr>
              <w:pStyle w:val="TableContents"/>
              <w:spacing w:before="0" w:after="0"/>
              <w:ind w:left="0" w:right="0" w:hanging="0"/>
              <w:rPr/>
            </w:pPr>
            <w:r>
              <w:rPr/>
              <w:t> </w:t>
            </w:r>
          </w:p>
        </w:tc>
        <w:tc>
          <w:tcPr>
            <w:tcW w:w="936" w:type="dxa"/>
            <w:gridSpan w:val="2"/>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CCEEFF" w:val="clear"/>
            <w:tcMar>
              <w:top w:w="0" w:type="dxa"/>
              <w:left w:w="0" w:type="dxa"/>
            </w:tcMar>
            <w:vAlign w:val="bottom"/>
          </w:tcPr>
          <w:p>
            <w:pPr>
              <w:pStyle w:val="TableContents"/>
              <w:spacing w:before="0" w:after="0"/>
              <w:ind w:left="0" w:right="0" w:hanging="0"/>
              <w:rPr/>
            </w:pPr>
            <w:r>
              <w:rPr/>
              <w:t> </w:t>
            </w:r>
          </w:p>
        </w:tc>
        <w:tc>
          <w:tcPr>
            <w:tcW w:w="1234"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pPr>
            <w:r>
              <w:rPr/>
              <w:t> </w:t>
            </w:r>
          </w:p>
        </w:tc>
        <w:tc>
          <w:tcPr>
            <w:tcW w:w="216" w:type="dxa"/>
            <w:tcBorders>
              <w:bottom w:val="single" w:sz="8" w:space="0" w:color="000000"/>
              <w:right w:val="single" w:sz="8" w:space="0" w:color="000000"/>
            </w:tcBorders>
            <w:shd w:fill="CCEEFF" w:val="clear"/>
            <w:tcMar>
              <w:top w:w="0" w:type="dxa"/>
              <w:left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pPr>
            <w:r>
              <w:rPr/>
              <w:t> </w:t>
            </w:r>
          </w:p>
        </w:tc>
        <w:tc>
          <w:tcPr>
            <w:tcW w:w="204"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shd w:fill="auto"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936" w:type="dxa"/>
            <w:gridSpan w:val="2"/>
            <w:tcBorders/>
            <w:shd w:fill="auto" w:val="clear"/>
            <w:tcMar>
              <w:top w:w="0" w:type="dxa"/>
              <w:left w:w="0" w:type="dxa"/>
              <w:bottom w:w="0" w:type="dxa"/>
            </w:tcMar>
            <w:vAlign w:val="bottom"/>
          </w:tcPr>
          <w:p>
            <w:pPr>
              <w:pStyle w:val="TableContents"/>
              <w:spacing w:before="0" w:after="0"/>
              <w:ind w:left="0" w:right="0" w:hanging="0"/>
              <w:jc w:val="right"/>
              <w:rPr/>
            </w:pPr>
            <w:r>
              <w:rPr/>
              <w:t> </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shd w:fill="auto" w:val="clear"/>
            <w:tcMar>
              <w:top w:w="0" w:type="dxa"/>
              <w:left w:w="0" w:type="dxa"/>
              <w:bottom w:w="0" w:type="dxa"/>
            </w:tcMar>
            <w:vAlign w:val="bottom"/>
          </w:tcPr>
          <w:p>
            <w:pPr>
              <w:pStyle w:val="TableContents"/>
              <w:spacing w:before="0" w:after="0"/>
              <w:ind w:left="0" w:right="0" w:hanging="0"/>
              <w:jc w:val="right"/>
              <w:rPr/>
            </w:pPr>
            <w:r>
              <w:rPr/>
              <w:t> </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CCEEFF" w:val="clear"/>
            <w:tcMar>
              <w:top w:w="0" w:type="dxa"/>
              <w:bottom w:w="0" w:type="dxa"/>
            </w:tcMar>
            <w:vAlign w:val="bottom"/>
          </w:tcPr>
          <w:p>
            <w:pPr>
              <w:pStyle w:val="TableContents"/>
              <w:spacing w:before="0" w:after="0"/>
              <w:ind w:left="0" w:right="0" w:hanging="0"/>
              <w:rPr/>
            </w:pPr>
            <w:r>
              <w:rPr/>
              <w:t> </w:t>
            </w:r>
          </w:p>
        </w:tc>
        <w:tc>
          <w:tcPr>
            <w:tcW w:w="204" w:type="dxa"/>
            <w:tcBorders/>
            <w:shd w:fill="CCEEFF" w:val="clear"/>
            <w:tcMar>
              <w:top w:w="0" w:type="dxa"/>
              <w:left w:w="0" w:type="dxa"/>
              <w:bottom w:w="0" w:type="dxa"/>
            </w:tcMar>
            <w:vAlign w:val="bottom"/>
          </w:tcPr>
          <w:p>
            <w:pPr>
              <w:pStyle w:val="TableContents"/>
              <w:spacing w:before="0" w:after="0"/>
              <w:ind w:left="0" w:right="0" w:hanging="0"/>
              <w:jc w:val="center"/>
              <w:rPr/>
            </w:pPr>
            <w:r>
              <w:rPr/>
              <w:t> </w:t>
            </w:r>
          </w:p>
        </w:tc>
        <w:tc>
          <w:tcPr>
            <w:tcW w:w="1246"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7" w:type="dxa"/>
            <w:tcBorders/>
            <w:shd w:fill="CCEEFF" w:val="clear"/>
            <w:tcMar>
              <w:top w:w="0" w:type="dxa"/>
              <w:left w:w="0" w:type="dxa"/>
              <w:bottom w:w="0" w:type="dxa"/>
            </w:tcMar>
            <w:vAlign w:val="bottom"/>
          </w:tcPr>
          <w:p>
            <w:pPr>
              <w:pStyle w:val="TableContents"/>
              <w:spacing w:before="0" w:after="0"/>
              <w:ind w:left="0" w:right="0" w:hanging="0"/>
              <w:jc w:val="center"/>
              <w:rPr/>
            </w:pPr>
            <w:r>
              <w:rPr/>
              <w:t> </w:t>
            </w:r>
          </w:p>
        </w:tc>
        <w:tc>
          <w:tcPr>
            <w:tcW w:w="936" w:type="dxa"/>
            <w:gridSpan w:val="2"/>
            <w:tcBorders>
              <w:bottom w:val="single" w:sz="8" w:space="0" w:color="000000"/>
            </w:tcBorders>
            <w:shd w:fill="CCEEFF" w:val="clear"/>
            <w:tcMar>
              <w:top w:w="0" w:type="dxa"/>
              <w:left w:w="0"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7" w:type="dxa"/>
            <w:tcBorders/>
            <w:shd w:fill="CCEEFF" w:val="clear"/>
            <w:tcMar>
              <w:top w:w="0" w:type="dxa"/>
              <w:left w:w="0" w:type="dxa"/>
              <w:bottom w:w="0" w:type="dxa"/>
            </w:tcMar>
            <w:vAlign w:val="bottom"/>
          </w:tcPr>
          <w:p>
            <w:pPr>
              <w:pStyle w:val="TableContents"/>
              <w:spacing w:before="0" w:after="0"/>
              <w:ind w:left="0" w:right="0" w:hanging="0"/>
              <w:jc w:val="center"/>
              <w:rPr/>
            </w:pPr>
            <w:r>
              <w:rPr/>
              <w:t> </w:t>
            </w:r>
          </w:p>
        </w:tc>
        <w:tc>
          <w:tcPr>
            <w:tcW w:w="1234"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6" w:type="dxa"/>
            <w:tcBorders>
              <w:right w:val="single" w:sz="8" w:space="0" w:color="000000"/>
            </w:tcBorders>
            <w:shd w:fill="CCEEFF" w:val="clear"/>
            <w:tcMar>
              <w:top w:w="0" w:type="dxa"/>
              <w:left w:w="0" w:type="dxa"/>
              <w:bottom w:w="0" w:type="dxa"/>
              <w:right w:w="28" w:type="dxa"/>
            </w:tcMar>
            <w:vAlign w:val="bottom"/>
          </w:tcPr>
          <w:p>
            <w:pPr>
              <w:pStyle w:val="TableContents"/>
              <w:spacing w:before="0" w:after="0"/>
              <w:ind w:left="0" w:right="0" w:hanging="0"/>
              <w:jc w:val="center"/>
              <w:rPr/>
            </w:pPr>
            <w:r>
              <w:rPr/>
              <w:t> </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Write down of crude oil and NGL inventory (p. F-21)</w:t>
            </w:r>
          </w:p>
        </w:tc>
        <w:tc>
          <w:tcPr>
            <w:tcW w:w="204"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11" w:type="dxa"/>
            <w:tcBorders/>
            <w:shd w:fill="auto" w:val="clear"/>
            <w:tcMar>
              <w:top w:w="0" w:type="dxa"/>
              <w:left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3" w:type="dxa"/>
            <w:tcBorders>
              <w:top w:val="single" w:sz="8" w:space="0" w:color="000000"/>
            </w:tcBorders>
            <w:shd w:fill="auto" w:val="clear"/>
            <w:tcMar>
              <w:left w:w="0" w:type="dxa"/>
              <w:bottom w:w="0" w:type="dxa"/>
            </w:tcMar>
            <w:vAlign w:val="bottom"/>
          </w:tcPr>
          <w:p>
            <w:pPr>
              <w:pStyle w:val="TableContents"/>
              <w:spacing w:before="0" w:after="0"/>
              <w:ind w:left="0" w:right="0" w:hanging="0"/>
              <w:jc w:val="right"/>
              <w:rPr/>
            </w:pPr>
            <w:r>
              <w:rPr/>
              <w:t> </w:t>
            </w:r>
          </w:p>
        </w:tc>
        <w:tc>
          <w:tcPr>
            <w:tcW w:w="832" w:type="dxa"/>
            <w:tcBorders>
              <w:top w:val="single" w:sz="8" w:space="0" w:color="000000"/>
            </w:tcBorders>
            <w:shd w:fill="auto" w:val="clear"/>
            <w:tcMar>
              <w:left w:w="0"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07" w:type="dxa"/>
            <w:tcBorders/>
            <w:shd w:fill="auto" w:val="clear"/>
            <w:tcMar>
              <w:top w:w="0" w:type="dxa"/>
              <w:left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shd w:fill="auto" w:val="clear"/>
            <w:tcMar>
              <w:top w:w="0" w:type="dxa"/>
              <w:left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5" w:type="dxa"/>
            <w:tcBorders>
              <w:top w:val="single" w:sz="8" w:space="0" w:color="000000"/>
            </w:tcBorders>
            <w:shd w:fill="auto" w:val="clear"/>
            <w:tcMar>
              <w:left w:w="0"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11" w:type="dxa"/>
            <w:tcBorders/>
            <w:shd w:fill="auto" w:val="clear"/>
            <w:tcMar>
              <w:top w:w="0" w:type="dxa"/>
              <w:left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3" w:type="dxa"/>
            <w:tcBorders>
              <w:top w:val="single" w:sz="8" w:space="0" w:color="000000"/>
            </w:tcBorders>
            <w:shd w:fill="auto" w:val="clear"/>
            <w:tcMar>
              <w:left w:w="0" w:type="dxa"/>
              <w:bottom w:w="0" w:type="dxa"/>
            </w:tcMar>
            <w:vAlign w:val="bottom"/>
          </w:tcPr>
          <w:p>
            <w:pPr>
              <w:pStyle w:val="TableContents"/>
              <w:spacing w:before="0" w:after="0"/>
              <w:ind w:left="0" w:right="0" w:hanging="0"/>
              <w:jc w:val="right"/>
              <w:rPr/>
            </w:pPr>
            <w:r>
              <w:rPr/>
              <w:t> </w:t>
            </w:r>
          </w:p>
        </w:tc>
        <w:tc>
          <w:tcPr>
            <w:tcW w:w="820" w:type="dxa"/>
            <w:tcBorders>
              <w:top w:val="single" w:sz="8" w:space="0" w:color="000000"/>
            </w:tcBorders>
            <w:shd w:fill="auto" w:val="clear"/>
            <w:tcMar>
              <w:left w:w="0"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CCEEFF" w:val="clear"/>
            <w:tcMar>
              <w:top w:w="0"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Reversal of write down in conjunction with subsequent sale of inventory</w:t>
            </w:r>
          </w:p>
        </w:tc>
        <w:tc>
          <w:tcPr>
            <w:tcW w:w="204"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46"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936" w:type="dxa"/>
            <w:gridSpan w:val="2"/>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tcMar>
              <w:top w:w="0" w:type="dxa"/>
              <w:left w:w="0" w:type="dxa"/>
              <w:bottom w:w="0" w:type="dxa"/>
            </w:tcMar>
            <w:vAlign w:val="bottom"/>
          </w:tcPr>
          <w:p>
            <w:pPr>
              <w:pStyle w:val="TableContents"/>
              <w:spacing w:before="0" w:after="0"/>
              <w:ind w:left="0" w:right="0" w:hanging="0"/>
              <w:rPr/>
            </w:pPr>
            <w:r>
              <w:rPr/>
              <w:t> </w:t>
            </w:r>
          </w:p>
        </w:tc>
        <w:tc>
          <w:tcPr>
            <w:tcW w:w="1234"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right w:val="single" w:sz="8" w:space="0" w:color="000000"/>
            </w:tcBorders>
            <w:shd w:fill="CCEEFF"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tcBorders>
            <w:shd w:fill="auto" w:val="clear"/>
            <w:tcMar>
              <w:top w:w="0" w:type="dxa"/>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Inventory valuation adjustments (from above)</w:t>
            </w:r>
          </w:p>
        </w:tc>
        <w:tc>
          <w:tcPr>
            <w:tcW w:w="204"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top w:w="0" w:type="dxa"/>
              <w:left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303" w:type="dxa"/>
            <w:tcBorders>
              <w:top w:val="single" w:sz="8" w:space="0" w:color="000000"/>
              <w:bottom w:val="double" w:sz="6" w:space="0" w:color="000000"/>
            </w:tcBorders>
            <w:shd w:fill="auto" w:val="clear"/>
            <w:tcMar>
              <w:left w:w="0" w:type="dxa"/>
            </w:tcMar>
            <w:vAlign w:val="bottom"/>
          </w:tcPr>
          <w:p>
            <w:pPr>
              <w:pStyle w:val="TableContents"/>
              <w:spacing w:before="0" w:after="0"/>
              <w:ind w:left="0" w:right="0" w:hanging="0"/>
              <w:jc w:val="right"/>
              <w:rPr/>
            </w:pPr>
            <w:r>
              <w:rPr/>
              <w:t> </w:t>
            </w:r>
          </w:p>
        </w:tc>
        <w:tc>
          <w:tcPr>
            <w:tcW w:w="832" w:type="dxa"/>
            <w:tcBorders>
              <w:top w:val="single" w:sz="8" w:space="0" w:color="000000"/>
              <w:bottom w:val="double" w:sz="6" w:space="0" w:color="000000"/>
            </w:tcBorders>
            <w:shd w:fill="auto" w:val="clear"/>
            <w:tcMar>
              <w:left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w:t>
            </w:r>
          </w:p>
        </w:tc>
        <w:tc>
          <w:tcPr>
            <w:tcW w:w="207" w:type="dxa"/>
            <w:tcBorders/>
            <w:shd w:fill="auto" w:val="clear"/>
            <w:tcMar>
              <w:top w:w="0" w:type="dxa"/>
              <w:left w:w="0" w:type="dxa"/>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1" w:type="dxa"/>
            <w:tcBorders>
              <w:bottom w:val="double" w:sz="6" w:space="0" w:color="000000"/>
            </w:tcBorders>
            <w:shd w:fill="auto" w:val="clear"/>
            <w:tcMar>
              <w:top w:w="0" w:type="dxa"/>
              <w:left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5" w:type="dxa"/>
            <w:tcBorders>
              <w:top w:val="single" w:sz="8" w:space="0" w:color="000000"/>
              <w:bottom w:val="double" w:sz="6" w:space="0" w:color="000000"/>
            </w:tcBorders>
            <w:shd w:fill="auto" w:val="clear"/>
            <w:tcMar>
              <w:left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207" w:type="dxa"/>
            <w:tcBorders/>
            <w:shd w:fill="auto" w:val="clear"/>
            <w:tcMar>
              <w:top w:w="0" w:type="dxa"/>
              <w:left w:w="0" w:type="dxa"/>
              <w:bottom w:w="0" w:type="dxa"/>
            </w:tcM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top w:w="0" w:type="dxa"/>
              <w:left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303" w:type="dxa"/>
            <w:tcBorders>
              <w:top w:val="single" w:sz="8" w:space="0" w:color="000000"/>
              <w:bottom w:val="double" w:sz="6" w:space="0" w:color="000000"/>
            </w:tcBorders>
            <w:shd w:fill="auto" w:val="clear"/>
            <w:tcMar>
              <w:left w:w="0" w:type="dxa"/>
            </w:tcMar>
            <w:vAlign w:val="bottom"/>
          </w:tcPr>
          <w:p>
            <w:pPr>
              <w:pStyle w:val="TableContents"/>
              <w:spacing w:before="0" w:after="0"/>
              <w:ind w:left="0" w:right="0" w:hanging="0"/>
              <w:jc w:val="right"/>
              <w:rPr/>
            </w:pPr>
            <w:r>
              <w:rPr/>
              <w:t> </w:t>
            </w:r>
          </w:p>
        </w:tc>
        <w:tc>
          <w:tcPr>
            <w:tcW w:w="820" w:type="dxa"/>
            <w:tcBorders>
              <w:top w:val="single" w:sz="8" w:space="0" w:color="000000"/>
              <w:bottom w:val="double" w:sz="6" w:space="0" w:color="000000"/>
            </w:tcBorders>
            <w:shd w:fill="auto" w:val="clear"/>
            <w:tcMar>
              <w:left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216" w:type="dxa"/>
            <w:tcBorders>
              <w:right w:val="single" w:sz="8" w:space="0" w:color="000000"/>
            </w:tcBorders>
            <w:shd w:fill="auto" w:val="clear"/>
            <w:tcMar>
              <w:top w:w="0" w:type="dxa"/>
              <w:left w:w="0" w:type="dxa"/>
              <w:bottom w:w="0" w:type="dxa"/>
              <w:right w:w="28" w:type="dxa"/>
            </w:tcMar>
            <w:vAlign w:val="bottom"/>
          </w:tcPr>
          <w:p>
            <w:pPr>
              <w:pStyle w:val="TableContents"/>
              <w:spacing w:before="0" w:after="0"/>
              <w:ind w:left="0" w:right="0" w:hanging="0"/>
              <w:rPr/>
            </w:pPr>
            <w:r>
              <w:rPr/>
              <w:t> </w:t>
            </w:r>
          </w:p>
        </w:tc>
      </w:tr>
      <w:tr>
        <w:trPr/>
        <w:tc>
          <w:tcPr>
            <w:tcW w:w="5955" w:type="dxa"/>
            <w:tcBorders>
              <w:left w:val="single" w:sz="8" w:space="0" w:color="000000"/>
              <w:bottom w:val="single" w:sz="8" w:space="0" w:color="000000"/>
            </w:tcBorders>
            <w:shd w:fill="CCEEFF" w:val="clear"/>
            <w:tcMar>
              <w:top w:w="0" w:type="dxa"/>
            </w:tcMar>
            <w:vAlign w:val="bottom"/>
          </w:tcPr>
          <w:p>
            <w:pPr>
              <w:pStyle w:val="TableContents"/>
              <w:spacing w:before="0" w:after="0"/>
              <w:ind w:left="0" w:right="0" w:hanging="0"/>
              <w:rPr/>
            </w:pPr>
            <w:r>
              <w:rPr/>
              <w:t> </w:t>
            </w:r>
          </w:p>
        </w:tc>
        <w:tc>
          <w:tcPr>
            <w:tcW w:w="204" w:type="dxa"/>
            <w:tcBorders>
              <w:bottom w:val="single" w:sz="8" w:space="0" w:color="000000"/>
            </w:tcBorders>
            <w:shd w:fill="CCEEFF" w:val="clear"/>
            <w:tcMar>
              <w:top w:w="0" w:type="dxa"/>
              <w:left w:w="0" w:type="dxa"/>
            </w:tcMar>
            <w:vAlign w:val="bottom"/>
          </w:tcPr>
          <w:p>
            <w:pPr>
              <w:pStyle w:val="TableContents"/>
              <w:spacing w:before="0" w:after="0"/>
              <w:ind w:left="0" w:right="0" w:hanging="0"/>
              <w:rPr/>
            </w:pPr>
            <w:r>
              <w:rPr/>
              <w:t> </w:t>
            </w:r>
          </w:p>
        </w:tc>
        <w:tc>
          <w:tcPr>
            <w:tcW w:w="1246"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CCEEFF" w:val="clear"/>
            <w:tcMar>
              <w:top w:w="0" w:type="dxa"/>
              <w:left w:w="0" w:type="dxa"/>
            </w:tcMar>
            <w:vAlign w:val="bottom"/>
          </w:tcPr>
          <w:p>
            <w:pPr>
              <w:pStyle w:val="TableContents"/>
              <w:spacing w:before="0" w:after="0"/>
              <w:ind w:left="0" w:right="0" w:hanging="0"/>
              <w:rPr/>
            </w:pPr>
            <w:r>
              <w:rPr/>
              <w:t> </w:t>
            </w:r>
          </w:p>
        </w:tc>
        <w:tc>
          <w:tcPr>
            <w:tcW w:w="936" w:type="dxa"/>
            <w:gridSpan w:val="2"/>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pPr>
            <w:r>
              <w:rPr/>
              <w:t> </w:t>
            </w:r>
          </w:p>
        </w:tc>
        <w:tc>
          <w:tcPr>
            <w:tcW w:w="207" w:type="dxa"/>
            <w:tcBorders>
              <w:bottom w:val="single" w:sz="8" w:space="0" w:color="000000"/>
            </w:tcBorders>
            <w:shd w:fill="CCEEFF" w:val="clear"/>
            <w:tcMar>
              <w:top w:w="0" w:type="dxa"/>
              <w:left w:w="0" w:type="dxa"/>
            </w:tcMar>
            <w:vAlign w:val="bottom"/>
          </w:tcPr>
          <w:p>
            <w:pPr>
              <w:pStyle w:val="TableContents"/>
              <w:spacing w:before="0" w:after="0"/>
              <w:ind w:left="0" w:right="0" w:hanging="0"/>
              <w:rPr/>
            </w:pPr>
            <w:r>
              <w:rPr/>
              <w:t> </w:t>
            </w:r>
          </w:p>
        </w:tc>
        <w:tc>
          <w:tcPr>
            <w:tcW w:w="1234" w:type="dxa"/>
            <w:gridSpan w:val="3"/>
            <w:tcBorders>
              <w:bottom w:val="single" w:sz="8" w:space="0" w:color="000000"/>
            </w:tcBorders>
            <w:shd w:fill="CCEEFF" w:val="clear"/>
            <w:tcMar>
              <w:top w:w="0" w:type="dxa"/>
              <w:left w:w="0" w:type="dxa"/>
            </w:tcMar>
            <w:vAlign w:val="bottom"/>
          </w:tcPr>
          <w:p>
            <w:pPr>
              <w:pStyle w:val="TableContents"/>
              <w:spacing w:before="0" w:after="0"/>
              <w:ind w:left="0" w:right="0" w:hanging="0"/>
              <w:jc w:val="right"/>
              <w:rPr/>
            </w:pPr>
            <w:r>
              <w:rPr/>
              <w:t> </w:t>
            </w:r>
          </w:p>
        </w:tc>
        <w:tc>
          <w:tcPr>
            <w:tcW w:w="216" w:type="dxa"/>
            <w:tcBorders>
              <w:bottom w:val="single" w:sz="8" w:space="0" w:color="000000"/>
              <w:right w:val="single" w:sz="8" w:space="0" w:color="000000"/>
            </w:tcBorders>
            <w:shd w:fill="CCEEFF" w:val="clear"/>
            <w:tcMar>
              <w:top w:w="0" w:type="dxa"/>
              <w:left w:w="0"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Attachment II</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Non-GAAP Financial Measures, page 69 - Implied Distributable Cash Flow reconciliation to Distributions Paid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14"/>
        <w:gridCol w:w="211"/>
        <w:gridCol w:w="119"/>
        <w:gridCol w:w="571"/>
        <w:gridCol w:w="212"/>
        <w:gridCol w:w="119"/>
        <w:gridCol w:w="571"/>
        <w:gridCol w:w="212"/>
        <w:gridCol w:w="119"/>
        <w:gridCol w:w="571"/>
        <w:gridCol w:w="212"/>
        <w:gridCol w:w="211"/>
        <w:gridCol w:w="119"/>
        <w:gridCol w:w="558"/>
        <w:gridCol w:w="212"/>
        <w:gridCol w:w="755"/>
        <w:gridCol w:w="225"/>
        <w:gridCol w:w="119"/>
        <w:gridCol w:w="548"/>
        <w:gridCol w:w="212"/>
        <w:gridCol w:w="779"/>
        <w:gridCol w:w="136"/>
      </w:tblGrid>
      <w:tr>
        <w:trPr/>
        <w:tc>
          <w:tcPr>
            <w:tcW w:w="341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49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Twelve Months</w:t>
            </w:r>
          </w:p>
        </w:tc>
        <w:tc>
          <w:tcPr>
            <w:tcW w:w="212"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3527"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136" w:type="dxa"/>
            <w:tcBorders/>
            <w:shd w:fill="auto" w:val="clear"/>
            <w:vAlign w:val="bottom"/>
          </w:tcPr>
          <w:p>
            <w:pPr>
              <w:pStyle w:val="TableContents"/>
              <w:spacing w:before="0" w:after="0"/>
              <w:ind w:left="0" w:right="0" w:hanging="0"/>
              <w:jc w:val="center"/>
              <w:rPr/>
            </w:pPr>
            <w:r>
              <w:rPr/>
              <w:t> </w:t>
            </w:r>
          </w:p>
        </w:tc>
      </w:tr>
      <w:tr>
        <w:trPr/>
        <w:tc>
          <w:tcPr>
            <w:tcW w:w="341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49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December 31,</w:t>
            </w:r>
          </w:p>
        </w:tc>
        <w:tc>
          <w:tcPr>
            <w:tcW w:w="212"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64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2012-2011</w:t>
            </w:r>
          </w:p>
        </w:tc>
        <w:tc>
          <w:tcPr>
            <w:tcW w:w="225" w:type="dxa"/>
            <w:tcBorders/>
            <w:shd w:fill="auto" w:val="clear"/>
            <w:vAlign w:val="bottom"/>
          </w:tcPr>
          <w:p>
            <w:pPr>
              <w:pStyle w:val="TableContents"/>
              <w:spacing w:before="0" w:after="0"/>
              <w:ind w:left="0" w:right="0" w:hanging="0"/>
              <w:jc w:val="center"/>
              <w:rPr/>
            </w:pPr>
            <w:r>
              <w:rPr/>
              <w:t> </w:t>
            </w:r>
          </w:p>
        </w:tc>
        <w:tc>
          <w:tcPr>
            <w:tcW w:w="1658"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2011-2010</w:t>
            </w:r>
          </w:p>
        </w:tc>
        <w:tc>
          <w:tcPr>
            <w:tcW w:w="136" w:type="dxa"/>
            <w:tcBorders/>
            <w:shd w:fill="auto" w:val="clear"/>
            <w:vAlign w:val="bottom"/>
          </w:tcPr>
          <w:p>
            <w:pPr>
              <w:pStyle w:val="TableContents"/>
              <w:spacing w:before="0" w:after="0"/>
              <w:ind w:left="0" w:right="0" w:hanging="0"/>
              <w:jc w:val="center"/>
              <w:rPr/>
            </w:pPr>
            <w:r>
              <w:rPr/>
              <w:t> </w:t>
            </w:r>
          </w:p>
        </w:tc>
      </w:tr>
      <w:tr>
        <w:trPr/>
        <w:tc>
          <w:tcPr>
            <w:tcW w:w="341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2"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6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5" w:type="dxa"/>
            <w:tcBorders/>
            <w:shd w:fill="auto" w:val="clear"/>
            <w:vAlign w:val="bottom"/>
          </w:tcPr>
          <w:p>
            <w:pPr>
              <w:pStyle w:val="TableContents"/>
              <w:spacing w:before="0" w:after="0"/>
              <w:ind w:left="0" w:right="0" w:hanging="0"/>
              <w:jc w:val="center"/>
              <w:rPr/>
            </w:pPr>
            <w:r>
              <w:rPr/>
              <w:t> </w:t>
            </w:r>
          </w:p>
        </w:tc>
        <w:tc>
          <w:tcPr>
            <w:tcW w:w="6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2" w:type="dxa"/>
            <w:tcBorders/>
            <w:shd w:fill="auto" w:val="clear"/>
            <w:vAlign w:val="bottom"/>
          </w:tcPr>
          <w:p>
            <w:pPr>
              <w:pStyle w:val="TableContents"/>
              <w:spacing w:before="0" w:after="0"/>
              <w:ind w:left="0" w:right="0" w:hanging="0"/>
              <w:jc w:val="center"/>
              <w:rPr/>
            </w:pPr>
            <w:r>
              <w:rPr/>
              <w:t> </w:t>
            </w:r>
          </w:p>
        </w:tc>
        <w:tc>
          <w:tcPr>
            <w:tcW w:w="77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36" w:type="dxa"/>
            <w:tcBorders/>
            <w:shd w:fill="auto" w:val="clear"/>
            <w:vAlign w:val="bottom"/>
          </w:tcPr>
          <w:p>
            <w:pPr>
              <w:pStyle w:val="TableContents"/>
              <w:spacing w:before="0" w:after="0"/>
              <w:ind w:left="0" w:right="0" w:hanging="0"/>
              <w:jc w:val="center"/>
              <w:rPr/>
            </w:pPr>
            <w:r>
              <w:rPr/>
              <w:t> </w:t>
            </w:r>
          </w:p>
        </w:tc>
      </w:tr>
      <w:tr>
        <w:trPr/>
        <w:tc>
          <w:tcPr>
            <w:tcW w:w="341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6444" w:type="dxa"/>
            <w:gridSpan w:val="19"/>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except per unit data)</w:t>
            </w:r>
          </w:p>
        </w:tc>
        <w:tc>
          <w:tcPr>
            <w:tcW w:w="136" w:type="dxa"/>
            <w:tcBorders/>
            <w:shd w:fill="auto" w:val="clear"/>
            <w:vAlign w:val="bottom"/>
          </w:tcPr>
          <w:p>
            <w:pPr>
              <w:pStyle w:val="TableContents"/>
              <w:spacing w:before="0" w:after="0"/>
              <w:ind w:left="0" w:right="0" w:hanging="0"/>
              <w:jc w:val="center"/>
              <w:rPr/>
            </w:pPr>
            <w:r>
              <w:rPr/>
              <w:t> </w:t>
            </w:r>
          </w:p>
        </w:tc>
      </w:tr>
      <w:tr>
        <w:trPr/>
        <w:tc>
          <w:tcPr>
            <w:tcW w:w="34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income</w:t>
            </w:r>
          </w:p>
        </w:tc>
        <w:tc>
          <w:tcPr>
            <w:tcW w:w="211"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1,127</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994</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514</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58"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133</w:t>
            </w:r>
          </w:p>
        </w:tc>
        <w:tc>
          <w:tcPr>
            <w:tcW w:w="212" w:type="dxa"/>
            <w:tcBorders/>
            <w:shd w:fill="CCEEFF" w:val="clear"/>
            <w:vAlign w:val="bottom"/>
          </w:tcPr>
          <w:p>
            <w:pPr>
              <w:pStyle w:val="TableContents"/>
              <w:spacing w:before="0" w:after="0"/>
              <w:ind w:left="0" w:right="0" w:hanging="0"/>
              <w:rPr/>
            </w:pPr>
            <w:r>
              <w:rPr/>
              <w:t> </w:t>
            </w:r>
          </w:p>
        </w:tc>
        <w:tc>
          <w:tcPr>
            <w:tcW w:w="75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48"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480</w:t>
            </w:r>
          </w:p>
        </w:tc>
        <w:tc>
          <w:tcPr>
            <w:tcW w:w="212" w:type="dxa"/>
            <w:tcBorders/>
            <w:shd w:fill="CCEEFF" w:val="clear"/>
            <w:vAlign w:val="bottom"/>
          </w:tcPr>
          <w:p>
            <w:pPr>
              <w:pStyle w:val="TableContents"/>
              <w:spacing w:before="0" w:after="0"/>
              <w:ind w:left="0" w:right="0" w:hanging="0"/>
              <w:rPr/>
            </w:pPr>
            <w:r>
              <w:rPr/>
              <w:t> </w:t>
            </w:r>
          </w:p>
        </w:tc>
        <w:tc>
          <w:tcPr>
            <w:tcW w:w="77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93</w:t>
            </w:r>
          </w:p>
        </w:tc>
        <w:tc>
          <w:tcPr>
            <w:tcW w:w="13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Add:</w:t>
            </w:r>
          </w:p>
        </w:tc>
        <w:tc>
          <w:tcPr>
            <w:tcW w:w="211"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55" w:type="dxa"/>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667"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79" w:type="dxa"/>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r>
      <w:tr>
        <w:trPr/>
        <w:tc>
          <w:tcPr>
            <w:tcW w:w="34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Depreciation and amortization</w:t>
            </w:r>
          </w:p>
        </w:tc>
        <w:tc>
          <w:tcPr>
            <w:tcW w:w="211"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482</w:t>
            </w:r>
          </w:p>
        </w:tc>
        <w:tc>
          <w:tcPr>
            <w:tcW w:w="212"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249</w:t>
            </w:r>
          </w:p>
        </w:tc>
        <w:tc>
          <w:tcPr>
            <w:tcW w:w="212"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256</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7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233</w:t>
            </w:r>
          </w:p>
        </w:tc>
        <w:tc>
          <w:tcPr>
            <w:tcW w:w="212" w:type="dxa"/>
            <w:tcBorders/>
            <w:shd w:fill="CCEEFF" w:val="clear"/>
            <w:vAlign w:val="bottom"/>
          </w:tcPr>
          <w:p>
            <w:pPr>
              <w:pStyle w:val="TableContents"/>
              <w:spacing w:before="0" w:after="0"/>
              <w:ind w:left="0" w:right="0" w:hanging="0"/>
              <w:rPr/>
            </w:pPr>
            <w:r>
              <w:rPr/>
              <w:t> </w:t>
            </w:r>
          </w:p>
        </w:tc>
        <w:tc>
          <w:tcPr>
            <w:tcW w:w="75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94</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3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Income tax (benefit)/expense</w:t>
            </w:r>
          </w:p>
        </w:tc>
        <w:tc>
          <w:tcPr>
            <w:tcW w:w="211"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54</w:t>
            </w:r>
          </w:p>
        </w:tc>
        <w:tc>
          <w:tcPr>
            <w:tcW w:w="212"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45</w:t>
            </w:r>
          </w:p>
        </w:tc>
        <w:tc>
          <w:tcPr>
            <w:tcW w:w="212"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11"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w:t>
            </w:r>
          </w:p>
        </w:tc>
        <w:tc>
          <w:tcPr>
            <w:tcW w:w="212" w:type="dxa"/>
            <w:tcBorders/>
            <w:shd w:fill="auto" w:val="clear"/>
            <w:vAlign w:val="bottom"/>
          </w:tcPr>
          <w:p>
            <w:pPr>
              <w:pStyle w:val="TableContents"/>
              <w:spacing w:before="0" w:after="0"/>
              <w:ind w:left="0" w:right="0" w:hanging="0"/>
              <w:rPr/>
            </w:pPr>
            <w:r>
              <w:rPr/>
              <w:t> </w:t>
            </w:r>
          </w:p>
        </w:tc>
        <w:tc>
          <w:tcPr>
            <w:tcW w:w="75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20</w:t>
            </w:r>
          </w:p>
        </w:tc>
        <w:tc>
          <w:tcPr>
            <w:tcW w:w="2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46</w:t>
            </w:r>
          </w:p>
        </w:tc>
        <w:tc>
          <w:tcPr>
            <w:tcW w:w="212" w:type="dxa"/>
            <w:tcBorders/>
            <w:shd w:fill="auto" w:val="clear"/>
            <w:vAlign w:val="bottom"/>
          </w:tcPr>
          <w:p>
            <w:pPr>
              <w:pStyle w:val="TableContents"/>
              <w:spacing w:before="0" w:after="0"/>
              <w:ind w:left="0" w:right="0" w:hanging="0"/>
              <w:rPr/>
            </w:pPr>
            <w:r>
              <w:rPr/>
              <w:t> </w:t>
            </w:r>
          </w:p>
        </w:tc>
        <w:tc>
          <w:tcPr>
            <w:tcW w:w="779"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4,600</w:t>
            </w:r>
          </w:p>
        </w:tc>
        <w:tc>
          <w:tcPr>
            <w:tcW w:w="13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Interest expense</w:t>
            </w:r>
          </w:p>
        </w:tc>
        <w:tc>
          <w:tcPr>
            <w:tcW w:w="211" w:type="dxa"/>
            <w:tcBorders/>
            <w:shd w:fill="CCEEFF"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288</w:t>
            </w:r>
          </w:p>
        </w:tc>
        <w:tc>
          <w:tcPr>
            <w:tcW w:w="212" w:type="dxa"/>
            <w:tcBorders/>
            <w:shd w:fill="CCEEFF"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253</w:t>
            </w:r>
          </w:p>
        </w:tc>
        <w:tc>
          <w:tcPr>
            <w:tcW w:w="212" w:type="dxa"/>
            <w:tcBorders/>
            <w:shd w:fill="CCEEFF"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248</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w:t>
            </w:r>
          </w:p>
        </w:tc>
        <w:tc>
          <w:tcPr>
            <w:tcW w:w="212" w:type="dxa"/>
            <w:tcBorders/>
            <w:shd w:fill="CCEEFF" w:val="clear"/>
            <w:vAlign w:val="bottom"/>
          </w:tcPr>
          <w:p>
            <w:pPr>
              <w:pStyle w:val="TableContents"/>
              <w:spacing w:before="0" w:after="0"/>
              <w:ind w:left="0" w:right="0" w:hanging="0"/>
              <w:rPr/>
            </w:pPr>
            <w:r>
              <w:rPr/>
              <w:t> </w:t>
            </w:r>
          </w:p>
        </w:tc>
        <w:tc>
          <w:tcPr>
            <w:tcW w:w="75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212" w:type="dxa"/>
            <w:tcBorders/>
            <w:shd w:fill="CCEEFF" w:val="clear"/>
            <w:vAlign w:val="bottom"/>
          </w:tcPr>
          <w:p>
            <w:pPr>
              <w:pStyle w:val="TableContents"/>
              <w:spacing w:before="0" w:after="0"/>
              <w:ind w:left="0" w:right="0" w:hanging="0"/>
              <w:rPr/>
            </w:pPr>
            <w:r>
              <w:rPr/>
              <w:t> </w:t>
            </w:r>
          </w:p>
        </w:tc>
        <w:tc>
          <w:tcPr>
            <w:tcW w:w="77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3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EBITDA</w:t>
            </w:r>
          </w:p>
        </w:tc>
        <w:tc>
          <w:tcPr>
            <w:tcW w:w="211"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1,951</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1,541</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1,017</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5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410</w:t>
            </w:r>
          </w:p>
        </w:tc>
        <w:tc>
          <w:tcPr>
            <w:tcW w:w="212" w:type="dxa"/>
            <w:tcBorders/>
            <w:shd w:fill="auto" w:val="clear"/>
            <w:vAlign w:val="bottom"/>
          </w:tcPr>
          <w:p>
            <w:pPr>
              <w:pStyle w:val="TableContents"/>
              <w:spacing w:before="0" w:after="0"/>
              <w:ind w:left="0" w:right="0" w:hanging="0"/>
              <w:rPr/>
            </w:pPr>
            <w:r>
              <w:rPr/>
              <w:t> </w:t>
            </w:r>
          </w:p>
        </w:tc>
        <w:tc>
          <w:tcPr>
            <w:tcW w:w="7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w:t>
            </w:r>
          </w:p>
        </w:tc>
        <w:tc>
          <w:tcPr>
            <w:tcW w:w="2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524</w:t>
            </w:r>
          </w:p>
        </w:tc>
        <w:tc>
          <w:tcPr>
            <w:tcW w:w="212" w:type="dxa"/>
            <w:tcBorders/>
            <w:shd w:fill="auto" w:val="clear"/>
            <w:vAlign w:val="bottom"/>
          </w:tcPr>
          <w:p>
            <w:pPr>
              <w:pStyle w:val="TableContents"/>
              <w:spacing w:before="0" w:after="0"/>
              <w:ind w:left="0" w:right="0" w:hanging="0"/>
              <w:rPr/>
            </w:pPr>
            <w:r>
              <w:rPr/>
              <w:t> </w:t>
            </w:r>
          </w:p>
        </w:tc>
        <w:tc>
          <w:tcPr>
            <w:tcW w:w="7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52</w:t>
            </w:r>
          </w:p>
        </w:tc>
        <w:tc>
          <w:tcPr>
            <w:tcW w:w="13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pPr>
            <w:r>
              <w:rPr/>
              <w:t> </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77"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55" w:type="dxa"/>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667"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79" w:type="dxa"/>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r>
      <w:tr>
        <w:trPr/>
        <w:tc>
          <w:tcPr>
            <w:tcW w:w="3414"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Selected Items Impacting Comparability of EBITDA</w:t>
            </w:r>
          </w:p>
        </w:tc>
        <w:tc>
          <w:tcPr>
            <w:tcW w:w="211"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55" w:type="dxa"/>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667"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79" w:type="dxa"/>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r>
      <w:tr>
        <w:trPr/>
        <w:tc>
          <w:tcPr>
            <w:tcW w:w="3414" w:type="dxa"/>
            <w:tcBorders/>
            <w:shd w:fill="CCEEFF" w:val="clear"/>
            <w:vAlign w:val="bottom"/>
          </w:tcPr>
          <w:p>
            <w:pPr>
              <w:pStyle w:val="TableContents"/>
              <w:spacing w:before="0" w:after="0"/>
              <w:ind w:left="0" w:right="0" w:hanging="0"/>
              <w:rPr/>
            </w:pPr>
            <w:r>
              <w:rPr>
                <w:rFonts w:ascii="Times New Roman" w:hAnsi="Times New Roman"/>
                <w:sz w:val="13"/>
              </w:rPr>
              <w:t xml:space="preserve">Gains/(losses) from derivative activities net of inventory valuation adjustments </w:t>
            </w:r>
            <w:r>
              <w:rPr>
                <w:sz w:val="8"/>
              </w:rPr>
              <w:t>(1)</w:t>
            </w:r>
          </w:p>
        </w:tc>
        <w:tc>
          <w:tcPr>
            <w:tcW w:w="211"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(74</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62</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11"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58"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(136</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(219</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48"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76</w:t>
            </w:r>
          </w:p>
        </w:tc>
        <w:tc>
          <w:tcPr>
            <w:tcW w:w="212" w:type="dxa"/>
            <w:tcBorders/>
            <w:shd w:fill="CCEEFF" w:val="clear"/>
            <w:vAlign w:val="bottom"/>
          </w:tcPr>
          <w:p>
            <w:pPr>
              <w:pStyle w:val="TableContents"/>
              <w:spacing w:before="0" w:after="0"/>
              <w:ind w:left="0" w:right="0" w:hanging="0"/>
              <w:rPr/>
            </w:pPr>
            <w:r>
              <w:rPr/>
              <w:t> </w:t>
            </w:r>
          </w:p>
        </w:tc>
        <w:tc>
          <w:tcPr>
            <w:tcW w:w="77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543</w:t>
            </w:r>
          </w:p>
        </w:tc>
        <w:tc>
          <w:tcPr>
            <w:tcW w:w="13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auto" w:val="clear"/>
            <w:vAlign w:val="bottom"/>
          </w:tcPr>
          <w:p>
            <w:pPr>
              <w:pStyle w:val="TableContents"/>
              <w:spacing w:before="0" w:after="0"/>
              <w:ind w:left="0" w:right="0" w:hanging="0"/>
              <w:rPr/>
            </w:pPr>
            <w:r>
              <w:rPr>
                <w:rFonts w:ascii="Times New Roman" w:hAnsi="Times New Roman"/>
                <w:sz w:val="13"/>
              </w:rPr>
              <w:t xml:space="preserve">Equity compensation expense </w:t>
            </w:r>
            <w:r>
              <w:rPr>
                <w:sz w:val="8"/>
              </w:rPr>
              <w:t>(2)</w:t>
            </w:r>
          </w:p>
        </w:tc>
        <w:tc>
          <w:tcPr>
            <w:tcW w:w="211"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(59</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(77</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(67</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11"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w:t>
            </w:r>
          </w:p>
        </w:tc>
        <w:tc>
          <w:tcPr>
            <w:tcW w:w="212" w:type="dxa"/>
            <w:tcBorders/>
            <w:shd w:fill="auto" w:val="clear"/>
            <w:vAlign w:val="bottom"/>
          </w:tcPr>
          <w:p>
            <w:pPr>
              <w:pStyle w:val="TableContents"/>
              <w:spacing w:before="0" w:after="0"/>
              <w:ind w:left="0" w:right="0" w:hanging="0"/>
              <w:rPr/>
            </w:pPr>
            <w:r>
              <w:rPr/>
              <w:t> </w:t>
            </w:r>
          </w:p>
        </w:tc>
        <w:tc>
          <w:tcPr>
            <w:tcW w:w="75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w:t>
            </w:r>
          </w:p>
        </w:tc>
        <w:tc>
          <w:tcPr>
            <w:tcW w:w="2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9"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13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loss on early repayment of senior notes</w:t>
            </w:r>
          </w:p>
        </w:tc>
        <w:tc>
          <w:tcPr>
            <w:tcW w:w="211"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2"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11" w:type="dxa"/>
            <w:tcBorders/>
            <w:shd w:fill="CCEEFF" w:val="clear"/>
            <w:vAlign w:val="bottom"/>
          </w:tcPr>
          <w:p>
            <w:pPr>
              <w:pStyle w:val="TableContents"/>
              <w:spacing w:before="0" w:after="0"/>
              <w:ind w:left="0" w:right="0" w:hanging="0"/>
              <w:rPr/>
            </w:pPr>
            <w:r>
              <w:rPr/>
              <w:t> </w:t>
            </w:r>
          </w:p>
        </w:tc>
        <w:tc>
          <w:tcPr>
            <w:tcW w:w="67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w:t>
            </w:r>
          </w:p>
        </w:tc>
        <w:tc>
          <w:tcPr>
            <w:tcW w:w="212" w:type="dxa"/>
            <w:tcBorders/>
            <w:shd w:fill="CCEEFF" w:val="clear"/>
            <w:vAlign w:val="bottom"/>
          </w:tcPr>
          <w:p>
            <w:pPr>
              <w:pStyle w:val="TableContents"/>
              <w:spacing w:before="0" w:after="0"/>
              <w:ind w:left="0" w:right="0" w:hanging="0"/>
              <w:rPr/>
            </w:pPr>
            <w:r>
              <w:rPr/>
              <w:t> </w:t>
            </w:r>
          </w:p>
        </w:tc>
        <w:tc>
          <w:tcPr>
            <w:tcW w:w="75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100</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(283</w:t>
            </w:r>
          </w:p>
        </w:tc>
        <w:tc>
          <w:tcPr>
            <w:tcW w:w="13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Significant acquisition-related expenses</w:t>
            </w:r>
          </w:p>
        </w:tc>
        <w:tc>
          <w:tcPr>
            <w:tcW w:w="211"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(40</w:t>
            </w:r>
          </w:p>
        </w:tc>
        <w:tc>
          <w:tcPr>
            <w:tcW w:w="2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9"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N/A</w:t>
            </w:r>
          </w:p>
        </w:tc>
        <w:tc>
          <w:tcPr>
            <w:tcW w:w="136" w:type="dxa"/>
            <w:tcBorders/>
            <w:shd w:fill="auto" w:val="clear"/>
            <w:vAlign w:val="bottom"/>
          </w:tcPr>
          <w:p>
            <w:pPr>
              <w:pStyle w:val="TableContents"/>
              <w:spacing w:before="0" w:after="0"/>
              <w:ind w:left="0" w:right="0" w:hanging="0"/>
              <w:rPr/>
            </w:pPr>
            <w:r>
              <w:rPr/>
              <w:t> </w:t>
            </w:r>
          </w:p>
        </w:tc>
      </w:tr>
      <w:tr>
        <w:trPr/>
        <w:tc>
          <w:tcPr>
            <w:tcW w:w="3414" w:type="dxa"/>
            <w:tcBorders/>
            <w:shd w:fill="CCEEFF" w:val="clear"/>
            <w:vAlign w:val="bottom"/>
          </w:tcPr>
          <w:p>
            <w:pPr>
              <w:pStyle w:val="TableContents"/>
              <w:spacing w:before="0" w:after="0"/>
              <w:ind w:left="0" w:right="0" w:hanging="0"/>
              <w:rPr/>
            </w:pPr>
            <w:r>
              <w:rPr>
                <w:rFonts w:ascii="Times New Roman" w:hAnsi="Times New Roman"/>
                <w:sz w:val="13"/>
              </w:rPr>
              <w:t xml:space="preserve">Net loss on foreign currency revaluation </w:t>
            </w:r>
            <w:r>
              <w:rPr>
                <w:sz w:val="8"/>
              </w:rPr>
              <w:t>(3)</w:t>
            </w:r>
          </w:p>
        </w:tc>
        <w:tc>
          <w:tcPr>
            <w:tcW w:w="211"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7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2" w:type="dxa"/>
            <w:tcBorders/>
            <w:shd w:fill="CCEEFF" w:val="clear"/>
            <w:vAlign w:val="bottom"/>
          </w:tcPr>
          <w:p>
            <w:pPr>
              <w:pStyle w:val="TableContents"/>
              <w:spacing w:before="0" w:after="0"/>
              <w:ind w:left="0" w:right="0" w:hanging="0"/>
              <w:rPr/>
            </w:pPr>
            <w:r>
              <w:rPr/>
              <w:t> </w:t>
            </w:r>
          </w:p>
        </w:tc>
        <w:tc>
          <w:tcPr>
            <w:tcW w:w="75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N/A</w:t>
            </w:r>
          </w:p>
        </w:tc>
        <w:tc>
          <w:tcPr>
            <w:tcW w:w="136" w:type="dxa"/>
            <w:tcBorders/>
            <w:shd w:fill="CCEEFF" w:val="clear"/>
            <w:vAlign w:val="bottom"/>
          </w:tcPr>
          <w:p>
            <w:pPr>
              <w:pStyle w:val="TableContents"/>
              <w:spacing w:before="0" w:after="0"/>
              <w:ind w:left="0" w:right="0" w:hanging="0"/>
              <w:rPr/>
            </w:pPr>
            <w:r>
              <w:rPr/>
              <w:t> </w:t>
            </w:r>
          </w:p>
        </w:tc>
      </w:tr>
      <w:tr>
        <w:trPr/>
        <w:tc>
          <w:tcPr>
            <w:tcW w:w="3414" w:type="dxa"/>
            <w:tcBorders/>
            <w:shd w:fill="auto" w:val="clear"/>
            <w:vAlign w:val="bottom"/>
          </w:tcPr>
          <w:p>
            <w:pPr>
              <w:pStyle w:val="TableContents"/>
              <w:spacing w:before="0" w:after="0"/>
              <w:ind w:left="0" w:right="0" w:hanging="0"/>
              <w:rPr/>
            </w:pPr>
            <w:r>
              <w:rPr>
                <w:rFonts w:ascii="Times New Roman" w:hAnsi="Times New Roman"/>
                <w:sz w:val="13"/>
              </w:rPr>
              <w:t xml:space="preserve">Other </w:t>
            </w:r>
            <w:r>
              <w:rPr>
                <w:sz w:val="8"/>
              </w:rPr>
              <w:t>(4)</w:t>
            </w:r>
          </w:p>
        </w:tc>
        <w:tc>
          <w:tcPr>
            <w:tcW w:w="211" w:type="dxa"/>
            <w:tcBorders/>
            <w:shd w:fill="auto"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11" w:type="dxa"/>
            <w:tcBorders/>
            <w:shd w:fill="auto"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2" w:type="dxa"/>
            <w:tcBorders/>
            <w:shd w:fill="auto" w:val="clear"/>
            <w:vAlign w:val="bottom"/>
          </w:tcPr>
          <w:p>
            <w:pPr>
              <w:pStyle w:val="TableContents"/>
              <w:spacing w:before="0" w:after="0"/>
              <w:ind w:left="0" w:right="0" w:hanging="0"/>
              <w:rPr/>
            </w:pPr>
            <w:r>
              <w:rPr/>
              <w:t> </w:t>
            </w:r>
          </w:p>
        </w:tc>
        <w:tc>
          <w:tcPr>
            <w:tcW w:w="75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2" w:type="dxa"/>
            <w:tcBorders/>
            <w:shd w:fill="auto" w:val="clear"/>
            <w:vAlign w:val="bottom"/>
          </w:tcPr>
          <w:p>
            <w:pPr>
              <w:pStyle w:val="TableContents"/>
              <w:spacing w:before="0" w:after="0"/>
              <w:ind w:left="0" w:right="0" w:hanging="0"/>
              <w:rPr/>
            </w:pPr>
            <w:r>
              <w:rPr/>
              <w:t> </w:t>
            </w:r>
          </w:p>
        </w:tc>
        <w:tc>
          <w:tcPr>
            <w:tcW w:w="77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3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Selected Items Impacting Comparability of EBITDA</w:t>
            </w:r>
          </w:p>
        </w:tc>
        <w:tc>
          <w:tcPr>
            <w:tcW w:w="211"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(156</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(57</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(89</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11"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(99</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(174</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4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32</w:t>
            </w:r>
          </w:p>
        </w:tc>
        <w:tc>
          <w:tcPr>
            <w:tcW w:w="212" w:type="dxa"/>
            <w:tcBorders/>
            <w:shd w:fill="CCEEFF" w:val="clear"/>
            <w:vAlign w:val="bottom"/>
          </w:tcPr>
          <w:p>
            <w:pPr>
              <w:pStyle w:val="TableContents"/>
              <w:spacing w:before="0" w:after="0"/>
              <w:ind w:left="0" w:right="0" w:hanging="0"/>
              <w:rPr/>
            </w:pPr>
            <w:r>
              <w:rPr/>
              <w:t> </w:t>
            </w:r>
          </w:p>
        </w:tc>
        <w:tc>
          <w:tcPr>
            <w:tcW w:w="77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36</w:t>
            </w:r>
          </w:p>
        </w:tc>
        <w:tc>
          <w:tcPr>
            <w:tcW w:w="13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55" w:type="dxa"/>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667"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79" w:type="dxa"/>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r>
      <w:tr>
        <w:trPr/>
        <w:tc>
          <w:tcPr>
            <w:tcW w:w="34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EBITDA</w:t>
            </w:r>
          </w:p>
        </w:tc>
        <w:tc>
          <w:tcPr>
            <w:tcW w:w="211"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1,951</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1,541</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1,017</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58"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410</w:t>
            </w:r>
          </w:p>
        </w:tc>
        <w:tc>
          <w:tcPr>
            <w:tcW w:w="212" w:type="dxa"/>
            <w:tcBorders/>
            <w:shd w:fill="CCEEFF" w:val="clear"/>
            <w:vAlign w:val="bottom"/>
          </w:tcPr>
          <w:p>
            <w:pPr>
              <w:pStyle w:val="TableContents"/>
              <w:spacing w:before="0" w:after="0"/>
              <w:ind w:left="0" w:right="0" w:hanging="0"/>
              <w:rPr/>
            </w:pPr>
            <w:r>
              <w:rPr/>
              <w:t> </w:t>
            </w:r>
          </w:p>
        </w:tc>
        <w:tc>
          <w:tcPr>
            <w:tcW w:w="75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48"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524</w:t>
            </w:r>
          </w:p>
        </w:tc>
        <w:tc>
          <w:tcPr>
            <w:tcW w:w="212" w:type="dxa"/>
            <w:tcBorders/>
            <w:shd w:fill="CCEEFF" w:val="clear"/>
            <w:vAlign w:val="bottom"/>
          </w:tcPr>
          <w:p>
            <w:pPr>
              <w:pStyle w:val="TableContents"/>
              <w:spacing w:before="0" w:after="0"/>
              <w:ind w:left="0" w:right="0" w:hanging="0"/>
              <w:rPr/>
            </w:pPr>
            <w:r>
              <w:rPr/>
              <w:t> </w:t>
            </w:r>
          </w:p>
        </w:tc>
        <w:tc>
          <w:tcPr>
            <w:tcW w:w="77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52</w:t>
            </w:r>
          </w:p>
        </w:tc>
        <w:tc>
          <w:tcPr>
            <w:tcW w:w="13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Selected Items Impacting Comparability of EBITDA</w:t>
            </w:r>
          </w:p>
        </w:tc>
        <w:tc>
          <w:tcPr>
            <w:tcW w:w="211" w:type="dxa"/>
            <w:tcBorders/>
            <w:shd w:fill="auto"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156</w:t>
            </w:r>
          </w:p>
        </w:tc>
        <w:tc>
          <w:tcPr>
            <w:tcW w:w="212" w:type="dxa"/>
            <w:tcBorders/>
            <w:shd w:fill="auto"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57</w:t>
            </w:r>
          </w:p>
        </w:tc>
        <w:tc>
          <w:tcPr>
            <w:tcW w:w="212" w:type="dxa"/>
            <w:tcBorders/>
            <w:shd w:fill="auto"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89</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99</w:t>
            </w:r>
          </w:p>
        </w:tc>
        <w:tc>
          <w:tcPr>
            <w:tcW w:w="212" w:type="dxa"/>
            <w:tcBorders/>
            <w:shd w:fill="auto" w:val="clear"/>
            <w:vAlign w:val="bottom"/>
          </w:tcPr>
          <w:p>
            <w:pPr>
              <w:pStyle w:val="TableContents"/>
              <w:spacing w:before="0" w:after="0"/>
              <w:ind w:left="0" w:right="0" w:hanging="0"/>
              <w:rPr/>
            </w:pPr>
            <w:r>
              <w:rPr/>
              <w:t> </w:t>
            </w:r>
          </w:p>
        </w:tc>
        <w:tc>
          <w:tcPr>
            <w:tcW w:w="75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174</w:t>
            </w:r>
          </w:p>
        </w:tc>
        <w:tc>
          <w:tcPr>
            <w:tcW w:w="2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(32</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(36</w:t>
            </w:r>
          </w:p>
        </w:tc>
        <w:tc>
          <w:tcPr>
            <w:tcW w:w="13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EBITDA</w:t>
            </w:r>
          </w:p>
        </w:tc>
        <w:tc>
          <w:tcPr>
            <w:tcW w:w="211"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2,107</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1,598</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1,106</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509</w:t>
            </w:r>
          </w:p>
        </w:tc>
        <w:tc>
          <w:tcPr>
            <w:tcW w:w="212" w:type="dxa"/>
            <w:tcBorders/>
            <w:shd w:fill="CCEEFF" w:val="clear"/>
            <w:vAlign w:val="bottom"/>
          </w:tcPr>
          <w:p>
            <w:pPr>
              <w:pStyle w:val="TableContents"/>
              <w:spacing w:before="0" w:after="0"/>
              <w:ind w:left="0" w:right="0" w:hanging="0"/>
              <w:rPr/>
            </w:pPr>
            <w:r>
              <w:rPr/>
              <w:t> </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32</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4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492</w:t>
            </w:r>
          </w:p>
        </w:tc>
        <w:tc>
          <w:tcPr>
            <w:tcW w:w="212" w:type="dxa"/>
            <w:tcBorders/>
            <w:shd w:fill="CCEEFF" w:val="clear"/>
            <w:vAlign w:val="bottom"/>
          </w:tcPr>
          <w:p>
            <w:pPr>
              <w:pStyle w:val="TableContents"/>
              <w:spacing w:before="0" w:after="0"/>
              <w:ind w:left="0" w:right="0" w:hanging="0"/>
              <w:rPr/>
            </w:pPr>
            <w:r>
              <w:rPr/>
              <w:t> </w:t>
            </w:r>
          </w:p>
        </w:tc>
        <w:tc>
          <w:tcPr>
            <w:tcW w:w="77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44</w:t>
            </w:r>
          </w:p>
        </w:tc>
        <w:tc>
          <w:tcPr>
            <w:tcW w:w="13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pPr>
            <w:r>
              <w:rPr/>
              <w:t> </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55" w:type="dxa"/>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667"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79" w:type="dxa"/>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r>
      <w:tr>
        <w:trPr/>
        <w:tc>
          <w:tcPr>
            <w:tcW w:w="34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EBITDA</w:t>
            </w:r>
          </w:p>
        </w:tc>
        <w:tc>
          <w:tcPr>
            <w:tcW w:w="211"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2,107</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1,598</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1,106</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58"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509</w:t>
            </w:r>
          </w:p>
        </w:tc>
        <w:tc>
          <w:tcPr>
            <w:tcW w:w="212" w:type="dxa"/>
            <w:tcBorders/>
            <w:shd w:fill="CCEEFF" w:val="clear"/>
            <w:vAlign w:val="bottom"/>
          </w:tcPr>
          <w:p>
            <w:pPr>
              <w:pStyle w:val="TableContents"/>
              <w:spacing w:before="0" w:after="0"/>
              <w:ind w:left="0" w:right="0" w:hanging="0"/>
              <w:rPr/>
            </w:pPr>
            <w:r>
              <w:rPr/>
              <w:t> </w:t>
            </w:r>
          </w:p>
        </w:tc>
        <w:tc>
          <w:tcPr>
            <w:tcW w:w="75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32</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1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48"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492</w:t>
            </w:r>
          </w:p>
        </w:tc>
        <w:tc>
          <w:tcPr>
            <w:tcW w:w="212" w:type="dxa"/>
            <w:tcBorders/>
            <w:shd w:fill="CCEEFF" w:val="clear"/>
            <w:vAlign w:val="bottom"/>
          </w:tcPr>
          <w:p>
            <w:pPr>
              <w:pStyle w:val="TableContents"/>
              <w:spacing w:before="0" w:after="0"/>
              <w:ind w:left="0" w:right="0" w:hanging="0"/>
              <w:rPr/>
            </w:pPr>
            <w:r>
              <w:rPr/>
              <w:t> </w:t>
            </w:r>
          </w:p>
        </w:tc>
        <w:tc>
          <w:tcPr>
            <w:tcW w:w="77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44</w:t>
            </w:r>
          </w:p>
        </w:tc>
        <w:tc>
          <w:tcPr>
            <w:tcW w:w="13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Interest expense</w:t>
            </w:r>
          </w:p>
        </w:tc>
        <w:tc>
          <w:tcPr>
            <w:tcW w:w="211"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(288</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(253</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(248</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11"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2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9"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3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Maintenance capital</w:t>
            </w:r>
          </w:p>
        </w:tc>
        <w:tc>
          <w:tcPr>
            <w:tcW w:w="211"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(170</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(120</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(93</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11" w:type="dxa"/>
            <w:tcBorders/>
            <w:shd w:fill="CCEEFF" w:val="clear"/>
            <w:vAlign w:val="bottom"/>
          </w:tcPr>
          <w:p>
            <w:pPr>
              <w:pStyle w:val="TableContents"/>
              <w:spacing w:before="0" w:after="0"/>
              <w:ind w:left="0" w:right="0" w:hanging="0"/>
              <w:rPr/>
            </w:pPr>
            <w:r>
              <w:rPr/>
              <w:t> </w:t>
            </w:r>
          </w:p>
        </w:tc>
        <w:tc>
          <w:tcPr>
            <w:tcW w:w="67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(50</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(42</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(29</w:t>
            </w:r>
          </w:p>
        </w:tc>
        <w:tc>
          <w:tcPr>
            <w:tcW w:w="13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Current income tax benefit/(expense)</w:t>
            </w:r>
          </w:p>
        </w:tc>
        <w:tc>
          <w:tcPr>
            <w:tcW w:w="211"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(53</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(38</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w:t>
            </w:r>
          </w:p>
        </w:tc>
        <w:tc>
          <w:tcPr>
            <w:tcW w:w="2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9"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(3,900</w:t>
            </w:r>
          </w:p>
        </w:tc>
        <w:tc>
          <w:tcPr>
            <w:tcW w:w="13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Equity earnings in unconsolidated entities, net of distributions</w:t>
            </w:r>
          </w:p>
        </w:tc>
        <w:tc>
          <w:tcPr>
            <w:tcW w:w="211"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212"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212" w:type="dxa"/>
            <w:tcBorders/>
            <w:shd w:fill="CCEEFF" w:val="clear"/>
            <w:vAlign w:val="bottom"/>
          </w:tcPr>
          <w:p>
            <w:pPr>
              <w:pStyle w:val="TableContents"/>
              <w:spacing w:before="0" w:after="0"/>
              <w:ind w:left="0" w:right="0" w:hanging="0"/>
              <w:rPr/>
            </w:pPr>
            <w:r>
              <w:rPr/>
              <w:t> </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7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(80</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212" w:type="dxa"/>
            <w:tcBorders/>
            <w:shd w:fill="CCEEFF" w:val="clear"/>
            <w:vAlign w:val="bottom"/>
          </w:tcPr>
          <w:p>
            <w:pPr>
              <w:pStyle w:val="TableContents"/>
              <w:spacing w:before="0" w:after="0"/>
              <w:ind w:left="0" w:right="0" w:hanging="0"/>
              <w:rPr/>
            </w:pPr>
            <w:r>
              <w:rPr/>
              <w:t> </w:t>
            </w:r>
          </w:p>
        </w:tc>
        <w:tc>
          <w:tcPr>
            <w:tcW w:w="77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67</w:t>
            </w:r>
          </w:p>
        </w:tc>
        <w:tc>
          <w:tcPr>
            <w:tcW w:w="13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auto" w:val="clear"/>
            <w:vAlign w:val="bottom"/>
          </w:tcPr>
          <w:p>
            <w:pPr>
              <w:pStyle w:val="TableContents"/>
              <w:spacing w:before="0" w:after="0"/>
              <w:ind w:left="0" w:right="0" w:hanging="0"/>
              <w:rPr/>
            </w:pPr>
            <w:r>
              <w:rPr>
                <w:rFonts w:ascii="Times New Roman" w:hAnsi="Times New Roman"/>
                <w:sz w:val="13"/>
              </w:rPr>
              <w:t xml:space="preserve">Distributions to noncontrolling interests </w:t>
            </w:r>
            <w:r>
              <w:rPr>
                <w:sz w:val="8"/>
              </w:rPr>
              <w:t>(5)</w:t>
            </w:r>
          </w:p>
        </w:tc>
        <w:tc>
          <w:tcPr>
            <w:tcW w:w="211"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(48</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(47</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11"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2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(32</w:t>
            </w:r>
          </w:p>
        </w:tc>
        <w:tc>
          <w:tcPr>
            <w:tcW w:w="21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9"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(213</w:t>
            </w:r>
          </w:p>
        </w:tc>
        <w:tc>
          <w:tcPr>
            <w:tcW w:w="13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Other</w:t>
            </w:r>
          </w:p>
        </w:tc>
        <w:tc>
          <w:tcPr>
            <w:tcW w:w="211" w:type="dxa"/>
            <w:tcBorders/>
            <w:shd w:fill="CCEEFF"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2" w:type="dxa"/>
            <w:tcBorders/>
            <w:shd w:fill="CCEEFF" w:val="clear"/>
            <w:vAlign w:val="bottom"/>
          </w:tcPr>
          <w:p>
            <w:pPr>
              <w:pStyle w:val="TableContents"/>
              <w:spacing w:before="0" w:after="0"/>
              <w:ind w:left="0" w:right="0" w:hanging="0"/>
              <w:rPr/>
            </w:pPr>
            <w:r>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12" w:type="dxa"/>
            <w:tcBorders/>
            <w:shd w:fill="CCEEFF" w:val="clear"/>
            <w:vAlign w:val="bottom"/>
          </w:tcPr>
          <w:p>
            <w:pPr>
              <w:pStyle w:val="TableContents"/>
              <w:spacing w:before="0" w:after="0"/>
              <w:ind w:left="0" w:right="0" w:hanging="0"/>
              <w:rPr/>
            </w:pPr>
            <w:r>
              <w:rPr/>
              <w:t> </w:t>
            </w:r>
          </w:p>
        </w:tc>
        <w:tc>
          <w:tcPr>
            <w:tcW w:w="75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100</w:t>
            </w:r>
          </w:p>
        </w:tc>
        <w:tc>
          <w:tcPr>
            <w:tcW w:w="22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21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N/A</w:t>
            </w:r>
          </w:p>
        </w:tc>
        <w:tc>
          <w:tcPr>
            <w:tcW w:w="136" w:type="dxa"/>
            <w:tcBorders/>
            <w:shd w:fill="CCEEFF" w:val="clear"/>
            <w:vAlign w:val="bottom"/>
          </w:tcPr>
          <w:p>
            <w:pPr>
              <w:pStyle w:val="TableContents"/>
              <w:spacing w:before="0" w:after="0"/>
              <w:ind w:left="0" w:right="0" w:hanging="0"/>
              <w:rPr/>
            </w:pPr>
            <w:r>
              <w:rPr/>
              <w:t> </w:t>
            </w:r>
          </w:p>
        </w:tc>
      </w:tr>
      <w:tr>
        <w:trPr/>
        <w:tc>
          <w:tcPr>
            <w:tcW w:w="34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Implied DCF</w:t>
            </w:r>
          </w:p>
        </w:tc>
        <w:tc>
          <w:tcPr>
            <w:tcW w:w="211"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1,550</w:t>
            </w:r>
          </w:p>
        </w:tc>
        <w:tc>
          <w:tcPr>
            <w:tcW w:w="212"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1,149</w:t>
            </w:r>
          </w:p>
        </w:tc>
        <w:tc>
          <w:tcPr>
            <w:tcW w:w="212"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7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757</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5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401</w:t>
            </w:r>
          </w:p>
        </w:tc>
        <w:tc>
          <w:tcPr>
            <w:tcW w:w="212" w:type="dxa"/>
            <w:tcBorders/>
            <w:shd w:fill="auto" w:val="clear"/>
            <w:vAlign w:val="bottom"/>
          </w:tcPr>
          <w:p>
            <w:pPr>
              <w:pStyle w:val="TableContents"/>
              <w:spacing w:before="0" w:after="0"/>
              <w:ind w:left="0" w:right="0" w:hanging="0"/>
              <w:rPr/>
            </w:pPr>
            <w:r>
              <w:rPr/>
              <w:t> </w:t>
            </w:r>
          </w:p>
        </w:tc>
        <w:tc>
          <w:tcPr>
            <w:tcW w:w="75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w:t>
            </w:r>
          </w:p>
        </w:tc>
        <w:tc>
          <w:tcPr>
            <w:tcW w:w="22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1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54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392</w:t>
            </w:r>
          </w:p>
        </w:tc>
        <w:tc>
          <w:tcPr>
            <w:tcW w:w="212" w:type="dxa"/>
            <w:tcBorders/>
            <w:shd w:fill="auto" w:val="clear"/>
            <w:vAlign w:val="bottom"/>
          </w:tcPr>
          <w:p>
            <w:pPr>
              <w:pStyle w:val="TableContents"/>
              <w:spacing w:before="0" w:after="0"/>
              <w:ind w:left="0" w:right="0" w:hanging="0"/>
              <w:rPr/>
            </w:pPr>
            <w:r>
              <w:rPr/>
              <w:t> </w:t>
            </w:r>
          </w:p>
        </w:tc>
        <w:tc>
          <w:tcPr>
            <w:tcW w:w="779"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52</w:t>
            </w:r>
          </w:p>
        </w:tc>
        <w:tc>
          <w:tcPr>
            <w:tcW w:w="13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3414" w:type="dxa"/>
            <w:tcBorders/>
            <w:shd w:fill="CCEEFF" w:val="clear"/>
            <w:vAlign w:val="bottom"/>
          </w:tcPr>
          <w:p>
            <w:pPr>
              <w:pStyle w:val="TableContents"/>
              <w:spacing w:before="0" w:after="0"/>
              <w:ind w:left="0" w:right="0" w:hanging="0"/>
              <w:rPr/>
            </w:pPr>
            <w:r>
              <w:rPr>
                <w:rFonts w:ascii="Times New Roman" w:hAnsi="Times New Roman"/>
                <w:color w:val="FF4040"/>
                <w:sz w:val="13"/>
              </w:rPr>
              <w:t xml:space="preserve">Less: Distributions paid </w:t>
            </w:r>
            <w:r>
              <w:rPr>
                <w:color w:val="FF4040"/>
                <w:sz w:val="8"/>
              </w:rPr>
              <w:t>(5)</w:t>
            </w:r>
          </w:p>
        </w:tc>
        <w:tc>
          <w:tcPr>
            <w:tcW w:w="211" w:type="dxa"/>
            <w:tcBorders/>
            <w:shd w:fill="CCEEFF" w:val="clear"/>
            <w:vAlign w:val="bottom"/>
          </w:tcPr>
          <w:p>
            <w:pPr>
              <w:pStyle w:val="TableContents"/>
              <w:spacing w:before="0" w:after="0"/>
              <w:ind w:left="0" w:right="0" w:hanging="0"/>
              <w:rPr>
                <w:color w:val="FF4040"/>
              </w:rPr>
            </w:pPr>
            <w:r>
              <w:rPr>
                <w:color w:val="FF4040"/>
              </w:rPr>
              <w:t> </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(1,017</w:t>
            </w:r>
          </w:p>
        </w:tc>
        <w:tc>
          <w:tcPr>
            <w:tcW w:w="212" w:type="dxa"/>
            <w:tcBorders/>
            <w:shd w:fill="CCEEFF" w:val="cle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(833</w:t>
            </w:r>
          </w:p>
        </w:tc>
        <w:tc>
          <w:tcPr>
            <w:tcW w:w="212" w:type="dxa"/>
            <w:tcBorders/>
            <w:shd w:fill="CCEEFF" w:val="cle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c>
          <w:tcPr>
            <w:tcW w:w="6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(700</w:t>
            </w:r>
          </w:p>
        </w:tc>
        <w:tc>
          <w:tcPr>
            <w:tcW w:w="212"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c>
          <w:tcPr>
            <w:tcW w:w="211" w:type="dxa"/>
            <w:tcBorders/>
            <w:shd w:fill="CCEEFF" w:val="clear"/>
            <w:vAlign w:val="bottom"/>
          </w:tcPr>
          <w:p>
            <w:pPr>
              <w:pStyle w:val="TableContents"/>
              <w:spacing w:before="0" w:after="0"/>
              <w:ind w:left="0" w:right="0" w:hanging="0"/>
              <w:rPr>
                <w:color w:val="FF4040"/>
              </w:rPr>
            </w:pPr>
            <w:r>
              <w:rPr>
                <w:color w:val="FF4040"/>
              </w:rPr>
              <w:t> </w:t>
            </w:r>
          </w:p>
        </w:tc>
        <w:tc>
          <w:tcPr>
            <w:tcW w:w="6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(184</w:t>
            </w:r>
          </w:p>
        </w:tc>
        <w:tc>
          <w:tcPr>
            <w:tcW w:w="212" w:type="dxa"/>
            <w:tcBorders/>
            <w:shd w:fill="CCEEFF" w:val="cle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c>
          <w:tcPr>
            <w:tcW w:w="75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22</w:t>
            </w:r>
          </w:p>
        </w:tc>
        <w:tc>
          <w:tcPr>
            <w:tcW w:w="225" w:type="dxa"/>
            <w:tcBorders/>
            <w:shd w:fill="CCEEFF" w:val="cle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c>
          <w:tcPr>
            <w:tcW w:w="6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(133</w:t>
            </w:r>
          </w:p>
        </w:tc>
        <w:tc>
          <w:tcPr>
            <w:tcW w:w="212" w:type="dxa"/>
            <w:tcBorders/>
            <w:shd w:fill="CCEEFF" w:val="cle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c>
          <w:tcPr>
            <w:tcW w:w="77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19</w:t>
            </w:r>
          </w:p>
        </w:tc>
        <w:tc>
          <w:tcPr>
            <w:tcW w:w="136" w:type="dxa"/>
            <w:tcBorders/>
            <w:shd w:fill="CCEEFF" w:val="cle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r>
      <w:tr>
        <w:trPr/>
        <w:tc>
          <w:tcPr>
            <w:tcW w:w="3414" w:type="dxa"/>
            <w:tcBorders/>
            <w:shd w:fill="auto" w:val="clear"/>
            <w:vAlign w:val="bottom"/>
          </w:tcPr>
          <w:p>
            <w:pPr>
              <w:pStyle w:val="TableContents"/>
              <w:spacing w:before="0" w:after="0"/>
              <w:ind w:left="0" w:right="0" w:hanging="0"/>
              <w:rPr/>
            </w:pPr>
            <w:r>
              <w:rPr>
                <w:rFonts w:ascii="Times New Roman" w:hAnsi="Times New Roman"/>
                <w:color w:val="FF4040"/>
                <w:sz w:val="13"/>
              </w:rPr>
              <w:t xml:space="preserve">DCF Excess/(Shortage) </w:t>
            </w:r>
            <w:r>
              <w:rPr>
                <w:color w:val="FF4040"/>
                <w:sz w:val="8"/>
              </w:rPr>
              <w:t>(6)</w:t>
            </w:r>
          </w:p>
        </w:tc>
        <w:tc>
          <w:tcPr>
            <w:tcW w:w="211" w:type="dxa"/>
            <w:tcBorders/>
            <w:shd w:fill="auto" w:val="clear"/>
            <w:vAlign w:val="bottom"/>
          </w:tcPr>
          <w:p>
            <w:pPr>
              <w:pStyle w:val="TableContents"/>
              <w:spacing w:before="0" w:after="0"/>
              <w:ind w:left="0" w:right="0" w:hanging="0"/>
              <w:rPr>
                <w:color w:val="FF4040"/>
              </w:rPr>
            </w:pPr>
            <w:r>
              <w:rPr>
                <w:color w:val="FF4040"/>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c>
          <w:tcPr>
            <w:tcW w:w="5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533</w:t>
            </w:r>
          </w:p>
        </w:tc>
        <w:tc>
          <w:tcPr>
            <w:tcW w:w="212" w:type="dxa"/>
            <w:tcBorders/>
            <w:shd w:fill="auto" w:val="clear"/>
            <w:vAlign w:val="bottom"/>
          </w:tcPr>
          <w:p>
            <w:pPr>
              <w:pStyle w:val="TableContents"/>
              <w:spacing w:before="0" w:after="0"/>
              <w:ind w:left="0" w:right="0" w:hanging="0"/>
              <w:rPr>
                <w:color w:val="FF4040"/>
              </w:rPr>
            </w:pPr>
            <w:r>
              <w:rPr>
                <w:color w:val="FF4040"/>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c>
          <w:tcPr>
            <w:tcW w:w="5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316</w:t>
            </w:r>
          </w:p>
        </w:tc>
        <w:tc>
          <w:tcPr>
            <w:tcW w:w="212" w:type="dxa"/>
            <w:tcBorders/>
            <w:shd w:fill="auto" w:val="clear"/>
            <w:vAlign w:val="bottom"/>
          </w:tcPr>
          <w:p>
            <w:pPr>
              <w:pStyle w:val="TableContents"/>
              <w:spacing w:before="0" w:after="0"/>
              <w:ind w:left="0" w:right="0" w:hanging="0"/>
              <w:rPr>
                <w:color w:val="FF4040"/>
              </w:rPr>
            </w:pPr>
            <w:r>
              <w:rPr>
                <w:color w:val="FF4040"/>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c>
          <w:tcPr>
            <w:tcW w:w="5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57</w:t>
            </w:r>
          </w:p>
        </w:tc>
        <w:tc>
          <w:tcPr>
            <w:tcW w:w="212" w:type="dxa"/>
            <w:tcBorders>
              <w:right w:val="single" w:sz="12" w:space="0" w:color="000000"/>
            </w:tcBorders>
            <w:shd w:fill="auto" w:val="clear"/>
            <w:tcMar>
              <w:right w:w="28" w:type="dxa"/>
            </w:tcMar>
            <w:vAlign w:val="bottom"/>
          </w:tcPr>
          <w:p>
            <w:pPr>
              <w:pStyle w:val="TableContents"/>
              <w:spacing w:before="0" w:after="0"/>
              <w:ind w:left="0" w:right="0" w:hanging="0"/>
              <w:rPr>
                <w:color w:val="FF4040"/>
              </w:rPr>
            </w:pPr>
            <w:r>
              <w:rPr>
                <w:color w:val="FF4040"/>
              </w:rPr>
              <w:t> </w:t>
            </w:r>
          </w:p>
        </w:tc>
        <w:tc>
          <w:tcPr>
            <w:tcW w:w="211" w:type="dxa"/>
            <w:tcBorders/>
            <w:shd w:fill="auto" w:val="clear"/>
            <w:vAlign w:val="bottom"/>
          </w:tcPr>
          <w:p>
            <w:pPr>
              <w:pStyle w:val="TableContents"/>
              <w:spacing w:before="0" w:after="0"/>
              <w:ind w:left="0" w:right="0" w:hanging="0"/>
              <w:rPr>
                <w:color w:val="FF4040"/>
              </w:rPr>
            </w:pPr>
            <w:r>
              <w:rPr>
                <w:color w:val="FF4040"/>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c>
          <w:tcPr>
            <w:tcW w:w="55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217</w:t>
            </w:r>
          </w:p>
        </w:tc>
        <w:tc>
          <w:tcPr>
            <w:tcW w:w="212" w:type="dxa"/>
            <w:tcBorders/>
            <w:shd w:fill="auto" w:val="clear"/>
            <w:vAlign w:val="bottom"/>
          </w:tcPr>
          <w:p>
            <w:pPr>
              <w:pStyle w:val="TableContents"/>
              <w:spacing w:before="0" w:after="0"/>
              <w:ind w:left="0" w:right="0" w:hanging="0"/>
              <w:rPr>
                <w:color w:val="FF4040"/>
              </w:rPr>
            </w:pPr>
            <w:r>
              <w:rPr>
                <w:color w:val="FF4040"/>
              </w:rPr>
              <w:t> </w:t>
            </w:r>
          </w:p>
        </w:tc>
        <w:tc>
          <w:tcPr>
            <w:tcW w:w="7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69</w:t>
            </w:r>
          </w:p>
        </w:tc>
        <w:tc>
          <w:tcPr>
            <w:tcW w:w="225" w:type="dxa"/>
            <w:tcBorders/>
            <w:shd w:fill="auto" w:val="cle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c>
          <w:tcPr>
            <w:tcW w:w="5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259</w:t>
            </w:r>
          </w:p>
        </w:tc>
        <w:tc>
          <w:tcPr>
            <w:tcW w:w="212" w:type="dxa"/>
            <w:tcBorders/>
            <w:shd w:fill="auto" w:val="clear"/>
            <w:vAlign w:val="bottom"/>
          </w:tcPr>
          <w:p>
            <w:pPr>
              <w:pStyle w:val="TableContents"/>
              <w:spacing w:before="0" w:after="0"/>
              <w:ind w:left="0" w:right="0" w:hanging="0"/>
              <w:rPr>
                <w:color w:val="FF4040"/>
              </w:rPr>
            </w:pPr>
            <w:r>
              <w:rPr>
                <w:color w:val="FF4040"/>
              </w:rPr>
              <w:t> </w:t>
            </w:r>
          </w:p>
        </w:tc>
        <w:tc>
          <w:tcPr>
            <w:tcW w:w="7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FF4040"/>
                <w:sz w:val="13"/>
              </w:rPr>
            </w:pPr>
            <w:r>
              <w:rPr>
                <w:rFonts w:ascii="Times New Roman" w:hAnsi="Times New Roman"/>
                <w:color w:val="FF4040"/>
                <w:sz w:val="13"/>
              </w:rPr>
              <w:t>454</w:t>
            </w:r>
          </w:p>
        </w:tc>
        <w:tc>
          <w:tcPr>
            <w:tcW w:w="136" w:type="dxa"/>
            <w:tcBorders/>
            <w:shd w:fill="auto" w:val="clear"/>
            <w:vAlign w:val="bottom"/>
          </w:tcPr>
          <w:p>
            <w:pPr>
              <w:pStyle w:val="TableContents"/>
              <w:spacing w:before="0" w:after="0"/>
              <w:ind w:left="0" w:right="0" w:hanging="0"/>
              <w:rPr>
                <w:rFonts w:ascii="Times New Roman" w:hAnsi="Times New Roman"/>
                <w:color w:val="FF4040"/>
                <w:sz w:val="13"/>
              </w:rPr>
            </w:pPr>
            <w:r>
              <w:rPr>
                <w:rFonts w:ascii="Times New Roman" w:hAnsi="Times New Roman"/>
                <w:color w:val="FF4040"/>
                <w:sz w:val="13"/>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8"/>
        </w:rPr>
        <w:t>(1) </w:t>
      </w:r>
      <w:r>
        <w:rPr>
          <w:rFonts w:ascii="Times New Roman" w:hAnsi="Times New Roman"/>
          <w:sz w:val="13"/>
        </w:rPr>
        <w:t>Includes mark-to-market gains and losses resulting from derivative instruments that are related to underlying activities in future periods or the reversal of mark-to-market gains and losses from the prior period, net of inventory valuation adjustments. See Note 11 to our Consolidated Financial Statements for a comprehensive discussion regarding our derivatives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8"/>
        </w:rPr>
        <w:t>(2) </w:t>
      </w:r>
      <w:r>
        <w:rPr>
          <w:rFonts w:ascii="Times New Roman" w:hAnsi="Times New Roman"/>
          <w:sz w:val="13"/>
        </w:rPr>
        <w:t>Our total equity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compensation expense associated with these awards is shown as a selected item impacting comparability in the table above.  The portion of compensation expense associated with awards that are certain to be settled in cash are not considered a selected item impacting comparability.  See Note 15 to our Consolidated Financial Statements for a comprehensive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8"/>
        </w:rPr>
        <w:t>(3) </w:t>
      </w:r>
      <w:r>
        <w:rPr>
          <w:rFonts w:ascii="Times New Roman" w:hAnsi="Times New Roman"/>
          <w:sz w:val="13"/>
        </w:rPr>
        <w:t>During 2012 and 2011, there were fluctuations in the value of the Canadian dollar (CAD) to the U.S. dollar (USD), resulting in gains and losses that were not related to our core operating results for the period and were thus classified as selected items impacting comparability.  See Note 11 to our Consolidated Financial Statements for further discussion regarding our currency exchange rate risk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8"/>
        </w:rPr>
        <w:t>(4) </w:t>
      </w:r>
      <w:r>
        <w:rPr>
          <w:rFonts w:ascii="Times New Roman" w:hAnsi="Times New Roman"/>
          <w:sz w:val="13"/>
        </w:rPr>
        <w:t>Includes other immaterial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8"/>
        </w:rPr>
        <w:t>(5) </w:t>
      </w:r>
      <w:r>
        <w:rPr>
          <w:rFonts w:ascii="Times New Roman" w:hAnsi="Times New Roman"/>
          <w:sz w:val="13"/>
        </w:rPr>
        <w:t>Includes distributions that pertain to the current periods net income and are paid in the subsequent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color w:val="FF4040"/>
          <w:sz w:val="8"/>
        </w:rPr>
        <w:t>(6) </w:t>
      </w:r>
      <w:r>
        <w:rPr>
          <w:rFonts w:ascii="Times New Roman" w:hAnsi="Times New Roman"/>
          <w:color w:val="FF4040"/>
          <w:sz w:val="13"/>
        </w:rPr>
        <w:t>Excess DCF is retained to establish reserves for future distributions, capital expenditures and other partnership purposes.</w:t>
      </w:r>
    </w:p>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1828</Words>
  <CharactersWithSpaces>10680</CharactersWithSpaces>
  <Paragraphs>971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