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9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277100" cy="937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937895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460"/>
            <w:col w:w="8780"/>
          </w:cols>
          <w:pgMar w:left="240" w:top="222"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Oxy Holding Co (Pipeline), Inc.</w:t>
        </w:r>
      </w:hyperlink>
    </w:p>
    <w:p>
      <w:pPr>
        <w:spacing w:after="0" w:line="30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10889 WILSHIRE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PLAINS GP HOLDINGS LP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PAGP</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10/29/2013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9" w:right="720" w:hanging="9"/>
        <w:spacing w:after="0"/>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549" w:type="dxa"/>
        <w:tblCellMar>
          <w:top w:w="0" w:type="dxa"/>
          <w:left w:w="0" w:type="dxa"/>
          <w:bottom w:w="0" w:type="dxa"/>
          <w:right w:w="0" w:type="dxa"/>
        </w:tblCellMar>
      </w:tblPr>
      <w:tr>
        <w:trPr>
          <w:trHeight w:val="156"/>
        </w:trPr>
        <w:tc>
          <w:tcPr>
            <w:tcW w:w="1120" w:type="dxa"/>
            <w:vAlign w:val="bottom"/>
          </w:tcPr>
          <w:p>
            <w:pPr>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13"/>
                <w:szCs w:val="13"/>
                <w:color w:val="auto"/>
              </w:rPr>
            </w:pPr>
          </w:p>
        </w:tc>
        <w:tc>
          <w:tcPr>
            <w:tcW w:w="92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920" w:type="dxa"/>
            <w:vAlign w:val="bottom"/>
          </w:tcPr>
          <w:p>
            <w:pPr>
              <w:ind w:left="1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112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8"/>
                <w:szCs w:val="8"/>
                <w:color w:val="auto"/>
              </w:rPr>
            </w:pP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1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29"/>
        <w:spacing w:after="0"/>
        <w:rPr>
          <w:sz w:val="20"/>
          <w:szCs w:val="20"/>
          <w:color w:val="auto"/>
        </w:rPr>
      </w:pPr>
      <w:r>
        <w:rPr>
          <w:rFonts w:ascii="Arial" w:cs="Arial" w:eastAsia="Arial" w:hAnsi="Arial"/>
          <w:sz w:val="17"/>
          <w:szCs w:val="17"/>
          <w:color w:val="0000FF"/>
        </w:rPr>
        <w:t>See remarks</w:t>
      </w:r>
    </w:p>
    <w:p>
      <w:pPr>
        <w:spacing w:after="0" w:line="330" w:lineRule="exact"/>
        <w:rPr>
          <w:sz w:val="24"/>
          <w:szCs w:val="24"/>
          <w:color w:val="auto"/>
        </w:rPr>
      </w:pPr>
    </w:p>
    <w:p>
      <w:pPr>
        <w:sectPr>
          <w:pgSz w:w="11900" w:h="16838" w:orient="portrait"/>
          <w:cols w:equalWidth="0" w:num="3">
            <w:col w:w="3340" w:space="720"/>
            <w:col w:w="3271" w:space="720"/>
            <w:col w:w="3469"/>
          </w:cols>
          <w:pgMar w:left="240" w:top="222" w:right="139" w:bottom="0" w:gutter="0" w:footer="0" w:header="0"/>
          <w:type w:val="continuous"/>
        </w:sectPr>
      </w:pP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Borders>
              <w:right w:val="single" w:sz="8" w:color="9A9A9A"/>
            </w:tcBorders>
          </w:tcPr>
          <w:p>
            <w:pPr>
              <w:spacing w:after="0"/>
              <w:rPr>
                <w:sz w:val="2"/>
                <w:szCs w:val="2"/>
                <w:color w:val="auto"/>
              </w:rPr>
            </w:pPr>
          </w:p>
        </w:tc>
        <w:tc>
          <w:tcPr>
            <w:tcW w:w="54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8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180" w:type="dxa"/>
            <w:vAlign w:val="bottom"/>
            <w:shd w:val="clear" w:color="auto" w:fill="9A9A9A"/>
          </w:tcPr>
          <w:p>
            <w:pPr>
              <w:spacing w:after="0"/>
              <w:rPr>
                <w:sz w:val="2"/>
                <w:szCs w:val="2"/>
                <w:color w:val="auto"/>
              </w:rPr>
            </w:pPr>
          </w:p>
        </w:tc>
        <w:tc>
          <w:tcPr>
            <w:tcW w:w="240" w:type="dxa"/>
            <w:vAlign w:val="bottom"/>
            <w:shd w:val="clear" w:color="auto" w:fill="9A9A9A"/>
          </w:tcPr>
          <w:p>
            <w:pPr>
              <w:spacing w:after="0"/>
              <w:rPr>
                <w:sz w:val="2"/>
                <w:szCs w:val="2"/>
                <w:color w:val="auto"/>
              </w:rPr>
            </w:pPr>
          </w:p>
        </w:tc>
        <w:tc>
          <w:tcPr>
            <w:tcW w:w="3720" w:type="dxa"/>
            <w:vAlign w:val="bottom"/>
            <w:gridSpan w:val="8"/>
            <w:vMerge w:val="restart"/>
          </w:tcPr>
          <w:p>
            <w:pPr>
              <w:jc w:val="center"/>
              <w:ind w:right="80"/>
              <w:spacing w:after="0"/>
              <w:rPr>
                <w:sz w:val="20"/>
                <w:szCs w:val="20"/>
                <w:color w:val="auto"/>
              </w:rPr>
            </w:pPr>
            <w:r>
              <w:rPr>
                <w:rFonts w:ascii="Arial" w:cs="Arial" w:eastAsia="Arial" w:hAnsi="Arial"/>
                <w:sz w:val="13"/>
                <w:szCs w:val="13"/>
                <w:color w:val="auto"/>
                <w:w w:val="99"/>
              </w:rPr>
              <w:t>4. If Amendment, Date of Original Filed (Month/Day/Year)</w:t>
            </w:r>
          </w:p>
        </w:tc>
        <w:tc>
          <w:tcPr>
            <w:tcW w:w="388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720" w:type="dxa"/>
            <w:vAlign w:val="bottom"/>
            <w:gridSpan w:val="8"/>
            <w:vMerge w:val="continue"/>
          </w:tcPr>
          <w:p>
            <w:pPr>
              <w:spacing w:after="0"/>
              <w:rPr>
                <w:sz w:val="11"/>
                <w:szCs w:val="11"/>
                <w:color w:val="auto"/>
              </w:rPr>
            </w:pPr>
          </w:p>
        </w:tc>
        <w:tc>
          <w:tcPr>
            <w:tcW w:w="38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gridSpan w:val="2"/>
          </w:tcPr>
          <w:p>
            <w:pPr>
              <w:ind w:left="420"/>
              <w:spacing w:after="0" w:line="149" w:lineRule="exact"/>
              <w:rPr>
                <w:sz w:val="20"/>
                <w:szCs w:val="20"/>
                <w:color w:val="auto"/>
              </w:rPr>
            </w:pPr>
            <w:r>
              <w:rPr>
                <w:rFonts w:ascii="Arial" w:cs="Arial" w:eastAsia="Arial" w:hAnsi="Arial"/>
                <w:sz w:val="13"/>
                <w:szCs w:val="13"/>
                <w:color w:val="auto"/>
              </w:rPr>
              <w:t>Line)</w:t>
            </w: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3"/>
          </w:tcPr>
          <w:p>
            <w:pPr>
              <w:spacing w:after="0"/>
              <w:rPr>
                <w:sz w:val="20"/>
                <w:szCs w:val="20"/>
                <w:color w:val="auto"/>
              </w:rPr>
            </w:pPr>
            <w:r>
              <w:rPr>
                <w:rFonts w:ascii="Arial" w:cs="Arial" w:eastAsia="Arial" w:hAnsi="Arial"/>
                <w:sz w:val="17"/>
                <w:szCs w:val="17"/>
                <w:color w:val="0000FF"/>
              </w:rPr>
              <w:t>LOS ANGELES  CA</w:t>
            </w:r>
          </w:p>
        </w:tc>
        <w:tc>
          <w:tcPr>
            <w:tcW w:w="880" w:type="dxa"/>
            <w:vAlign w:val="bottom"/>
            <w:gridSpan w:val="2"/>
          </w:tcPr>
          <w:p>
            <w:pPr>
              <w:ind w:left="60"/>
              <w:spacing w:after="0"/>
              <w:rPr>
                <w:sz w:val="20"/>
                <w:szCs w:val="20"/>
                <w:color w:val="auto"/>
              </w:rPr>
            </w:pPr>
            <w:r>
              <w:rPr>
                <w:rFonts w:ascii="Arial" w:cs="Arial" w:eastAsia="Arial" w:hAnsi="Arial"/>
                <w:sz w:val="17"/>
                <w:szCs w:val="17"/>
                <w:color w:val="0000FF"/>
              </w:rPr>
              <w:t>90024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00" w:type="dxa"/>
            <w:vAlign w:val="bottom"/>
            <w:gridSpan w:val="7"/>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gridSpan w:val="2"/>
            <w:vMerge w:val="restart"/>
          </w:tcPr>
          <w:p>
            <w:pPr>
              <w:ind w:left="620"/>
              <w:spacing w:after="0"/>
              <w:rPr>
                <w:sz w:val="20"/>
                <w:szCs w:val="20"/>
                <w:color w:val="auto"/>
              </w:rPr>
            </w:pPr>
            <w:r>
              <w:rPr>
                <w:rFonts w:ascii="Arial" w:cs="Arial" w:eastAsia="Arial" w:hAnsi="Arial"/>
                <w:sz w:val="17"/>
                <w:szCs w:val="17"/>
                <w:color w:val="0000FF"/>
              </w:rPr>
              <w:t>X</w:t>
            </w:r>
          </w:p>
        </w:tc>
        <w:tc>
          <w:tcPr>
            <w:tcW w:w="3100" w:type="dxa"/>
            <w:vAlign w:val="bottom"/>
            <w:gridSpan w:val="7"/>
          </w:tcPr>
          <w:p>
            <w:pPr>
              <w:ind w:left="200"/>
              <w:spacing w:after="0" w:line="14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40" w:type="dxa"/>
            <w:vAlign w:val="bottom"/>
            <w:vMerge w:val="restart"/>
          </w:tcPr>
          <w:p>
            <w:pPr>
              <w:ind w:left="200"/>
              <w:spacing w:after="0" w:line="143" w:lineRule="exact"/>
              <w:rPr>
                <w:sz w:val="20"/>
                <w:szCs w:val="20"/>
                <w:color w:val="auto"/>
              </w:rPr>
            </w:pPr>
            <w:r>
              <w:rPr>
                <w:rFonts w:ascii="Arial" w:cs="Arial" w:eastAsia="Arial" w:hAnsi="Arial"/>
                <w:sz w:val="13"/>
                <w:szCs w:val="13"/>
                <w:color w:val="auto"/>
              </w:rPr>
              <w:t>Person</w:t>
            </w: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3"/>
                <w:szCs w:val="13"/>
                <w:color w:val="auto"/>
              </w:rPr>
              <w:t>(City)</w:t>
            </w:r>
          </w:p>
        </w:tc>
        <w:tc>
          <w:tcPr>
            <w:tcW w:w="1960" w:type="dxa"/>
            <w:vAlign w:val="bottom"/>
            <w:gridSpan w:val="2"/>
          </w:tcPr>
          <w:p>
            <w:pPr>
              <w:ind w:left="740"/>
              <w:spacing w:after="0"/>
              <w:rPr>
                <w:sz w:val="20"/>
                <w:szCs w:val="20"/>
                <w:color w:val="auto"/>
              </w:rPr>
            </w:pPr>
            <w:r>
              <w:rPr>
                <w:rFonts w:ascii="Arial" w:cs="Arial" w:eastAsia="Arial" w:hAnsi="Arial"/>
                <w:sz w:val="13"/>
                <w:szCs w:val="13"/>
                <w:color w:val="auto"/>
              </w:rPr>
              <w:t>(State)</w:t>
            </w:r>
          </w:p>
        </w:tc>
        <w:tc>
          <w:tcPr>
            <w:tcW w:w="1060" w:type="dxa"/>
            <w:vAlign w:val="bottom"/>
            <w:gridSpan w:val="3"/>
          </w:tcPr>
          <w:p>
            <w:pPr>
              <w:ind w:left="6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40" w:type="dxa"/>
            <w:vAlign w:val="bottom"/>
            <w:tcBorders>
              <w:bottom w:val="single" w:sz="8" w:color="2C2C2C"/>
            </w:tcBorders>
            <w:gridSpan w:val="6"/>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6"/>
          </w:tcPr>
          <w:p>
            <w:pPr>
              <w:jc w:val="center"/>
              <w:ind w:left="691"/>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gridSpan w:val="6"/>
          </w:tcPr>
          <w:p>
            <w:pPr>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52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87"/>
              </w:rPr>
              <w:t>(A) or</w:t>
            </w:r>
          </w:p>
        </w:tc>
        <w:tc>
          <w:tcPr>
            <w:tcW w:w="78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40" w:type="dxa"/>
            <w:vAlign w:val="bottom"/>
            <w:tcBorders>
              <w:bottom w:val="single" w:sz="8" w:color="2C2C2C"/>
            </w:tcBorders>
            <w:gridSpan w:val="6"/>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1120" w:type="dxa"/>
            <w:vAlign w:val="bottom"/>
            <w:tcBorders>
              <w:top w:val="single" w:sz="8" w:color="2C2C2C"/>
            </w:tcBorders>
          </w:tcPr>
          <w:p>
            <w:pPr>
              <w:spacing w:after="0"/>
              <w:rPr>
                <w:sz w:val="18"/>
                <w:szCs w:val="18"/>
                <w:color w:val="auto"/>
              </w:rPr>
            </w:pPr>
          </w:p>
        </w:tc>
        <w:tc>
          <w:tcPr>
            <w:tcW w:w="6540" w:type="dxa"/>
            <w:vAlign w:val="bottom"/>
            <w:tcBorders>
              <w:top w:val="single" w:sz="8" w:color="2C2C2C"/>
            </w:tcBorders>
            <w:gridSpan w:val="15"/>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20" w:type="dxa"/>
            <w:vAlign w:val="bottom"/>
            <w:gridSpan w:val="13"/>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8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0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vMerge w:val="restart"/>
          </w:tcPr>
          <w:p>
            <w:pPr>
              <w:spacing w:after="0" w:line="130"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Amount or</w:t>
            </w:r>
          </w:p>
        </w:tc>
        <w:tc>
          <w:tcPr>
            <w:tcW w:w="74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 of</w:t>
            </w:r>
          </w:p>
        </w:tc>
        <w:tc>
          <w:tcPr>
            <w:tcW w:w="74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5"/>
          </w:tcPr>
          <w:p>
            <w:pPr>
              <w:ind w:left="80"/>
              <w:spacing w:after="0"/>
              <w:rPr>
                <w:sz w:val="20"/>
                <w:szCs w:val="20"/>
                <w:color w:val="auto"/>
              </w:rPr>
            </w:pPr>
            <w:r>
              <w:rPr>
                <w:rFonts w:ascii="Arial" w:cs="Arial" w:eastAsia="Arial" w:hAnsi="Arial"/>
                <w:sz w:val="12"/>
                <w:szCs w:val="12"/>
                <w:b w:val="1"/>
                <w:bCs w:val="1"/>
                <w:color w:val="auto"/>
              </w:rPr>
              <w:t>Code  V</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84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5"/>
            <w:vMerge w:val="restart"/>
          </w:tcPr>
          <w:p>
            <w:pPr>
              <w:ind w:left="120"/>
              <w:spacing w:after="0"/>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(2)</w:t>
            </w:r>
          </w:p>
        </w:tc>
        <w:tc>
          <w:tcPr>
            <w:tcW w:w="1060" w:type="dxa"/>
            <w:vAlign w:val="bottom"/>
            <w:vMerge w:val="restart"/>
          </w:tcPr>
          <w:p>
            <w:pPr>
              <w:ind w:left="320"/>
              <w:spacing w:after="0"/>
              <w:rPr>
                <w:sz w:val="20"/>
                <w:szCs w:val="20"/>
                <w:color w:val="auto"/>
              </w:rPr>
            </w:pPr>
            <w:r>
              <w:rPr>
                <w:rFonts w:ascii="Arial" w:cs="Arial" w:eastAsia="Arial" w:hAnsi="Arial"/>
                <w:sz w:val="13"/>
                <w:szCs w:val="13"/>
                <w:color w:val="0000FF"/>
                <w:w w:val="96"/>
              </w:rPr>
              <w:t>4,382,094</w:t>
            </w:r>
            <w:r>
              <w:rPr>
                <w:rFonts w:ascii="Arial" w:cs="Arial" w:eastAsia="Arial" w:hAnsi="Arial"/>
                <w:sz w:val="21"/>
                <w:szCs w:val="21"/>
                <w:color w:val="008000"/>
                <w:w w:val="96"/>
                <w:vertAlign w:val="superscript"/>
              </w:rPr>
              <w:t>(2)</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540" w:type="dxa"/>
            <w:vAlign w:val="bottom"/>
          </w:tcPr>
          <w:p>
            <w:pPr>
              <w:ind w:left="100"/>
              <w:spacing w:after="0"/>
              <w:rPr>
                <w:sz w:val="20"/>
                <w:szCs w:val="20"/>
                <w:color w:val="auto"/>
              </w:rPr>
            </w:pPr>
            <w:r>
              <w:rPr>
                <w:rFonts w:ascii="Arial" w:cs="Arial" w:eastAsia="Arial" w:hAnsi="Arial"/>
                <w:sz w:val="13"/>
                <w:szCs w:val="13"/>
                <w:color w:val="0000FF"/>
              </w:rPr>
              <w:t>Class</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95"/>
              </w:rPr>
              <w:t>4,382,094</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120" w:type="dxa"/>
            <w:vAlign w:val="bottom"/>
            <w:vMerge w:val="restart"/>
          </w:tcPr>
          <w:p>
            <w:pPr>
              <w:ind w:left="260"/>
              <w:spacing w:after="0" w:line="139" w:lineRule="exact"/>
              <w:rPr>
                <w:sz w:val="20"/>
                <w:szCs w:val="20"/>
                <w:color w:val="auto"/>
              </w:rPr>
            </w:pPr>
            <w:r>
              <w:rPr>
                <w:rFonts w:ascii="Arial" w:cs="Arial" w:eastAsia="Arial" w:hAnsi="Arial"/>
                <w:sz w:val="13"/>
                <w:szCs w:val="13"/>
                <w:color w:val="0000FF"/>
              </w:rPr>
              <w:t>10/29/2013</w:t>
            </w: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5"/>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vMerge w:val="restart"/>
          </w:tcPr>
          <w:p>
            <w:pPr>
              <w:ind w:left="200"/>
              <w:spacing w:after="0" w:line="139"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vMerge w:val="restart"/>
          </w:tcPr>
          <w:p>
            <w:pPr>
              <w:ind w:left="140"/>
              <w:spacing w:after="0" w:line="13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21.34</w:t>
            </w:r>
          </w:p>
        </w:tc>
        <w:tc>
          <w:tcPr>
            <w:tcW w:w="860" w:type="dxa"/>
            <w:vAlign w:val="bottom"/>
            <w:gridSpan w:val="2"/>
            <w:vMerge w:val="restart"/>
          </w:tcPr>
          <w:p>
            <w:pPr>
              <w:ind w:left="80"/>
              <w:spacing w:after="0" w:line="139" w:lineRule="exact"/>
              <w:rPr>
                <w:sz w:val="20"/>
                <w:szCs w:val="20"/>
                <w:color w:val="auto"/>
              </w:rPr>
            </w:pPr>
            <w:r>
              <w:rPr>
                <w:rFonts w:ascii="Arial" w:cs="Arial" w:eastAsia="Arial" w:hAnsi="Arial"/>
                <w:sz w:val="13"/>
                <w:szCs w:val="13"/>
                <w:color w:val="0000FF"/>
              </w:rPr>
              <w:t>148,830,161</w:t>
            </w:r>
          </w:p>
        </w:tc>
        <w:tc>
          <w:tcPr>
            <w:tcW w:w="64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660" w:type="dxa"/>
            <w:vAlign w:val="bottom"/>
            <w:gridSpan w:val="3"/>
          </w:tcPr>
          <w:p>
            <w:pPr>
              <w:jc w:val="right"/>
              <w:spacing w:after="0" w:line="92" w:lineRule="exact"/>
              <w:rPr>
                <w:sz w:val="20"/>
                <w:szCs w:val="20"/>
                <w:color w:val="auto"/>
              </w:rPr>
            </w:pPr>
            <w:r>
              <w:rPr>
                <w:rFonts w:ascii="Arial" w:cs="Arial" w:eastAsia="Arial" w:hAnsi="Arial"/>
                <w:sz w:val="10"/>
                <w:szCs w:val="10"/>
                <w:color w:val="008000"/>
              </w:rPr>
              <w:t>(1)</w:t>
            </w:r>
          </w:p>
        </w:tc>
        <w:tc>
          <w:tcPr>
            <w:tcW w:w="84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gridSpan w:val="5"/>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40" w:type="dxa"/>
            <w:vAlign w:val="bottom"/>
            <w:gridSpan w:val="2"/>
          </w:tcPr>
          <w:p>
            <w:pPr>
              <w:ind w:left="60"/>
              <w:spacing w:after="0" w:line="131" w:lineRule="exact"/>
              <w:rPr>
                <w:sz w:val="20"/>
                <w:szCs w:val="20"/>
                <w:color w:val="auto"/>
              </w:rPr>
            </w:pPr>
            <w:r>
              <w:rPr>
                <w:rFonts w:ascii="Arial" w:cs="Arial" w:eastAsia="Arial" w:hAnsi="Arial"/>
                <w:sz w:val="13"/>
                <w:szCs w:val="13"/>
                <w:color w:val="0000FF"/>
              </w:rPr>
              <w:t>footnote</w:t>
            </w: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3"/>
                <w:szCs w:val="13"/>
                <w:color w:val="0000FF"/>
              </w:rPr>
              <w:t>Shares</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4"/>
          </w:tcPr>
          <w:p>
            <w:pPr>
              <w:ind w:left="60"/>
              <w:spacing w:after="0" w:line="23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gridSpan w:val="6"/>
          </w:tcPr>
          <w:p>
            <w:pPr>
              <w:spacing w:after="0" w:line="217" w:lineRule="exact"/>
              <w:rPr>
                <w:rFonts w:ascii="Arial" w:cs="Arial" w:eastAsia="Arial" w:hAnsi="Arial"/>
                <w:sz w:val="21"/>
                <w:szCs w:val="21"/>
                <w:color w:val="0000EE"/>
              </w:rPr>
            </w:pPr>
            <w:hyperlink r:id="rId12">
              <w:r>
                <w:rPr>
                  <w:rFonts w:ascii="Arial" w:cs="Arial" w:eastAsia="Arial" w:hAnsi="Arial"/>
                  <w:sz w:val="21"/>
                  <w:szCs w:val="21"/>
                  <w:color w:val="0000EE"/>
                </w:rPr>
                <w:t>Oxy Holding Co (Pipeline), Inc.</w:t>
              </w:r>
            </w:hyperlink>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840" w:type="dxa"/>
            <w:vAlign w:val="bottom"/>
            <w:tcBorders>
              <w:top w:val="single" w:sz="8" w:color="0000EE"/>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3"/>
                <w:szCs w:val="13"/>
                <w:color w:val="auto"/>
              </w:rPr>
              <w:t>(Last)</w:t>
            </w:r>
          </w:p>
        </w:tc>
        <w:tc>
          <w:tcPr>
            <w:tcW w:w="84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88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00" w:type="dxa"/>
            <w:vAlign w:val="bottom"/>
            <w:gridSpan w:val="3"/>
          </w:tcPr>
          <w:p>
            <w:pPr>
              <w:spacing w:after="0"/>
              <w:rPr>
                <w:sz w:val="20"/>
                <w:szCs w:val="20"/>
                <w:color w:val="auto"/>
              </w:rPr>
            </w:pPr>
            <w:r>
              <w:rPr>
                <w:rFonts w:ascii="Arial" w:cs="Arial" w:eastAsia="Arial" w:hAnsi="Arial"/>
                <w:sz w:val="17"/>
                <w:szCs w:val="17"/>
                <w:color w:val="0000FF"/>
              </w:rPr>
              <w:t>10889 WILSHIRE BOULEVARD</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20" w:type="dxa"/>
            <w:vAlign w:val="bottom"/>
          </w:tcPr>
          <w:p>
            <w:pPr>
              <w:ind w:left="80"/>
              <w:spacing w:after="0"/>
              <w:rPr>
                <w:sz w:val="20"/>
                <w:szCs w:val="20"/>
                <w:color w:val="auto"/>
              </w:rPr>
            </w:pPr>
            <w:r>
              <w:rPr>
                <w:rFonts w:ascii="Arial" w:cs="Arial" w:eastAsia="Arial" w:hAnsi="Arial"/>
                <w:sz w:val="17"/>
                <w:szCs w:val="17"/>
                <w:color w:val="0000FF"/>
              </w:rPr>
              <w:t>CA</w:t>
            </w:r>
          </w:p>
        </w:tc>
        <w:tc>
          <w:tcPr>
            <w:tcW w:w="880" w:type="dxa"/>
            <w:vAlign w:val="bottom"/>
            <w:gridSpan w:val="2"/>
          </w:tcPr>
          <w:p>
            <w:pPr>
              <w:ind w:left="420"/>
              <w:spacing w:after="0"/>
              <w:rPr>
                <w:sz w:val="20"/>
                <w:szCs w:val="20"/>
                <w:color w:val="auto"/>
              </w:rPr>
            </w:pPr>
            <w:r>
              <w:rPr>
                <w:rFonts w:ascii="Arial" w:cs="Arial" w:eastAsia="Arial" w:hAnsi="Arial"/>
                <w:sz w:val="17"/>
                <w:szCs w:val="17"/>
                <w:color w:val="0000FF"/>
                <w:w w:val="92"/>
              </w:rPr>
              <w:t>90024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3"/>
                <w:szCs w:val="13"/>
                <w:color w:val="auto"/>
              </w:rPr>
              <w:t>(City)</w:t>
            </w:r>
          </w:p>
        </w:tc>
        <w:tc>
          <w:tcPr>
            <w:tcW w:w="84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88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gridSpan w:val="6"/>
          </w:tcPr>
          <w:p>
            <w:pPr>
              <w:spacing w:after="0" w:line="217" w:lineRule="exact"/>
              <w:rPr>
                <w:rFonts w:ascii="Arial" w:cs="Arial" w:eastAsia="Arial" w:hAnsi="Arial"/>
                <w:sz w:val="21"/>
                <w:szCs w:val="21"/>
                <w:color w:val="0000EE"/>
                <w:w w:val="95"/>
              </w:rPr>
            </w:pPr>
            <w:hyperlink r:id="rId14">
              <w:r>
                <w:rPr>
                  <w:rFonts w:ascii="Arial" w:cs="Arial" w:eastAsia="Arial" w:hAnsi="Arial"/>
                  <w:sz w:val="21"/>
                  <w:szCs w:val="21"/>
                  <w:color w:val="0000EE"/>
                  <w:w w:val="95"/>
                </w:rPr>
                <w:t>Occidental Transportation Holding Corp</w:t>
              </w:r>
            </w:hyperlink>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840" w:type="dxa"/>
            <w:vAlign w:val="bottom"/>
            <w:tcBorders>
              <w:top w:val="single" w:sz="8" w:color="0000EE"/>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3"/>
                <w:szCs w:val="13"/>
                <w:color w:val="auto"/>
              </w:rPr>
              <w:t>(Last)</w:t>
            </w:r>
          </w:p>
        </w:tc>
        <w:tc>
          <w:tcPr>
            <w:tcW w:w="84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88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00" w:type="dxa"/>
            <w:vAlign w:val="bottom"/>
            <w:gridSpan w:val="3"/>
          </w:tcPr>
          <w:p>
            <w:pPr>
              <w:spacing w:after="0"/>
              <w:rPr>
                <w:sz w:val="20"/>
                <w:szCs w:val="20"/>
                <w:color w:val="auto"/>
              </w:rPr>
            </w:pPr>
            <w:r>
              <w:rPr>
                <w:rFonts w:ascii="Arial" w:cs="Arial" w:eastAsia="Arial" w:hAnsi="Arial"/>
                <w:sz w:val="17"/>
                <w:szCs w:val="17"/>
                <w:color w:val="0000FF"/>
              </w:rPr>
              <w:t>10889 WILSHIRE BOULEVARD</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20" w:type="dxa"/>
            <w:vAlign w:val="bottom"/>
          </w:tcPr>
          <w:p>
            <w:pPr>
              <w:ind w:left="80"/>
              <w:spacing w:after="0"/>
              <w:rPr>
                <w:sz w:val="20"/>
                <w:szCs w:val="20"/>
                <w:color w:val="auto"/>
              </w:rPr>
            </w:pPr>
            <w:r>
              <w:rPr>
                <w:rFonts w:ascii="Arial" w:cs="Arial" w:eastAsia="Arial" w:hAnsi="Arial"/>
                <w:sz w:val="17"/>
                <w:szCs w:val="17"/>
                <w:color w:val="0000FF"/>
              </w:rPr>
              <w:t>CA</w:t>
            </w:r>
          </w:p>
        </w:tc>
        <w:tc>
          <w:tcPr>
            <w:tcW w:w="880" w:type="dxa"/>
            <w:vAlign w:val="bottom"/>
            <w:gridSpan w:val="2"/>
          </w:tcPr>
          <w:p>
            <w:pPr>
              <w:ind w:left="420"/>
              <w:spacing w:after="0"/>
              <w:rPr>
                <w:sz w:val="20"/>
                <w:szCs w:val="20"/>
                <w:color w:val="auto"/>
              </w:rPr>
            </w:pPr>
            <w:r>
              <w:rPr>
                <w:rFonts w:ascii="Arial" w:cs="Arial" w:eastAsia="Arial" w:hAnsi="Arial"/>
                <w:sz w:val="17"/>
                <w:szCs w:val="17"/>
                <w:color w:val="0000FF"/>
                <w:w w:val="92"/>
              </w:rPr>
              <w:t>90024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3"/>
                <w:szCs w:val="13"/>
                <w:color w:val="auto"/>
              </w:rPr>
              <w:t>(City)</w:t>
            </w:r>
          </w:p>
        </w:tc>
        <w:tc>
          <w:tcPr>
            <w:tcW w:w="84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88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40" w:type="dxa"/>
            <w:vAlign w:val="bottom"/>
            <w:gridSpan w:val="11"/>
          </w:tcPr>
          <w:p>
            <w:pPr>
              <w:spacing w:after="0" w:line="217" w:lineRule="exact"/>
              <w:rPr>
                <w:rFonts w:ascii="Arial" w:cs="Arial" w:eastAsia="Arial" w:hAnsi="Arial"/>
                <w:sz w:val="21"/>
                <w:szCs w:val="21"/>
                <w:color w:val="0000EE"/>
              </w:rPr>
            </w:pPr>
            <w:hyperlink r:id="rId15">
              <w:r>
                <w:rPr>
                  <w:rFonts w:ascii="Arial" w:cs="Arial" w:eastAsia="Arial" w:hAnsi="Arial"/>
                  <w:sz w:val="21"/>
                  <w:szCs w:val="21"/>
                  <w:color w:val="0000EE"/>
                </w:rPr>
                <w:t>OCCIDENTAL PETROLEUM INVESTMENT</w:t>
              </w:r>
            </w:hyperlink>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0000EE"/>
              <w:bottom w:val="single" w:sz="8" w:color="0000EE"/>
            </w:tcBorders>
          </w:tcPr>
          <w:p>
            <w:pPr>
              <w:spacing w:after="0" w:line="215" w:lineRule="exact"/>
              <w:rPr>
                <w:rFonts w:ascii="Arial" w:cs="Arial" w:eastAsia="Arial" w:hAnsi="Arial"/>
                <w:sz w:val="21"/>
                <w:szCs w:val="21"/>
                <w:color w:val="0000EE"/>
                <w:w w:val="85"/>
              </w:rPr>
            </w:pPr>
            <w:hyperlink r:id="rId15">
              <w:r>
                <w:rPr>
                  <w:rFonts w:ascii="Arial" w:cs="Arial" w:eastAsia="Arial" w:hAnsi="Arial"/>
                  <w:sz w:val="21"/>
                  <w:szCs w:val="21"/>
                  <w:color w:val="0000EE"/>
                  <w:w w:val="85"/>
                </w:rPr>
                <w:t>CORP</w:t>
              </w:r>
            </w:hyperlink>
          </w:p>
        </w:tc>
        <w:tc>
          <w:tcPr>
            <w:tcW w:w="8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3"/>
                <w:szCs w:val="13"/>
                <w:color w:val="auto"/>
              </w:rPr>
              <w:t>(Last)</w:t>
            </w:r>
          </w:p>
        </w:tc>
        <w:tc>
          <w:tcPr>
            <w:tcW w:w="84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88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00" w:type="dxa"/>
            <w:vAlign w:val="bottom"/>
            <w:gridSpan w:val="3"/>
          </w:tcPr>
          <w:p>
            <w:pPr>
              <w:spacing w:after="0"/>
              <w:rPr>
                <w:sz w:val="20"/>
                <w:szCs w:val="20"/>
                <w:color w:val="auto"/>
              </w:rPr>
            </w:pPr>
            <w:r>
              <w:rPr>
                <w:rFonts w:ascii="Arial" w:cs="Arial" w:eastAsia="Arial" w:hAnsi="Arial"/>
                <w:sz w:val="17"/>
                <w:szCs w:val="17"/>
                <w:color w:val="0000FF"/>
              </w:rPr>
              <w:t>10889 WILSHIRE BOULEVARD</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20" w:type="dxa"/>
            <w:vAlign w:val="bottom"/>
          </w:tcPr>
          <w:p>
            <w:pPr>
              <w:ind w:left="80"/>
              <w:spacing w:after="0"/>
              <w:rPr>
                <w:sz w:val="20"/>
                <w:szCs w:val="20"/>
                <w:color w:val="auto"/>
              </w:rPr>
            </w:pPr>
            <w:r>
              <w:rPr>
                <w:rFonts w:ascii="Arial" w:cs="Arial" w:eastAsia="Arial" w:hAnsi="Arial"/>
                <w:sz w:val="17"/>
                <w:szCs w:val="17"/>
                <w:color w:val="0000FF"/>
              </w:rPr>
              <w:t>CA</w:t>
            </w:r>
          </w:p>
        </w:tc>
        <w:tc>
          <w:tcPr>
            <w:tcW w:w="880" w:type="dxa"/>
            <w:vAlign w:val="bottom"/>
            <w:gridSpan w:val="2"/>
          </w:tcPr>
          <w:p>
            <w:pPr>
              <w:ind w:left="420"/>
              <w:spacing w:after="0"/>
              <w:rPr>
                <w:sz w:val="20"/>
                <w:szCs w:val="20"/>
                <w:color w:val="auto"/>
              </w:rPr>
            </w:pPr>
            <w:r>
              <w:rPr>
                <w:rFonts w:ascii="Arial" w:cs="Arial" w:eastAsia="Arial" w:hAnsi="Arial"/>
                <w:sz w:val="17"/>
                <w:szCs w:val="17"/>
                <w:color w:val="0000FF"/>
                <w:w w:val="92"/>
              </w:rPr>
              <w:t>90024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3"/>
                <w:szCs w:val="13"/>
                <w:color w:val="auto"/>
              </w:rPr>
              <w:t>(City)</w:t>
            </w:r>
          </w:p>
        </w:tc>
        <w:tc>
          <w:tcPr>
            <w:tcW w:w="84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88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-6560185</wp:posOffset>
            </wp:positionV>
            <wp:extent cx="24130" cy="1637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4130" cy="1637665"/>
                    </a:xfrm>
                    <a:prstGeom prst="rect">
                      <a:avLst/>
                    </a:prstGeom>
                    <a:noFill/>
                  </pic:spPr>
                </pic:pic>
              </a:graphicData>
            </a:graphic>
          </wp:anchor>
        </w:drawing>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1520"/>
          </w:cols>
          <w:pgMar w:left="240" w:top="222" w:right="139" w:bottom="0" w:gutter="0" w:footer="0" w:header="0"/>
          <w:type w:val="continuous"/>
        </w:sectPr>
      </w:pPr>
    </w:p>
    <w:bookmarkStart w:id="1" w:name="page2"/>
    <w:bookmarkEnd w:id="1"/>
    <w:p>
      <w:pPr>
        <w:ind w:left="8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OCCIDENTAL PETROLEUM CORP /DE/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-138430</wp:posOffset>
            </wp:positionV>
            <wp:extent cx="2919095" cy="1451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919095" cy="1451610"/>
                    </a:xfrm>
                    <a:prstGeom prst="rect">
                      <a:avLst/>
                    </a:prstGeom>
                    <a:noFill/>
                  </pic:spPr>
                </pic:pic>
              </a:graphicData>
            </a:graphic>
          </wp:anchor>
        </w:drawing>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160"/>
              <w:spacing w:after="0"/>
              <w:rPr>
                <w:sz w:val="20"/>
                <w:szCs w:val="20"/>
                <w:color w:val="auto"/>
              </w:rPr>
            </w:pPr>
            <w:r>
              <w:rPr>
                <w:rFonts w:ascii="Arial" w:cs="Arial" w:eastAsia="Arial" w:hAnsi="Arial"/>
                <w:sz w:val="13"/>
                <w:szCs w:val="13"/>
                <w:color w:val="auto"/>
              </w:rPr>
              <w:t>(First)</w:t>
            </w:r>
          </w:p>
        </w:tc>
        <w:tc>
          <w:tcPr>
            <w:tcW w:w="172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640" w:type="dxa"/>
            <w:vAlign w:val="bottom"/>
            <w:gridSpan w:val="2"/>
          </w:tcPr>
          <w:p>
            <w:pPr>
              <w:ind w:left="20"/>
              <w:spacing w:after="0"/>
              <w:rPr>
                <w:sz w:val="20"/>
                <w:szCs w:val="20"/>
                <w:color w:val="auto"/>
              </w:rPr>
            </w:pPr>
            <w:r>
              <w:rPr>
                <w:rFonts w:ascii="Arial" w:cs="Arial" w:eastAsia="Arial" w:hAnsi="Arial"/>
                <w:sz w:val="17"/>
                <w:szCs w:val="17"/>
                <w:color w:val="0000FF"/>
              </w:rPr>
              <w:t>10889 WILSHIRE BOULEVARD</w:t>
            </w:r>
          </w:p>
        </w:tc>
        <w:tc>
          <w:tcPr>
            <w:tcW w:w="17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r>
      <w:tr>
        <w:trPr>
          <w:trHeight w:val="259"/>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320" w:type="dxa"/>
            <w:vAlign w:val="bottom"/>
          </w:tcPr>
          <w:p>
            <w:pPr>
              <w:ind w:left="20"/>
              <w:spacing w:after="0"/>
              <w:rPr>
                <w:sz w:val="20"/>
                <w:szCs w:val="20"/>
                <w:color w:val="auto"/>
              </w:rPr>
            </w:pPr>
            <w:r>
              <w:rPr>
                <w:rFonts w:ascii="Arial" w:cs="Arial" w:eastAsia="Arial" w:hAnsi="Arial"/>
                <w:sz w:val="17"/>
                <w:szCs w:val="17"/>
                <w:color w:val="0000FF"/>
              </w:rPr>
              <w:t>LOS ANGELES</w:t>
            </w:r>
          </w:p>
        </w:tc>
        <w:tc>
          <w:tcPr>
            <w:tcW w:w="1320" w:type="dxa"/>
            <w:vAlign w:val="bottom"/>
          </w:tcPr>
          <w:p>
            <w:pPr>
              <w:ind w:left="160"/>
              <w:spacing w:after="0"/>
              <w:rPr>
                <w:sz w:val="20"/>
                <w:szCs w:val="20"/>
                <w:color w:val="auto"/>
              </w:rPr>
            </w:pPr>
            <w:r>
              <w:rPr>
                <w:rFonts w:ascii="Arial" w:cs="Arial" w:eastAsia="Arial" w:hAnsi="Arial"/>
                <w:sz w:val="17"/>
                <w:szCs w:val="17"/>
                <w:color w:val="0000FF"/>
              </w:rPr>
              <w:t>CA</w:t>
            </w:r>
          </w:p>
        </w:tc>
        <w:tc>
          <w:tcPr>
            <w:tcW w:w="1720" w:type="dxa"/>
            <w:vAlign w:val="bottom"/>
          </w:tcPr>
          <w:p>
            <w:pPr>
              <w:ind w:left="300"/>
              <w:spacing w:after="0"/>
              <w:rPr>
                <w:sz w:val="20"/>
                <w:szCs w:val="20"/>
                <w:color w:val="auto"/>
              </w:rPr>
            </w:pPr>
            <w:r>
              <w:rPr>
                <w:rFonts w:ascii="Arial" w:cs="Arial" w:eastAsia="Arial" w:hAnsi="Arial"/>
                <w:sz w:val="17"/>
                <w:szCs w:val="17"/>
                <w:color w:val="0000FF"/>
              </w:rPr>
              <w:t>90024</w:t>
            </w:r>
          </w:p>
        </w:tc>
      </w:tr>
      <w:tr>
        <w:trPr>
          <w:trHeight w:val="151"/>
        </w:trPr>
        <w:tc>
          <w:tcPr>
            <w:tcW w:w="2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160"/>
              <w:spacing w:after="0"/>
              <w:rPr>
                <w:sz w:val="20"/>
                <w:szCs w:val="20"/>
                <w:color w:val="auto"/>
              </w:rPr>
            </w:pPr>
            <w:r>
              <w:rPr>
                <w:rFonts w:ascii="Arial" w:cs="Arial" w:eastAsia="Arial" w:hAnsi="Arial"/>
                <w:sz w:val="13"/>
                <w:szCs w:val="13"/>
                <w:color w:val="auto"/>
              </w:rPr>
              <w:t>(State)</w:t>
            </w:r>
          </w:p>
        </w:tc>
        <w:tc>
          <w:tcPr>
            <w:tcW w:w="172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firstLine="3"/>
        <w:spacing w:after="0" w:line="236" w:lineRule="auto"/>
        <w:tabs>
          <w:tab w:leader="none" w:pos="1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Plains AAP, L.P. ("AAP"), among other things, each limited partner of AAP, including Oxy Holding Company (Pipeline), Inc. ("OHC"), has the right, at any time and from time to time, to immediately exchange its Class A units representing limited partner interests ("AAP Class A Units"), together with a like number of Class B shares representing limited partner interests of the Issuer (the "Class B Shares") and units representing limited liability company interests of the Issuer's general partner (the "GP Units"), for Class A shares of the Issuer (the "Class A Shares") on a one-for-one basis or, at the election of AAP, the cash value thereof. The filing of this Statement shall not be construed as an admission that any Reporting Person is, for purposes of Section 13(d) of the Exchange Act, as amended, the beneficial owner of any security.</w:t>
      </w:r>
    </w:p>
    <w:p>
      <w:pPr>
        <w:spacing w:after="0" w:line="33" w:lineRule="exact"/>
        <w:rPr>
          <w:rFonts w:ascii="Arial" w:cs="Arial" w:eastAsia="Arial" w:hAnsi="Arial"/>
          <w:sz w:val="13"/>
          <w:szCs w:val="13"/>
          <w:color w:val="008000"/>
        </w:rPr>
      </w:pPr>
    </w:p>
    <w:p>
      <w:pPr>
        <w:jc w:val="both"/>
        <w:ind w:right="60" w:firstLine="3"/>
        <w:spacing w:after="0" w:line="260" w:lineRule="auto"/>
        <w:tabs>
          <w:tab w:leader="none" w:pos="13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contribution agreement, dated as of October 21, 2013, by and among the Issuer, PAA GP Holdings LLC and others executed in connection with the closing of the initial public offering of the Issuer, the Issuer and OHC agreed that if underwriters in the Issuer's initial public offering exercised the option granted to them in the underwriting agreement (the "Option"), the Issuer would redeem from OHC a number of Class B Shares, and purchase from OHC a corresponding number of AAP Units, equal to the number of Class A Shares purchased by the underwriters pursuant to the Option and OHC would contribute to the Issuer a number of GP Units that equaled the number of Class B Shares redeemed. On October 29, 2013, (i) the underwriters purchased 4,382,094 Class A Shares pursuant to the Option, (ii) the Issuer (a) redeemed 4,382,094 Class B Shares from OHC and (b) purchased from OHC 4,382,094 AAP Class A Units for $21.34/unit and (iii) OHC contributed to the Issuer 4,382,094 GP Units.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right="20"/>
        <w:spacing w:after="0" w:line="241" w:lineRule="auto"/>
        <w:rPr>
          <w:sz w:val="20"/>
          <w:szCs w:val="20"/>
          <w:color w:val="auto"/>
        </w:rPr>
      </w:pPr>
      <w:r>
        <w:rPr>
          <w:rFonts w:ascii="Arial" w:cs="Arial" w:eastAsia="Arial" w:hAnsi="Arial"/>
          <w:sz w:val="13"/>
          <w:szCs w:val="13"/>
          <w:color w:val="008000"/>
        </w:rPr>
        <w:t>Vicky Sutil is a director of the general partner of the Issuer. Based on the relationship of Ms. Sutil and the Reporting Persons, the Reporting Persons may be deemed directors by deputization of the Issuer. Oxy Holding Company (Pipeline), Inc. ("OHC"), Occidental Transportation Holding Corporation ("OTHC") and Occidental Petroleum Investment Co. ("OPIC") are wholly owned subsidiaries of Occidental Petroleum Corporation ("Occidental" and, together with OHC, OTHC, and OPIC, the "Reporting Persons").</w:t>
      </w:r>
    </w:p>
    <w:p>
      <w:pPr>
        <w:sectPr>
          <w:pgSz w:w="11900" w:h="16838" w:orient="portrait"/>
          <w:cols w:equalWidth="0" w:num="1">
            <w:col w:w="11320"/>
          </w:cols>
          <w:pgMar w:left="280" w:top="118" w:right="299" w:bottom="1440" w:gutter="0" w:footer="0" w:header="0"/>
        </w:sectPr>
      </w:pPr>
    </w:p>
    <w:p>
      <w:pPr>
        <w:spacing w:after="0" w:line="58"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LINDA S. PETERSON,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3175</wp:posOffset>
            </wp:positionV>
            <wp:extent cx="1397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-14605</wp:posOffset>
            </wp:positionV>
            <wp:extent cx="1014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14730"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LINDA S. PETERSON,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3175</wp:posOffset>
            </wp:positionV>
            <wp:extent cx="13970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-14605</wp:posOffset>
            </wp:positionV>
            <wp:extent cx="10147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14730"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LINDA S. PETERSON,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3175</wp:posOffset>
            </wp:positionV>
            <wp:extent cx="1397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-14605</wp:posOffset>
            </wp:positionV>
            <wp:extent cx="10147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14730"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ROY PINECI,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-10795</wp:posOffset>
            </wp:positionV>
            <wp:extent cx="9785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97853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President, Controller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-14605</wp:posOffset>
            </wp:positionV>
            <wp:extent cx="10775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7759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-14605</wp:posOffset>
            </wp:positionV>
            <wp:extent cx="12515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0000FF"/>
        </w:rPr>
        <w:t>10/29/2013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895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0000FF"/>
        </w:rPr>
        <w:t>10/29/2013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895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0000FF"/>
        </w:rPr>
        <w:t>10/29/2013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895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10/29/2013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895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303" w:lineRule="exact"/>
        <w:rPr>
          <w:sz w:val="20"/>
          <w:szCs w:val="20"/>
          <w:color w:val="auto"/>
        </w:rPr>
      </w:pPr>
    </w:p>
    <w:p>
      <w:pPr>
        <w:sectPr>
          <w:pgSz w:w="11900" w:h="16838" w:orient="portrait"/>
          <w:cols w:equalWidth="0" w:num="2">
            <w:col w:w="9020" w:space="100"/>
            <w:col w:w="2200"/>
          </w:cols>
          <w:pgMar w:left="280" w:top="118" w:right="29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800" w:firstLine="3"/>
        <w:spacing w:after="0" w:line="311"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18"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2" Type="http://schemas.openxmlformats.org/officeDocument/2006/relationships/hyperlink" Target="http://www.sec.gov/cgi-bin/browse-edgar?action=getcompany&amp;CIK=0001590092" TargetMode="External"/><Relationship Id="rId13" Type="http://schemas.openxmlformats.org/officeDocument/2006/relationships/hyperlink" Target="http://www.sec.gov/cgi-bin/browse-edgar?action=getcompany&amp;CIK=0001581990" TargetMode="External"/><Relationship Id="rId14" Type="http://schemas.openxmlformats.org/officeDocument/2006/relationships/hyperlink" Target="http://www.sec.gov/cgi-bin/browse-edgar?action=getcompany&amp;CIK=0001590160" TargetMode="External"/><Relationship Id="rId15" Type="http://schemas.openxmlformats.org/officeDocument/2006/relationships/hyperlink" Target="http://www.sec.gov/cgi-bin/browse-edgar?action=getcompany&amp;CIK=0001259248" TargetMode="External"/><Relationship Id="rId17" Type="http://schemas.openxmlformats.org/officeDocument/2006/relationships/hyperlink" Target="http://www.sec.gov/cgi-bin/browse-edgar?action=getcompany&amp;CIK=0000797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2019-12-05T23:22:59Z</dcterms:created>
  <dcterms:modified xsi:type="dcterms:W3CDTF">2019-12-05T23:22:59Z</dcterms:modified>
</cp:coreProperties>
</file>