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2,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124"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124"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00"/>
          </w:cols>
          <w:pgMar w:left="240" w:top="544" w:right="259" w:bottom="124"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August 2,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Plains All American Pipeline, L.P. (the “Partnership”,”PAA”) today issued a press release reporting its second-quarter 2016 results. We are furnishing the press release, attached as Exhibit 99.1, pursuant to Item 2.02 and Item 7.01 of Form 8-K. Pursuant to Item 7.01, we are also providing detailed guidance of financial performance for the third and fourth quarters and full year of 2016.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the Third and Fourth Quarter 2016 Guidance; Update of Full-Year 2016 Guidance</w:t>
      </w:r>
    </w:p>
    <w:p>
      <w:pPr>
        <w:spacing w:after="0" w:line="229" w:lineRule="exact"/>
        <w:rPr>
          <w:sz w:val="24"/>
          <w:szCs w:val="24"/>
          <w:color w:val="auto"/>
        </w:rPr>
      </w:pPr>
    </w:p>
    <w:p>
      <w:pPr>
        <w:ind w:firstLine="648"/>
        <w:spacing w:after="0" w:line="287" w:lineRule="auto"/>
        <w:rPr>
          <w:sz w:val="20"/>
          <w:szCs w:val="20"/>
          <w:color w:val="auto"/>
        </w:rPr>
      </w:pPr>
      <w:r>
        <w:rPr>
          <w:rFonts w:ascii="Arial" w:cs="Arial" w:eastAsia="Arial" w:hAnsi="Arial"/>
          <w:sz w:val="16"/>
          <w:szCs w:val="16"/>
          <w:color w:val="auto"/>
        </w:rPr>
        <w:t>We based our guidance for the three-month period ending September 30, 2016 and three and twelve-month periods ending December 31, 2016 on assumptions and estimates that we believe are reasonable, given our assessment of historical trends (modified for changes in market conditions, including an assumption that U.S. onshore oil production continues to decline in 2016 as well as a continuation of a competitive crude oil market), business cycles and other reasonably available information. Projections covering multi-quarter periods contemplate inter-period changes in future performance resulting from new expansion projects, seasonal operational changes (such as NGL sales) and acquisition synergies. Such guidance is also based on the assumption that the simplification transaction announced on July 11, 2016 by PAA and PAGP closes during the fourth quarter of 2016, and that PAA reduces its quarterly distribution payable in November 2016 to $0.55 per common unit. Our assumptions and future performance, however, are both subject to a wide range of business risks and uncertainties, so we can provide no assurance that assumed events or outcomes will actually take place as assumed or that actual performance will fall within the guidance ranges. Please refer to information under the caption “Forward-Looking Statements” included in this document. These risks and uncertainties, as well as other unforeseeable risks and uncertainties, could cause our actual results to differ materially from those in the following table. The operating and financial guidance provided in the following pages is given as of the date hereof, based on information known to us as of August 1, 2016. We undertake no obligation to publicly update or revise any forward-looking statements.</w:t>
      </w:r>
    </w:p>
    <w:p>
      <w:pPr>
        <w:sectPr>
          <w:pgSz w:w="11900" w:h="16838" w:orient="portrait"/>
          <w:cols w:equalWidth="0" w:num="1">
            <w:col w:w="11400"/>
          </w:cols>
          <w:pgMar w:left="240" w:top="544" w:right="259" w:bottom="124" w:gutter="0" w:footer="0" w:header="0"/>
          <w:type w:val="continuous"/>
        </w:sectPr>
      </w:pPr>
    </w:p>
    <w:bookmarkStart w:id="1" w:name="page2"/>
    <w:bookmarkEnd w:id="1"/>
    <w:p>
      <w:pPr>
        <w:spacing w:after="0" w:line="62"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w:t>
      </w:r>
    </w:p>
    <w:p>
      <w:pPr>
        <w:spacing w:after="0" w:line="6" w:lineRule="exact"/>
        <w:rPr>
          <w:sz w:val="20"/>
          <w:szCs w:val="20"/>
          <w:color w:val="auto"/>
        </w:rPr>
      </w:pPr>
    </w:p>
    <w:p>
      <w:pPr>
        <w:ind w:right="40" w:firstLine="8"/>
        <w:spacing w:after="0" w:line="251"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(“MVC’s”)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Our definition and calculation of certain non-GAAP financial measures may not be comparable to similarly-titled measures of other companies. Net income represents the most directly comparable GAAP measure to EBITDA. In Note 9, we reconcile net income to EBITDA, adjusted EBITDA and Implied DCF for the periods presented. In addition, we encourage you to visit our website at </w:t>
      </w:r>
      <w:r>
        <w:rPr>
          <w:rFonts w:ascii="Arial" w:cs="Arial" w:eastAsia="Arial" w:hAnsi="Arial"/>
          <w:sz w:val="17"/>
          <w:szCs w:val="17"/>
          <w:i w:val="1"/>
          <w:iCs w:val="1"/>
          <w:color w:val="auto"/>
        </w:rPr>
        <w:t>www.plainsallamerican.com</w:t>
      </w:r>
      <w:r>
        <w:rPr>
          <w:rFonts w:ascii="Arial" w:cs="Arial" w:eastAsia="Arial" w:hAnsi="Arial"/>
          <w:sz w:val="17"/>
          <w:szCs w:val="17"/>
          <w:color w:val="auto"/>
        </w:rPr>
        <w:t xml:space="preserve">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Actual</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 xml:space="preserve">Guidance </w:t>
            </w:r>
            <w:r>
              <w:rPr>
                <w:rFonts w:ascii="Arial" w:cs="Arial" w:eastAsia="Arial" w:hAnsi="Arial"/>
                <w:sz w:val="17"/>
                <w:szCs w:val="17"/>
                <w:b w:val="1"/>
                <w:bCs w:val="1"/>
                <w:color w:val="auto"/>
                <w:vertAlign w:val="superscript"/>
              </w:rPr>
              <w:t>(a)</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68"/>
              <w:spacing w:after="0" w:line="119" w:lineRule="exact"/>
              <w:rPr>
                <w:sz w:val="20"/>
                <w:szCs w:val="20"/>
                <w:color w:val="auto"/>
              </w:rPr>
            </w:pPr>
            <w:r>
              <w:rPr>
                <w:rFonts w:ascii="Arial" w:cs="Arial" w:eastAsia="Arial" w:hAnsi="Arial"/>
                <w:sz w:val="13"/>
                <w:szCs w:val="13"/>
                <w:b w:val="1"/>
                <w:bCs w:val="1"/>
                <w:color w:val="auto"/>
              </w:rPr>
              <w:t>6 Months</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6"/>
          </w:tcPr>
          <w:p>
            <w:pPr>
              <w:jc w:val="right"/>
              <w:ind w:right="500"/>
              <w:spacing w:after="0" w:line="119" w:lineRule="exact"/>
              <w:rPr>
                <w:sz w:val="20"/>
                <w:szCs w:val="20"/>
                <w:color w:val="auto"/>
              </w:rPr>
            </w:pPr>
            <w:r>
              <w:rPr>
                <w:rFonts w:ascii="Arial" w:cs="Arial" w:eastAsia="Arial" w:hAnsi="Arial"/>
                <w:sz w:val="13"/>
                <w:szCs w:val="13"/>
                <w:b w:val="1"/>
                <w:bCs w:val="1"/>
                <w:color w:val="auto"/>
              </w:rPr>
              <w:t>3 Months Ending</w:t>
            </w:r>
          </w:p>
        </w:tc>
        <w:tc>
          <w:tcPr>
            <w:tcW w:w="14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right"/>
              <w:ind w:right="460"/>
              <w:spacing w:after="0" w:line="119" w:lineRule="exact"/>
              <w:rPr>
                <w:sz w:val="20"/>
                <w:szCs w:val="20"/>
                <w:color w:val="auto"/>
              </w:rPr>
            </w:pPr>
            <w:r>
              <w:rPr>
                <w:rFonts w:ascii="Arial" w:cs="Arial" w:eastAsia="Arial" w:hAnsi="Arial"/>
                <w:sz w:val="13"/>
                <w:szCs w:val="13"/>
                <w:b w:val="1"/>
                <w:bCs w:val="1"/>
                <w:color w:val="auto"/>
              </w:rPr>
              <w:t>3 Months Ending</w:t>
            </w: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5"/>
          </w:tcPr>
          <w:p>
            <w:pPr>
              <w:jc w:val="right"/>
              <w:ind w:right="148"/>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7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 30, 2016</w:t>
            </w:r>
          </w:p>
        </w:tc>
        <w:tc>
          <w:tcPr>
            <w:tcW w:w="140" w:type="dxa"/>
            <w:vAlign w:val="bottom"/>
          </w:tcPr>
          <w:p>
            <w:pPr>
              <w:spacing w:after="0"/>
              <w:rPr>
                <w:sz w:val="14"/>
                <w:szCs w:val="14"/>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 31, 2016</w:t>
            </w:r>
          </w:p>
        </w:tc>
        <w:tc>
          <w:tcPr>
            <w:tcW w:w="140" w:type="dxa"/>
            <w:vAlign w:val="bottom"/>
          </w:tcPr>
          <w:p>
            <w:pPr>
              <w:spacing w:after="0"/>
              <w:rPr>
                <w:sz w:val="14"/>
                <w:szCs w:val="14"/>
                <w:color w:val="auto"/>
              </w:rPr>
            </w:pPr>
          </w:p>
        </w:tc>
        <w:tc>
          <w:tcPr>
            <w:tcW w:w="15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3"/>
              </w:rPr>
              <w:t>Jun 30, 2016</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Low</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Low</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Segment Profit</w:t>
            </w: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Net revenues (including equity earnings in unconsolidated entities)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802</w:t>
            </w:r>
          </w:p>
        </w:tc>
        <w:tc>
          <w:tcPr>
            <w:tcW w:w="140" w:type="dxa"/>
            <w:vAlign w:val="bottom"/>
          </w:tcPr>
          <w:p>
            <w:pPr>
              <w:spacing w:after="0"/>
              <w:rPr>
                <w:sz w:val="12"/>
                <w:szCs w:val="12"/>
                <w:color w:val="auto"/>
              </w:rPr>
            </w:pP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3,350</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Field operating costs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(140)</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640</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(319)</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 (expense), net</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304</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259</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306</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368</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 attributable to noncontrolling interests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Income Attributable to PAA</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302</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258</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305</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367</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927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Net income/(loss) attributable to common unitholders </w:t>
            </w:r>
            <w:r>
              <w:rPr>
                <w:rFonts w:ascii="Arial" w:cs="Arial" w:eastAsia="Arial" w:hAnsi="Arial"/>
                <w:sz w:val="17"/>
                <w:szCs w:val="17"/>
                <w:color w:val="auto"/>
                <w:vertAlign w:val="superscript"/>
              </w:rPr>
              <w:t>(b)</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Basic net income/(loss) per common unit </w:t>
            </w:r>
            <w:r>
              <w:rPr>
                <w:rFonts w:ascii="Arial" w:cs="Arial" w:eastAsia="Arial" w:hAnsi="Arial"/>
                <w:sz w:val="17"/>
                <w:szCs w:val="17"/>
                <w:color w:val="auto"/>
                <w:vertAlign w:val="superscript"/>
              </w:rPr>
              <w:t>(b)</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 xml:space="preserve">Weighted average common units outstanding </w:t>
            </w:r>
            <w:r>
              <w:rPr>
                <w:rFonts w:ascii="Arial" w:cs="Arial" w:eastAsia="Arial" w:hAnsi="Arial"/>
                <w:sz w:val="17"/>
                <w:szCs w:val="17"/>
                <w:color w:val="auto"/>
                <w:vertAlign w:val="superscript"/>
              </w:rPr>
              <w:t>(c)</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Net income/(loss) per common unit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0.17</w:t>
            </w: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0.62</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Diluted net income/(loss) per common unit</w:t>
            </w:r>
            <w:r>
              <w:rPr>
                <w:rFonts w:ascii="Arial" w:cs="Arial" w:eastAsia="Arial" w:hAnsi="Arial"/>
                <w:sz w:val="17"/>
                <w:szCs w:val="17"/>
                <w:color w:val="auto"/>
                <w:vertAlign w:val="superscript"/>
              </w:rPr>
              <w:t>(b)</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 xml:space="preserve">Weighted average common units outstanding </w:t>
            </w:r>
            <w:r>
              <w:rPr>
                <w:rFonts w:ascii="Arial" w:cs="Arial" w:eastAsia="Arial" w:hAnsi="Arial"/>
                <w:sz w:val="17"/>
                <w:szCs w:val="17"/>
                <w:color w:val="auto"/>
                <w:vertAlign w:val="superscript"/>
              </w:rPr>
              <w:t>(c)</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Net income/(loss) per common unit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0.17</w:t>
            </w: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0.62</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EBITDA</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863</w:t>
            </w:r>
          </w:p>
        </w:tc>
        <w:tc>
          <w:tcPr>
            <w:tcW w:w="22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140" w:type="dxa"/>
            <w:vAlign w:val="bottom"/>
          </w:tcPr>
          <w:p>
            <w:pPr>
              <w:spacing w:after="0"/>
              <w:rPr>
                <w:sz w:val="16"/>
                <w:szCs w:val="16"/>
                <w:color w:val="auto"/>
              </w:rPr>
            </w:pP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1,862</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Selected items impacting comparability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Losses from derivative activities net of inventory valuation adjustments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Long-term inventory costing adjustments</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Deficiencies under minimum volume commitments, net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Equity-indexed compensation expense</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gain/(loss) on foreign currency revaluation</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60"/>
              <w:spacing w:after="0"/>
              <w:rPr>
                <w:sz w:val="20"/>
                <w:szCs w:val="20"/>
                <w:color w:val="auto"/>
              </w:rPr>
            </w:pPr>
            <w:r>
              <w:rPr>
                <w:rFonts w:ascii="Arial" w:cs="Arial" w:eastAsia="Arial" w:hAnsi="Arial"/>
                <w:sz w:val="14"/>
                <w:szCs w:val="14"/>
                <w:color w:val="auto"/>
              </w:rPr>
              <w:t>Selected items impacting comparability of EBITDA</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(219)</w:t>
            </w:r>
          </w:p>
        </w:tc>
        <w:tc>
          <w:tcPr>
            <w:tcW w:w="220" w:type="dxa"/>
            <w:vAlign w:val="bottom"/>
            <w:vMerge w:val="continue"/>
          </w:tcPr>
          <w:p>
            <w:pPr>
              <w:spacing w:after="0"/>
              <w:rPr>
                <w:sz w:val="15"/>
                <w:szCs w:val="15"/>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(41)</w:t>
            </w:r>
          </w:p>
        </w:tc>
        <w:tc>
          <w:tcPr>
            <w:tcW w:w="1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(41)</w:t>
            </w:r>
          </w:p>
        </w:tc>
        <w:tc>
          <w:tcPr>
            <w:tcW w:w="220" w:type="dxa"/>
            <w:vAlign w:val="bottom"/>
            <w:vMerge w:val="continue"/>
          </w:tcPr>
          <w:p>
            <w:pPr>
              <w:spacing w:after="0"/>
              <w:rPr>
                <w:sz w:val="15"/>
                <w:szCs w:val="15"/>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(3)</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(263)</w:t>
            </w: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(263)</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Borders>
              <w:top w:val="single" w:sz="8" w:color="CCEEFF"/>
            </w:tcBorders>
            <w:shd w:val="clear" w:color="auto" w:fill="CCEEFF"/>
          </w:tcPr>
          <w:p>
            <w:pPr>
              <w:ind w:left="180"/>
              <w:spacing w:after="0" w:line="129" w:lineRule="exact"/>
              <w:rPr>
                <w:sz w:val="20"/>
                <w:szCs w:val="20"/>
                <w:color w:val="auto"/>
              </w:rPr>
            </w:pPr>
            <w:r>
              <w:rPr>
                <w:rFonts w:ascii="Arial" w:cs="Arial" w:eastAsia="Arial" w:hAnsi="Arial"/>
                <w:sz w:val="14"/>
                <w:szCs w:val="14"/>
                <w:color w:val="auto"/>
              </w:rPr>
              <w:t>Tax effect on selected items impacting comparability</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ind w:left="360"/>
              <w:spacing w:after="0" w:line="110" w:lineRule="exact"/>
              <w:rPr>
                <w:sz w:val="20"/>
                <w:szCs w:val="20"/>
                <w:color w:val="auto"/>
              </w:rPr>
            </w:pPr>
            <w:r>
              <w:rPr>
                <w:rFonts w:ascii="Arial" w:cs="Arial" w:eastAsia="Arial" w:hAnsi="Arial"/>
                <w:sz w:val="12"/>
                <w:szCs w:val="12"/>
                <w:color w:val="auto"/>
              </w:rPr>
              <w:t>Selected items impacting comparability of net income attributable to</w:t>
            </w: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(189)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(41)</w:t>
            </w:r>
          </w:p>
        </w:tc>
        <w:tc>
          <w:tcPr>
            <w:tcW w:w="24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w:t>
            </w: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(233)</w:t>
            </w:r>
          </w:p>
        </w:tc>
        <w:tc>
          <w:tcPr>
            <w:tcW w:w="2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ind w:left="540"/>
              <w:spacing w:after="0" w:line="154" w:lineRule="exact"/>
              <w:rPr>
                <w:sz w:val="20"/>
                <w:szCs w:val="20"/>
                <w:color w:val="auto"/>
              </w:rPr>
            </w:pPr>
            <w:r>
              <w:rPr>
                <w:rFonts w:ascii="Arial" w:cs="Arial" w:eastAsia="Arial" w:hAnsi="Arial"/>
                <w:sz w:val="14"/>
                <w:szCs w:val="14"/>
                <w:color w:val="auto"/>
              </w:rPr>
              <w:t>PAA</w:t>
            </w:r>
          </w:p>
        </w:tc>
        <w:tc>
          <w:tcPr>
            <w:tcW w:w="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Excluding selected items impacting comparability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segment profit</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Transportation</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140" w:type="dxa"/>
            <w:vAlign w:val="bottom"/>
          </w:tcPr>
          <w:p>
            <w:pPr>
              <w:spacing w:after="0"/>
              <w:rPr>
                <w:sz w:val="12"/>
                <w:szCs w:val="12"/>
                <w:color w:val="auto"/>
              </w:rPr>
            </w:pP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1,099</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Facilities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Supply and Logistics</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income / (expense), net</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Adjusted EBITDA</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1,082</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593</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643</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2,125</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Adjusted net income attributable to PAA</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5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299</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1,036</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4"/>
                <w:szCs w:val="14"/>
                <w:color w:val="auto"/>
              </w:rPr>
              <w:t xml:space="preserve">Basic adjusted net income/(loss) per common unit </w:t>
            </w:r>
            <w:r>
              <w:rPr>
                <w:rFonts w:ascii="Arial" w:cs="Arial" w:eastAsia="Arial" w:hAnsi="Arial"/>
                <w:sz w:val="17"/>
                <w:szCs w:val="17"/>
                <w:color w:val="auto"/>
                <w:vertAlign w:val="superscript"/>
              </w:rPr>
              <w:t>(b)</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0.33</w:t>
            </w:r>
          </w:p>
        </w:tc>
        <w:tc>
          <w:tcPr>
            <w:tcW w:w="2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0.27</w:t>
            </w:r>
          </w:p>
        </w:tc>
        <w:tc>
          <w:tcPr>
            <w:tcW w:w="24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0.42</w:t>
            </w:r>
          </w:p>
        </w:tc>
        <w:tc>
          <w:tcPr>
            <w:tcW w:w="2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0.42</w:t>
            </w:r>
          </w:p>
        </w:tc>
        <w:tc>
          <w:tcPr>
            <w:tcW w:w="2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0.51</w:t>
            </w:r>
          </w:p>
        </w:tc>
        <w:tc>
          <w:tcPr>
            <w:tcW w:w="2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Diluted adjusted net income/(loss) per common unit </w:t>
            </w:r>
            <w:r>
              <w:rPr>
                <w:rFonts w:ascii="Arial" w:cs="Arial" w:eastAsia="Arial" w:hAnsi="Arial"/>
                <w:sz w:val="14"/>
                <w:szCs w:val="14"/>
                <w:color w:val="auto"/>
                <w:vertAlign w:val="superscript"/>
              </w:rPr>
              <w:t>(b)(c)</w:t>
            </w:r>
          </w:p>
        </w:tc>
        <w:tc>
          <w:tcPr>
            <w:tcW w:w="48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0.33</w:t>
            </w:r>
          </w:p>
        </w:tc>
        <w:tc>
          <w:tcPr>
            <w:tcW w:w="2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0.27</w:t>
            </w: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0.42</w:t>
            </w:r>
          </w:p>
        </w:tc>
        <w:tc>
          <w:tcPr>
            <w:tcW w:w="2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0.42</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0.51</w:t>
            </w:r>
          </w:p>
        </w:tc>
        <w:tc>
          <w:tcPr>
            <w:tcW w:w="2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40" w:hanging="652"/>
        <w:spacing w:after="0" w:line="217" w:lineRule="auto"/>
        <w:tabs>
          <w:tab w:leader="none" w:pos="665"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assumed average foreign exchange rate is $1.30 Canadian dollar (CAD) to $1.00 U.S. dollar (USD) for the three-month periods ending September 30, 2016 and December 31, 2016. The rate as of July 29, 2016 was $1.30 CAD to $1.00 USD. We do not anticipate that fluctuations in the foreign exchange rate will have significant impact on aggregate reported financial results, but such fluctuations will result in variations between segments.</w:t>
      </w:r>
    </w:p>
    <w:p>
      <w:pPr>
        <w:spacing w:after="0" w:line="115" w:lineRule="exact"/>
        <w:rPr>
          <w:rFonts w:ascii="Arial" w:cs="Arial" w:eastAsia="Arial" w:hAnsi="Arial"/>
          <w:sz w:val="18"/>
          <w:szCs w:val="18"/>
          <w:color w:val="auto"/>
          <w:vertAlign w:val="superscript"/>
        </w:rPr>
      </w:pPr>
    </w:p>
    <w:p>
      <w:pPr>
        <w:ind w:left="660" w:right="200" w:hanging="652"/>
        <w:spacing w:after="0" w:line="219" w:lineRule="auto"/>
        <w:tabs>
          <w:tab w:leader="none" w:pos="65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For purposes of determining net income per common unit, Net Income Attributable to PAA is allocated among our Series A Preferred Unitholders, Common Unitholders and General Partner interest as prescribed by applicable authoritative accounting guidance for calculating earnings per unit including application of the two-class method for Master Limited Partnerships. Under the two-class method, we allocate Net Income Attributable to PAA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as applicable, in accordance with the contractual terms of the partnership agreement and as further prescribed under the two-class method. See Note 5 for additional information regarding our assumed capital structure for three month period ending December 31, 2016.</w:t>
      </w:r>
    </w:p>
    <w:p>
      <w:pPr>
        <w:spacing w:after="0" w:line="116" w:lineRule="exact"/>
        <w:rPr>
          <w:rFonts w:ascii="Arial" w:cs="Arial" w:eastAsia="Arial" w:hAnsi="Arial"/>
          <w:sz w:val="18"/>
          <w:szCs w:val="18"/>
          <w:color w:val="auto"/>
          <w:vertAlign w:val="superscript"/>
        </w:rPr>
      </w:pPr>
    </w:p>
    <w:p>
      <w:pPr>
        <w:ind w:left="660" w:right="20" w:hanging="652"/>
        <w:spacing w:after="0" w:line="218" w:lineRule="auto"/>
        <w:tabs>
          <w:tab w:leader="none" w:pos="665"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Basic and diluted weighted average common units outstanding for the three- and twelve-month periods ending December 31, 2016 are calculated giving effect to the Simplification Transactions and assume the associated units are outstanding for the fourth quarter of 2016. See Note 5 for additional information regarding our assumed capital structure for three month period ending December 31, 2016. Furthermore, diluted weighted average common units outstanding are computed based on the weighted average number of common units outstanding plus the effect of dilutive potential units outstanding during the period, unless the effects of such units are antidilutive.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Definitions.</w:t>
      </w:r>
    </w:p>
    <w:p>
      <w:pPr>
        <w:sectPr>
          <w:pgSz w:w="11900" w:h="16900" w:orient="portrait"/>
          <w:cols w:equalWidth="0" w:num="1">
            <w:col w:w="11420"/>
          </w:cols>
          <w:pgMar w:left="240" w:top="127"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DCF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(GP)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(including equity earnings in unconsolidated entities, as applicable) less segment field operating costs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liquids, including ethane and natural gasoline products as well as propane and butane, which are often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 the context requires, “general partner” or “GP” refers to any or all of (i) PAA GP LLC, the owner of our 2% general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 interest, (ii) Plains AAP, L.P., the sole member of PAA GP LLC and owner of our incentive distribution rights and</w:t>
      </w:r>
    </w:p>
    <w:p>
      <w:pPr>
        <w:spacing w:after="0" w:line="32" w:lineRule="exact"/>
        <w:rPr>
          <w:sz w:val="20"/>
          <w:szCs w:val="20"/>
          <w:color w:val="auto"/>
        </w:rPr>
      </w:pPr>
    </w:p>
    <w:p>
      <w:pPr>
        <w:sectPr>
          <w:pgSz w:w="11900" w:h="16900" w:orient="portrait"/>
          <w:cols w:equalWidth="0" w:num="2">
            <w:col w:w="1580" w:space="720"/>
            <w:col w:w="9120"/>
          </w:cols>
          <w:pgMar w:left="240" w:top="127" w:right="239" w:bottom="0" w:gutter="0" w:footer="0" w:header="0"/>
          <w:type w:val="continuous"/>
        </w:sectPr>
      </w:pPr>
    </w:p>
    <w:p>
      <w:pPr>
        <w:ind w:left="2600" w:hanging="310"/>
        <w:spacing w:after="0"/>
        <w:tabs>
          <w:tab w:leader="none" w:pos="2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Plains All American GP LLC, the general partner of Plains AAP, L.P.</w:t>
      </w:r>
    </w:p>
    <w:p>
      <w:pPr>
        <w:spacing w:after="0" w:line="21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Transportation, Facilities and Supply and Logistics. The following is</w:t>
      </w:r>
      <w:r>
        <w:rPr>
          <w:rFonts w:ascii="Arial" w:cs="Arial" w:eastAsia="Arial" w:hAnsi="Arial"/>
          <w:sz w:val="18"/>
          <w:szCs w:val="18"/>
          <w:i w:val="1"/>
          <w:iCs w:val="1"/>
          <w:color w:val="auto"/>
        </w:rPr>
        <w:t xml:space="preserve"> </w:t>
      </w:r>
      <w:r>
        <w:rPr>
          <w:rFonts w:ascii="Arial" w:cs="Arial" w:eastAsia="Arial" w:hAnsi="Arial"/>
          <w:sz w:val="18"/>
          <w:szCs w:val="18"/>
          <w:color w:val="auto"/>
        </w:rPr>
        <w:t>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right="20" w:hanging="324"/>
        <w:spacing w:after="0" w:line="297" w:lineRule="auto"/>
        <w:tabs>
          <w:tab w:leader="none" w:pos="97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Our Transportation segment operations generally consist of fee-based activities associated with transporting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on pipelines, gathering systems, trucks and barges. The Transportation segment generates revenue through a combination of tariffs, third-party pipeline capacity agreements and other transportation fees. Our transportation segment also includes equity earnings from our investments in the entities that own BridgeTex, Cheyenne, Eagle Ford, Frontier, Saddlehorn, White Cliffs, and Butte pipeline systems as well as Settoon Towing, in which we own interests ranging from 22% to 50%. We account for these investments under the equity method of accounting.</w:t>
      </w:r>
    </w:p>
    <w:p>
      <w:pPr>
        <w:spacing w:after="0" w:line="158" w:lineRule="exact"/>
        <w:rPr>
          <w:rFonts w:ascii="Arial" w:cs="Arial" w:eastAsia="Arial" w:hAnsi="Arial"/>
          <w:sz w:val="16"/>
          <w:szCs w:val="16"/>
          <w:color w:val="auto"/>
        </w:rPr>
      </w:pPr>
    </w:p>
    <w:p>
      <w:pPr>
        <w:ind w:left="980" w:right="60"/>
        <w:spacing w:after="0" w:line="290" w:lineRule="auto"/>
        <w:rPr>
          <w:rFonts w:ascii="Arial" w:cs="Arial" w:eastAsia="Arial" w:hAnsi="Arial"/>
          <w:sz w:val="16"/>
          <w:szCs w:val="16"/>
          <w:color w:val="auto"/>
        </w:rPr>
      </w:pPr>
      <w:r>
        <w:rPr>
          <w:rFonts w:ascii="Arial" w:cs="Arial" w:eastAsia="Arial" w:hAnsi="Arial"/>
          <w:sz w:val="16"/>
          <w:szCs w:val="16"/>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following table, priced at forecasted tariff rates, less estimated field operating costs and G&amp;A expenses. Field operating costs do not include depreciation. Actual adjusted segment profit could vary materially depending on the level and mix of volumes transported or expenses incurred during the period, as well as any differences between forecasted and actual recognition of minimum volume commitments. The following table summarizes our total transportation volumes and is broken down by crude oil geographic area as well as total NGL and trucking volumes.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Actual</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Guidance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438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6 Months</w:t>
            </w:r>
          </w:p>
        </w:tc>
        <w:tc>
          <w:tcPr>
            <w:tcW w:w="22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3 Months</w:t>
            </w:r>
          </w:p>
        </w:tc>
        <w:tc>
          <w:tcPr>
            <w:tcW w:w="134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3 Months</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12 Months</w:t>
            </w:r>
          </w:p>
        </w:tc>
        <w:tc>
          <w:tcPr>
            <w:tcW w:w="220" w:type="dxa"/>
            <w:vAlign w:val="bottom"/>
          </w:tcPr>
          <w:p>
            <w:pPr>
              <w:spacing w:after="0"/>
              <w:rPr>
                <w:sz w:val="10"/>
                <w:szCs w:val="10"/>
                <w:color w:val="auto"/>
              </w:rPr>
            </w:pPr>
          </w:p>
        </w:tc>
      </w:tr>
      <w:tr>
        <w:trPr>
          <w:trHeight w:val="149"/>
        </w:trPr>
        <w:tc>
          <w:tcPr>
            <w:tcW w:w="438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Ending</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Ending</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Jun 30, 2016</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Sep 30, 2016</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 31, 2016</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 31, 2016</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Volumes from tariff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8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2,112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2,275</w:t>
            </w:r>
          </w:p>
        </w:tc>
        <w:tc>
          <w:tcPr>
            <w:tcW w:w="1120" w:type="dxa"/>
            <w:vAlign w:val="bottom"/>
          </w:tcPr>
          <w:p>
            <w:pPr>
              <w:jc w:val="right"/>
              <w:spacing w:after="0"/>
              <w:rPr>
                <w:sz w:val="20"/>
                <w:szCs w:val="20"/>
                <w:color w:val="auto"/>
              </w:rPr>
            </w:pPr>
            <w:r>
              <w:rPr>
                <w:rFonts w:ascii="Arial" w:cs="Arial" w:eastAsia="Arial" w:hAnsi="Arial"/>
                <w:sz w:val="18"/>
                <w:szCs w:val="18"/>
                <w:color w:val="auto"/>
              </w:rPr>
              <w:t>2,169</w:t>
            </w:r>
          </w:p>
        </w:tc>
        <w:tc>
          <w:tcPr>
            <w:tcW w:w="220" w:type="dxa"/>
            <w:vAlign w:val="bottom"/>
          </w:tcPr>
          <w:p>
            <w:pPr>
              <w:spacing w:after="0"/>
              <w:rPr>
                <w:sz w:val="18"/>
                <w:szCs w:val="18"/>
                <w:color w:val="auto"/>
              </w:rPr>
            </w:pPr>
          </w:p>
        </w:tc>
      </w:tr>
      <w:tr>
        <w:trPr>
          <w:trHeight w:val="216"/>
        </w:trPr>
        <w:tc>
          <w:tcPr>
            <w:tcW w:w="43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Western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43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Gulf Coast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Central</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Canada</w:t>
            </w:r>
          </w:p>
        </w:tc>
        <w:tc>
          <w:tcPr>
            <w:tcW w:w="116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r>
      <w:tr>
        <w:trPr>
          <w:trHeight w:val="23"/>
        </w:trPr>
        <w:tc>
          <w:tcPr>
            <w:tcW w:w="43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bl>
    <w:p>
      <w:pPr>
        <w:sectPr>
          <w:pgSz w:w="11900" w:h="16900" w:orient="portrait"/>
          <w:cols w:equalWidth="0" w:num="1">
            <w:col w:w="11420"/>
          </w:cols>
          <w:pgMar w:left="240" w:top="127"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NGL pipelines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Trucking</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volumes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segment profit per barrel ($/Bbl)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r>
              <w:rPr>
                <w:rFonts w:ascii="Arial" w:cs="Arial" w:eastAsia="Arial" w:hAnsi="Arial"/>
                <w:sz w:val="11"/>
                <w:szCs w:val="11"/>
                <w:color w:val="auto"/>
              </w:rPr>
              <w:t>(2)</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r>
              <w:rPr>
                <w:rFonts w:ascii="Arial" w:cs="Arial" w:eastAsia="Arial" w:hAnsi="Arial"/>
                <w:sz w:val="11"/>
                <w:szCs w:val="11"/>
                <w:color w:val="auto"/>
              </w:rPr>
              <w:t>(2)</w:t>
            </w: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0.65</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Adjusted segment profit (excluding deficiencies under</w:t>
            </w:r>
          </w:p>
        </w:tc>
        <w:tc>
          <w:tcPr>
            <w:tcW w:w="6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5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0.61</w:t>
            </w:r>
            <w:r>
              <w:rPr>
                <w:rFonts w:ascii="Arial" w:cs="Arial" w:eastAsia="Arial" w:hAnsi="Arial"/>
                <w:sz w:val="23"/>
                <w:szCs w:val="23"/>
                <w:color w:val="auto"/>
                <w:vertAlign w:val="superscript"/>
              </w:rPr>
              <w:t>(2)</w:t>
            </w:r>
          </w:p>
        </w:tc>
        <w:tc>
          <w:tcPr>
            <w:tcW w:w="4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0.65</w:t>
            </w:r>
            <w:r>
              <w:rPr>
                <w:rFonts w:ascii="Arial" w:cs="Arial" w:eastAsia="Arial" w:hAnsi="Arial"/>
                <w:sz w:val="23"/>
                <w:szCs w:val="23"/>
                <w:color w:val="auto"/>
                <w:vertAlign w:val="superscript"/>
              </w:rPr>
              <w:t>(2)</w:t>
            </w:r>
          </w:p>
        </w:tc>
        <w:tc>
          <w:tcPr>
            <w:tcW w:w="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0.61</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MVC’s, net) per barrel ($/Bbl)</w:t>
            </w:r>
          </w:p>
        </w:tc>
        <w:tc>
          <w:tcPr>
            <w:tcW w:w="6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292" w:hanging="320"/>
        <w:spacing w:after="0"/>
        <w:tabs>
          <w:tab w:leader="none" w:pos="1292"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1" w:lineRule="exact"/>
        <w:rPr>
          <w:rFonts w:ascii="Arial" w:cs="Arial" w:eastAsia="Arial" w:hAnsi="Arial"/>
          <w:sz w:val="23"/>
          <w:szCs w:val="23"/>
          <w:color w:val="auto"/>
          <w:vertAlign w:val="superscript"/>
        </w:rPr>
      </w:pPr>
    </w:p>
    <w:p>
      <w:pPr>
        <w:ind w:left="1292" w:hanging="320"/>
        <w:spacing w:after="0" w:line="194" w:lineRule="auto"/>
        <w:tabs>
          <w:tab w:leader="none" w:pos="1292"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rFonts w:ascii="Arial" w:cs="Arial" w:eastAsia="Arial" w:hAnsi="Arial"/>
          <w:sz w:val="23"/>
          <w:szCs w:val="23"/>
          <w:color w:val="auto"/>
          <w:vertAlign w:val="superscript"/>
        </w:rPr>
      </w:pPr>
    </w:p>
    <w:p>
      <w:pPr>
        <w:ind w:left="972" w:right="260" w:hanging="324"/>
        <w:spacing w:after="0" w:line="259"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86" w:lineRule="exact"/>
        <w:rPr>
          <w:rFonts w:ascii="Arial" w:cs="Arial" w:eastAsia="Arial" w:hAnsi="Arial"/>
          <w:sz w:val="18"/>
          <w:szCs w:val="18"/>
          <w:color w:val="auto"/>
        </w:rPr>
      </w:pPr>
    </w:p>
    <w:p>
      <w:pPr>
        <w:ind w:left="972"/>
        <w:spacing w:after="0" w:line="293" w:lineRule="auto"/>
        <w:rPr>
          <w:rFonts w:ascii="Arial" w:cs="Arial" w:eastAsia="Arial" w:hAnsi="Arial"/>
          <w:sz w:val="18"/>
          <w:szCs w:val="18"/>
          <w:color w:val="auto"/>
        </w:rPr>
      </w:pPr>
      <w:r>
        <w:rPr>
          <w:rFonts w:ascii="Arial" w:cs="Arial" w:eastAsia="Arial" w:hAnsi="Arial"/>
          <w:sz w:val="16"/>
          <w:szCs w:val="16"/>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 Adjusted segment profit is forecasted using the volume assumptions in the following table, priced at forecasted rates, less estimated field operating costs and G&amp;A expenses. Field operating costs do not include depreciation.</w:t>
      </w:r>
    </w:p>
    <w:p>
      <w:pPr>
        <w:sectPr>
          <w:pgSz w:w="11900" w:h="16838" w:orient="portrait"/>
          <w:cols w:equalWidth="0" w:num="1">
            <w:col w:w="11412"/>
          </w:cols>
          <w:pgMar w:left="248" w:top="140" w:right="239"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Operating Data</w:t>
      </w:r>
    </w:p>
    <w:p>
      <w:pPr>
        <w:spacing w:after="0" w:line="23" w:lineRule="exact"/>
        <w:rPr>
          <w:sz w:val="20"/>
          <w:szCs w:val="20"/>
          <w:color w:val="auto"/>
        </w:rPr>
      </w:pPr>
    </w:p>
    <w:p>
      <w:pPr>
        <w:jc w:val="both"/>
        <w:ind w:left="872" w:right="200" w:hanging="179"/>
        <w:spacing w:after="0" w:line="248" w:lineRule="auto"/>
        <w:rPr>
          <w:sz w:val="20"/>
          <w:szCs w:val="20"/>
          <w:color w:val="auto"/>
        </w:rPr>
      </w:pPr>
      <w:r>
        <w:rPr>
          <w:rFonts w:ascii="Arial" w:cs="Arial" w:eastAsia="Arial" w:hAnsi="Arial"/>
          <w:sz w:val="18"/>
          <w:szCs w:val="18"/>
          <w:color w:val="auto"/>
        </w:rPr>
        <w:t>Crude oil, refined products and NGL terminalling and storage capacity (MMBbls/Mo.)</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Actual</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Guidance</w:t>
            </w:r>
          </w:p>
        </w:tc>
        <w:tc>
          <w:tcPr>
            <w:tcW w:w="1360" w:type="dxa"/>
            <w:vAlign w:val="bottom"/>
          </w:tcPr>
          <w:p>
            <w:pPr>
              <w:spacing w:after="0"/>
              <w:rPr>
                <w:sz w:val="14"/>
                <w:szCs w:val="14"/>
                <w:color w:val="auto"/>
              </w:rPr>
            </w:pPr>
          </w:p>
        </w:tc>
      </w:tr>
      <w:tr>
        <w:trPr>
          <w:trHeight w:val="119"/>
        </w:trPr>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6 Months</w:t>
            </w:r>
          </w:p>
        </w:tc>
        <w:tc>
          <w:tcPr>
            <w:tcW w:w="300" w:type="dxa"/>
            <w:vAlign w:val="bottom"/>
          </w:tcPr>
          <w:p>
            <w:pPr>
              <w:spacing w:after="0"/>
              <w:rPr>
                <w:sz w:val="10"/>
                <w:szCs w:val="10"/>
                <w:color w:val="auto"/>
              </w:rPr>
            </w:pPr>
          </w:p>
        </w:tc>
        <w:tc>
          <w:tcPr>
            <w:tcW w:w="16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3 Months</w:t>
            </w:r>
          </w:p>
        </w:tc>
        <w:tc>
          <w:tcPr>
            <w:tcW w:w="16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3 Months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12 Months</w:t>
            </w:r>
          </w:p>
        </w:tc>
      </w:tr>
      <w:tr>
        <w:trPr>
          <w:trHeight w:val="149"/>
        </w:trPr>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 30, 2016</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Sep 30, 2016</w:t>
            </w:r>
          </w:p>
        </w:tc>
        <w:tc>
          <w:tcPr>
            <w:tcW w:w="2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2016</w:t>
            </w:r>
          </w:p>
        </w:tc>
        <w:tc>
          <w:tcPr>
            <w:tcW w:w="2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-8255</wp:posOffset>
            </wp:positionV>
            <wp:extent cx="666369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1120"/>
        <w:spacing w:after="0"/>
        <w:tabs>
          <w:tab w:leader="none" w:pos="2740" w:val="left"/>
          <w:tab w:leader="none" w:pos="4360" w:val="left"/>
          <w:tab w:leader="none" w:pos="59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107</w:t>
      </w:r>
    </w:p>
    <w:p>
      <w:pPr>
        <w:spacing w:after="0" w:line="31" w:lineRule="exact"/>
        <w:rPr>
          <w:sz w:val="20"/>
          <w:szCs w:val="20"/>
          <w:color w:val="auto"/>
        </w:rPr>
      </w:pPr>
    </w:p>
    <w:p>
      <w:pPr>
        <w:sectPr>
          <w:pgSz w:w="11900" w:h="16838" w:orient="portrait"/>
          <w:cols w:equalWidth="0" w:num="2">
            <w:col w:w="3552" w:space="720"/>
            <w:col w:w="7140"/>
          </w:cols>
          <w:pgMar w:left="248" w:top="140" w:right="239" w:bottom="181" w:gutter="0" w:footer="0" w:header="0"/>
          <w:type w:val="continuous"/>
        </w:sectPr>
      </w:pPr>
    </w:p>
    <w:tbl>
      <w:tblPr>
        <w:tblLayout w:type="fixed"/>
        <w:tblInd w:w="332" w:type="dxa"/>
        <w:tblCellMar>
          <w:top w:w="0" w:type="dxa"/>
          <w:left w:w="0" w:type="dxa"/>
          <w:bottom w:w="0" w:type="dxa"/>
          <w:right w:w="0" w:type="dxa"/>
        </w:tblCellMar>
      </w:tblPr>
      <w:tr>
        <w:trPr>
          <w:trHeight w:val="230"/>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Rail load / unload volumes (MBbls/d)</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360"/>
              <w:spacing w:after="0"/>
              <w:rPr>
                <w:sz w:val="20"/>
                <w:szCs w:val="20"/>
                <w:color w:val="auto"/>
              </w:rPr>
            </w:pPr>
            <w:r>
              <w:rPr>
                <w:rFonts w:ascii="Arial" w:cs="Arial" w:eastAsia="Arial" w:hAnsi="Arial"/>
                <w:sz w:val="18"/>
                <w:szCs w:val="18"/>
                <w:color w:val="auto"/>
              </w:rPr>
              <w:t>Natural gas storage capacity (Bcf/Mo.)</w:t>
            </w: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30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6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4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NGL fractionation volumes (MBbls/d)</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180"/>
              <w:spacing w:after="0"/>
              <w:rPr>
                <w:sz w:val="20"/>
                <w:szCs w:val="20"/>
                <w:color w:val="auto"/>
              </w:rPr>
            </w:pPr>
            <w:r>
              <w:rPr>
                <w:rFonts w:ascii="Arial" w:cs="Arial" w:eastAsia="Arial" w:hAnsi="Arial"/>
                <w:sz w:val="18"/>
                <w:szCs w:val="18"/>
                <w:color w:val="auto"/>
              </w:rPr>
              <w:t>Total Facilities segment volumes</w:t>
            </w: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Avg. Capacity (MMBbls/Mo.) </w:t>
            </w:r>
            <w:r>
              <w:rPr>
                <w:rFonts w:ascii="Arial" w:cs="Arial" w:eastAsia="Arial" w:hAnsi="Arial"/>
                <w:sz w:val="23"/>
                <w:szCs w:val="23"/>
                <w:color w:val="auto"/>
                <w:vertAlign w:val="superscript"/>
              </w:rPr>
              <w:t>(1)</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segment profit per barrel ($/Bbl)</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0.43</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r>
              <w:rPr>
                <w:rFonts w:ascii="Arial" w:cs="Arial" w:eastAsia="Arial" w:hAnsi="Arial"/>
                <w:sz w:val="11"/>
                <w:szCs w:val="11"/>
                <w:color w:val="auto"/>
              </w:rPr>
              <w:t>(2)</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r>
              <w:rPr>
                <w:rFonts w:ascii="Arial" w:cs="Arial" w:eastAsia="Arial" w:hAnsi="Arial"/>
                <w:sz w:val="11"/>
                <w:szCs w:val="11"/>
                <w:color w:val="auto"/>
              </w:rPr>
              <w:t>(2)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segment profit (excluding deficiencies</w:t>
            </w: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0.41</w:t>
            </w:r>
          </w:p>
        </w:tc>
        <w:tc>
          <w:tcPr>
            <w:tcW w:w="560" w:type="dxa"/>
            <w:vAlign w:val="bottom"/>
            <w:vMerge w:val="restart"/>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0.37</w:t>
            </w:r>
            <w:r>
              <w:rPr>
                <w:rFonts w:ascii="Arial" w:cs="Arial" w:eastAsia="Arial" w:hAnsi="Arial"/>
                <w:sz w:val="23"/>
                <w:szCs w:val="23"/>
                <w:color w:val="auto"/>
                <w:vertAlign w:val="superscript"/>
              </w:rPr>
              <w:t>(2)</w:t>
            </w:r>
          </w:p>
        </w:tc>
        <w:tc>
          <w:tcPr>
            <w:tcW w:w="6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0.43</w:t>
            </w:r>
            <w:r>
              <w:rPr>
                <w:rFonts w:ascii="Arial" w:cs="Arial" w:eastAsia="Arial" w:hAnsi="Arial"/>
                <w:sz w:val="23"/>
                <w:szCs w:val="23"/>
                <w:color w:val="auto"/>
                <w:vertAlign w:val="superscript"/>
              </w:rPr>
              <w:t>(2)</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0.40</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MVC’s, net) per barrel ($/Bbl)</w:t>
            </w:r>
          </w:p>
        </w:tc>
        <w:tc>
          <w:tcPr>
            <w:tcW w:w="5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92" w:right="20" w:hanging="320"/>
        <w:spacing w:after="0"/>
        <w:tabs>
          <w:tab w:leader="none" w:pos="1279"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23"/>
          <w:szCs w:val="23"/>
          <w:color w:val="auto"/>
          <w:vertAlign w:val="superscript"/>
        </w:rPr>
      </w:pPr>
    </w:p>
    <w:p>
      <w:pPr>
        <w:ind w:left="1292" w:hanging="320"/>
        <w:spacing w:after="0" w:line="196" w:lineRule="auto"/>
        <w:tabs>
          <w:tab w:leader="none" w:pos="1292"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92" w:hanging="492"/>
        <w:spacing w:after="0"/>
        <w:tabs>
          <w:tab w:leader="none" w:pos="49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Supply and Logistics</w:t>
      </w:r>
      <w:r>
        <w:rPr>
          <w:rFonts w:ascii="Arial" w:cs="Arial" w:eastAsia="Arial" w:hAnsi="Arial"/>
          <w:sz w:val="18"/>
          <w:szCs w:val="18"/>
          <w:color w:val="auto"/>
        </w:rPr>
        <w:t>. Our Supply and Logistics segment operations generally consist of the following merchant-related activities:</w:t>
      </w:r>
    </w:p>
    <w:p>
      <w:pPr>
        <w:spacing w:after="0" w:line="225" w:lineRule="exact"/>
        <w:rPr>
          <w:rFonts w:ascii="Arial" w:cs="Arial" w:eastAsia="Arial" w:hAnsi="Arial"/>
          <w:sz w:val="18"/>
          <w:szCs w:val="18"/>
          <w:color w:val="auto"/>
        </w:rPr>
      </w:pPr>
    </w:p>
    <w:p>
      <w:pPr>
        <w:ind w:left="1212" w:right="380" w:hanging="321"/>
        <w:spacing w:after="0" w:line="277" w:lineRule="auto"/>
        <w:tabs>
          <w:tab w:leader="none" w:pos="117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172" w:hanging="281"/>
        <w:spacing w:after="0"/>
        <w:tabs>
          <w:tab w:leader="none" w:pos="117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1172" w:hanging="281"/>
        <w:spacing w:after="0"/>
        <w:tabs>
          <w:tab w:leader="none" w:pos="117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1172" w:hanging="281"/>
        <w:spacing w:after="0"/>
        <w:tabs>
          <w:tab w:leader="none" w:pos="117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1212" w:right="280" w:hanging="321"/>
        <w:spacing w:after="0" w:line="277" w:lineRule="auto"/>
        <w:tabs>
          <w:tab w:leader="none" w:pos="117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1172" w:hanging="281"/>
        <w:spacing w:after="0"/>
        <w:tabs>
          <w:tab w:leader="none" w:pos="117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ectPr>
          <w:pgSz w:w="11900" w:h="16838" w:orient="portrait"/>
          <w:cols w:equalWidth="0" w:num="1">
            <w:col w:w="11412"/>
          </w:cols>
          <w:pgMar w:left="248" w:top="140" w:right="239" w:bottom="181" w:gutter="0" w:footer="0" w:header="0"/>
          <w:type w:val="continuous"/>
        </w:sectPr>
      </w:pPr>
    </w:p>
    <w:bookmarkStart w:id="4" w:name="page5"/>
    <w:bookmarkEnd w:id="4"/>
    <w:p>
      <w:pPr>
        <w:spacing w:after="0" w:line="27" w:lineRule="exact"/>
        <w:rPr>
          <w:sz w:val="20"/>
          <w:szCs w:val="20"/>
          <w:color w:val="auto"/>
        </w:rPr>
      </w:pPr>
    </w:p>
    <w:p>
      <w:pPr>
        <w:ind w:left="980" w:right="60"/>
        <w:spacing w:after="0" w:line="270" w:lineRule="auto"/>
        <w:rPr>
          <w:sz w:val="20"/>
          <w:szCs w:val="20"/>
          <w:color w:val="auto"/>
        </w:rPr>
      </w:pPr>
      <w:r>
        <w:rPr>
          <w:rFonts w:ascii="Arial" w:cs="Arial" w:eastAsia="Arial" w:hAnsi="Arial"/>
          <w:sz w:val="17"/>
          <w:szCs w:val="17"/>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September 30, 2016 and for the twelve-month period ending December 31, 2016 reflect current market structure as well as seasonal, weather-related and other anticipated variations in crude oil, NGL and natural gas sales. Variations in weather, market structure or volatility could cause actual results to differ materially from forecasted results.</w:t>
      </w:r>
    </w:p>
    <w:p>
      <w:pPr>
        <w:spacing w:after="0" w:line="182" w:lineRule="exact"/>
        <w:rPr>
          <w:sz w:val="20"/>
          <w:szCs w:val="20"/>
          <w:color w:val="auto"/>
        </w:rPr>
      </w:pPr>
    </w:p>
    <w:p>
      <w:pPr>
        <w:ind w:left="980" w:right="20"/>
        <w:spacing w:after="0" w:line="293" w:lineRule="auto"/>
        <w:rPr>
          <w:sz w:val="20"/>
          <w:szCs w:val="20"/>
          <w:color w:val="auto"/>
        </w:rPr>
      </w:pPr>
      <w:r>
        <w:rPr>
          <w:rFonts w:ascii="Arial" w:cs="Arial" w:eastAsia="Arial" w:hAnsi="Arial"/>
          <w:sz w:val="16"/>
          <w:szCs w:val="16"/>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adjusted segment profit per barrel can vary significantly even if aggregate volumes are in line with the forecasted levels.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Actual</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Guidance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19"/>
              <w:spacing w:after="0" w:line="119" w:lineRule="exact"/>
              <w:rPr>
                <w:sz w:val="20"/>
                <w:szCs w:val="20"/>
                <w:color w:val="auto"/>
              </w:rPr>
            </w:pPr>
            <w:r>
              <w:rPr>
                <w:rFonts w:ascii="Arial" w:cs="Arial" w:eastAsia="Arial" w:hAnsi="Arial"/>
                <w:sz w:val="13"/>
                <w:szCs w:val="13"/>
                <w:b w:val="1"/>
                <w:bCs w:val="1"/>
                <w:color w:val="auto"/>
              </w:rPr>
              <w:t>6 Months</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3 Months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3 Months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rPr>
              <w:t>12 Months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Jun 30, 2016</w:t>
            </w:r>
          </w:p>
        </w:tc>
        <w:tc>
          <w:tcPr>
            <w:tcW w:w="2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Sep 30, 2016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 31, 2016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Dec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Average daily volumes (MBbls/d)</w:t>
            </w: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Crude oil lease gathering purchases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899</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NGL sales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Waterborne cargos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Supply and Logistics segment volumes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Adjusted segment profit per barrel ($/Bbl)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r>
              <w:rPr>
                <w:rFonts w:ascii="Arial" w:cs="Arial" w:eastAsia="Arial" w:hAnsi="Arial"/>
                <w:sz w:val="11"/>
                <w:szCs w:val="11"/>
                <w:color w:val="auto"/>
              </w:rPr>
              <w:t>(1)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r>
              <w:rPr>
                <w:rFonts w:ascii="Arial" w:cs="Arial" w:eastAsia="Arial" w:hAnsi="Arial"/>
                <w:sz w:val="11"/>
                <w:szCs w:val="11"/>
                <w:color w:val="auto"/>
              </w:rPr>
              <w:t>(1)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ind w:left="340" w:right="16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also vary due to gains and losses on intermittent sales of assets, asset retirement obligations, asset impairments, and acceleration of depreciation or foreign exchange rates.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80" w:hanging="332"/>
        <w:spacing w:after="0" w:line="273"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and Acquisitions. </w:t>
      </w:r>
      <w:r>
        <w:rPr>
          <w:rFonts w:ascii="Arial" w:cs="Arial" w:eastAsia="Arial" w:hAnsi="Arial"/>
          <w:sz w:val="17"/>
          <w:szCs w:val="17"/>
          <w:color w:val="auto"/>
        </w:rPr>
        <w:t>Although acquisitions constitute a key element of our growth strategy, the forecasted results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do not include any forecasts for acquisitions that we may commit to after the date hereof (guidance includes the announced Empress Acquisition from Spectra Energy, which is expected to close in early August). We forecast capital expenditures during calendar year 2016 to be approximately $1.425 billion for expansion projects with an additional $180 million to $200 million for maintenance capital projects. During the first six months of 2016, we invested $709 million and $81 million for expansion and maintenance projects, respectively. The following are some of the more notable projects and forecasted expenditures for the year ending December 31, 2016:</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Calendar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Red River Pipeline (Cushing to Longview)</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9"/>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Fort Saskatchewan Facility Projects</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910"/>
              <w:spacing w:after="0"/>
              <w:rPr>
                <w:sz w:val="20"/>
                <w:szCs w:val="20"/>
                <w:color w:val="auto"/>
              </w:rPr>
            </w:pPr>
            <w:r>
              <w:rPr>
                <w:rFonts w:ascii="Arial" w:cs="Arial" w:eastAsia="Arial" w:hAnsi="Arial"/>
                <w:sz w:val="18"/>
                <w:szCs w:val="18"/>
                <w:color w:val="auto"/>
                <w:w w:val="93"/>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Permian Basin Area Pipeline Projects</w:t>
            </w:r>
          </w:p>
        </w:tc>
        <w:tc>
          <w:tcPr>
            <w:tcW w:w="1000" w:type="dxa"/>
            <w:vAlign w:val="bottom"/>
          </w:tcPr>
          <w:p>
            <w:pPr>
              <w:spacing w:after="0"/>
              <w:rPr>
                <w:sz w:val="18"/>
                <w:szCs w:val="18"/>
                <w:color w:val="auto"/>
              </w:rPr>
            </w:pPr>
          </w:p>
        </w:tc>
        <w:tc>
          <w:tcPr>
            <w:tcW w:w="1280" w:type="dxa"/>
            <w:vAlign w:val="bottom"/>
          </w:tcPr>
          <w:p>
            <w:pPr>
              <w:jc w:val="center"/>
              <w:ind w:right="910"/>
              <w:spacing w:after="0"/>
              <w:rPr>
                <w:sz w:val="20"/>
                <w:szCs w:val="20"/>
                <w:color w:val="auto"/>
              </w:rPr>
            </w:pPr>
            <w:r>
              <w:rPr>
                <w:rFonts w:ascii="Arial" w:cs="Arial" w:eastAsia="Arial" w:hAnsi="Arial"/>
                <w:sz w:val="18"/>
                <w:szCs w:val="18"/>
                <w:color w:val="auto"/>
                <w:w w:val="93"/>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Diamond Pipeline</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910"/>
              <w:spacing w:after="0"/>
              <w:rPr>
                <w:sz w:val="20"/>
                <w:szCs w:val="20"/>
                <w:color w:val="auto"/>
              </w:rPr>
            </w:pPr>
            <w:r>
              <w:rPr>
                <w:rFonts w:ascii="Arial" w:cs="Arial" w:eastAsia="Arial" w:hAnsi="Arial"/>
                <w:sz w:val="18"/>
                <w:szCs w:val="18"/>
                <w:color w:val="auto"/>
                <w:w w:val="93"/>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Saddlehorn Pipeline</w:t>
            </w:r>
          </w:p>
        </w:tc>
        <w:tc>
          <w:tcPr>
            <w:tcW w:w="1000" w:type="dxa"/>
            <w:vAlign w:val="bottom"/>
          </w:tcPr>
          <w:p>
            <w:pPr>
              <w:spacing w:after="0"/>
              <w:rPr>
                <w:sz w:val="18"/>
                <w:szCs w:val="18"/>
                <w:color w:val="auto"/>
              </w:rPr>
            </w:pPr>
          </w:p>
        </w:tc>
        <w:tc>
          <w:tcPr>
            <w:tcW w:w="1280" w:type="dxa"/>
            <w:vAlign w:val="bottom"/>
          </w:tcPr>
          <w:p>
            <w:pPr>
              <w:jc w:val="center"/>
              <w:ind w:right="910"/>
              <w:spacing w:after="0"/>
              <w:rPr>
                <w:sz w:val="20"/>
                <w:szCs w:val="20"/>
                <w:color w:val="auto"/>
              </w:rPr>
            </w:pPr>
            <w:r>
              <w:rPr>
                <w:rFonts w:ascii="Arial" w:cs="Arial" w:eastAsia="Arial" w:hAnsi="Arial"/>
                <w:sz w:val="18"/>
                <w:szCs w:val="18"/>
                <w:color w:val="auto"/>
                <w:w w:val="93"/>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Cushing Terminal Expansions</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890"/>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St. James Terminal Expansions</w:t>
            </w:r>
          </w:p>
        </w:tc>
        <w:tc>
          <w:tcPr>
            <w:tcW w:w="1000" w:type="dxa"/>
            <w:vAlign w:val="bottom"/>
          </w:tcPr>
          <w:p>
            <w:pPr>
              <w:spacing w:after="0"/>
              <w:rPr>
                <w:sz w:val="18"/>
                <w:szCs w:val="18"/>
                <w:color w:val="auto"/>
              </w:rPr>
            </w:pPr>
          </w:p>
        </w:tc>
        <w:tc>
          <w:tcPr>
            <w:tcW w:w="1280" w:type="dxa"/>
            <w:vAlign w:val="bottom"/>
          </w:tcPr>
          <w:p>
            <w:pPr>
              <w:jc w:val="center"/>
              <w:ind w:right="89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Caddo Pipeline</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890"/>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Cactus Pipeline</w:t>
            </w:r>
          </w:p>
        </w:tc>
        <w:tc>
          <w:tcPr>
            <w:tcW w:w="1000" w:type="dxa"/>
            <w:vAlign w:val="bottom"/>
          </w:tcPr>
          <w:p>
            <w:pPr>
              <w:spacing w:after="0"/>
              <w:rPr>
                <w:sz w:val="18"/>
                <w:szCs w:val="18"/>
                <w:color w:val="auto"/>
              </w:rPr>
            </w:pPr>
          </w:p>
        </w:tc>
        <w:tc>
          <w:tcPr>
            <w:tcW w:w="1280" w:type="dxa"/>
            <w:vAlign w:val="bottom"/>
          </w:tcPr>
          <w:p>
            <w:pPr>
              <w:jc w:val="center"/>
              <w:ind w:right="890"/>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Eagle Ford JV Project</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890"/>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Other Projects</w:t>
            </w:r>
          </w:p>
        </w:tc>
        <w:tc>
          <w:tcPr>
            <w:tcW w:w="1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color w:val="auto"/>
                <w:w w:val="93"/>
              </w:rPr>
              <w:t>270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$75</w:t>
            </w: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 $75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Projected Expansion Capital Expenditures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$1,500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300" w:hanging="320"/>
        <w:spacing w:after="0"/>
        <w:tabs>
          <w:tab w:leader="none" w:pos="1300" w:val="left"/>
        </w:tabs>
        <w:numPr>
          <w:ilvl w:val="1"/>
          <w:numId w:val="13"/>
        </w:numPr>
        <w:rPr>
          <w:rFonts w:ascii="Arial" w:cs="Arial" w:eastAsia="Arial" w:hAnsi="Arial"/>
          <w:sz w:val="21"/>
          <w:szCs w:val="21"/>
          <w:color w:val="auto"/>
          <w:vertAlign w:val="superscript"/>
        </w:rPr>
      </w:pPr>
      <w:r>
        <w:rPr>
          <w:rFonts w:ascii="Arial" w:cs="Arial" w:eastAsia="Arial" w:hAnsi="Arial"/>
          <w:sz w:val="16"/>
          <w:szCs w:val="16"/>
          <w:color w:val="auto"/>
        </w:rPr>
        <w:t>Potential variation to current capital costs estimates may result from (i) changes to project design, (ii) final cost of materials and labor and</w:t>
      </w:r>
    </w:p>
    <w:p>
      <w:pPr>
        <w:spacing w:after="0" w:line="1" w:lineRule="exact"/>
        <w:rPr>
          <w:rFonts w:ascii="Arial" w:cs="Arial" w:eastAsia="Arial" w:hAnsi="Arial"/>
          <w:sz w:val="21"/>
          <w:szCs w:val="21"/>
          <w:color w:val="auto"/>
          <w:vertAlign w:val="superscript"/>
        </w:rPr>
      </w:pPr>
    </w:p>
    <w:p>
      <w:pPr>
        <w:ind w:left="1620" w:hanging="315"/>
        <w:spacing w:after="0"/>
        <w:tabs>
          <w:tab w:leader="none" w:pos="16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timing of incurrence of costs due to uncontrollable factors such as receipt of permits, or regulatory approvals and weather.</w:t>
      </w:r>
    </w:p>
    <w:p>
      <w:pPr>
        <w:spacing w:after="0" w:line="209"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June 30, 2016, adjusted for estimated potential equity issuances and senior note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to fund our capital program. This guidance further assumes that the simplification transaction announced by PAA and PAGP on July 11, 2016 closes during the fourth quarter of 2016, and in connection with such closing PAA issues 245.5 million common units to AAP in exchange for (a) the cancellation of the incentive distribution rights in PAA that are owned by AAP and the conversion of the 2% general partner interest in PAA indirectly held by AAP into a non-economic general partner interest in PAA and (b) the assumption by PAA of AAP’s outstanding third party bank debt (the “AAP Debt Assumption”).</w:t>
      </w:r>
    </w:p>
    <w:p>
      <w:pPr>
        <w:sectPr>
          <w:pgSz w:w="11900" w:h="16866" w:orient="portrait"/>
          <w:cols w:equalWidth="0" w:num="1">
            <w:col w:w="11420"/>
          </w:cols>
          <w:pgMar w:left="240" w:top="125" w:right="239" w:bottom="0" w:gutter="0" w:footer="0" w:header="0"/>
        </w:sectPr>
      </w:pPr>
    </w:p>
    <w:bookmarkStart w:id="5" w:name="page6"/>
    <w:bookmarkEnd w:id="5"/>
    <w:p>
      <w:pPr>
        <w:ind w:left="340" w:right="8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which assume the AAP Debt Assumption takes place in connection with the closing of the simplification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fourth quarter of 2016 as described in Note 5, are projected based on estimated cash flows, estimated distribution rates, estimated capital expenditures for maintenance 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July 2016.</w:t>
      </w:r>
    </w:p>
    <w:p>
      <w:pPr>
        <w:spacing w:after="0" w:line="188" w:lineRule="exact"/>
        <w:rPr>
          <w:rFonts w:ascii="Arial" w:cs="Arial" w:eastAsia="Arial" w:hAnsi="Arial"/>
          <w:sz w:val="18"/>
          <w:szCs w:val="18"/>
          <w:color w:val="auto"/>
        </w:rPr>
      </w:pPr>
    </w:p>
    <w:p>
      <w:pPr>
        <w:ind w:left="340" w:right="220"/>
        <w:spacing w:after="0" w:line="342" w:lineRule="auto"/>
        <w:rPr>
          <w:rFonts w:ascii="Arial" w:cs="Arial" w:eastAsia="Arial" w:hAnsi="Arial"/>
          <w:sz w:val="18"/>
          <w:szCs w:val="18"/>
          <w:color w:val="auto"/>
        </w:rPr>
      </w:pPr>
      <w:r>
        <w:rPr>
          <w:rFonts w:ascii="Arial" w:cs="Arial" w:eastAsia="Arial" w:hAnsi="Arial"/>
          <w:sz w:val="16"/>
          <w:szCs w:val="16"/>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23" w:lineRule="exact"/>
        <w:rPr>
          <w:rFonts w:ascii="Arial" w:cs="Arial" w:eastAsia="Arial" w:hAnsi="Arial"/>
          <w:sz w:val="18"/>
          <w:szCs w:val="18"/>
          <w:color w:val="auto"/>
        </w:rPr>
      </w:pPr>
    </w:p>
    <w:p>
      <w:pPr>
        <w:ind w:left="340" w:right="60" w:hanging="314"/>
        <w:spacing w:after="0" w:line="279" w:lineRule="auto"/>
        <w:tabs>
          <w:tab w:leader="none" w:pos="344"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expect our Canadian income tax expense to be approximately $13 million and $67 million for the three-month period ending</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and twelve-month period ending December 31, 2016, respectively, of which approximately $8 million and $74 million, respectively, is classified as a current income tax expense. For the twelve-month period ending December 31, 2016 we expect to have a deferred tax benefit of $7 million. All or part of the annual income tax expense of $67 million may result in a tax credit to our equity 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2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Equity-Indexed Compensation Plans. </w:t>
      </w:r>
      <w:r>
        <w:rPr>
          <w:rFonts w:ascii="Arial" w:cs="Arial" w:eastAsia="Arial" w:hAnsi="Arial"/>
          <w:sz w:val="18"/>
          <w:szCs w:val="18"/>
          <w:color w:val="auto"/>
        </w:rPr>
        <w:t>The majority of grants outstanding under our various equity-indexed compensation plans contain vesting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based on a combination of performance benchmarks and service periods. The grants will vest in various percentages, typically on the later to occur of specified vesting dates and the dates on which minimum distribution levels are reached.</w:t>
      </w:r>
    </w:p>
    <w:p>
      <w:pPr>
        <w:spacing w:after="0" w:line="181" w:lineRule="exact"/>
        <w:rPr>
          <w:rFonts w:ascii="Arial" w:cs="Arial" w:eastAsia="Arial" w:hAnsi="Arial"/>
          <w:sz w:val="18"/>
          <w:szCs w:val="18"/>
          <w:color w:val="auto"/>
        </w:rPr>
      </w:pPr>
    </w:p>
    <w:p>
      <w:pPr>
        <w:ind w:left="340"/>
        <w:spacing w:after="0" w:line="264" w:lineRule="auto"/>
        <w:rPr>
          <w:rFonts w:ascii="Arial" w:cs="Arial" w:eastAsia="Arial" w:hAnsi="Arial"/>
          <w:sz w:val="18"/>
          <w:szCs w:val="18"/>
          <w:color w:val="auto"/>
        </w:rPr>
      </w:pPr>
      <w:r>
        <w:rPr>
          <w:rFonts w:ascii="Arial" w:cs="Arial" w:eastAsia="Arial" w:hAnsi="Arial"/>
          <w:sz w:val="18"/>
          <w:szCs w:val="18"/>
          <w:color w:val="auto"/>
        </w:rPr>
        <w:t>Guidance assumes a market price of $27 per unit as well as an accrual associated with awards that will vest on a certain date. A $2 change in the unit price would change the third-quarter and full year equity-indexed compensation expense by approximately $4 million. Therefore, actual net income could differ from our projections.</w:t>
      </w:r>
    </w:p>
    <w:p>
      <w:pPr>
        <w:spacing w:after="0" w:line="181"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EBITDA, Adjusted EBITDA, and Implied DCF. </w:t>
      </w:r>
      <w:r>
        <w:rPr>
          <w:rFonts w:ascii="Arial" w:cs="Arial" w:eastAsia="Arial" w:hAnsi="Arial"/>
          <w:sz w:val="18"/>
          <w:szCs w:val="18"/>
          <w:color w:val="auto"/>
        </w:rPr>
        <w:t>The following table reconciles net income to EBITDA,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and Implied DCF for the indicated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Guidance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6 Months</w:t>
            </w:r>
          </w:p>
        </w:tc>
        <w:tc>
          <w:tcPr>
            <w:tcW w:w="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5"/>
          </w:tcPr>
          <w:p>
            <w:pPr>
              <w:jc w:val="right"/>
              <w:ind w:right="600"/>
              <w:spacing w:after="0" w:line="119" w:lineRule="exact"/>
              <w:rPr>
                <w:sz w:val="20"/>
                <w:szCs w:val="20"/>
                <w:color w:val="auto"/>
              </w:rPr>
            </w:pPr>
            <w:r>
              <w:rPr>
                <w:rFonts w:ascii="Arial" w:cs="Arial" w:eastAsia="Arial" w:hAnsi="Arial"/>
                <w:sz w:val="13"/>
                <w:szCs w:val="13"/>
                <w:b w:val="1"/>
                <w:bCs w:val="1"/>
                <w:color w:val="auto"/>
              </w:rPr>
              <w:t>3 Months Ending</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5"/>
          </w:tcPr>
          <w:p>
            <w:pPr>
              <w:jc w:val="right"/>
              <w:ind w:right="680"/>
              <w:spacing w:after="0" w:line="119" w:lineRule="exact"/>
              <w:rPr>
                <w:sz w:val="20"/>
                <w:szCs w:val="20"/>
                <w:color w:val="auto"/>
              </w:rPr>
            </w:pPr>
            <w:r>
              <w:rPr>
                <w:rFonts w:ascii="Arial" w:cs="Arial" w:eastAsia="Arial" w:hAnsi="Arial"/>
                <w:sz w:val="13"/>
                <w:szCs w:val="13"/>
                <w:b w:val="1"/>
                <w:bCs w:val="1"/>
                <w:color w:val="auto"/>
              </w:rPr>
              <w:t>3 Months Ending</w:t>
            </w:r>
          </w:p>
        </w:tc>
        <w:tc>
          <w:tcPr>
            <w:tcW w:w="18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jc w:val="right"/>
              <w:ind w:right="291"/>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r>
      <w:tr>
        <w:trPr>
          <w:trHeight w:val="17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 30, 2016</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2016</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 31, 2016</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bottom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Jun 30, 2016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Low</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6"/>
              </w:rPr>
              <w:t>High</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Low</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High</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Reconciliation to EBITDA, Adjusted EBITDA</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Implied DCF</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50"/>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tcPr>
          <w:p>
            <w:pPr>
              <w:spacing w:after="0"/>
              <w:rPr>
                <w:sz w:val="21"/>
                <w:szCs w:val="21"/>
                <w:color w:val="auto"/>
              </w:rPr>
            </w:pPr>
          </w:p>
        </w:tc>
      </w:tr>
      <w:tr>
        <w:trPr>
          <w:trHeight w:val="197"/>
        </w:trPr>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700" w:type="dxa"/>
            <w:vAlign w:val="bottom"/>
          </w:tcPr>
          <w:p>
            <w:pPr>
              <w:ind w:left="18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60" w:right="160" w:hanging="4680"/>
        <w:spacing w:after="0" w:line="461" w:lineRule="auto"/>
        <w:tabs>
          <w:tab w:leader="none" w:pos="1283"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Excludes certain non-cash items impacting interest expense such as amortization of debt issuance costs and terminated interest rate swaps.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jc w:val="both"/>
        <w:ind w:left="340" w:right="120" w:hanging="332"/>
        <w:spacing w:after="0" w:line="286" w:lineRule="auto"/>
        <w:tabs>
          <w:tab w:leader="none" w:pos="3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5" w:lineRule="exact"/>
        <w:rPr>
          <w:rFonts w:ascii="Arial" w:cs="Arial" w:eastAsia="Arial" w:hAnsi="Arial"/>
          <w:sz w:val="17"/>
          <w:szCs w:val="17"/>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ectPr>
          <w:pgSz w:w="11900" w:h="16838" w:orient="portrait"/>
          <w:cols w:equalWidth="0" w:num="1">
            <w:col w:w="11420"/>
          </w:cols>
          <w:pgMar w:left="240" w:top="341" w:right="239" w:bottom="0" w:gutter="0" w:footer="0" w:header="0"/>
        </w:sectPr>
      </w:pPr>
    </w:p>
    <w:bookmarkStart w:id="6" w:name="page7"/>
    <w:bookmarkEnd w:id="6"/>
    <w:p>
      <w:pPr>
        <w:spacing w:after="0" w:line="36"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200" w:hanging="332"/>
        <w:spacing w:after="0" w:line="277" w:lineRule="auto"/>
        <w:tabs>
          <w:tab w:leader="none" w:pos="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40" w:right="260" w:hanging="332"/>
        <w:spacing w:after="0" w:line="308" w:lineRule="auto"/>
        <w:tabs>
          <w:tab w:leader="none" w:pos="3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6" w:lineRule="exact"/>
        <w:rPr>
          <w:rFonts w:ascii="Arial" w:cs="Arial" w:eastAsia="Arial" w:hAnsi="Arial"/>
          <w:sz w:val="17"/>
          <w:szCs w:val="17"/>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40" w:right="620" w:hanging="332"/>
        <w:spacing w:after="0" w:line="277" w:lineRule="auto"/>
        <w:tabs>
          <w:tab w:leader="none" w:pos="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including our ability to satisfy our contractual obligations to our customers;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640" w:hanging="332"/>
        <w:spacing w:after="0" w:line="277" w:lineRule="auto"/>
        <w:tabs>
          <w:tab w:leader="none" w:pos="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440" w:hanging="332"/>
        <w:spacing w:after="0" w:line="277" w:lineRule="auto"/>
        <w:tabs>
          <w:tab w:leader="none" w:pos="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PAA GP LLC, its general partner</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PLAINS AAP, L. P., its sole member</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spacing w:after="0"/>
        <w:tabs>
          <w:tab w:leader="none" w:pos="5700" w:val="left"/>
          <w:tab w:leader="none" w:pos="6220" w:val="left"/>
        </w:tabs>
        <w:rPr>
          <w:sz w:val="20"/>
          <w:szCs w:val="20"/>
          <w:color w:val="auto"/>
        </w:rPr>
      </w:pPr>
      <w:r>
        <w:rPr>
          <w:rFonts w:ascii="Arial" w:cs="Arial" w:eastAsia="Arial" w:hAnsi="Arial"/>
          <w:sz w:val="18"/>
          <w:szCs w:val="18"/>
          <w:color w:val="auto"/>
        </w:rPr>
        <w:t>Date: August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Sharon Spurlin</w:t>
      </w:r>
    </w:p>
    <w:p>
      <w:pPr>
        <w:spacing w:after="0" w:line="20" w:lineRule="exact"/>
        <w:rPr>
          <w:sz w:val="20"/>
          <w:szCs w:val="20"/>
          <w:color w:val="auto"/>
        </w:rPr>
      </w:pPr>
    </w:p>
    <w:p>
      <w:pPr>
        <w:sectPr>
          <w:pgSz w:w="11900" w:h="16874" w:orient="portrait"/>
          <w:cols w:equalWidth="0" w:num="1">
            <w:col w:w="11340"/>
          </w:cols>
          <w:pgMar w:left="240" w:top="341" w:right="319" w:bottom="0" w:gutter="0" w:footer="0" w:header="0"/>
        </w:sectPr>
      </w:pPr>
    </w:p>
    <w:bookmarkStart w:id="7" w:name="page8"/>
    <w:bookmarkEnd w:id="7"/>
    <w:p>
      <w:pPr>
        <w:ind w:left="5040"/>
        <w:spacing w:after="0"/>
        <w:tabs>
          <w:tab w:leader="none" w:pos="5740" w:val="left"/>
        </w:tabs>
        <w:rPr>
          <w:sz w:val="20"/>
          <w:szCs w:val="20"/>
          <w:color w:val="auto"/>
        </w:rPr>
      </w:pPr>
      <w:r>
        <w:rPr>
          <w:rFonts w:ascii="Arial" w:cs="Arial" w:eastAsia="Arial" w:hAnsi="Arial"/>
          <w:sz w:val="18"/>
          <w:szCs w:val="18"/>
          <w:color w:val="auto"/>
        </w:rPr>
        <w:t>Name:</w:t>
        <w:tab/>
        <w:t>Sharon Spurlin</w:t>
      </w:r>
    </w:p>
    <w:p>
      <w:pPr>
        <w:spacing w:after="0" w:line="23"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Vice President and Treasurer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909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2016 Results</w:t>
      </w:r>
    </w:p>
    <w:p>
      <w:pPr>
        <w:spacing w:after="0" w:line="229" w:lineRule="exact"/>
        <w:rPr>
          <w:sz w:val="20"/>
          <w:szCs w:val="20"/>
          <w:color w:val="auto"/>
        </w:rPr>
      </w:pPr>
    </w:p>
    <w:p>
      <w:pPr>
        <w:ind w:right="380" w:firstLine="689"/>
        <w:spacing w:after="0" w:line="277" w:lineRule="auto"/>
        <w:rPr>
          <w:sz w:val="20"/>
          <w:szCs w:val="20"/>
          <w:color w:val="auto"/>
        </w:rPr>
      </w:pPr>
      <w:r>
        <w:rPr>
          <w:rFonts w:ascii="Arial" w:cs="Arial" w:eastAsia="Arial" w:hAnsi="Arial"/>
          <w:sz w:val="18"/>
          <w:szCs w:val="18"/>
          <w:color w:val="auto"/>
        </w:rPr>
        <w:t>(Houston — August 2, 2016) Plains All American Pipeline, L.P. (NYSE: PAA) and Plains GP Holdings (NYSE: PAGP) today reported second-quarter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20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60" w:type="dxa"/>
            <w:vAlign w:val="bottom"/>
            <w:gridSpan w:val="2"/>
          </w:tcPr>
          <w:p>
            <w:pPr>
              <w:jc w:val="center"/>
              <w:ind w:right="19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net income/(loss)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common units outstanding</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2"/>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20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60" w:type="dxa"/>
            <w:vAlign w:val="bottom"/>
            <w:gridSpan w:val="2"/>
          </w:tcPr>
          <w:p>
            <w:pPr>
              <w:jc w:val="center"/>
              <w:ind w:right="19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adjusted net income/(loss)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1,082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common unit declared for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0.695</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40" w:firstLine="689"/>
        <w:spacing w:after="0" w:line="342" w:lineRule="auto"/>
        <w:rPr>
          <w:sz w:val="20"/>
          <w:szCs w:val="20"/>
          <w:color w:val="auto"/>
        </w:rPr>
      </w:pPr>
      <w:r>
        <w:rPr>
          <w:rFonts w:ascii="Arial" w:cs="Arial" w:eastAsia="Arial" w:hAnsi="Arial"/>
          <w:sz w:val="16"/>
          <w:szCs w:val="16"/>
          <w:color w:val="auto"/>
        </w:rPr>
        <w:t>“PAA continues to execute well during a challenging environment,” said Greg Armstrong, Chairman and CEO of Plains All American. “We reported second-quarter adjusted EBITDA of $461 million, which was approximately $21 million or 5% above the midpoint of our second-quarter guidance.”</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“Although we remain cautious over the near term and have left our full year 2016 adjusted EBITDA guidance midpoint unchanged at $2.175 billion, we believe PAA is well positioned to manage through near term industry challenges and to prosper over the intermediate to long term. Importantly, based on PAA’s 2016 guidance and accounting for our recently announced simplification transaction and intended distribution reset, PAA’s pro forma distribution coverage for the full year of 2016 is expected to be approximately 1.05 times.”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Armstrong added, “PAA has $2.9 billion of liquidity and our performance is expected to benefit from increases in minimum volume commitments on existing assets as well as numerous capital projects scheduled to come on line over the next 18 months. Additionally, PAA has a large interconnected crude midstream platform that has significant leverage to a sustained increase in U.S. crude oil production with no-to-low incremental capital investment.”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second quarter and first half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0"/>
              </w:rPr>
              <w:t>June 30,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Transportation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Supply and</w:t>
            </w:r>
          </w:p>
        </w:tc>
        <w:tc>
          <w:tcPr>
            <w:tcW w:w="3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Logistics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Selected items impacting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380"/>
              <w:spacing w:after="0"/>
              <w:rPr>
                <w:sz w:val="20"/>
                <w:szCs w:val="20"/>
                <w:color w:val="auto"/>
              </w:rPr>
            </w:pPr>
            <w:r>
              <w:rPr>
                <w:rFonts w:ascii="Arial" w:cs="Arial" w:eastAsia="Arial" w:hAnsi="Arial"/>
                <w:sz w:val="18"/>
                <w:szCs w:val="18"/>
                <w:color w:val="auto"/>
              </w:rPr>
              <w:t>comparability of segment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38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(2)</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9" w:name="page10"/>
    <w:bookmarkEnd w:id="9"/>
    <w:p>
      <w:pPr>
        <w:ind w:left="180" w:hanging="181"/>
        <w:spacing w:after="0" w:line="271" w:lineRule="auto"/>
        <w:rPr>
          <w:sz w:val="20"/>
          <w:szCs w:val="20"/>
          <w:color w:val="auto"/>
        </w:rPr>
      </w:pPr>
      <w:r>
        <w:rPr>
          <w:rFonts w:ascii="Arial" w:cs="Arial" w:eastAsia="Arial" w:hAnsi="Arial"/>
          <w:sz w:val="17"/>
          <w:szCs w:val="17"/>
          <w:b w:val="1"/>
          <w:bCs w:val="1"/>
          <w:i w:val="1"/>
          <w:iCs w:val="1"/>
          <w:color w:val="auto"/>
        </w:rPr>
        <w:t>Percentage change in reported segment profit/(loss) versus 2015 period</w:t>
      </w:r>
    </w:p>
    <w:p>
      <w:pPr>
        <w:ind w:left="180" w:right="340" w:hanging="181"/>
        <w:spacing w:after="0" w:line="255" w:lineRule="auto"/>
        <w:rPr>
          <w:sz w:val="20"/>
          <w:szCs w:val="20"/>
          <w:color w:val="auto"/>
        </w:rPr>
      </w:pPr>
      <w:r>
        <w:rPr>
          <w:rFonts w:ascii="Arial" w:cs="Arial" w:eastAsia="Arial" w:hAnsi="Arial"/>
          <w:sz w:val="18"/>
          <w:szCs w:val="18"/>
          <w:b w:val="1"/>
          <w:bCs w:val="1"/>
          <w:i w:val="1"/>
          <w:iCs w:val="1"/>
          <w:color w:val="auto"/>
        </w:rPr>
        <w:t>Percentage change in adjusted segment profit versus 2015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right="620" w:hanging="181"/>
        <w:spacing w:after="0" w:line="300" w:lineRule="auto"/>
        <w:rPr>
          <w:sz w:val="20"/>
          <w:szCs w:val="20"/>
          <w:color w:val="auto"/>
        </w:rPr>
      </w:pPr>
      <w:r>
        <w:rPr>
          <w:rFonts w:ascii="Arial" w:cs="Arial" w:eastAsia="Arial" w:hAnsi="Arial"/>
          <w:sz w:val="16"/>
          <w:szCs w:val="16"/>
          <w:color w:val="auto"/>
        </w:rPr>
        <w:t>Reported segment profit Selected items impacting</w:t>
      </w:r>
    </w:p>
    <w:p>
      <w:pPr>
        <w:ind w:left="380" w:right="400"/>
        <w:spacing w:after="0" w:line="220" w:lineRule="auto"/>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segment profit</w:t>
      </w:r>
    </w:p>
    <w:p>
      <w:pPr>
        <w:spacing w:after="0" w:line="20" w:lineRule="exact"/>
        <w:rPr>
          <w:sz w:val="20"/>
          <w:szCs w:val="20"/>
          <w:color w:val="auto"/>
        </w:rPr>
      </w:pPr>
    </w:p>
    <w:p>
      <w:pPr>
        <w:ind w:left="180" w:right="340" w:hanging="181"/>
        <w:spacing w:after="0" w:line="256" w:lineRule="auto"/>
        <w:rPr>
          <w:sz w:val="20"/>
          <w:szCs w:val="20"/>
          <w:color w:val="auto"/>
        </w:rPr>
      </w:pPr>
      <w:r>
        <w:rPr>
          <w:rFonts w:ascii="Arial" w:cs="Arial" w:eastAsia="Arial" w:hAnsi="Arial"/>
          <w:sz w:val="18"/>
          <w:szCs w:val="18"/>
          <w:b w:val="1"/>
          <w:bCs w:val="1"/>
          <w:i w:val="1"/>
          <w:iCs w:val="1"/>
          <w:color w:val="auto"/>
        </w:rPr>
        <w:t>Percentage change in reported segment profit versus 2015 period</w:t>
      </w:r>
    </w:p>
    <w:p>
      <w:pPr>
        <w:ind w:left="180" w:right="340" w:hanging="181"/>
        <w:spacing w:after="0" w:line="255" w:lineRule="auto"/>
        <w:rPr>
          <w:sz w:val="20"/>
          <w:szCs w:val="20"/>
          <w:color w:val="auto"/>
        </w:rPr>
      </w:pPr>
      <w:r>
        <w:rPr>
          <w:rFonts w:ascii="Arial" w:cs="Arial" w:eastAsia="Arial" w:hAnsi="Arial"/>
          <w:sz w:val="18"/>
          <w:szCs w:val="18"/>
          <w:b w:val="1"/>
          <w:bCs w:val="1"/>
          <w:i w:val="1"/>
          <w:iCs w:val="1"/>
          <w:color w:val="auto"/>
        </w:rPr>
        <w:t>Percentage change in adjusted segment profit versus 2015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80"/>
        <w:spacing w:after="0"/>
        <w:tabs>
          <w:tab w:leader="none" w:pos="2540" w:val="left"/>
          <w:tab w:leader="none" w:pos="3700" w:val="left"/>
        </w:tabs>
        <w:rPr>
          <w:sz w:val="20"/>
          <w:szCs w:val="20"/>
          <w:color w:val="auto"/>
        </w:rPr>
      </w:pPr>
      <w:r>
        <w:rPr>
          <w:rFonts w:ascii="Arial" w:cs="Arial" w:eastAsia="Arial" w:hAnsi="Arial"/>
          <w:sz w:val="18"/>
          <w:szCs w:val="18"/>
          <w:b w:val="1"/>
          <w:bCs w:val="1"/>
          <w:i w:val="1"/>
          <w:iCs w:val="1"/>
          <w:color w:val="auto"/>
        </w:rPr>
        <w:t>35%</w:t>
      </w:r>
      <w:r>
        <w:rPr>
          <w:sz w:val="20"/>
          <w:szCs w:val="20"/>
          <w:color w:val="auto"/>
        </w:rPr>
        <w:tab/>
      </w:r>
      <w:r>
        <w:rPr>
          <w:rFonts w:ascii="Arial" w:cs="Arial" w:eastAsia="Arial" w:hAnsi="Arial"/>
          <w:sz w:val="18"/>
          <w:szCs w:val="18"/>
          <w:b w:val="1"/>
          <w:bCs w:val="1"/>
          <w:i w:val="1"/>
          <w:iCs w:val="1"/>
          <w:color w:val="auto"/>
        </w:rPr>
        <w:t>8%</w:t>
      </w:r>
      <w:r>
        <w:rPr>
          <w:sz w:val="20"/>
          <w:szCs w:val="20"/>
          <w:color w:val="auto"/>
        </w:rPr>
        <w:tab/>
      </w:r>
      <w:r>
        <w:rPr>
          <w:rFonts w:ascii="Arial" w:cs="Arial" w:eastAsia="Arial" w:hAnsi="Arial"/>
          <w:sz w:val="16"/>
          <w:szCs w:val="16"/>
          <w:b w:val="1"/>
          <w:bCs w:val="1"/>
          <w:i w:val="1"/>
          <w:i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7246620" cy="822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(54)%</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2"/>
              </w:rPr>
              <w:t>June 30, 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0"/>
              </w:rPr>
              <w:t>June 30, 2015</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Supply and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Logistics</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2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-925830</wp:posOffset>
            </wp:positionV>
            <wp:extent cx="7246620" cy="1732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32280"/>
                    </a:xfrm>
                    <a:prstGeom prst="rect">
                      <a:avLst/>
                    </a:prstGeom>
                    <a:noFill/>
                  </pic:spPr>
                </pic:pic>
              </a:graphicData>
            </a:graphic>
          </wp:anchor>
        </w:drawing>
      </w:r>
    </w:p>
    <w:p>
      <w:pPr>
        <w:spacing w:after="0" w:line="357" w:lineRule="exact"/>
        <w:rPr>
          <w:sz w:val="20"/>
          <w:szCs w:val="20"/>
          <w:color w:val="auto"/>
        </w:rPr>
      </w:pPr>
    </w:p>
    <w:p>
      <w:pPr>
        <w:ind w:left="1080"/>
        <w:spacing w:after="0"/>
        <w:tabs>
          <w:tab w:leader="none" w:pos="2460" w:val="left"/>
          <w:tab w:leader="none" w:pos="378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7"/>
          <w:szCs w:val="17"/>
          <w:b w:val="1"/>
          <w:bCs w:val="1"/>
          <w:i w:val="1"/>
          <w:iCs w:val="1"/>
          <w:color w:val="auto"/>
        </w:rPr>
        <w:t>(89)%</w:t>
      </w:r>
    </w:p>
    <w:p>
      <w:pPr>
        <w:spacing w:after="0" w:line="200" w:lineRule="exact"/>
        <w:rPr>
          <w:sz w:val="20"/>
          <w:szCs w:val="20"/>
          <w:color w:val="auto"/>
        </w:rPr>
      </w:pPr>
    </w:p>
    <w:p>
      <w:pPr>
        <w:spacing w:after="0" w:line="214" w:lineRule="exact"/>
        <w:rPr>
          <w:sz w:val="20"/>
          <w:szCs w:val="20"/>
          <w:color w:val="auto"/>
        </w:rPr>
      </w:pPr>
    </w:p>
    <w:p>
      <w:pPr>
        <w:ind w:left="1180"/>
        <w:spacing w:after="0"/>
        <w:tabs>
          <w:tab w:leader="none" w:pos="2460" w:val="left"/>
          <w:tab w:leader="none" w:pos="3780" w:val="left"/>
        </w:tabs>
        <w:rPr>
          <w:sz w:val="20"/>
          <w:szCs w:val="20"/>
          <w:color w:val="auto"/>
        </w:rPr>
      </w:pPr>
      <w:r>
        <w:rPr>
          <w:rFonts w:ascii="Arial" w:cs="Arial" w:eastAsia="Arial" w:hAnsi="Arial"/>
          <w:sz w:val="18"/>
          <w:szCs w:val="18"/>
          <w:b w:val="1"/>
          <w:bCs w:val="1"/>
          <w:i w:val="1"/>
          <w:iCs w:val="1"/>
          <w:color w:val="auto"/>
        </w:rPr>
        <w:t>6%</w:t>
      </w:r>
      <w:r>
        <w:rPr>
          <w:sz w:val="20"/>
          <w:szCs w:val="20"/>
          <w:color w:val="auto"/>
        </w:rPr>
        <w:tab/>
      </w: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7"/>
          <w:szCs w:val="17"/>
          <w:b w:val="1"/>
          <w:bCs w:val="1"/>
          <w:i w:val="1"/>
          <w:i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5730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2620" w:space="260"/>
            <w:col w:w="8580"/>
          </w:cols>
          <w:pgMar w:left="240" w:top="125" w:right="199" w:bottom="0" w:gutter="0" w:footer="0" w:header="0"/>
        </w:sectPr>
      </w:pPr>
    </w:p>
    <w:p>
      <w:pPr>
        <w:spacing w:after="0" w:line="247" w:lineRule="exact"/>
        <w:rPr>
          <w:sz w:val="20"/>
          <w:szCs w:val="20"/>
          <w:color w:val="auto"/>
        </w:rPr>
      </w:pPr>
    </w:p>
    <w:p>
      <w:pPr>
        <w:ind w:left="340" w:right="260" w:hanging="332"/>
        <w:spacing w:after="0" w:line="238"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Q2 2016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Q1 2016</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Q2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w w:val="93"/>
              </w:rPr>
              <w:t>Q2 2016 distribution percentage growth from prior periods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60" w:type="dxa"/>
            <w:vAlign w:val="bottom"/>
            <w:gridSpan w:val="2"/>
            <w:vMerge w:val="restart"/>
          </w:tcPr>
          <w:p>
            <w:pPr>
              <w:jc w:val="right"/>
              <w:ind w:right="725"/>
              <w:spacing w:after="0"/>
              <w:rPr>
                <w:sz w:val="20"/>
                <w:szCs w:val="20"/>
                <w:color w:val="auto"/>
              </w:rPr>
            </w:pPr>
            <w:r>
              <w:rPr>
                <w:rFonts w:ascii="Arial" w:cs="Arial" w:eastAsia="Arial" w:hAnsi="Arial"/>
                <w:sz w:val="18"/>
                <w:szCs w:val="18"/>
                <w:color w:val="auto"/>
              </w:rPr>
              <w:t>– more –</w:t>
            </w: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2160" w:type="dxa"/>
            <w:vAlign w:val="bottom"/>
            <w:gridSpan w:val="2"/>
          </w:tcPr>
          <w:p>
            <w:pPr>
              <w:jc w:val="right"/>
              <w:ind w:right="285"/>
              <w:spacing w:after="0"/>
              <w:rPr>
                <w:sz w:val="20"/>
                <w:szCs w:val="20"/>
                <w:color w:val="auto"/>
              </w:rPr>
            </w:pPr>
            <w:r>
              <w:rPr>
                <w:rFonts w:ascii="Arial" w:cs="Arial" w:eastAsia="Arial" w:hAnsi="Arial"/>
                <w:sz w:val="18"/>
                <w:szCs w:val="18"/>
                <w:b w:val="1"/>
                <w:bCs w:val="1"/>
                <w:color w:val="auto"/>
                <w:w w:val="94"/>
              </w:rPr>
              <w:t>Houston, Texas 77002</w:t>
            </w:r>
          </w:p>
        </w:tc>
        <w:tc>
          <w:tcPr>
            <w:tcW w:w="2780" w:type="dxa"/>
            <w:vAlign w:val="bottom"/>
            <w:gridSpan w:val="4"/>
          </w:tcPr>
          <w:p>
            <w:pPr>
              <w:jc w:val="right"/>
              <w:ind w:right="416"/>
              <w:spacing w:after="0"/>
              <w:rPr>
                <w:sz w:val="20"/>
                <w:szCs w:val="20"/>
                <w:color w:val="auto"/>
              </w:rPr>
            </w:pPr>
            <w:r>
              <w:rPr>
                <w:rFonts w:ascii="Arial" w:cs="Arial" w:eastAsia="Arial" w:hAnsi="Arial"/>
                <w:sz w:val="18"/>
                <w:szCs w:val="18"/>
                <w:b w:val="1"/>
                <w:bCs w:val="1"/>
                <w:color w:val="auto"/>
                <w:w w:val="94"/>
              </w:rPr>
              <w:t>713-646-4100 / 866-809-1291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PAA and PAGP will hold a conference call on August 3, 2016 (see details below). Prior to this conference call, PAA will furnish a current report on Form 8-K, which will include material in this news release as well as PAA’s financial and operational guidance for the third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Wednesday, August 3,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PAA’s second-quarter 2016 performance;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and operating guidance for the third quarter and full year of 2016;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w:t>
      </w:r>
    </w:p>
    <w:p>
      <w:pPr>
        <w:spacing w:after="0" w:line="20" w:lineRule="exact"/>
        <w:rPr>
          <w:sz w:val="20"/>
          <w:szCs w:val="20"/>
          <w:color w:val="auto"/>
        </w:rPr>
      </w:pPr>
    </w:p>
    <w:p>
      <w:pPr>
        <w:sectPr>
          <w:pgSz w:w="11900" w:h="16838" w:orient="portrait"/>
          <w:cols w:equalWidth="0" w:num="1">
            <w:col w:w="11460"/>
          </w:cols>
          <w:pgMar w:left="240" w:top="125" w:right="199" w:bottom="0" w:gutter="0" w:footer="0" w:header="0"/>
          <w:type w:val="continuous"/>
        </w:sectPr>
      </w:pPr>
    </w:p>
    <w:bookmarkStart w:id="10" w:name="page11"/>
    <w:bookmarkEnd w:id="10"/>
    <w:p>
      <w:pPr>
        <w:ind w:right="140"/>
        <w:spacing w:after="0" w:line="290" w:lineRule="auto"/>
        <w:rPr>
          <w:sz w:val="20"/>
          <w:szCs w:val="20"/>
          <w:color w:val="auto"/>
        </w:rPr>
      </w:pPr>
      <w:r>
        <w:rPr>
          <w:rFonts w:ascii="Arial" w:cs="Arial" w:eastAsia="Arial" w:hAnsi="Arial"/>
          <w:sz w:val="16"/>
          <w:szCs w:val="16"/>
          <w:color w:val="auto"/>
        </w:rPr>
        <w:t>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97"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0"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w:t>
      </w:r>
    </w:p>
    <w:p>
      <w:pPr>
        <w:sectPr>
          <w:pgSz w:w="11900" w:h="16838" w:orient="portrait"/>
          <w:cols w:equalWidth="0" w:num="1">
            <w:col w:w="11420"/>
          </w:cols>
          <w:pgMar w:left="240" w:top="125" w:right="239" w:bottom="0" w:gutter="0" w:footer="0" w:header="0"/>
        </w:sectPr>
      </w:pPr>
    </w:p>
    <w:bookmarkStart w:id="11" w:name="page12"/>
    <w:bookmarkEnd w:id="11"/>
    <w:p>
      <w:pPr>
        <w:ind w:right="80"/>
        <w:spacing w:after="0" w:line="264" w:lineRule="auto"/>
        <w:rPr>
          <w:sz w:val="20"/>
          <w:szCs w:val="20"/>
          <w:color w:val="auto"/>
        </w:rPr>
      </w:pPr>
      <w:r>
        <w:rPr>
          <w:rFonts w:ascii="Arial" w:cs="Arial" w:eastAsia="Arial" w:hAnsi="Arial"/>
          <w:sz w:val="18"/>
          <w:szCs w:val="18"/>
          <w:color w:val="auto"/>
        </w:rPr>
        <w:t>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2377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ind w:left="20"/>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4,950</w:t>
            </w: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9,060</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4,224</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4,804</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6,452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 net</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Basic</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Basic net income/(loss) per common unit</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Diluted</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0" w:hanging="332"/>
        <w:spacing w:after="0" w:line="267" w:lineRule="auto"/>
        <w:tabs>
          <w:tab w:leader="none" w:pos="32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8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income/(loss) per common unit</w:t>
            </w:r>
          </w:p>
        </w:tc>
        <w:tc>
          <w:tcPr>
            <w:tcW w:w="18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(0.12)</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more –</w:t>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line="6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2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3,603</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13,598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2,396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tcPr>
          <w:p>
            <w:pPr>
              <w:spacing w:after="0"/>
              <w:rPr>
                <w:sz w:val="18"/>
                <w:szCs w:val="18"/>
                <w:color w:val="auto"/>
              </w:rPr>
            </w:pPr>
          </w:p>
        </w:tc>
        <w:tc>
          <w:tcPr>
            <w:tcW w:w="2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4,029</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Senior notes, net of unamortized discounts and debt issuance costs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14,193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8,912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partners’ capital</w:t>
            </w:r>
          </w:p>
        </w:tc>
        <w:tc>
          <w:tcPr>
            <w:tcW w:w="19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8,970</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19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9,486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9,486</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8,970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20" w:type="dxa"/>
            <w:vAlign w:val="bottom"/>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CCEEFF"/>
            </w:tcBorders>
            <w:gridSpan w:val="2"/>
            <w:vMerge w:val="continue"/>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19,758</w:t>
            </w:r>
          </w:p>
        </w:tc>
        <w:tc>
          <w:tcPr>
            <w:tcW w:w="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 more –</w:t>
            </w: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w w:val="99"/>
              </w:rPr>
              <w:t>Houston, Texas 77002</w:t>
            </w:r>
          </w:p>
        </w:tc>
        <w:tc>
          <w:tcPr>
            <w:tcW w:w="308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w w:val="99"/>
              </w:rPr>
              <w:t>713-646-4100 / 866-809-1291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10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3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 of barrels per</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Volumes from tariff activities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80" w:type="dxa"/>
            <w:vAlign w:val="bottom"/>
            <w:tcBorders>
              <w:bottom w:val="single" w:sz="8" w:color="CCEEFF"/>
            </w:tcBorders>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2,178</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w w:val="88"/>
              </w:rPr>
              <w:t>1,886</w:t>
            </w:r>
          </w:p>
        </w:tc>
        <w:tc>
          <w:tcPr>
            <w:tcW w:w="13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2,112</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bl>
    <w:p>
      <w:pPr>
        <w:sectPr>
          <w:pgSz w:w="11900" w:h="16900" w:orient="portrait"/>
          <w:cols w:equalWidth="0" w:num="1">
            <w:col w:w="11460"/>
          </w:cols>
          <w:pgMar w:left="240" w:top="135" w:right="199" w:bottom="0" w:gutter="0" w:footer="0" w:header="0"/>
        </w:sectPr>
      </w:pPr>
    </w:p>
    <w:bookmarkStart w:id="13" w:name="page14"/>
    <w:bookmarkEnd w:id="1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Western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Gulf Coast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Central</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Canada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NGL pipelines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Trucking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105</w:t>
            </w: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99</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105</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136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w w:val="95"/>
              </w:rPr>
              <w:t>Rail load / unload volumes (average volumes in thousands of barrels per day)</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working capacity in billions of cubic</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3"/>
                <w:szCs w:val="13"/>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97</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97</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feet)</w:t>
            </w: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NGL fractionation (average volumes in thousands of barrels per day)</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128</w:t>
            </w: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126</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128</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(3)</w:t>
            </w:r>
          </w:p>
        </w:tc>
        <w:tc>
          <w:tcPr>
            <w:tcW w:w="136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Supply and Logistics segment (average daily volumes in thousands of barrels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per day):</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NGL sales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Supply and Logistics segment total volumes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320" w:hanging="332"/>
        <w:spacing w:after="0" w:line="267" w:lineRule="auto"/>
        <w:tabs>
          <w:tab w:leader="none" w:pos="328"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Income/(Loss) per Common Unit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income/(loss) allocated to common unitholders in accordance with</w:t>
            </w: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vMerge w:val="continue"/>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0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3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income/(loss) per common unit</w:t>
            </w:r>
          </w:p>
        </w:tc>
        <w:tc>
          <w:tcPr>
            <w:tcW w:w="116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(0.20)</w:t>
            </w: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Income/(Loss) per Common Unit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income/(loss) allocated to common unitholders in accordance with</w:t>
            </w: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vMerge w:val="continue"/>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0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3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91" w:right="239" w:bottom="0" w:gutter="0" w:footer="0" w:header="0"/>
        </w:sectPr>
      </w:pPr>
    </w:p>
    <w:bookmarkStart w:id="14" w:name="page15"/>
    <w:bookmarkEnd w:id="14"/>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Diluted net income/(loss) per common unit </w:t>
            </w:r>
            <w:r>
              <w:rPr>
                <w:rFonts w:ascii="Arial" w:cs="Arial" w:eastAsia="Arial" w:hAnsi="Arial"/>
                <w:sz w:val="21"/>
                <w:szCs w:val="21"/>
                <w:color w:val="auto"/>
                <w:vertAlign w:val="superscript"/>
              </w:rPr>
              <w:t>(3)</w:t>
            </w:r>
          </w:p>
        </w:tc>
        <w:tc>
          <w:tcPr>
            <w:tcW w:w="11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vMerge w:val="restart"/>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160" w:type="dxa"/>
            <w:vAlign w:val="bottom"/>
            <w:shd w:val="clear" w:color="auto" w:fill="CCEEFF"/>
          </w:tcPr>
          <w:p>
            <w:pPr>
              <w:spacing w:after="0"/>
              <w:rPr>
                <w:sz w:val="4"/>
                <w:szCs w:val="4"/>
                <w:color w:val="auto"/>
              </w:rPr>
            </w:pPr>
          </w:p>
        </w:tc>
        <w:tc>
          <w:tcPr>
            <w:tcW w:w="1120" w:type="dxa"/>
            <w:vAlign w:val="bottom"/>
            <w:gridSpan w:val="2"/>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gridSpan w:val="2"/>
            <w:vMerge w:val="continue"/>
            <w:shd w:val="clear" w:color="auto" w:fill="CCEEFF"/>
          </w:tcPr>
          <w:p>
            <w:pPr>
              <w:spacing w:after="0"/>
              <w:rPr>
                <w:sz w:val="4"/>
                <w:szCs w:val="4"/>
                <w:color w:val="auto"/>
              </w:rPr>
            </w:pPr>
          </w:p>
        </w:tc>
        <w:tc>
          <w:tcPr>
            <w:tcW w:w="82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38"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Net income/(loss)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ind w:left="340" w:right="20" w:hanging="332"/>
        <w:spacing w:after="0" w:line="250" w:lineRule="auto"/>
        <w:tabs>
          <w:tab w:leader="none" w:pos="328"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income/(loss) per common unit for the three and six months ended June 30, 2016 and the three months ended June 30, 2015 as the effect was antidilutive.</w:t>
      </w:r>
    </w:p>
    <w:p>
      <w:pPr>
        <w:spacing w:after="0" w:line="2" w:lineRule="exact"/>
        <w:rPr>
          <w:rFonts w:ascii="Arial" w:cs="Arial" w:eastAsia="Arial" w:hAnsi="Arial"/>
          <w:sz w:val="22"/>
          <w:szCs w:val="22"/>
          <w:color w:val="auto"/>
          <w:vertAlign w:val="superscript"/>
        </w:rPr>
      </w:pPr>
    </w:p>
    <w:p>
      <w:pPr>
        <w:ind w:left="340" w:right="80" w:hanging="332"/>
        <w:spacing w:after="0" w:line="219"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six months ended June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w w:val="96"/>
              </w:rPr>
              <w:t xml:space="preserve">Losses from derivative activities net of inventory valuation adjustments </w:t>
            </w:r>
            <w:r>
              <w:rPr>
                <w:rFonts w:ascii="Arial" w:cs="Arial" w:eastAsia="Arial" w:hAnsi="Arial"/>
                <w:sz w:val="23"/>
                <w:szCs w:val="23"/>
                <w:color w:val="auto"/>
                <w:w w:val="96"/>
                <w:vertAlign w:val="superscript"/>
              </w:rPr>
              <w:t>(2)</w:t>
            </w:r>
          </w:p>
        </w:tc>
        <w:tc>
          <w:tcPr>
            <w:tcW w:w="96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Selected items impacting comparability of EBITDA</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7"/>
                <w:szCs w:val="17"/>
                <w:color w:val="auto"/>
              </w:rPr>
              <w:t xml:space="preserve">Deferred income tax expense </w:t>
            </w:r>
            <w:r>
              <w:rPr>
                <w:rFonts w:ascii="Arial" w:cs="Arial" w:eastAsia="Arial" w:hAnsi="Arial"/>
                <w:sz w:val="22"/>
                <w:szCs w:val="22"/>
                <w:color w:val="auto"/>
                <w:vertAlign w:val="superscript"/>
              </w:rPr>
              <w:t>(8)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common unit</w:t>
            </w:r>
          </w:p>
        </w:tc>
        <w:tc>
          <w:tcPr>
            <w:tcW w:w="96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(0.08)</w:t>
            </w: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(0.33)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common unit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0" w:type="dxa"/>
            <w:vAlign w:val="bottom"/>
          </w:tcPr>
          <w:p>
            <w:pPr>
              <w:jc w:val="right"/>
              <w:ind w:right="617"/>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7"/>
              </w:rPr>
              <w:t>(0.08</w:t>
            </w:r>
          </w:p>
        </w:tc>
        <w:tc>
          <w:tcPr>
            <w:tcW w:w="220" w:type="dxa"/>
            <w:vAlign w:val="bottom"/>
            <w:vMerge w:val="continue"/>
          </w:tcPr>
          <w:p>
            <w:pPr>
              <w:spacing w:after="0"/>
              <w:rPr>
                <w:sz w:val="17"/>
                <w:szCs w:val="17"/>
                <w:color w:val="auto"/>
              </w:rPr>
            </w:pPr>
          </w:p>
        </w:tc>
        <w:tc>
          <w:tcPr>
            <w:tcW w:w="800" w:type="dxa"/>
            <w:vAlign w:val="bottom"/>
          </w:tcPr>
          <w:p>
            <w:pPr>
              <w:jc w:val="right"/>
              <w:ind w:right="61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7"/>
              </w:rPr>
              <w:t>(0.33</w:t>
            </w:r>
          </w:p>
        </w:tc>
        <w:tc>
          <w:tcPr>
            <w:tcW w:w="22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(0.46</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(0.54</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80" w:hanging="332"/>
        <w:spacing w:after="0" w:line="239"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Arial" w:cs="Arial" w:eastAsia="Arial" w:hAnsi="Arial"/>
          <w:sz w:val="23"/>
          <w:szCs w:val="23"/>
          <w:color w:val="auto"/>
          <w:vertAlign w:val="superscript"/>
        </w:rPr>
      </w:pPr>
    </w:p>
    <w:p>
      <w:pPr>
        <w:ind w:left="340" w:right="160" w:hanging="332"/>
        <w:spacing w:after="0" w:line="275" w:lineRule="auto"/>
        <w:tabs>
          <w:tab w:leader="none" w:pos="32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w:t>
      </w:r>
    </w:p>
    <w:p>
      <w:pPr>
        <w:sectPr>
          <w:pgSz w:w="11900" w:h="16867" w:orient="portrait"/>
          <w:cols w:equalWidth="0" w:num="1">
            <w:col w:w="11420"/>
          </w:cols>
          <w:pgMar w:left="240" w:top="356" w:right="239" w:bottom="0" w:gutter="0" w:footer="0" w:header="0"/>
        </w:sectPr>
      </w:pPr>
    </w:p>
    <w:bookmarkStart w:id="15" w:name="page16"/>
    <w:bookmarkEnd w:id="15"/>
    <w:p>
      <w:pPr>
        <w:spacing w:after="0" w:line="62" w:lineRule="exact"/>
        <w:rPr>
          <w:sz w:val="20"/>
          <w:szCs w:val="20"/>
          <w:color w:val="auto"/>
        </w:rPr>
      </w:pPr>
    </w:p>
    <w:p>
      <w:pPr>
        <w:ind w:left="340" w:right="20"/>
        <w:spacing w:after="0" w:line="291" w:lineRule="auto"/>
        <w:rPr>
          <w:sz w:val="20"/>
          <w:szCs w:val="20"/>
          <w:color w:val="auto"/>
        </w:rPr>
      </w:pPr>
      <w:r>
        <w:rPr>
          <w:rFonts w:ascii="Arial" w:cs="Arial" w:eastAsia="Arial" w:hAnsi="Arial"/>
          <w:sz w:val="16"/>
          <w:szCs w:val="16"/>
          <w:color w:val="auto"/>
        </w:rPr>
        <w:t>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ind w:left="340" w:right="140" w:hanging="332"/>
        <w:spacing w:after="0" w:line="239"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hanging="332"/>
        <w:spacing w:after="0" w:line="219"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3"/>
          <w:szCs w:val="23"/>
          <w:color w:val="auto"/>
          <w:vertAlign w:val="superscript"/>
        </w:rPr>
      </w:pPr>
    </w:p>
    <w:p>
      <w:pPr>
        <w:ind w:left="320" w:hanging="312"/>
        <w:spacing w:after="0" w:line="205" w:lineRule="auto"/>
        <w:tabs>
          <w:tab w:leader="none" w:pos="320"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Includes costs related to the Line 901 incident that occurred in May 2015, net of amounts we believe are probable of recovery from insurance.</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a change in Canadian tax legislation impacting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7"/>
              </w:rPr>
              <w:t>Segment general and administrative expenses</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 (3)</w:t>
            </w: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3"/>
              </w:rPr>
              <w:t>Equity-indexed compensation expense - general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and administrative</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Reported segment profit/(loss)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(Gains)/losses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on foreign currency revaluation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7"/>
              </w:rPr>
              <w:t>Segment general and administrative expenses</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 (3)</w:t>
            </w: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3"/>
              </w:rPr>
              <w:t>Equity-indexed compensation expense - general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and administrative</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(Gains)/losses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w:t>
            </w: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5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5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31</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segment profit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530</w:t>
            </w:r>
          </w:p>
        </w:tc>
        <w:tc>
          <w:tcPr>
            <w:tcW w:w="24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57</w:t>
            </w:r>
          </w:p>
        </w:tc>
        <w:tc>
          <w:tcPr>
            <w:tcW w:w="24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340" w:right="280" w:hanging="332"/>
        <w:spacing w:after="0" w:line="243"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0"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57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 (“EBITDA”), Excluding Selected Items Impacting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Comparability (“Adjusted EBITDA”) and Implied Distributable Cash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Flow (“DCF”) Reconciliations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57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(4)</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 w:lineRule="exact"/>
        <w:rPr>
          <w:rFonts w:ascii="Arial" w:cs="Arial" w:eastAsia="Arial" w:hAnsi="Arial"/>
          <w:sz w:val="23"/>
          <w:szCs w:val="23"/>
          <w:color w:val="auto"/>
          <w:vertAlign w:val="superscript"/>
        </w:rPr>
      </w:pPr>
    </w:p>
    <w:p>
      <w:pPr>
        <w:ind w:left="340" w:right="20" w:hanging="332"/>
        <w:spacing w:after="0" w:line="219"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Including costs recognized during the period related to the Line 901 incident that occurred during May 2015, Implied DCF would have been $242 million and $687 million for the three and six months ended June 30, 2015,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1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INCOME/(LOSS)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3"/>
                <w:szCs w:val="13"/>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56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Income/(Loss) per Common Unit</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165"/>
        </w:trPr>
        <w:tc>
          <w:tcPr>
            <w:tcW w:w="4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34" w:right="239" w:bottom="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(1)</w:t>
            </w: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Adjusted net income/(loss) allocated to common unitholders in accordance</w:t>
            </w: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application of the two-class method for MLPs</w:t>
            </w:r>
          </w:p>
        </w:tc>
        <w:tc>
          <w:tcPr>
            <w:tcW w:w="16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income/(loss) per common unit</w:t>
            </w:r>
          </w:p>
        </w:tc>
        <w:tc>
          <w:tcPr>
            <w:tcW w:w="6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Income/(Loss) per Common Unit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Adjusted net income/(loss) allocated to common unitholders in accordance</w:t>
            </w: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application of the two-class method for MLPs</w:t>
            </w:r>
          </w:p>
        </w:tc>
        <w:tc>
          <w:tcPr>
            <w:tcW w:w="16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62" w:lineRule="exact"/>
              <w:rPr>
                <w:sz w:val="20"/>
                <w:szCs w:val="20"/>
                <w:color w:val="auto"/>
              </w:rPr>
            </w:pPr>
            <w:r>
              <w:rPr>
                <w:rFonts w:ascii="Arial" w:cs="Arial" w:eastAsia="Arial" w:hAnsi="Arial"/>
                <w:sz w:val="14"/>
                <w:szCs w:val="14"/>
                <w:color w:val="auto"/>
              </w:rPr>
              <w:t xml:space="preserve">Diluted adjusted net income/(loss) per common unit </w:t>
            </w:r>
            <w:r>
              <w:rPr>
                <w:rFonts w:ascii="Arial" w:cs="Arial" w:eastAsia="Arial" w:hAnsi="Arial"/>
                <w:sz w:val="18"/>
                <w:szCs w:val="18"/>
                <w:color w:val="auto"/>
                <w:vertAlign w:val="superscript"/>
              </w:rPr>
              <w:t>(4)</w:t>
            </w:r>
          </w:p>
        </w:tc>
        <w:tc>
          <w:tcPr>
            <w:tcW w:w="620" w:type="dxa"/>
            <w:vAlign w:val="bottom"/>
            <w:gridSpan w:val="2"/>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660" w:type="dxa"/>
            <w:vAlign w:val="bottom"/>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980" w:type="dxa"/>
            <w:vAlign w:val="bottom"/>
            <w:gridSpan w:val="2"/>
            <w:shd w:val="clear" w:color="auto" w:fill="CCEEFF"/>
          </w:tcPr>
          <w:p>
            <w:pPr>
              <w:jc w:val="right"/>
              <w:ind w:right="220"/>
              <w:spacing w:after="0" w:line="81" w:lineRule="exact"/>
              <w:rPr>
                <w:sz w:val="20"/>
                <w:szCs w:val="20"/>
                <w:color w:val="auto"/>
              </w:rPr>
            </w:pPr>
            <w:r>
              <w:rPr>
                <w:rFonts w:ascii="Arial" w:cs="Arial" w:eastAsia="Arial" w:hAnsi="Arial"/>
                <w:sz w:val="9"/>
                <w:szCs w:val="9"/>
                <w:color w:val="auto"/>
              </w:rPr>
              <w:t>(0.12</w:t>
            </w:r>
          </w:p>
        </w:tc>
        <w:tc>
          <w:tcPr>
            <w:tcW w:w="500" w:type="dxa"/>
            <w:vAlign w:val="bottom"/>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Adjusted 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3" w:lineRule="exact"/>
        <w:rPr>
          <w:rFonts w:ascii="Arial" w:cs="Arial" w:eastAsia="Arial" w:hAnsi="Arial"/>
          <w:sz w:val="23"/>
          <w:szCs w:val="23"/>
          <w:color w:val="auto"/>
          <w:vertAlign w:val="superscript"/>
        </w:rPr>
      </w:pPr>
    </w:p>
    <w:p>
      <w:pPr>
        <w:ind w:left="340" w:right="20" w:hanging="332"/>
        <w:spacing w:after="0" w:line="237" w:lineRule="auto"/>
        <w:tabs>
          <w:tab w:leader="none" w:pos="32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income/(loss) per common unit for the three months ended June 30, 2016 as the effect was antidilutive.</w:t>
      </w:r>
    </w:p>
    <w:p>
      <w:pPr>
        <w:spacing w:after="0" w:line="1" w:lineRule="exact"/>
        <w:rPr>
          <w:rFonts w:ascii="Arial" w:cs="Arial" w:eastAsia="Arial" w:hAnsi="Arial"/>
          <w:sz w:val="23"/>
          <w:szCs w:val="23"/>
          <w:color w:val="auto"/>
          <w:vertAlign w:val="superscript"/>
        </w:rPr>
      </w:pPr>
    </w:p>
    <w:p>
      <w:pPr>
        <w:ind w:left="340" w:right="140" w:hanging="332"/>
        <w:spacing w:after="0" w:line="219" w:lineRule="auto"/>
        <w:tabs>
          <w:tab w:leader="none" w:pos="32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income/(loss) per common unit for the three and six months ended June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2"/>
              </w:rPr>
              <w:t>June 30, 2016</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2"/>
              </w:rPr>
              <w:t>June 30, 2015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5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5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5"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INCOME/(EXPENSE)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5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interests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80" w:hanging="332"/>
        <w:spacing w:after="0" w:line="251" w:lineRule="auto"/>
        <w:tabs>
          <w:tab w:leader="none" w:pos="32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7,571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10,890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9" w:name="page20"/>
    <w:bookmarkEnd w:id="19"/>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w:t>
            </w:r>
          </w:p>
        </w:tc>
        <w:tc>
          <w:tcPr>
            <w:tcW w:w="18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60" w:type="dxa"/>
            <w:vAlign w:val="bottom"/>
            <w:gridSpan w:val="2"/>
            <w:vMerge w:val="restart"/>
            <w:shd w:val="clear" w:color="auto" w:fill="CCEEFF"/>
          </w:tcPr>
          <w:p>
            <w:pPr>
              <w:jc w:val="right"/>
              <w:ind w:right="1520"/>
              <w:spacing w:after="0"/>
              <w:rPr>
                <w:sz w:val="20"/>
                <w:szCs w:val="20"/>
                <w:color w:val="auto"/>
              </w:rPr>
            </w:pPr>
            <w:r>
              <w:rPr>
                <w:rFonts w:ascii="Arial" w:cs="Arial" w:eastAsia="Arial" w:hAnsi="Arial"/>
                <w:sz w:val="18"/>
                <w:szCs w:val="18"/>
                <w:color w:val="auto"/>
              </w:rPr>
              <w:t>0.30</w:t>
            </w:r>
          </w:p>
        </w:tc>
        <w:tc>
          <w:tcPr>
            <w:tcW w:w="19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880" w:type="dxa"/>
            <w:vAlign w:val="bottom"/>
            <w:gridSpan w:val="2"/>
            <w:vMerge w:val="continue"/>
            <w:shd w:val="clear" w:color="auto" w:fill="CCEEFF"/>
          </w:tcPr>
          <w:p>
            <w:pPr>
              <w:spacing w:after="0"/>
              <w:rPr>
                <w:sz w:val="19"/>
                <w:szCs w:val="19"/>
                <w:color w:val="auto"/>
              </w:rPr>
            </w:pPr>
          </w:p>
        </w:tc>
        <w:tc>
          <w:tcPr>
            <w:tcW w:w="2160" w:type="dxa"/>
            <w:vAlign w:val="bottom"/>
            <w:gridSpan w:val="2"/>
            <w:vMerge w:val="continue"/>
            <w:shd w:val="clear" w:color="auto" w:fill="CCEEFF"/>
          </w:tcPr>
          <w:p>
            <w:pPr>
              <w:spacing w:after="0"/>
              <w:rPr>
                <w:sz w:val="19"/>
                <w:szCs w:val="19"/>
                <w:color w:val="auto"/>
              </w:rPr>
            </w:pPr>
          </w:p>
        </w:tc>
        <w:tc>
          <w:tcPr>
            <w:tcW w:w="19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18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60" w:type="dxa"/>
            <w:vAlign w:val="bottom"/>
            <w:gridSpan w:val="2"/>
            <w:vMerge w:val="restart"/>
            <w:shd w:val="clear" w:color="auto" w:fill="CCEEFF"/>
          </w:tcPr>
          <w:p>
            <w:pPr>
              <w:jc w:val="right"/>
              <w:ind w:right="1520"/>
              <w:spacing w:after="0"/>
              <w:rPr>
                <w:sz w:val="20"/>
                <w:szCs w:val="20"/>
                <w:color w:val="auto"/>
              </w:rPr>
            </w:pPr>
            <w:r>
              <w:rPr>
                <w:rFonts w:ascii="Arial" w:cs="Arial" w:eastAsia="Arial" w:hAnsi="Arial"/>
                <w:sz w:val="18"/>
                <w:szCs w:val="18"/>
                <w:color w:val="auto"/>
              </w:rPr>
              <w:t>0.29</w:t>
            </w:r>
          </w:p>
        </w:tc>
        <w:tc>
          <w:tcPr>
            <w:tcW w:w="19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880" w:type="dxa"/>
            <w:vAlign w:val="bottom"/>
            <w:gridSpan w:val="2"/>
            <w:vMerge w:val="continue"/>
            <w:shd w:val="clear" w:color="auto" w:fill="CCEEFF"/>
          </w:tcPr>
          <w:p>
            <w:pPr>
              <w:spacing w:after="0"/>
              <w:rPr>
                <w:sz w:val="19"/>
                <w:szCs w:val="19"/>
                <w:color w:val="auto"/>
              </w:rPr>
            </w:pPr>
          </w:p>
        </w:tc>
        <w:tc>
          <w:tcPr>
            <w:tcW w:w="2160" w:type="dxa"/>
            <w:vAlign w:val="bottom"/>
            <w:gridSpan w:val="2"/>
            <w:vMerge w:val="continue"/>
            <w:shd w:val="clear" w:color="auto" w:fill="CCEEFF"/>
          </w:tcPr>
          <w:p>
            <w:pPr>
              <w:spacing w:after="0"/>
              <w:rPr>
                <w:sz w:val="19"/>
                <w:szCs w:val="19"/>
                <w:color w:val="auto"/>
              </w:rPr>
            </w:pPr>
          </w:p>
        </w:tc>
        <w:tc>
          <w:tcPr>
            <w:tcW w:w="19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60" w:type="dxa"/>
            <w:vAlign w:val="bottom"/>
            <w:gridSpan w:val="2"/>
            <w:vMerge w:val="restart"/>
            <w:shd w:val="clear" w:color="auto" w:fill="CCEEFF"/>
          </w:tcPr>
          <w:p>
            <w:pPr>
              <w:jc w:val="right"/>
              <w:ind w:right="1520"/>
              <w:spacing w:after="0"/>
              <w:rPr>
                <w:sz w:val="20"/>
                <w:szCs w:val="20"/>
                <w:color w:val="auto"/>
              </w:rPr>
            </w:pPr>
            <w:r>
              <w:rPr>
                <w:rFonts w:ascii="Arial" w:cs="Arial" w:eastAsia="Arial" w:hAnsi="Arial"/>
                <w:sz w:val="18"/>
                <w:szCs w:val="18"/>
                <w:color w:val="auto"/>
              </w:rPr>
              <w:t>260</w:t>
            </w:r>
          </w:p>
        </w:tc>
        <w:tc>
          <w:tcPr>
            <w:tcW w:w="1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60" w:type="dxa"/>
            <w:vAlign w:val="bottom"/>
            <w:gridSpan w:val="2"/>
            <w:vMerge w:val="continue"/>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60" w:type="dxa"/>
            <w:vAlign w:val="bottom"/>
            <w:gridSpan w:val="2"/>
            <w:vMerge w:val="restart"/>
            <w:shd w:val="clear" w:color="auto" w:fill="CCEEFF"/>
          </w:tcPr>
          <w:p>
            <w:pPr>
              <w:jc w:val="right"/>
              <w:ind w:right="1520"/>
              <w:spacing w:after="0"/>
              <w:rPr>
                <w:sz w:val="20"/>
                <w:szCs w:val="20"/>
                <w:color w:val="auto"/>
              </w:rPr>
            </w:pPr>
            <w:r>
              <w:rPr>
                <w:rFonts w:ascii="Arial" w:cs="Arial" w:eastAsia="Arial" w:hAnsi="Arial"/>
                <w:sz w:val="18"/>
                <w:szCs w:val="18"/>
                <w:color w:val="auto"/>
              </w:rPr>
              <w:t>652</w:t>
            </w:r>
          </w:p>
        </w:tc>
        <w:tc>
          <w:tcPr>
            <w:tcW w:w="1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60" w:type="dxa"/>
            <w:vAlign w:val="bottom"/>
            <w:gridSpan w:val="2"/>
            <w:vMerge w:val="continue"/>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80" w:hanging="332"/>
        <w:spacing w:after="0" w:line="251" w:lineRule="auto"/>
        <w:tabs>
          <w:tab w:leader="none" w:pos="328"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3,605</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25,075</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 discounts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and debt issuance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9,128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 debt, net of unamortized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Other long-term liabilities and deferred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credits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8,487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25,075</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ectPr>
          <w:pgSz w:w="11900" w:h="16843" w:orient="portrait"/>
          <w:cols w:equalWidth="0" w:num="1">
            <w:col w:w="11420"/>
          </w:cols>
          <w:pgMar w:left="240" w:top="346" w:right="239" w:bottom="0" w:gutter="0" w:footer="0" w:header="0"/>
        </w:sectPr>
      </w:pPr>
    </w:p>
    <w:bookmarkStart w:id="20" w:name="page21"/>
    <w:bookmarkEnd w:id="20"/>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2016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Q2 2016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7/29/16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AAP Owners &amp; AAP Management (59%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PAGP (41%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7/29/16</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(1)</w:t>
            </w:r>
          </w:p>
        </w:tc>
        <w:tc>
          <w:tcPr>
            <w:tcW w:w="4140" w:type="dxa"/>
            <w:vAlign w:val="bottom"/>
          </w:tcPr>
          <w:p>
            <w:pPr>
              <w:ind w:left="80"/>
              <w:spacing w:after="0"/>
              <w:rPr>
                <w:sz w:val="20"/>
                <w:szCs w:val="20"/>
                <w:color w:val="auto"/>
              </w:rPr>
            </w:pPr>
            <w:r>
              <w:rPr>
                <w:rFonts w:ascii="Arial" w:cs="Arial" w:eastAsia="Arial" w:hAnsi="Arial"/>
                <w:sz w:val="18"/>
                <w:szCs w:val="18"/>
                <w:color w:val="auto"/>
              </w:rPr>
              <w:t>Amounts may not recalculate due to rounding.</w:t>
            </w:r>
          </w:p>
        </w:tc>
      </w:tr>
      <w:tr>
        <w:trPr>
          <w:trHeight w:val="230"/>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(2)</w:t>
            </w:r>
          </w:p>
        </w:tc>
        <w:tc>
          <w:tcPr>
            <w:tcW w:w="4140" w:type="dxa"/>
            <w:vAlign w:val="bottom"/>
          </w:tcPr>
          <w:p>
            <w:pPr>
              <w:ind w:left="80"/>
              <w:spacing w:after="0"/>
              <w:rPr>
                <w:sz w:val="20"/>
                <w:szCs w:val="20"/>
                <w:color w:val="auto"/>
              </w:rPr>
            </w:pPr>
            <w:r>
              <w:rPr>
                <w:rFonts w:ascii="Arial" w:cs="Arial" w:eastAsia="Arial" w:hAnsi="Arial"/>
                <w:sz w:val="18"/>
                <w:szCs w:val="18"/>
                <w:color w:val="auto"/>
                <w:w w:val="92"/>
              </w:rPr>
              <w:t>Plains AAP, L.P. (“AAP”) is the general partner of PAA.</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net income per Class A share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Incremental net income allocated to PAGP resulting from</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assumed exchange of AAP units and AAP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Net income allocated to PAGP including incremental net</w:t>
            </w: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w w:val="98"/>
              </w:rPr>
              <w:t>income from assumed exchange of AAP units and AAP</w:t>
            </w: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189</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Management Units</w:t>
            </w:r>
          </w:p>
        </w:tc>
        <w:tc>
          <w:tcPr>
            <w:tcW w:w="6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Dilutive shares resulting from assumed exchange of AAP</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units and AAP Management 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5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Diluted net income per Class A share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0.15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Contacts:</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700" w:type="dxa"/>
            <w:vAlign w:val="bottom"/>
            <w:gridSpan w:val="3"/>
          </w:tcPr>
          <w:p>
            <w:pPr>
              <w:spacing w:after="0"/>
              <w:rPr>
                <w:sz w:val="20"/>
                <w:szCs w:val="20"/>
                <w:color w:val="auto"/>
              </w:rPr>
            </w:pPr>
            <w:r>
              <w:rPr>
                <w:rFonts w:ascii="Arial" w:cs="Arial" w:eastAsia="Arial" w:hAnsi="Arial"/>
                <w:sz w:val="18"/>
                <w:szCs w:val="18"/>
                <w:color w:val="auto"/>
              </w:rPr>
              <w:t>Ryan Smith</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w w:val="92"/>
              </w:rPr>
              <w:t>Al Swanson</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Director, Investor Relations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5"/>
          </w:tcPr>
          <w:p>
            <w:pPr>
              <w:ind w:left="460"/>
              <w:spacing w:after="0"/>
              <w:rPr>
                <w:sz w:val="20"/>
                <w:szCs w:val="20"/>
                <w:color w:val="auto"/>
              </w:rPr>
            </w:pPr>
            <w:r>
              <w:rPr>
                <w:rFonts w:ascii="Arial" w:cs="Arial" w:eastAsia="Arial" w:hAnsi="Arial"/>
                <w:sz w:val="18"/>
                <w:szCs w:val="18"/>
                <w:color w:val="auto"/>
                <w:w w:val="97"/>
              </w:rPr>
              <w:t>Executive Vice President, CFO</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21"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jc w:val="right"/>
              <w:ind w:right="3370"/>
              <w:spacing w:after="0"/>
              <w:rPr>
                <w:sz w:val="20"/>
                <w:szCs w:val="20"/>
                <w:color w:val="auto"/>
              </w:rPr>
            </w:pPr>
            <w:r>
              <w:rPr>
                <w:rFonts w:ascii="Arial" w:cs="Arial" w:eastAsia="Arial" w:hAnsi="Arial"/>
                <w:sz w:val="18"/>
                <w:szCs w:val="18"/>
                <w:color w:val="auto"/>
                <w:w w:val="90"/>
              </w:rPr>
              <w:t>(866) 809-1291</w:t>
            </w:r>
          </w:p>
        </w:tc>
        <w:tc>
          <w:tcPr>
            <w:tcW w:w="2320" w:type="dxa"/>
            <w:vAlign w:val="bottom"/>
          </w:tcPr>
          <w:p>
            <w:pPr>
              <w:jc w:val="right"/>
              <w:spacing w:after="0"/>
              <w:rPr>
                <w:sz w:val="20"/>
                <w:szCs w:val="20"/>
                <w:color w:val="auto"/>
              </w:rPr>
            </w:pPr>
            <w:r>
              <w:rPr>
                <w:rFonts w:ascii="Arial" w:cs="Arial" w:eastAsia="Arial" w:hAnsi="Arial"/>
                <w:sz w:val="18"/>
                <w:szCs w:val="18"/>
                <w:color w:val="auto"/>
              </w:rPr>
              <w:t>(800) 564-3036</w:t>
            </w:r>
          </w:p>
        </w:tc>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600" w:type="dxa"/>
            <w:vAlign w:val="bottom"/>
          </w:tcPr>
          <w:p>
            <w:pPr>
              <w:spacing w:after="0"/>
              <w:rPr>
                <w:sz w:val="24"/>
                <w:szCs w:val="24"/>
                <w:color w:val="auto"/>
              </w:rPr>
            </w:pPr>
          </w:p>
        </w:tc>
        <w:tc>
          <w:tcPr>
            <w:tcW w:w="23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600" w:type="dxa"/>
            <w:vAlign w:val="bottom"/>
          </w:tcPr>
          <w:p>
            <w:pPr>
              <w:jc w:val="right"/>
              <w:ind w:right="13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Houston, Texas 77002</w:t>
            </w:r>
          </w:p>
        </w:tc>
        <w:tc>
          <w:tcPr>
            <w:tcW w:w="450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866-809-1291</w:t>
            </w:r>
          </w:p>
        </w:tc>
        <w:tc>
          <w:tcPr>
            <w:tcW w:w="40" w:type="dxa"/>
            <w:vAlign w:val="bottom"/>
          </w:tcPr>
          <w:p>
            <w:pPr>
              <w:spacing w:after="0"/>
              <w:rPr>
                <w:sz w:val="19"/>
                <w:szCs w:val="19"/>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1)"/>
      <w:numFmt w:val="lowerRoman"/>
      <w:start w:val="4"/>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
    <w:nsid w:val="257130A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62BBD95A"/>
    <w:multiLevelType w:val="hybridMultilevel"/>
    <w:lvl w:ilvl="0">
      <w:lvlJc w:val="left"/>
      <w:lvlText w:val="%1"/>
      <w:numFmt w:val="lowerLetter"/>
      <w:start w:val="1"/>
    </w:lvl>
    <w:lvl w:ilvl="1">
      <w:lvlJc w:val="left"/>
      <w:lvlText w:val="(%2)"/>
      <w:numFmt w:val="decimal"/>
      <w:start w:val="1"/>
    </w:lvl>
  </w:abstractNum>
  <w:abstractNum w:abstractNumId="6">
    <w:nsid w:val="436C6125"/>
    <w:multiLevelType w:val="hybridMultilevel"/>
    <w:lvl w:ilvl="0">
      <w:lvlJc w:val="left"/>
      <w:lvlText w:val="%1."/>
      <w:numFmt w:val="lowerLetter"/>
      <w:start w:val="2"/>
    </w:lvl>
    <w:lvl w:ilvl="1">
      <w:lvlJc w:val="left"/>
      <w:lvlText w:val="%2"/>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lowerLetter"/>
      <w:start w:val="3"/>
    </w:lvl>
    <w:lvl w:ilvl="1">
      <w:lvlJc w:val="left"/>
      <w:lvlText w:val="·"/>
      <w:numFmt w:val="bullet"/>
      <w:start w:val="1"/>
    </w:lvl>
  </w:abstractNum>
  <w:abstractNum w:abstractNumId="9">
    <w:nsid w:val="721DA317"/>
    <w:multiLevelType w:val="hybridMultilevel"/>
    <w:lvl w:ilvl="0">
      <w:lvlJc w:val="left"/>
      <w:lvlText w:val="%1"/>
      <w:numFmt w:val="decimal"/>
      <w:start w:val="1"/>
    </w:lvl>
    <w:lvl w:ilvl="1">
      <w:lvlJc w:val="left"/>
      <w:lvlText w:val="(%2)"/>
      <w:numFmt w:val="decimal"/>
      <w:start w:val="1"/>
    </w:lvl>
  </w:abstractNum>
  <w:abstractNum w:abstractNumId="10">
    <w:nsid w:val="2443A858"/>
    <w:multiLevelType w:val="hybridMultilevel"/>
    <w:lvl w:ilvl="0">
      <w:lvlJc w:val="left"/>
      <w:lvlText w:val="%1."/>
      <w:numFmt w:val="decimal"/>
      <w:start w:val="3"/>
    </w:lvl>
    <w:lvl w:ilvl="1">
      <w:lvlJc w:val="left"/>
      <w:lvlText w:val="%2"/>
      <w:numFmt w:val="decimal"/>
      <w:start w:val="1"/>
    </w:lvl>
  </w:abstractNum>
  <w:abstractNum w:abstractNumId="11">
    <w:nsid w:val="2D1D5AE9"/>
    <w:multiLevelType w:val="hybridMultilevel"/>
    <w:lvl w:ilvl="0">
      <w:lvlJc w:val="left"/>
      <w:lvlText w:val="%1."/>
      <w:numFmt w:val="decimal"/>
      <w:start w:val="4"/>
    </w:lvl>
  </w:abstractNum>
  <w:abstractNum w:abstractNumId="12">
    <w:nsid w:val="6763845E"/>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13">
    <w:nsid w:val="75A2A8D4"/>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abstractNum>
  <w:abstractNum w:abstractNumId="14">
    <w:nsid w:val="8EDBDAB"/>
    <w:multiLevelType w:val="hybridMultilevel"/>
    <w:lvl w:ilvl="0">
      <w:lvlJc w:val="left"/>
      <w:lvlText w:val="%1."/>
      <w:numFmt w:val="decimal"/>
      <w:start w:val="6"/>
    </w:lvl>
    <w:lvl w:ilvl="1">
      <w:lvlJc w:val="left"/>
      <w:lvlText w:val="%2."/>
      <w:numFmt w:val="decimal"/>
      <w:start w:val="7"/>
    </w:lvl>
  </w:abstractNum>
  <w:abstractNum w:abstractNumId="15">
    <w:nsid w:val="79838CB2"/>
    <w:multiLevelType w:val="hybridMultilevel"/>
    <w:lvl w:ilvl="0">
      <w:lvlJc w:val="left"/>
      <w:lvlText w:val="%1."/>
      <w:numFmt w:val="decimal"/>
      <w:start w:val="8"/>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2020-01-20T23:49:27Z</dcterms:created>
  <dcterms:modified xsi:type="dcterms:W3CDTF">2020-01-20T23:49:27Z</dcterms:modified>
</cp:coreProperties>
</file>