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3-8241_110q.htm"/>
        <w:bookmarkStart w:id="1" w:name="ksa138241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x</w:t>
      </w:r>
      <w:r>
        <w:rPr>
          <w:rFonts w:ascii="Times New Roman" w:hAnsi="Times New Roman"/>
          <w:sz w:val="20"/>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March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o</w:t>
      </w:r>
      <w:r>
        <w:rPr>
          <w:rFonts w:ascii="Times New Roman" w:hAnsi="Times New Roman"/>
          <w:sz w:val="20"/>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510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1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510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1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510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102" w:type="dxa"/>
            <w:tcBorders/>
            <w:shd w:fill="auto" w:val="clear"/>
          </w:tcPr>
          <w:p>
            <w:pPr>
              <w:pStyle w:val="TableContents"/>
              <w:spacing w:before="0" w:after="0"/>
              <w:ind w:left="0" w:right="0" w:hanging="0"/>
              <w:jc w:val="center"/>
              <w:rPr/>
            </w:pPr>
            <w:r>
              <w:rPr/>
              <w:t> </w:t>
            </w:r>
          </w:p>
        </w:tc>
        <w:tc>
          <w:tcPr>
            <w:tcW w:w="5103" w:type="dxa"/>
            <w:tcBorders/>
            <w:shd w:fill="auto" w:val="clear"/>
          </w:tcPr>
          <w:p>
            <w:pPr>
              <w:pStyle w:val="TableContents"/>
              <w:spacing w:before="0" w:after="0"/>
              <w:ind w:left="0" w:right="0" w:hanging="0"/>
              <w:jc w:val="center"/>
              <w:rPr/>
            </w:pPr>
            <w:r>
              <w:rPr/>
              <w:t> </w:t>
            </w:r>
          </w:p>
        </w:tc>
      </w:tr>
      <w:tr>
        <w:trPr/>
        <w:tc>
          <w:tcPr>
            <w:tcW w:w="51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5103"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1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510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5103"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5102" w:type="dxa"/>
            <w:tcBorders/>
            <w:shd w:fill="auto" w:val="clear"/>
          </w:tcPr>
          <w:p>
            <w:pPr>
              <w:pStyle w:val="TableContents"/>
              <w:spacing w:before="0" w:after="0"/>
              <w:ind w:left="0" w:right="0" w:hanging="0"/>
              <w:jc w:val="center"/>
              <w:rPr/>
            </w:pPr>
            <w:r>
              <w:rPr/>
              <w:t> </w:t>
            </w:r>
          </w:p>
        </w:tc>
        <w:tc>
          <w:tcPr>
            <w:tcW w:w="5103" w:type="dxa"/>
            <w:tcBorders/>
            <w:shd w:fill="auto" w:val="clear"/>
          </w:tcPr>
          <w:p>
            <w:pPr>
              <w:pStyle w:val="TableContents"/>
              <w:spacing w:before="0" w:after="0"/>
              <w:ind w:left="0" w:right="0" w:hanging="0"/>
              <w:jc w:val="center"/>
              <w:rPr/>
            </w:pPr>
            <w:r>
              <w:rPr/>
              <w:t> </w:t>
            </w:r>
          </w:p>
        </w:tc>
      </w:tr>
      <w:tr>
        <w:trPr/>
        <w:tc>
          <w:tcPr>
            <w:tcW w:w="5102"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5103"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51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5103"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xml:space="preserve">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April 30, 2013, there were 339,093,053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bookmarkStart w:id="2" w:name="TableOfContents"/>
      <w:bookmarkEnd w:id="2"/>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6"/>
        <w:gridCol w:w="619"/>
      </w:tblGrid>
      <w:tr>
        <w:trPr/>
        <w:tc>
          <w:tcPr>
            <w:tcW w:w="958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6" w:type="dxa"/>
            <w:tcBorders/>
            <w:shd w:fill="auto" w:val="clear"/>
          </w:tcPr>
          <w:p>
            <w:pPr>
              <w:pStyle w:val="TableContents"/>
              <w:spacing w:before="0" w:after="0"/>
              <w:ind w:left="0" w:right="0" w:hanging="0"/>
              <w:rPr/>
            </w:pPr>
            <w:hyperlink w:anchor="Parti_FinancialInformation_180428">
              <w:r>
                <w:rPr>
                  <w:rStyle w:val="InternetLink"/>
                  <w:rFonts w:ascii="Times New Roman" w:hAnsi="Times New Roman"/>
                  <w:b/>
                  <w:sz w:val="17"/>
                </w:rPr>
                <w:t>PART I. FINANCIAL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1_CondensedConsolidatedFinanc_180431">
              <w:r>
                <w:rPr>
                  <w:rStyle w:val="InternetLink"/>
                  <w:rFonts w:ascii="Times New Roman" w:hAnsi="Times New Roman"/>
                  <w:sz w:val="17"/>
                </w:rPr>
                <w:t>Item 1. CONDENSED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hyperlink w:anchor="CondensedConsolidatedBalanceSheet_180459">
              <w:r>
                <w:rPr>
                  <w:rStyle w:val="InternetLink"/>
                  <w:rFonts w:ascii="Times New Roman" w:hAnsi="Times New Roman"/>
                  <w:sz w:val="17"/>
                </w:rPr>
                <w:t>Condensed Consolidated Balance Sheets: March 31, 2013 and December 31,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hyperlink w:anchor="CondensedConsolidatedStatementsOf_180504">
              <w:r>
                <w:rPr>
                  <w:rStyle w:val="InternetLink"/>
                  <w:rFonts w:ascii="Times New Roman" w:hAnsi="Times New Roman"/>
                  <w:sz w:val="17"/>
                </w:rPr>
                <w:t>Condensed Consolidated Statements of Operations: For the three months ended March 31,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6" w:type="dxa"/>
            <w:tcBorders/>
            <w:shd w:fill="auto" w:val="clear"/>
          </w:tcPr>
          <w:p>
            <w:pPr>
              <w:pStyle w:val="TableContents"/>
              <w:spacing w:before="0" w:after="0"/>
              <w:ind w:left="0" w:right="0" w:hanging="0"/>
              <w:rPr/>
            </w:pPr>
            <w:hyperlink w:anchor="CondensedConsolidatedStatementsOf_180512">
              <w:r>
                <w:rPr>
                  <w:rStyle w:val="InternetLink"/>
                  <w:rFonts w:ascii="Times New Roman" w:hAnsi="Times New Roman"/>
                  <w:sz w:val="17"/>
                </w:rPr>
                <w:t>Condensed Consolidated Statements of Comprehensive Income: For the three months ended March 31,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ChangesInAccumulatedOtherComprehe_180538">
              <w:r>
                <w:rPr>
                  <w:rStyle w:val="InternetLink"/>
                  <w:rFonts w:ascii="Times New Roman" w:hAnsi="Times New Roman"/>
                  <w:sz w:val="17"/>
                </w:rPr>
                <w:t>Condensed Consolidated Statement of Changes in Accumulated Other Comprehensive Income: For the three months ended March 31, 2013</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hyperlink w:anchor="CondensedConsolidatedStatementsOf_180658">
              <w:r>
                <w:rPr>
                  <w:rStyle w:val="InternetLink"/>
                  <w:rFonts w:ascii="Times New Roman" w:hAnsi="Times New Roman"/>
                  <w:sz w:val="17"/>
                </w:rPr>
                <w:t>Condensed Consolidated Statements of Cash Flows: For the three months ended March 31, 2013 and 2012</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6" w:type="dxa"/>
            <w:tcBorders/>
            <w:shd w:fill="auto" w:val="clear"/>
          </w:tcPr>
          <w:p>
            <w:pPr>
              <w:pStyle w:val="TableContents"/>
              <w:spacing w:before="0" w:after="0"/>
              <w:ind w:left="0" w:right="0" w:hanging="0"/>
              <w:rPr/>
            </w:pPr>
            <w:hyperlink w:anchor="CondensedConsolidatedStatementOfP_180712">
              <w:r>
                <w:rPr>
                  <w:rStyle w:val="InternetLink"/>
                  <w:rFonts w:ascii="Times New Roman" w:hAnsi="Times New Roman"/>
                  <w:sz w:val="17"/>
                </w:rPr>
                <w:t>Condensed Consolidated Statement of Partners Capital: For the three months ended March 31, 2013</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6" w:type="dxa"/>
            <w:tcBorders/>
            <w:shd w:fill="auto" w:val="clear"/>
          </w:tcPr>
          <w:p>
            <w:pPr>
              <w:pStyle w:val="TableContents"/>
              <w:spacing w:before="0" w:after="0"/>
              <w:ind w:left="0" w:right="0" w:hanging="0"/>
              <w:rPr/>
            </w:pPr>
            <w:hyperlink w:anchor="NotesToCondensedConsolidatedFinan_180718">
              <w:r>
                <w:rPr>
                  <w:rStyle w:val="InternetLink"/>
                  <w:rFonts w:ascii="Times New Roman" w:hAnsi="Times New Roman"/>
                  <w:sz w:val="17"/>
                </w:rPr>
                <w:t>Notes to Condensed Consolidated Financial Statements: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1organizationAndBasisOfPresen_180755">
              <w:r>
                <w:rPr>
                  <w:rStyle w:val="InternetLink"/>
                  <w:rFonts w:ascii="Times New Roman" w:hAnsi="Times New Roman"/>
                  <w:sz w:val="17"/>
                </w:rPr>
                <w:t>1. Organization and Basis of Presentation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6" w:type="dxa"/>
            <w:tcBorders/>
            <w:shd w:fill="auto" w:val="clear"/>
          </w:tcPr>
          <w:p>
            <w:pPr>
              <w:pStyle w:val="TableContents"/>
              <w:spacing w:before="0" w:after="0"/>
              <w:ind w:left="0" w:right="0" w:hanging="0"/>
              <w:rPr/>
            </w:pPr>
            <w:hyperlink w:anchor="Note2recentAccountingPronouncemen_180759">
              <w:r>
                <w:rPr>
                  <w:rStyle w:val="InternetLink"/>
                  <w:rFonts w:ascii="Times New Roman" w:hAnsi="Times New Roman"/>
                  <w:sz w:val="17"/>
                </w:rPr>
                <w:t>2. Recent Accounting Pronouncements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6" w:type="dxa"/>
            <w:tcBorders/>
            <w:shd w:fill="auto" w:val="clear"/>
          </w:tcPr>
          <w:p>
            <w:pPr>
              <w:pStyle w:val="TableContents"/>
              <w:spacing w:before="0" w:after="0"/>
              <w:ind w:left="0" w:right="0" w:hanging="0"/>
              <w:rPr/>
            </w:pPr>
            <w:hyperlink w:anchor="Note3accountsReceivable_180803">
              <w:r>
                <w:rPr>
                  <w:rStyle w:val="InternetLink"/>
                  <w:rFonts w:ascii="Times New Roman" w:hAnsi="Times New Roman"/>
                  <w:sz w:val="17"/>
                </w:rPr>
                <w:t>3. Accounts Receivable</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4acquisitionsAndDispositions_180807">
              <w:r>
                <w:rPr>
                  <w:rStyle w:val="InternetLink"/>
                  <w:rFonts w:ascii="Times New Roman" w:hAnsi="Times New Roman"/>
                  <w:sz w:val="17"/>
                </w:rPr>
                <w:t>4. Acquisitions and Dispositions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6" w:type="dxa"/>
            <w:tcBorders/>
            <w:shd w:fill="auto" w:val="clear"/>
          </w:tcPr>
          <w:p>
            <w:pPr>
              <w:pStyle w:val="TableContents"/>
              <w:spacing w:before="0" w:after="0"/>
              <w:ind w:left="0" w:right="0" w:hanging="0"/>
              <w:rPr/>
            </w:pPr>
            <w:hyperlink w:anchor="Note5inventoryLinefillAndBaseGasA_180910">
              <w:r>
                <w:rPr>
                  <w:rStyle w:val="InternetLink"/>
                  <w:rFonts w:ascii="Times New Roman" w:hAnsi="Times New Roman"/>
                  <w:sz w:val="17"/>
                </w:rPr>
                <w:t>5. Inventory, Linefill and Base Gas and Long-term Inventory</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6" w:type="dxa"/>
            <w:tcBorders/>
            <w:shd w:fill="auto" w:val="clear"/>
          </w:tcPr>
          <w:p>
            <w:pPr>
              <w:pStyle w:val="TableContents"/>
              <w:spacing w:before="0" w:after="0"/>
              <w:ind w:left="0" w:right="0" w:hanging="0"/>
              <w:rPr/>
            </w:pPr>
            <w:hyperlink w:anchor="Note6Goodwill_180914">
              <w:r>
                <w:rPr>
                  <w:rStyle w:val="InternetLink"/>
                  <w:rFonts w:ascii="Times New Roman" w:hAnsi="Times New Roman"/>
                  <w:sz w:val="17"/>
                </w:rPr>
                <w:t>6. Goodwill</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6" w:type="dxa"/>
            <w:tcBorders/>
            <w:shd w:fill="auto" w:val="clear"/>
          </w:tcPr>
          <w:p>
            <w:pPr>
              <w:pStyle w:val="TableContents"/>
              <w:spacing w:before="0" w:after="0"/>
              <w:ind w:left="0" w:right="0" w:hanging="0"/>
              <w:rPr/>
            </w:pPr>
            <w:hyperlink w:anchor="Note7debt_180917">
              <w:r>
                <w:rPr>
                  <w:rStyle w:val="InternetLink"/>
                  <w:rFonts w:ascii="Times New Roman" w:hAnsi="Times New Roman"/>
                  <w:sz w:val="17"/>
                </w:rPr>
                <w:t>7. Debt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6" w:type="dxa"/>
            <w:tcBorders/>
            <w:shd w:fill="auto" w:val="clear"/>
          </w:tcPr>
          <w:p>
            <w:pPr>
              <w:pStyle w:val="TableContents"/>
              <w:spacing w:before="0" w:after="0"/>
              <w:ind w:left="0" w:right="0" w:hanging="0"/>
              <w:rPr/>
            </w:pPr>
            <w:hyperlink w:anchor="Note8netIncomePerLimitedPartnerUn_180924">
              <w:r>
                <w:rPr>
                  <w:rStyle w:val="InternetLink"/>
                  <w:rFonts w:ascii="Times New Roman" w:hAnsi="Times New Roman"/>
                  <w:sz w:val="17"/>
                </w:rPr>
                <w:t>8. Net Income Per Limited Partner Unit</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6" w:type="dxa"/>
            <w:tcBorders/>
            <w:shd w:fill="auto" w:val="clear"/>
          </w:tcPr>
          <w:p>
            <w:pPr>
              <w:pStyle w:val="TableContents"/>
              <w:spacing w:before="0" w:after="0"/>
              <w:ind w:left="0" w:right="0" w:hanging="0"/>
              <w:rPr/>
            </w:pPr>
            <w:hyperlink w:anchor="Note9partnersCapitalAndDistributi_180929">
              <w:r>
                <w:rPr>
                  <w:rStyle w:val="InternetLink"/>
                  <w:rFonts w:ascii="Times New Roman" w:hAnsi="Times New Roman"/>
                  <w:sz w:val="17"/>
                </w:rPr>
                <w:t>9. Partners Capital and Distributions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586" w:type="dxa"/>
            <w:tcBorders/>
            <w:shd w:fill="auto" w:val="clear"/>
          </w:tcPr>
          <w:p>
            <w:pPr>
              <w:pStyle w:val="TableContents"/>
              <w:spacing w:before="0" w:after="0"/>
              <w:ind w:left="0" w:right="0" w:hanging="0"/>
              <w:rPr/>
            </w:pPr>
            <w:hyperlink w:anchor="Note10equityCompensationPlans_181007">
              <w:r>
                <w:rPr>
                  <w:rStyle w:val="InternetLink"/>
                  <w:rFonts w:ascii="Times New Roman" w:hAnsi="Times New Roman"/>
                  <w:sz w:val="17"/>
                </w:rPr>
                <w:t>10. Equity Compensation Plans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586" w:type="dxa"/>
            <w:tcBorders/>
            <w:shd w:fill="auto" w:val="clear"/>
          </w:tcPr>
          <w:p>
            <w:pPr>
              <w:pStyle w:val="TableContents"/>
              <w:spacing w:before="0" w:after="0"/>
              <w:ind w:left="0" w:right="0" w:hanging="0"/>
              <w:rPr/>
            </w:pPr>
            <w:hyperlink w:anchor="Note11derivativesAndRiskManagemen_181041">
              <w:r>
                <w:rPr>
                  <w:rStyle w:val="InternetLink"/>
                  <w:rFonts w:ascii="Times New Roman" w:hAnsi="Times New Roman"/>
                  <w:sz w:val="17"/>
                </w:rPr>
                <w:t>11. Derivatives and Risk Management Activities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586" w:type="dxa"/>
            <w:tcBorders/>
            <w:shd w:fill="auto" w:val="clear"/>
          </w:tcPr>
          <w:p>
            <w:pPr>
              <w:pStyle w:val="TableContents"/>
              <w:spacing w:before="0" w:after="0"/>
              <w:ind w:left="0" w:right="0" w:hanging="0"/>
              <w:rPr/>
            </w:pPr>
            <w:hyperlink w:anchor="Note12commitmentsAndContingencies_181130">
              <w:r>
                <w:rPr>
                  <w:rStyle w:val="InternetLink"/>
                  <w:rFonts w:ascii="Times New Roman" w:hAnsi="Times New Roman"/>
                  <w:sz w:val="17"/>
                </w:rPr>
                <w:t>12. Commitments and Contingencies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9586" w:type="dxa"/>
            <w:tcBorders/>
            <w:shd w:fill="auto" w:val="clear"/>
          </w:tcPr>
          <w:p>
            <w:pPr>
              <w:pStyle w:val="TableContents"/>
              <w:spacing w:before="0" w:after="0"/>
              <w:ind w:left="0" w:right="0" w:hanging="0"/>
              <w:rPr/>
            </w:pPr>
            <w:hyperlink w:anchor="Note13operatingSegments_181135">
              <w:r>
                <w:rPr>
                  <w:rStyle w:val="InternetLink"/>
                  <w:rFonts w:ascii="Times New Roman" w:hAnsi="Times New Roman"/>
                  <w:sz w:val="17"/>
                </w:rPr>
                <w:t>13. Operating Segments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9586" w:type="dxa"/>
            <w:tcBorders/>
            <w:shd w:fill="auto" w:val="clear"/>
          </w:tcPr>
          <w:p>
            <w:pPr>
              <w:pStyle w:val="TableContents"/>
              <w:spacing w:before="0" w:after="0"/>
              <w:ind w:left="0" w:right="0" w:hanging="0"/>
              <w:rPr/>
            </w:pPr>
            <w:hyperlink w:anchor="Note14relatedPartyTransactions_181213">
              <w:r>
                <w:rPr>
                  <w:rStyle w:val="InternetLink"/>
                  <w:rFonts w:ascii="Times New Roman" w:hAnsi="Times New Roman"/>
                  <w:sz w:val="17"/>
                </w:rPr>
                <w:t>14. Related Party Transactions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2_managementsDiscussionAndAna_181217">
              <w:r>
                <w:rPr>
                  <w:rStyle w:val="InternetLink"/>
                  <w:rFonts w:ascii="Times New Roman" w:hAnsi="Times New Roman"/>
                  <w:sz w:val="17"/>
                </w:rPr>
                <w:t>Item 2. MANAGEMENTS DISCUSSION AND ANALYSIS OF FINANCIAL CONDITION AND RESULTS OF OPERATIONS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9586" w:type="dxa"/>
            <w:tcBorders/>
            <w:shd w:fill="auto" w:val="clear"/>
          </w:tcPr>
          <w:p>
            <w:pPr>
              <w:pStyle w:val="TableContents"/>
              <w:spacing w:before="0" w:after="0"/>
              <w:ind w:left="0" w:right="0" w:hanging="0"/>
              <w:rPr/>
            </w:pPr>
            <w:hyperlink w:anchor="Item3_QuantitativeAndQualitativeD_181620">
              <w:r>
                <w:rPr>
                  <w:rStyle w:val="InternetLink"/>
                  <w:rFonts w:ascii="Times New Roman" w:hAnsi="Times New Roman"/>
                  <w:sz w:val="17"/>
                </w:rPr>
                <w:t>Item 3. QUANTITATIVE AND QUALITATIVE DISCLOSURES ABOUT MARKET RISK</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9586" w:type="dxa"/>
            <w:tcBorders/>
            <w:shd w:fill="auto" w:val="clear"/>
          </w:tcPr>
          <w:p>
            <w:pPr>
              <w:pStyle w:val="TableContents"/>
              <w:spacing w:before="0" w:after="0"/>
              <w:ind w:left="0" w:right="0" w:hanging="0"/>
              <w:rPr/>
            </w:pPr>
            <w:hyperlink w:anchor="Item4_ControlsAndProcedures_181628">
              <w:r>
                <w:rPr>
                  <w:rStyle w:val="InternetLink"/>
                  <w:rFonts w:ascii="Times New Roman" w:hAnsi="Times New Roman"/>
                  <w:sz w:val="17"/>
                </w:rPr>
                <w:t>Item 4. CONTROLS AND PROCEDURES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9586" w:type="dxa"/>
            <w:tcBorders/>
            <w:shd w:fill="auto" w:val="clear"/>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Partii_OtherInformation_181634">
              <w:r>
                <w:rPr>
                  <w:rStyle w:val="InternetLink"/>
                  <w:rFonts w:ascii="Times New Roman" w:hAnsi="Times New Roman"/>
                  <w:b/>
                  <w:sz w:val="17"/>
                </w:rPr>
                <w:t>PART II. OTHER INFORMATION</w:t>
              </w:r>
            </w:hyperlink>
          </w:p>
        </w:tc>
        <w:tc>
          <w:tcPr>
            <w:tcW w:w="619"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tem1_LegalProceedings_181635">
              <w:r>
                <w:rPr>
                  <w:rStyle w:val="InternetLink"/>
                  <w:rFonts w:ascii="Times New Roman" w:hAnsi="Times New Roman"/>
                  <w:sz w:val="17"/>
                </w:rPr>
                <w:t>Item 1. LEGAL PROCEEDINGS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1a_RiskFactors_181636">
              <w:r>
                <w:rPr>
                  <w:rStyle w:val="InternetLink"/>
                  <w:rFonts w:ascii="Times New Roman" w:hAnsi="Times New Roman"/>
                  <w:sz w:val="17"/>
                </w:rPr>
                <w:t>Item 1A. RISK FACTORS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2_UnregisteredSalesOfEquitySe_181638">
              <w:r>
                <w:rPr>
                  <w:rStyle w:val="InternetLink"/>
                  <w:rFonts w:ascii="Times New Roman" w:hAnsi="Times New Roman"/>
                  <w:sz w:val="17"/>
                </w:rPr>
                <w:t>Item 2. UNREGISTERED SALES OF EQUITY SECURITIES AND USE OF PROCEEDS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3_DefaultsUponSeniorSecuritie_181639">
              <w:r>
                <w:rPr>
                  <w:rStyle w:val="InternetLink"/>
                  <w:rFonts w:ascii="Times New Roman" w:hAnsi="Times New Roman"/>
                  <w:sz w:val="17"/>
                </w:rPr>
                <w:t>Item 3. DEFAULTS UPON SENIOR SECURITIES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4_MineSafetyDisclosures_181640">
              <w:r>
                <w:rPr>
                  <w:rStyle w:val="InternetLink"/>
                  <w:rFonts w:ascii="Times New Roman" w:hAnsi="Times New Roman"/>
                  <w:sz w:val="17"/>
                </w:rPr>
                <w:t>Item 4. MINE SAFETY DISCLOSURES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5_OtherInformation_181641">
              <w:r>
                <w:rPr>
                  <w:rStyle w:val="InternetLink"/>
                  <w:rFonts w:ascii="Times New Roman" w:hAnsi="Times New Roman"/>
                  <w:sz w:val="17"/>
                </w:rPr>
                <w:t>Item 5. OTHER INFORMATION</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Item6_Exhibits_181643">
              <w:r>
                <w:rPr>
                  <w:rStyle w:val="InternetLink"/>
                  <w:rFonts w:ascii="Times New Roman" w:hAnsi="Times New Roman"/>
                  <w:sz w:val="17"/>
                </w:rPr>
                <w:t>Item 6. EXHIBITS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9586" w:type="dxa"/>
            <w:tcBorders/>
            <w:shd w:fill="auto" w:val="clear"/>
          </w:tcPr>
          <w:p>
            <w:pPr>
              <w:pStyle w:val="TableContents"/>
              <w:spacing w:before="0" w:after="0"/>
              <w:ind w:left="0" w:right="0" w:hanging="0"/>
              <w:rPr/>
            </w:pPr>
            <w:hyperlink w:anchor="Signatures_181724">
              <w:r>
                <w:rPr>
                  <w:rStyle w:val="InternetLink"/>
                  <w:rFonts w:ascii="Times New Roman" w:hAnsi="Times New Roman"/>
                  <w:sz w:val="17"/>
                </w:rPr>
                <w:t>SIGNATURES</w:t>
              </w:r>
            </w:hyperlink>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15744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80428"/>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180431"/>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80459"/>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29"/>
        <w:gridCol w:w="209"/>
        <w:gridCol w:w="128"/>
        <w:gridCol w:w="1114"/>
        <w:gridCol w:w="215"/>
        <w:gridCol w:w="136"/>
        <w:gridCol w:w="1150"/>
        <w:gridCol w:w="124"/>
      </w:tblGrid>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4" w:type="dxa"/>
            <w:tcBorders/>
            <w:shd w:fill="auto" w:val="clear"/>
            <w:vAlign w:val="bottom"/>
          </w:tcPr>
          <w:p>
            <w:pPr>
              <w:pStyle w:val="TableContents"/>
              <w:spacing w:before="0" w:after="0"/>
              <w:ind w:left="0" w:right="0" w:hanging="0"/>
              <w:jc w:val="center"/>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9"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3,701</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5,140</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11,142</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9"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r>
              <w:rPr>
                <w:sz w:val="17"/>
              </w:rPr>
              <w:t>9,883</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2,520</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704</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9" w:type="dxa"/>
            <w:tcBorders/>
            <w:shd w:fill="auto" w:val="clear"/>
            <w:vAlign w:val="bottom"/>
          </w:tcPr>
          <w:p>
            <w:pPr>
              <w:pStyle w:val="TableContents"/>
              <w:spacing w:before="0" w:after="0"/>
              <w:ind w:left="0" w:right="0" w:hanging="0"/>
              <w:rPr/>
            </w:pPr>
            <w:r>
              <w:rPr/>
              <w:t> </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5"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9"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4,073</w:t>
            </w:r>
          </w:p>
        </w:tc>
        <w:tc>
          <w:tcPr>
            <w:tcW w:w="215"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3,822</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5,022</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$15 and $15, respectively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6,929</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6,906</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12)</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(337,739,553 and 335,283,874 units outstanding, respectively)</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6,724</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6,985</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9"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215"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24" w:type="dxa"/>
            <w:tcBorders/>
            <w:shd w:fill="auto" w:val="clear"/>
            <w:vAlign w:val="bottom"/>
          </w:tcPr>
          <w:p>
            <w:pPr>
              <w:pStyle w:val="TableContents"/>
              <w:spacing w:before="0" w:after="0"/>
              <w:ind w:left="0" w:right="0" w:hanging="0"/>
              <w:rPr/>
            </w:pPr>
            <w:r>
              <w:rPr/>
              <w:t> </w:t>
            </w:r>
          </w:p>
        </w:tc>
      </w:tr>
      <w:tr>
        <w:trPr/>
        <w:tc>
          <w:tcPr>
            <w:tcW w:w="7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9"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215"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24" w:type="dxa"/>
            <w:tcBorders/>
            <w:shd w:fill="CCEEFF" w:val="clear"/>
            <w:vAlign w:val="bottom"/>
          </w:tcPr>
          <w:p>
            <w:pPr>
              <w:pStyle w:val="TableContents"/>
              <w:spacing w:before="0" w:after="0"/>
              <w:ind w:left="0" w:right="0" w:hanging="0"/>
              <w:rPr/>
            </w:pPr>
            <w:r>
              <w:rPr/>
              <w:t> </w:t>
            </w:r>
          </w:p>
        </w:tc>
      </w:tr>
      <w:tr>
        <w:trPr/>
        <w:tc>
          <w:tcPr>
            <w:tcW w:w="7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9" w:type="dxa"/>
            <w:tcBorders/>
            <w:shd w:fill="auto" w:val="clear"/>
            <w:vAlign w:val="bottom"/>
          </w:tcPr>
          <w:p>
            <w:pPr>
              <w:pStyle w:val="TableContents"/>
              <w:spacing w:before="0" w:after="0"/>
              <w:ind w:left="0" w:right="0" w:hanging="0"/>
              <w:rPr/>
            </w:pPr>
            <w:r>
              <w:rPr/>
              <w:t> </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5"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20208_7056"/>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80504"/>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16"/>
        <w:gridCol w:w="210"/>
        <w:gridCol w:w="110"/>
        <w:gridCol w:w="1070"/>
        <w:gridCol w:w="211"/>
        <w:gridCol w:w="110"/>
        <w:gridCol w:w="1064"/>
        <w:gridCol w:w="114"/>
      </w:tblGrid>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10,224</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10,620</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9,437</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9,965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$9 and $9, respectively)</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0355_5335"/>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0" w:name="CondensedConsolidatedStatementsOf_180512"/>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61"/>
        <w:gridCol w:w="214"/>
        <w:gridCol w:w="161"/>
        <w:gridCol w:w="1118"/>
        <w:gridCol w:w="237"/>
        <w:gridCol w:w="161"/>
        <w:gridCol w:w="1120"/>
        <w:gridCol w:w="133"/>
      </w:tblGrid>
      <w:tr>
        <w:trPr/>
        <w:tc>
          <w:tcPr>
            <w:tcW w:w="706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7" w:type="dxa"/>
            <w:tcBorders/>
            <w:shd w:fill="auto" w:val="clear"/>
            <w:vAlign w:val="bottom"/>
          </w:tcPr>
          <w:p>
            <w:pPr>
              <w:pStyle w:val="TableContents"/>
              <w:spacing w:before="0" w:after="0"/>
              <w:ind w:left="0" w:right="0" w:hanging="0"/>
              <w:jc w:val="center"/>
              <w:rPr/>
            </w:pPr>
            <w:r>
              <w:rPr/>
              <w:t> </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70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1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37"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33" w:type="dxa"/>
            <w:tcBorders/>
            <w:shd w:fill="CCEEFF" w:val="clear"/>
            <w:vAlign w:val="bottom"/>
          </w:tcPr>
          <w:p>
            <w:pPr>
              <w:pStyle w:val="TableContents"/>
              <w:spacing w:before="0" w:after="0"/>
              <w:ind w:left="0" w:right="0" w:hanging="0"/>
              <w:rPr/>
            </w:pPr>
            <w:r>
              <w:rPr/>
              <w:t> </w:t>
            </w:r>
          </w:p>
        </w:tc>
      </w:tr>
      <w:tr>
        <w:trPr/>
        <w:tc>
          <w:tcPr>
            <w:tcW w:w="70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4"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3" w:type="dxa"/>
            <w:tcBorders/>
            <w:shd w:fill="auto" w:val="clear"/>
            <w:vAlign w:val="bottom"/>
          </w:tcPr>
          <w:p>
            <w:pPr>
              <w:pStyle w:val="TableContents"/>
              <w:spacing w:before="0" w:after="0"/>
              <w:ind w:left="0" w:right="0" w:hanging="0"/>
              <w:rPr/>
            </w:pPr>
            <w:r>
              <w:rPr/>
              <w:t> </w:t>
            </w:r>
          </w:p>
        </w:tc>
      </w:tr>
      <w:tr>
        <w:trPr/>
        <w:tc>
          <w:tcPr>
            <w:tcW w:w="70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14"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237" w:type="dxa"/>
            <w:tcBorders/>
            <w:shd w:fill="CCEEFF" w:val="clear"/>
            <w:vAlign w:val="bottom"/>
          </w:tcPr>
          <w:p>
            <w:pPr>
              <w:pStyle w:val="TableContents"/>
              <w:spacing w:before="0" w:after="0"/>
              <w:ind w:left="0" w:right="0" w:hanging="0"/>
              <w:rPr/>
            </w:pPr>
            <w:r>
              <w:rPr/>
              <w:t> </w:t>
            </w:r>
          </w:p>
        </w:tc>
        <w:tc>
          <w:tcPr>
            <w:tcW w:w="12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33" w:type="dxa"/>
            <w:tcBorders/>
            <w:shd w:fill="CCEEFF" w:val="clear"/>
            <w:vAlign w:val="bottom"/>
          </w:tcPr>
          <w:p>
            <w:pPr>
              <w:pStyle w:val="TableContents"/>
              <w:spacing w:before="0" w:after="0"/>
              <w:ind w:left="0" w:right="0" w:hanging="0"/>
              <w:rPr/>
            </w:pPr>
            <w:r>
              <w:rPr/>
              <w:t> </w:t>
            </w:r>
          </w:p>
        </w:tc>
      </w:tr>
      <w:tr>
        <w:trPr/>
        <w:tc>
          <w:tcPr>
            <w:tcW w:w="70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14"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14"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37"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bookmarkStart w:id="11" w:name="ChangesInAccumulatedOtherComprehe_180538"/>
      <w:bookmarkEnd w:id="11"/>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41"/>
        <w:gridCol w:w="209"/>
        <w:gridCol w:w="191"/>
        <w:gridCol w:w="1207"/>
        <w:gridCol w:w="221"/>
        <w:gridCol w:w="210"/>
        <w:gridCol w:w="1198"/>
        <w:gridCol w:w="221"/>
        <w:gridCol w:w="160"/>
        <w:gridCol w:w="1006"/>
        <w:gridCol w:w="141"/>
      </w:tblGrid>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1" w:type="dxa"/>
            <w:tcBorders/>
            <w:shd w:fill="auto" w:val="clear"/>
            <w:vAlign w:val="bottom"/>
          </w:tcPr>
          <w:p>
            <w:pPr>
              <w:pStyle w:val="TableContents"/>
              <w:spacing w:before="0" w:after="0"/>
              <w:ind w:left="0" w:right="0" w:hanging="0"/>
              <w:jc w:val="center"/>
              <w:rPr/>
            </w:pPr>
            <w:r>
              <w:rPr/>
              <w:t> </w:t>
            </w:r>
          </w:p>
        </w:tc>
        <w:tc>
          <w:tcPr>
            <w:tcW w:w="14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21"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21"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21"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441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1" w:type="dxa"/>
            <w:tcBorders/>
            <w:shd w:fill="auto" w:val="clear"/>
            <w:vAlign w:val="bottom"/>
          </w:tcPr>
          <w:p>
            <w:pPr>
              <w:pStyle w:val="TableContents"/>
              <w:spacing w:before="0" w:after="0"/>
              <w:ind w:left="0" w:right="0" w:hanging="0"/>
              <w:jc w:val="center"/>
              <w:rPr/>
            </w:pPr>
            <w:r>
              <w:rPr/>
              <w:t> </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209" w:type="dxa"/>
            <w:tcBorders/>
            <w:shd w:fill="CCEEFF" w:val="clear"/>
            <w:vAlign w:val="bottom"/>
          </w:tcPr>
          <w:p>
            <w:pPr>
              <w:pStyle w:val="TableContents"/>
              <w:spacing w:before="0" w:after="0"/>
              <w:ind w:left="0" w:right="0" w:hanging="0"/>
              <w:rPr/>
            </w:pPr>
            <w:r>
              <w:rPr/>
              <w:t> </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1"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41" w:type="dxa"/>
            <w:tcBorders/>
            <w:shd w:fill="CCEEFF" w:val="clear"/>
            <w:vAlign w:val="bottom"/>
          </w:tcPr>
          <w:p>
            <w:pPr>
              <w:pStyle w:val="TableContents"/>
              <w:spacing w:before="0" w:after="0"/>
              <w:ind w:left="0" w:right="0" w:hanging="0"/>
              <w:rPr/>
            </w:pPr>
            <w:r>
              <w:rPr/>
              <w:t> </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9" w:type="dxa"/>
            <w:tcBorders/>
            <w:shd w:fill="auto" w:val="clear"/>
            <w:vAlign w:val="bottom"/>
          </w:tcPr>
          <w:p>
            <w:pPr>
              <w:pStyle w:val="TableContents"/>
              <w:spacing w:before="0" w:after="0"/>
              <w:ind w:left="0" w:right="0" w:hanging="0"/>
              <w:rPr/>
            </w:pPr>
            <w:r>
              <w:rPr/>
              <w:t> </w:t>
            </w:r>
          </w:p>
        </w:tc>
        <w:tc>
          <w:tcPr>
            <w:tcW w:w="13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gain on cash flow hedges, net of tax </w:t>
            </w:r>
          </w:p>
        </w:tc>
        <w:tc>
          <w:tcPr>
            <w:tcW w:w="209" w:type="dxa"/>
            <w:tcBorders/>
            <w:shd w:fill="CCEEFF" w:val="clear"/>
            <w:vAlign w:val="bottom"/>
          </w:tcPr>
          <w:p>
            <w:pPr>
              <w:pStyle w:val="TableContents"/>
              <w:spacing w:before="0" w:after="0"/>
              <w:ind w:left="0" w:right="0" w:hanging="0"/>
              <w:rPr/>
            </w:pPr>
            <w:r>
              <w:rPr/>
              <w:t> </w:t>
            </w:r>
          </w:p>
        </w:tc>
        <w:tc>
          <w:tcPr>
            <w:tcW w:w="13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1" w:type="dxa"/>
            <w:tcBorders/>
            <w:shd w:fill="CCEEFF" w:val="clear"/>
            <w:vAlign w:val="bottom"/>
          </w:tcPr>
          <w:p>
            <w:pPr>
              <w:pStyle w:val="TableContents"/>
              <w:spacing w:before="0" w:after="0"/>
              <w:ind w:left="0" w:right="0" w:hanging="0"/>
              <w:rPr/>
            </w:pPr>
            <w:r>
              <w:rPr/>
              <w:t> </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adjustments</w:t>
            </w:r>
          </w:p>
        </w:tc>
        <w:tc>
          <w:tcPr>
            <w:tcW w:w="209" w:type="dxa"/>
            <w:tcBorders/>
            <w:shd w:fill="auto"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9" w:type="dxa"/>
            <w:tcBorders/>
            <w:shd w:fill="CCEEFF" w:val="clear"/>
            <w:vAlign w:val="bottom"/>
          </w:tcPr>
          <w:p>
            <w:pPr>
              <w:pStyle w:val="TableContents"/>
              <w:spacing w:before="0" w:after="0"/>
              <w:ind w:left="0" w:right="0" w:hanging="0"/>
              <w:rPr/>
            </w:pPr>
            <w:r>
              <w:rPr/>
              <w:t> </w:t>
            </w:r>
          </w:p>
        </w:tc>
        <w:tc>
          <w:tcPr>
            <w:tcW w:w="13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1" w:type="dxa"/>
            <w:tcBorders/>
            <w:shd w:fill="CCEEFF"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March 31, 2013</w:t>
            </w:r>
          </w:p>
        </w:tc>
        <w:tc>
          <w:tcPr>
            <w:tcW w:w="209"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1"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2" w:name="PB_5_120648_5796"/>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3" w:name="CondensedConsolidatedStatementsOf_180658"/>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4"/>
        <w:gridCol w:w="160"/>
        <w:gridCol w:w="1118"/>
        <w:gridCol w:w="236"/>
        <w:gridCol w:w="160"/>
        <w:gridCol w:w="1120"/>
        <w:gridCol w:w="133"/>
      </w:tblGrid>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terminated interest rate and foreign currency hedging instruments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979</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restricted cash </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sales of linefill and base gas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purchases of linefill and base gas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revolving credit facility</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PAAs hedged inventory facility</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PNGs credit agreements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9)</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9)</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9)</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1,560</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net of amounts capitalized</w:t>
            </w:r>
          </w:p>
        </w:tc>
        <w:tc>
          <w:tcPr>
            <w:tcW w:w="214"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36"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 net of amounts refunded</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4" w:name="PB_6_121230_5335"/>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5" w:name="CondensedConsolidatedStatementOfP_180712"/>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05"/>
        <w:gridCol w:w="169"/>
        <w:gridCol w:w="944"/>
        <w:gridCol w:w="169"/>
        <w:gridCol w:w="146"/>
        <w:gridCol w:w="821"/>
        <w:gridCol w:w="184"/>
        <w:gridCol w:w="167"/>
        <w:gridCol w:w="773"/>
        <w:gridCol w:w="184"/>
        <w:gridCol w:w="237"/>
        <w:gridCol w:w="1361"/>
        <w:gridCol w:w="184"/>
        <w:gridCol w:w="259"/>
        <w:gridCol w:w="1015"/>
        <w:gridCol w:w="184"/>
        <w:gridCol w:w="146"/>
        <w:gridCol w:w="821"/>
        <w:gridCol w:w="136"/>
      </w:tblGrid>
      <w:tr>
        <w:trPr/>
        <w:tc>
          <w:tcPr>
            <w:tcW w:w="230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4" w:type="dxa"/>
            <w:tcBorders/>
            <w:shd w:fill="auto" w:val="clear"/>
            <w:vAlign w:val="bottom"/>
          </w:tcPr>
          <w:p>
            <w:pPr>
              <w:pStyle w:val="TableContents"/>
              <w:spacing w:before="0" w:after="0"/>
              <w:ind w:left="0" w:right="0" w:hanging="0"/>
              <w:jc w:val="center"/>
              <w:rPr/>
            </w:pPr>
            <w:r>
              <w:rPr/>
              <w:t> </w:t>
            </w:r>
          </w:p>
        </w:tc>
        <w:tc>
          <w:tcPr>
            <w:tcW w:w="1274"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0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shd w:fill="auto" w:val="clear"/>
            <w:vAlign w:val="bottom"/>
          </w:tcPr>
          <w:p>
            <w:pPr>
              <w:pStyle w:val="TableContents"/>
              <w:spacing w:before="0" w:after="0"/>
              <w:ind w:left="0" w:right="0" w:hanging="0"/>
              <w:jc w:val="center"/>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4" w:type="dxa"/>
            <w:tcBorders/>
            <w:shd w:fill="auto" w:val="clear"/>
            <w:vAlign w:val="bottom"/>
          </w:tcPr>
          <w:p>
            <w:pPr>
              <w:pStyle w:val="TableContents"/>
              <w:spacing w:before="0" w:after="0"/>
              <w:ind w:left="0" w:right="0" w:hanging="0"/>
              <w:jc w:val="center"/>
              <w:rPr/>
            </w:pPr>
            <w:r>
              <w:rPr/>
              <w:t> </w:t>
            </w:r>
          </w:p>
        </w:tc>
        <w:tc>
          <w:tcPr>
            <w:tcW w:w="1274"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30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208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4" w:type="dxa"/>
            <w:tcBorders/>
            <w:shd w:fill="auto" w:val="clear"/>
            <w:vAlign w:val="bottom"/>
          </w:tcPr>
          <w:p>
            <w:pPr>
              <w:pStyle w:val="TableContents"/>
              <w:spacing w:before="0" w:after="0"/>
              <w:ind w:left="0" w:right="0" w:hanging="0"/>
              <w:jc w:val="center"/>
              <w:rPr/>
            </w:pPr>
            <w:r>
              <w:rPr/>
              <w:t> </w:t>
            </w:r>
          </w:p>
        </w:tc>
        <w:tc>
          <w:tcPr>
            <w:tcW w:w="15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127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6" w:type="dxa"/>
            <w:tcBorders/>
            <w:shd w:fill="auto" w:val="clear"/>
            <w:vAlign w:val="bottom"/>
          </w:tcPr>
          <w:p>
            <w:pPr>
              <w:pStyle w:val="TableContents"/>
              <w:spacing w:before="0" w:after="0"/>
              <w:ind w:left="0" w:right="0" w:hanging="0"/>
              <w:jc w:val="center"/>
              <w:rPr/>
            </w:pPr>
            <w:r>
              <w:rPr/>
              <w:t> </w:t>
            </w:r>
          </w:p>
        </w:tc>
      </w:tr>
      <w:tr>
        <w:trPr/>
        <w:tc>
          <w:tcPr>
            <w:tcW w:w="230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9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69"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jc w:val="center"/>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4" w:type="dxa"/>
            <w:tcBorders/>
            <w:shd w:fill="auto" w:val="clear"/>
            <w:vAlign w:val="bottom"/>
          </w:tcPr>
          <w:p>
            <w:pPr>
              <w:pStyle w:val="TableContents"/>
              <w:spacing w:before="0" w:after="0"/>
              <w:ind w:left="0" w:right="0" w:hanging="0"/>
              <w:jc w:val="center"/>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6" w:type="dxa"/>
            <w:tcBorders/>
            <w:shd w:fill="auto" w:val="clear"/>
            <w:vAlign w:val="bottom"/>
          </w:tcPr>
          <w:p>
            <w:pPr>
              <w:pStyle w:val="TableContents"/>
              <w:spacing w:before="0" w:after="0"/>
              <w:ind w:left="0" w:right="0" w:hanging="0"/>
              <w:jc w:val="center"/>
              <w:rPr/>
            </w:pPr>
            <w:r>
              <w:rPr/>
              <w:t> </w:t>
            </w:r>
          </w:p>
        </w:tc>
      </w:tr>
      <w:tr>
        <w:trPr/>
        <w:tc>
          <w:tcPr>
            <w:tcW w:w="2305"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7595"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23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335.3</w:t>
            </w:r>
          </w:p>
        </w:tc>
        <w:tc>
          <w:tcPr>
            <w:tcW w:w="16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8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4"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84"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84"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36" w:type="dxa"/>
            <w:tcBorders/>
            <w:shd w:fill="CCEEFF" w:val="clear"/>
            <w:vAlign w:val="bottom"/>
          </w:tcPr>
          <w:p>
            <w:pPr>
              <w:pStyle w:val="TableContents"/>
              <w:spacing w:before="0" w:after="0"/>
              <w:ind w:left="0" w:right="0" w:hanging="0"/>
              <w:rPr/>
            </w:pPr>
            <w:r>
              <w:rPr/>
              <w:t> </w:t>
            </w:r>
          </w:p>
        </w:tc>
      </w:tr>
      <w:tr>
        <w:trPr/>
        <w:tc>
          <w:tcPr>
            <w:tcW w:w="23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4" w:type="dxa"/>
            <w:tcBorders/>
            <w:shd w:fill="auto" w:val="clear"/>
            <w:vAlign w:val="bottom"/>
          </w:tcPr>
          <w:p>
            <w:pPr>
              <w:pStyle w:val="TableContents"/>
              <w:spacing w:before="0" w:after="0"/>
              <w:ind w:left="0" w:right="0" w:hanging="0"/>
              <w:rPr/>
            </w:pPr>
            <w:r>
              <w:rPr/>
              <w:t> </w:t>
            </w:r>
          </w:p>
        </w:tc>
        <w:tc>
          <w:tcPr>
            <w:tcW w:w="15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184" w:type="dxa"/>
            <w:tcBorders/>
            <w:shd w:fill="auto" w:val="clear"/>
            <w:vAlign w:val="bottom"/>
          </w:tcPr>
          <w:p>
            <w:pPr>
              <w:pStyle w:val="TableContents"/>
              <w:spacing w:before="0" w:after="0"/>
              <w:ind w:left="0" w:right="0" w:hanging="0"/>
              <w:rPr/>
            </w:pPr>
            <w:r>
              <w:rPr/>
              <w:t> </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36" w:type="dxa"/>
            <w:tcBorders/>
            <w:shd w:fill="auto" w:val="clear"/>
            <w:vAlign w:val="bottom"/>
          </w:tcPr>
          <w:p>
            <w:pPr>
              <w:pStyle w:val="TableContents"/>
              <w:spacing w:before="0" w:after="0"/>
              <w:ind w:left="0" w:right="0" w:hanging="0"/>
              <w:rPr/>
            </w:pPr>
            <w:r>
              <w:rPr/>
              <w:t> </w:t>
            </w:r>
          </w:p>
        </w:tc>
      </w:tr>
      <w:tr>
        <w:trPr/>
        <w:tc>
          <w:tcPr>
            <w:tcW w:w="23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auto" w:val="clear"/>
            <w:vAlign w:val="bottom"/>
          </w:tcPr>
          <w:p>
            <w:pPr>
              <w:pStyle w:val="TableContents"/>
              <w:spacing w:before="0" w:after="0"/>
              <w:ind w:left="0" w:right="0" w:hanging="0"/>
              <w:rPr/>
            </w:pPr>
            <w:r>
              <w:rPr/>
              <w:t> </w:t>
            </w:r>
          </w:p>
        </w:tc>
        <w:tc>
          <w:tcPr>
            <w:tcW w:w="15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4" w:type="dxa"/>
            <w:tcBorders/>
            <w:shd w:fill="auto" w:val="clear"/>
            <w:vAlign w:val="bottom"/>
          </w:tcPr>
          <w:p>
            <w:pPr>
              <w:pStyle w:val="TableContents"/>
              <w:spacing w:before="0" w:after="0"/>
              <w:ind w:left="0" w:right="0" w:hanging="0"/>
              <w:rPr/>
            </w:pPr>
            <w:r>
              <w:rPr/>
              <w:t> </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36" w:type="dxa"/>
            <w:tcBorders/>
            <w:shd w:fill="auto" w:val="clear"/>
            <w:vAlign w:val="bottom"/>
          </w:tcPr>
          <w:p>
            <w:pPr>
              <w:pStyle w:val="TableContents"/>
              <w:spacing w:before="0" w:after="0"/>
              <w:ind w:left="0" w:right="0" w:hanging="0"/>
              <w:rPr/>
            </w:pPr>
            <w:r>
              <w:rPr/>
              <w:t> </w:t>
            </w:r>
          </w:p>
        </w:tc>
      </w:tr>
      <w:tr>
        <w:trPr/>
        <w:tc>
          <w:tcPr>
            <w:tcW w:w="23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4"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5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4" w:type="dxa"/>
            <w:tcBorders/>
            <w:shd w:fill="CCEEFF" w:val="clear"/>
            <w:vAlign w:val="bottom"/>
          </w:tcPr>
          <w:p>
            <w:pPr>
              <w:pStyle w:val="TableContents"/>
              <w:spacing w:before="0" w:after="0"/>
              <w:ind w:left="0" w:right="0" w:hanging="0"/>
              <w:rPr/>
            </w:pPr>
            <w:r>
              <w:rPr/>
              <w:t> </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6" w:type="dxa"/>
            <w:tcBorders/>
            <w:shd w:fill="CCEEFF" w:val="clear"/>
            <w:vAlign w:val="bottom"/>
          </w:tcPr>
          <w:p>
            <w:pPr>
              <w:pStyle w:val="TableContents"/>
              <w:spacing w:before="0" w:after="0"/>
              <w:ind w:left="0" w:right="0" w:hanging="0"/>
              <w:rPr/>
            </w:pPr>
            <w:r>
              <w:rPr/>
              <w:t> </w:t>
            </w:r>
          </w:p>
        </w:tc>
      </w:tr>
      <w:tr>
        <w:trPr/>
        <w:tc>
          <w:tcPr>
            <w:tcW w:w="23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169" w:type="dxa"/>
            <w:tcBorders/>
            <w:shd w:fill="auto" w:val="clear"/>
            <w:vAlign w:val="bottom"/>
          </w:tcPr>
          <w:p>
            <w:pPr>
              <w:pStyle w:val="TableContents"/>
              <w:spacing w:before="0" w:after="0"/>
              <w:ind w:left="0" w:right="0" w:hanging="0"/>
              <w:rPr/>
            </w:pPr>
            <w:r>
              <w:rPr/>
              <w:t> </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69" w:type="dxa"/>
            <w:tcBorders/>
            <w:shd w:fill="CCEEFF" w:val="clear"/>
            <w:vAlign w:val="bottom"/>
          </w:tcPr>
          <w:p>
            <w:pPr>
              <w:pStyle w:val="TableContents"/>
              <w:spacing w:before="0" w:after="0"/>
              <w:ind w:left="0" w:right="0" w:hanging="0"/>
              <w:rPr/>
            </w:pPr>
            <w:r>
              <w:rPr/>
              <w:t> </w:t>
            </w:r>
          </w:p>
        </w:tc>
        <w:tc>
          <w:tcPr>
            <w:tcW w:w="9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auto" w:val="clear"/>
            <w:vAlign w:val="bottom"/>
          </w:tcPr>
          <w:p>
            <w:pPr>
              <w:pStyle w:val="TableContents"/>
              <w:spacing w:before="0" w:after="0"/>
              <w:ind w:left="0" w:right="0" w:hanging="0"/>
              <w:rPr/>
            </w:pPr>
            <w:r>
              <w:rPr/>
              <w:t> </w:t>
            </w:r>
          </w:p>
        </w:tc>
        <w:tc>
          <w:tcPr>
            <w:tcW w:w="94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auto" w:val="clear"/>
            <w:vAlign w:val="bottom"/>
          </w:tcPr>
          <w:p>
            <w:pPr>
              <w:pStyle w:val="TableContents"/>
              <w:spacing w:before="0" w:after="0"/>
              <w:ind w:left="0" w:right="0" w:hanging="0"/>
              <w:rPr/>
            </w:pPr>
            <w:r>
              <w:rPr/>
              <w:t> </w:t>
            </w:r>
          </w:p>
        </w:tc>
      </w:tr>
      <w:tr>
        <w:trPr/>
        <w:tc>
          <w:tcPr>
            <w:tcW w:w="23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March 31, 2013</w:t>
            </w:r>
          </w:p>
        </w:tc>
        <w:tc>
          <w:tcPr>
            <w:tcW w:w="169" w:type="dxa"/>
            <w:tcBorders/>
            <w:shd w:fill="CCEEFF" w:val="clear"/>
            <w:vAlign w:val="bottom"/>
          </w:tcPr>
          <w:p>
            <w:pPr>
              <w:pStyle w:val="TableContents"/>
              <w:spacing w:before="0" w:after="0"/>
              <w:ind w:left="0" w:right="0" w:hanging="0"/>
              <w:rPr/>
            </w:pPr>
            <w:r>
              <w:rPr/>
              <w:t> </w:t>
            </w:r>
          </w:p>
        </w:tc>
        <w:tc>
          <w:tcPr>
            <w:tcW w:w="9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337.7</w:t>
            </w:r>
          </w:p>
        </w:tc>
        <w:tc>
          <w:tcPr>
            <w:tcW w:w="16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6,724</w:t>
            </w:r>
          </w:p>
        </w:tc>
        <w:tc>
          <w:tcPr>
            <w:tcW w:w="184"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84"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6,985</w:t>
            </w:r>
          </w:p>
        </w:tc>
        <w:tc>
          <w:tcPr>
            <w:tcW w:w="184" w:type="dxa"/>
            <w:tcBorders/>
            <w:shd w:fill="CCEEFF" w:val="clear"/>
            <w:vAlign w:val="bottom"/>
          </w:tcPr>
          <w:p>
            <w:pPr>
              <w:pStyle w:val="TableContents"/>
              <w:spacing w:before="0" w:after="0"/>
              <w:ind w:left="0" w:right="0" w:hanging="0"/>
              <w:rPr/>
            </w:pPr>
            <w:r>
              <w:rPr/>
              <w:t> </w:t>
            </w:r>
          </w:p>
        </w:tc>
        <w:tc>
          <w:tcPr>
            <w:tcW w:w="2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184"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 w:name="PB_7_121546_5796"/>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7" w:name="NotesToCondensedConsolidatedFinan_180718"/>
      <w:bookmarkEnd w:id="17"/>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8" w:name="Note1organizationAndBasisOfPresen_180755"/>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As used in this Form 10-Q and unless the context indicates otherwise, the terms Partnership, Plains, PAA, we, us, our, ours and similar terms refer to Plains All American Pipeline, L.P. and its subsidiaries.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36"/>
        <w:gridCol w:w="514"/>
        <w:gridCol w:w="8455"/>
      </w:tblGrid>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 w:name="PB_8_121929_2897"/>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and notes thereto should be read in conjunction with our 2012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balance sheet data as of December 31, 2012 was derived from audited financial statements, but does not include all disclosures required by GAAP. The results of operations for the three months ended March 31, 2013 should not be taken as indicative of results to be expected for the entire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0" w:name="Note2recentAccountingPronouncemen_180759"/>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2012 Annual Report on Form 10-K, no new accounting pronouncements have become effective or have been issued during the three months ended March 31, 2013</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will adopt this guidance on January 1, 2014. Our adoption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During the three months ended March 31, 2013 and 2012, all reclassifications out of AOCI were related to derivative instruments. Other than requiring additional disclosure, which is included in Note 11,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 (ii) 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11, our adoption did not have an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1" w:name="PB_9_122010_3020"/>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2" w:name="Note3accountsReceivable_180803"/>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crude oil, NGL, natural gas and refined products terminalling and storage services.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risks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March 31, 2013 and December 31, 2012, we had received approximately $157 million and $173 million, respectively, of advance cash payments from third parties to mitigate credit risk. Furthermore, at March 31, 2013 and December 31, 2012, we had received approximately $677 million and $343 million, respectively, of standby letters of credit to support obligations due from third parties, a portion of which applies to future business. In addition, we enter into netting arrangements (contractual agreements that allow us and the counterparty to offset receivables and payables against each other) that cover a significant portion of our transactions and also serve to mitigate credit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2013 and December 31, 2012, substantially all of our accounts receivable (net of allowance for doubtful accounts) were less than 30 days past their scheduled invoice date.  Our allowance for doubtful accounts receivable totaled approximately $4 million at both March 31, 2013 and December 31, 2012.  Although we consider our allowance for doubtful trade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4Acquisitions and Dispositions</w:t>
      </w:r>
      <w:bookmarkStart w:id="23" w:name="Note4acquisitionsAndDispositions_180807"/>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full discussion of the acquisitions included in the pro forma results below, see Note 3 to our Consolidated Financial Statements included in Part IV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Pro Forma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Selected unaudited pro forma results of operations for the three months ended March 31, 2012, assuming the BP NGL Acquisition, USD Rail Terminal Acquisition and our other 2012 acquisitions had occurred on January 1, 2012, are presented below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812"/>
        <w:gridCol w:w="218"/>
        <w:gridCol w:w="227"/>
        <w:gridCol w:w="1817"/>
        <w:gridCol w:w="131"/>
      </w:tblGrid>
      <w:tr>
        <w:trPr/>
        <w:tc>
          <w:tcPr>
            <w:tcW w:w="7812"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04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7812"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31" w:type="dxa"/>
            <w:tcBorders/>
            <w:shd w:fill="auto" w:val="clear"/>
            <w:vAlign w:val="bottom"/>
          </w:tcPr>
          <w:p>
            <w:pPr>
              <w:pStyle w:val="TableContents"/>
              <w:spacing w:before="0" w:after="0"/>
              <w:ind w:left="0" w:right="0" w:hanging="0"/>
              <w:jc w:val="center"/>
              <w:rPr/>
            </w:pPr>
            <w:r>
              <w:rPr/>
              <w:t> </w:t>
            </w:r>
          </w:p>
        </w:tc>
      </w:tr>
      <w:tr>
        <w:trPr/>
        <w:tc>
          <w:tcPr>
            <w:tcW w:w="78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10,064</w:t>
            </w:r>
          </w:p>
        </w:tc>
        <w:tc>
          <w:tcPr>
            <w:tcW w:w="131" w:type="dxa"/>
            <w:tcBorders/>
            <w:shd w:fill="CCEEFF" w:val="clear"/>
            <w:vAlign w:val="bottom"/>
          </w:tcPr>
          <w:p>
            <w:pPr>
              <w:pStyle w:val="TableContents"/>
              <w:spacing w:before="0" w:after="0"/>
              <w:ind w:left="0" w:right="0" w:hanging="0"/>
              <w:rPr/>
            </w:pPr>
            <w:r>
              <w:rPr/>
              <w:t> </w:t>
            </w:r>
          </w:p>
        </w:tc>
      </w:tr>
      <w:tr>
        <w:trPr/>
        <w:tc>
          <w:tcPr>
            <w:tcW w:w="78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31" w:type="dxa"/>
            <w:tcBorders/>
            <w:shd w:fill="auto" w:val="clear"/>
            <w:vAlign w:val="bottom"/>
          </w:tcPr>
          <w:p>
            <w:pPr>
              <w:pStyle w:val="TableContents"/>
              <w:spacing w:before="0" w:after="0"/>
              <w:ind w:left="0" w:right="0" w:hanging="0"/>
              <w:rPr/>
            </w:pPr>
            <w:r>
              <w:rPr/>
              <w:t> </w:t>
            </w:r>
          </w:p>
        </w:tc>
      </w:tr>
      <w:tr>
        <w:trPr/>
        <w:tc>
          <w:tcPr>
            <w:tcW w:w="78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Limited partner interest in net income attributable to Plains</w:t>
            </w:r>
          </w:p>
        </w:tc>
        <w:tc>
          <w:tcPr>
            <w:tcW w:w="21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31" w:type="dxa"/>
            <w:tcBorders/>
            <w:shd w:fill="CCEEFF" w:val="clear"/>
            <w:vAlign w:val="bottom"/>
          </w:tcPr>
          <w:p>
            <w:pPr>
              <w:pStyle w:val="TableContents"/>
              <w:spacing w:before="0" w:after="0"/>
              <w:ind w:left="0" w:right="0" w:hanging="0"/>
              <w:rPr/>
            </w:pPr>
            <w:r>
              <w:rPr/>
              <w:t> </w:t>
            </w:r>
          </w:p>
        </w:tc>
      </w:tr>
      <w:tr>
        <w:trPr/>
        <w:tc>
          <w:tcPr>
            <w:tcW w:w="78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per limited partner unit:</w:t>
            </w:r>
          </w:p>
        </w:tc>
        <w:tc>
          <w:tcPr>
            <w:tcW w:w="218" w:type="dxa"/>
            <w:tcBorders/>
            <w:shd w:fill="auto" w:val="clear"/>
            <w:vAlign w:val="bottom"/>
          </w:tcPr>
          <w:p>
            <w:pPr>
              <w:pStyle w:val="TableContents"/>
              <w:spacing w:before="0" w:after="0"/>
              <w:ind w:left="0" w:right="0" w:hanging="0"/>
              <w:rPr/>
            </w:pPr>
            <w:r>
              <w:rPr/>
              <w:t> </w:t>
            </w:r>
          </w:p>
        </w:tc>
        <w:tc>
          <w:tcPr>
            <w:tcW w:w="2044"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78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21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31" w:type="dxa"/>
            <w:tcBorders/>
            <w:shd w:fill="CCEEFF" w:val="clear"/>
            <w:vAlign w:val="bottom"/>
          </w:tcPr>
          <w:p>
            <w:pPr>
              <w:pStyle w:val="TableContents"/>
              <w:spacing w:before="0" w:after="0"/>
              <w:ind w:left="0" w:right="0" w:hanging="0"/>
              <w:rPr/>
            </w:pPr>
            <w:r>
              <w:rPr/>
              <w:t> </w:t>
            </w:r>
          </w:p>
        </w:tc>
      </w:tr>
      <w:tr>
        <w:trPr/>
        <w:tc>
          <w:tcPr>
            <w:tcW w:w="78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218"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we signed a definitive agreement to sell certain refined products pipeline systems and related assets included in our Transportation segment. At March 31, 2013 and December 31, 2012, these assets were classified as held for sale on our condensed consolidated balance sheets (in Other current assets). We expect the transaction to close during the second or third quarter of 2013, subject to the satisfaction of customary closing conditions.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4" w:name="PB_10_122128_7748"/>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and Base Gas and Long-term Inventory</w:t>
      </w:r>
      <w:bookmarkStart w:id="25" w:name="Note5inventoryLinefillAndBaseGasA_180910"/>
      <w:bookmarkEnd w:id="2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and base gas and long-term inventory consisted of the following (barrels and natural gas volumes in thousands and carrying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10"/>
        <w:gridCol w:w="200"/>
        <w:gridCol w:w="767"/>
        <w:gridCol w:w="200"/>
        <w:gridCol w:w="767"/>
        <w:gridCol w:w="200"/>
        <w:gridCol w:w="118"/>
        <w:gridCol w:w="563"/>
        <w:gridCol w:w="200"/>
        <w:gridCol w:w="116"/>
        <w:gridCol w:w="556"/>
        <w:gridCol w:w="200"/>
        <w:gridCol w:w="767"/>
        <w:gridCol w:w="200"/>
        <w:gridCol w:w="767"/>
        <w:gridCol w:w="200"/>
        <w:gridCol w:w="118"/>
        <w:gridCol w:w="563"/>
        <w:gridCol w:w="200"/>
        <w:gridCol w:w="116"/>
        <w:gridCol w:w="557"/>
        <w:gridCol w:w="120"/>
      </w:tblGrid>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48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200" w:type="dxa"/>
            <w:tcBorders/>
            <w:shd w:fill="auto" w:val="clear"/>
            <w:vAlign w:val="bottom"/>
          </w:tcPr>
          <w:p>
            <w:pPr>
              <w:pStyle w:val="TableContents"/>
              <w:spacing w:before="0" w:after="0"/>
              <w:ind w:left="0" w:right="0" w:hanging="0"/>
              <w:jc w:val="center"/>
              <w:rPr/>
            </w:pPr>
            <w:r>
              <w:rPr/>
              <w:t> </w:t>
            </w:r>
          </w:p>
        </w:tc>
        <w:tc>
          <w:tcPr>
            <w:tcW w:w="348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9,173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9,492</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2,974</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44.38</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9,472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pPr>
            <w:r>
              <w:rPr>
                <w:rFonts w:ascii="Times New Roman" w:hAnsi="Times New Roman"/>
                <w:sz w:val="17"/>
              </w:rPr>
              <w:t xml:space="preserve">Natural gas </w:t>
            </w:r>
            <w:r>
              <w:rPr>
                <w:sz w:val="11"/>
              </w:rPr>
              <w:t>(2)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26,452</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20,374</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1,031</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9,946</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9,919</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58.78</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48.57</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rFonts w:ascii="Times New Roman" w:hAnsi="Times New Roman"/>
                <w:sz w:val="17"/>
              </w:rPr>
              <w:t>Natural gas</w:t>
            </w:r>
            <w:r>
              <w:rPr/>
              <w:t xml:space="preserve"> </w:t>
            </w:r>
            <w:r>
              <w:rPr>
                <w:sz w:val="11"/>
              </w:rPr>
              <w:t>(2)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15,755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15,755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704</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76.17</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75.94</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2,221</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40.07</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1,979</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2,190</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crude Btu equivalent is 6:1; thus, natural gas volumes can be approximately converted to barrels by dividing by 6.</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6" w:name="Note6Goodwill_180914"/>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goodwill by segment and changes during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16"/>
        <w:gridCol w:w="116"/>
        <w:gridCol w:w="279"/>
        <w:gridCol w:w="1373"/>
        <w:gridCol w:w="132"/>
        <w:gridCol w:w="163"/>
        <w:gridCol w:w="1185"/>
        <w:gridCol w:w="132"/>
        <w:gridCol w:w="353"/>
        <w:gridCol w:w="1567"/>
        <w:gridCol w:w="132"/>
        <w:gridCol w:w="157"/>
        <w:gridCol w:w="1159"/>
        <w:gridCol w:w="141"/>
      </w:tblGrid>
      <w:tr>
        <w:trPr/>
        <w:tc>
          <w:tcPr>
            <w:tcW w:w="3316"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jc w:val="center"/>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32" w:type="dxa"/>
            <w:tcBorders/>
            <w:shd w:fill="auto" w:val="clear"/>
            <w:vAlign w:val="bottom"/>
          </w:tcPr>
          <w:p>
            <w:pPr>
              <w:pStyle w:val="TableContents"/>
              <w:spacing w:before="0" w:after="0"/>
              <w:ind w:left="0" w:right="0" w:hanging="0"/>
              <w:jc w:val="center"/>
              <w:rPr/>
            </w:pPr>
            <w:r>
              <w:rPr/>
              <w:t> </w:t>
            </w:r>
          </w:p>
        </w:tc>
        <w:tc>
          <w:tcPr>
            <w:tcW w:w="13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32" w:type="dxa"/>
            <w:tcBorders/>
            <w:shd w:fill="auto" w:val="clear"/>
            <w:vAlign w:val="bottom"/>
          </w:tcPr>
          <w:p>
            <w:pPr>
              <w:pStyle w:val="TableContents"/>
              <w:spacing w:before="0" w:after="0"/>
              <w:ind w:left="0" w:right="0" w:hanging="0"/>
              <w:jc w:val="center"/>
              <w:rPr/>
            </w:pPr>
            <w:r>
              <w:rPr/>
              <w:t> </w:t>
            </w:r>
          </w:p>
        </w:tc>
        <w:tc>
          <w:tcPr>
            <w:tcW w:w="19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32" w:type="dxa"/>
            <w:tcBorders/>
            <w:shd w:fill="auto" w:val="clear"/>
            <w:vAlign w:val="bottom"/>
          </w:tcPr>
          <w:p>
            <w:pPr>
              <w:pStyle w:val="TableContents"/>
              <w:spacing w:before="0" w:after="0"/>
              <w:ind w:left="0" w:right="0" w:hanging="0"/>
              <w:jc w:val="center"/>
              <w:rPr/>
            </w:pPr>
            <w:r>
              <w:rPr/>
              <w:t> </w:t>
            </w:r>
          </w:p>
        </w:tc>
        <w:tc>
          <w:tcPr>
            <w:tcW w:w="13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3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16"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w:t>
            </w:r>
          </w:p>
        </w:tc>
        <w:tc>
          <w:tcPr>
            <w:tcW w:w="132"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1,171</w:t>
            </w:r>
          </w:p>
        </w:tc>
        <w:tc>
          <w:tcPr>
            <w:tcW w:w="132" w:type="dxa"/>
            <w:tcBorders/>
            <w:shd w:fill="CCEEFF" w:val="clear"/>
            <w:vAlign w:val="bottom"/>
          </w:tcPr>
          <w:p>
            <w:pPr>
              <w:pStyle w:val="TableContents"/>
              <w:spacing w:before="0" w:after="0"/>
              <w:ind w:left="0" w:right="0" w:hanging="0"/>
              <w:rPr/>
            </w:pPr>
            <w:r>
              <w:rPr/>
              <w:t> </w:t>
            </w:r>
          </w:p>
        </w:tc>
        <w:tc>
          <w:tcPr>
            <w:tcW w:w="3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132"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41" w:type="dxa"/>
            <w:tcBorders/>
            <w:shd w:fill="CCEEFF" w:val="clear"/>
            <w:vAlign w:val="bottom"/>
          </w:tcPr>
          <w:p>
            <w:pPr>
              <w:pStyle w:val="TableContents"/>
              <w:spacing w:before="0" w:after="0"/>
              <w:ind w:left="0" w:right="0" w:hanging="0"/>
              <w:rPr/>
            </w:pPr>
            <w:r>
              <w:rPr/>
              <w:t> </w:t>
            </w:r>
          </w:p>
        </w:tc>
      </w:tr>
      <w:tr>
        <w:trPr/>
        <w:tc>
          <w:tcPr>
            <w:tcW w:w="3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 Goodwill Related Activity:</w:t>
            </w:r>
          </w:p>
        </w:tc>
        <w:tc>
          <w:tcPr>
            <w:tcW w:w="116" w:type="dxa"/>
            <w:tcBorders/>
            <w:shd w:fill="auto" w:val="clear"/>
            <w:vAlign w:val="bottom"/>
          </w:tcPr>
          <w:p>
            <w:pPr>
              <w:pStyle w:val="TableContents"/>
              <w:spacing w:before="0" w:after="0"/>
              <w:ind w:left="0" w:right="0" w:hanging="0"/>
              <w:rPr/>
            </w:pPr>
            <w:r>
              <w:rPr/>
              <w:t> </w:t>
            </w:r>
          </w:p>
        </w:tc>
        <w:tc>
          <w:tcPr>
            <w:tcW w:w="1652"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c>
          <w:tcPr>
            <w:tcW w:w="1348"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c>
          <w:tcPr>
            <w:tcW w:w="1920"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pPr>
            <w:r>
              <w:rPr/>
              <w:t> </w:t>
            </w:r>
          </w:p>
        </w:tc>
        <w:tc>
          <w:tcPr>
            <w:tcW w:w="141" w:type="dxa"/>
            <w:tcBorders/>
            <w:shd w:fill="auto" w:val="clear"/>
            <w:vAlign w:val="bottom"/>
          </w:tcPr>
          <w:p>
            <w:pPr>
              <w:pStyle w:val="TableContents"/>
              <w:spacing w:before="0" w:after="0"/>
              <w:ind w:left="0" w:right="0" w:hanging="0"/>
              <w:rPr/>
            </w:pPr>
            <w:r>
              <w:rPr/>
              <w:t> </w:t>
            </w:r>
          </w:p>
        </w:tc>
      </w:tr>
      <w:tr>
        <w:trPr/>
        <w:tc>
          <w:tcPr>
            <w:tcW w:w="3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16" w:type="dxa"/>
            <w:tcBorders/>
            <w:shd w:fill="CCEEFF" w:val="clear"/>
            <w:vAlign w:val="bottom"/>
          </w:tcPr>
          <w:p>
            <w:pPr>
              <w:pStyle w:val="TableContents"/>
              <w:spacing w:before="0" w:after="0"/>
              <w:ind w:left="0" w:right="0" w:hanging="0"/>
              <w:rPr/>
            </w:pPr>
            <w:r>
              <w:rPr/>
              <w:t> </w:t>
            </w:r>
          </w:p>
        </w:tc>
        <w:tc>
          <w:tcPr>
            <w:tcW w:w="16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6" w:type="dxa"/>
            <w:tcBorders/>
            <w:shd w:fill="auto" w:val="clear"/>
            <w:vAlign w:val="bottom"/>
          </w:tcPr>
          <w:p>
            <w:pPr>
              <w:pStyle w:val="TableContents"/>
              <w:spacing w:before="0" w:after="0"/>
              <w:ind w:left="0" w:right="0" w:hanging="0"/>
              <w:rPr/>
            </w:pPr>
            <w:r>
              <w:rPr>
                <w:rFonts w:ascii="Times New Roman" w:hAnsi="Times New Roman"/>
                <w:sz w:val="17"/>
              </w:rPr>
              <w:t>Purchase price accounting adjustments and other</w:t>
            </w:r>
            <w:r>
              <w:rPr/>
              <w:t xml:space="preserve"> </w:t>
            </w:r>
            <w:r>
              <w:rPr>
                <w:sz w:val="11"/>
              </w:rPr>
              <w:t>(1) </w:t>
            </w:r>
          </w:p>
        </w:tc>
        <w:tc>
          <w:tcPr>
            <w:tcW w:w="116" w:type="dxa"/>
            <w:tcBorders/>
            <w:shd w:fill="auto" w:val="clear"/>
            <w:vAlign w:val="bottom"/>
          </w:tcPr>
          <w:p>
            <w:pPr>
              <w:pStyle w:val="TableContents"/>
              <w:spacing w:before="0" w:after="0"/>
              <w:ind w:left="0" w:right="0" w:hanging="0"/>
              <w:rPr/>
            </w:pPr>
            <w:r>
              <w:rPr/>
              <w:t> </w:t>
            </w:r>
          </w:p>
        </w:tc>
        <w:tc>
          <w:tcPr>
            <w:tcW w:w="1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c>
          <w:tcPr>
            <w:tcW w:w="19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c>
          <w:tcPr>
            <w:tcW w:w="13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March 31, 2013</w:t>
            </w:r>
          </w:p>
        </w:tc>
        <w:tc>
          <w:tcPr>
            <w:tcW w:w="116"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132"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1,168</w:t>
            </w:r>
          </w:p>
        </w:tc>
        <w:tc>
          <w:tcPr>
            <w:tcW w:w="132" w:type="dxa"/>
            <w:tcBorders/>
            <w:shd w:fill="CCEEFF" w:val="clear"/>
            <w:vAlign w:val="bottom"/>
          </w:tcPr>
          <w:p>
            <w:pPr>
              <w:pStyle w:val="TableContents"/>
              <w:spacing w:before="0" w:after="0"/>
              <w:ind w:left="0" w:right="0" w:hanging="0"/>
              <w:rPr/>
            </w:pPr>
            <w:r>
              <w:rPr/>
              <w:t> </w:t>
            </w:r>
          </w:p>
        </w:tc>
        <w:tc>
          <w:tcPr>
            <w:tcW w:w="3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32"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2,520</w:t>
            </w:r>
          </w:p>
        </w:tc>
        <w:tc>
          <w:tcPr>
            <w:tcW w:w="14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7" w:name="PB_11_115906_7056"/>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28" w:name="Note7debt_180917"/>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31"/>
        <w:gridCol w:w="211"/>
        <w:gridCol w:w="145"/>
        <w:gridCol w:w="1130"/>
        <w:gridCol w:w="211"/>
        <w:gridCol w:w="161"/>
        <w:gridCol w:w="1193"/>
        <w:gridCol w:w="123"/>
      </w:tblGrid>
      <w:tr>
        <w:trPr/>
        <w:tc>
          <w:tcPr>
            <w:tcW w:w="703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1" w:type="dxa"/>
            <w:tcBorders/>
            <w:shd w:fill="auto" w:val="clear"/>
            <w:vAlign w:val="bottom"/>
          </w:tcPr>
          <w:p>
            <w:pPr>
              <w:pStyle w:val="TableContents"/>
              <w:spacing w:before="0" w:after="0"/>
              <w:ind w:left="0" w:right="0" w:hanging="0"/>
              <w:jc w:val="center"/>
              <w:rPr/>
            </w:pPr>
            <w:r>
              <w:rPr/>
              <w:t> </w:t>
            </w:r>
          </w:p>
        </w:tc>
        <w:tc>
          <w:tcPr>
            <w:tcW w:w="13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3" w:type="dxa"/>
            <w:tcBorders/>
            <w:shd w:fill="auto" w:val="clear"/>
            <w:vAlign w:val="bottom"/>
          </w:tcPr>
          <w:p>
            <w:pPr>
              <w:pStyle w:val="TableContents"/>
              <w:spacing w:before="0" w:after="0"/>
              <w:ind w:left="0" w:right="0" w:hanging="0"/>
              <w:jc w:val="center"/>
              <w:rPr/>
            </w:pPr>
            <w:r>
              <w:rPr/>
              <w:t> </w:t>
            </w:r>
          </w:p>
        </w:tc>
      </w:tr>
      <w:tr>
        <w:trPr/>
        <w:tc>
          <w:tcPr>
            <w:tcW w:w="7031"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3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7031"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Credit Facilities :</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PAA senior secured hedged inventory facility, bearing a weighted-average interest rate of 1.3% and 1.6% at March 31, 2013 and December 31, 2012, respectively</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1"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1.5% and 2.4% at March 31, 2013 and December 31, 2012, respectively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at both March 31, 2013 and December 31, 2012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pPr>
            <w:r>
              <w:rPr>
                <w:rFonts w:ascii="Times New Roman" w:hAnsi="Times New Roman"/>
                <w:sz w:val="17"/>
              </w:rPr>
              <w:t xml:space="preserve">5.63% senior notes due December 2013 </w:t>
            </w:r>
            <w:r>
              <w:rPr>
                <w:sz w:val="11"/>
              </w:rPr>
              <w:t>(3)</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cente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 of $15 at both March 31, 2013 and December 31, 2012.</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at both March 31, 2013 and December 31, 2012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both March 31, 2013 and December 31, 2012</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1"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pPr>
            <w:r>
              <w:rPr/>
              <w:t> </w:t>
            </w:r>
          </w:p>
        </w:tc>
        <w:tc>
          <w:tcPr>
            <w:tcW w:w="13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3" w:type="dxa"/>
            <w:tcBorders/>
            <w:shd w:fill="auto" w:val="clear"/>
            <w:vAlign w:val="bottom"/>
          </w:tcPr>
          <w:p>
            <w:pPr>
              <w:pStyle w:val="TableContents"/>
              <w:spacing w:before="0" w:after="0"/>
              <w:ind w:left="0" w:right="0" w:hanging="0"/>
              <w:rPr/>
            </w:pPr>
            <w:r>
              <w:rPr/>
              <w:t> </w:t>
            </w:r>
          </w:p>
        </w:tc>
      </w:tr>
      <w:tr>
        <w:trPr/>
        <w:tc>
          <w:tcPr>
            <w:tcW w:w="70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11"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6,331</w:t>
            </w:r>
          </w:p>
        </w:tc>
        <w:tc>
          <w:tcPr>
            <w:tcW w:w="211" w:type="dxa"/>
            <w:tcBorders/>
            <w:shd w:fill="CCEEFF" w:val="clear"/>
            <w:vAlign w:val="bottom"/>
          </w:tcPr>
          <w:p>
            <w:pPr>
              <w:pStyle w:val="TableContents"/>
              <w:spacing w:before="0" w:after="0"/>
              <w:ind w:left="0" w:right="0" w:hanging="0"/>
              <w:rPr/>
            </w:pPr>
            <w:r>
              <w:rPr/>
              <w:t> </w:t>
            </w:r>
          </w:p>
        </w:tc>
        <w:tc>
          <w:tcPr>
            <w:tcW w:w="13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23" w:type="dxa"/>
            <w:tcBorders/>
            <w:shd w:fill="CCEEFF" w:val="clear"/>
            <w:vAlign w:val="bottom"/>
          </w:tcPr>
          <w:p>
            <w:pPr>
              <w:pStyle w:val="TableContents"/>
              <w:spacing w:before="0" w:after="0"/>
              <w:ind w:left="0" w:right="0" w:hanging="0"/>
              <w:rPr/>
            </w:pPr>
            <w:r>
              <w:rPr/>
              <w:t> </w:t>
            </w:r>
          </w:p>
        </w:tc>
      </w:tr>
      <w:tr>
        <w:trPr/>
        <w:tc>
          <w:tcPr>
            <w:tcW w:w="7031" w:type="dxa"/>
            <w:tcBorders/>
            <w:shd w:fill="auto" w:val="clear"/>
            <w:vAlign w:val="bottom"/>
          </w:tcPr>
          <w:p>
            <w:pPr>
              <w:pStyle w:val="TableContents"/>
              <w:spacing w:before="0" w:after="0"/>
              <w:ind w:left="0" w:right="0" w:hanging="0"/>
              <w:rPr/>
            </w:pPr>
            <w:r>
              <w:rPr>
                <w:rFonts w:ascii="Times New Roman" w:hAnsi="Times New Roman"/>
                <w:sz w:val="17"/>
              </w:rPr>
              <w:t xml:space="preserve">Total debt </w:t>
            </w:r>
            <w:r>
              <w:rPr>
                <w:sz w:val="11"/>
              </w:rPr>
              <w:t>(1) (2) (4)</w:t>
            </w:r>
          </w:p>
        </w:tc>
        <w:tc>
          <w:tcPr>
            <w:tcW w:w="21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7,020</w:t>
            </w:r>
          </w:p>
        </w:tc>
        <w:tc>
          <w:tcPr>
            <w:tcW w:w="211"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Our $250 million 5.63% senior notes will mature in December 2013 and are thus classified as short-term at March 31, 2013 and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Our fixed-rate senior notes (including current maturities) had a face value of approximately $6.3 billion at both March 31, 2013 and December 31, 2012.  We estimated the aggregate fair value of these notes as of March 31, 2013 and December 31, 2012 to be approximately $7.2 billion and $7.3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and agreements approximates fair value as interest rates reflect current market rates.  The fair value estimates for both our senior notes and credit facilities and agreements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supply and logistics activities, we provide certain suppliers with irrevocable standby letters of credit to secure our obligation for the purchase of crude oil.  At March 31, 2013 and December 31, 2012, we had outstanding letters of credit of approximately $56 million and $24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9" w:name="PB_12_120122_5335"/>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8Net Income Per Limited Partner Unit</w:t>
      </w:r>
      <w:bookmarkStart w:id="30" w:name="Note8netIncomePerLimitedPartnerUn_180924"/>
      <w:bookmarkEnd w:id="3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to our Consolidated Financial Statements included in Part IV of our 2012 Annual Report on Form 10-K for a complete discussion of our LTIP awards including specific discussion regarding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months ended March 31, 2013 and 2012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27"/>
        <w:gridCol w:w="214"/>
        <w:gridCol w:w="141"/>
        <w:gridCol w:w="1113"/>
        <w:gridCol w:w="227"/>
        <w:gridCol w:w="141"/>
        <w:gridCol w:w="1114"/>
        <w:gridCol w:w="128"/>
      </w:tblGrid>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7"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Less: General partner 2% ownership</w:t>
            </w:r>
            <w:r>
              <w:rPr/>
              <w:t xml:space="preserve">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Less: Undistributed earnings allocated and distributions to participating securities</w:t>
            </w:r>
            <w:r>
              <w:rPr/>
              <w:t xml:space="preserve">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Less: General partner 2% ownership</w:t>
            </w:r>
            <w:r>
              <w:rPr/>
              <w:t xml:space="preserve">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Less: Undistributed earnings allocated and distributions to participating securities</w:t>
            </w:r>
            <w:r>
              <w:rPr/>
              <w:t xml:space="preserve">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 Weighted average LTIP units</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1" w:name="PB_13_120343_5796"/>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94"/>
        <w:gridCol w:w="219"/>
        <w:gridCol w:w="167"/>
        <w:gridCol w:w="1221"/>
        <w:gridCol w:w="244"/>
        <w:gridCol w:w="167"/>
        <w:gridCol w:w="1067"/>
        <w:gridCol w:w="126"/>
      </w:tblGrid>
      <w:tr>
        <w:trPr/>
        <w:tc>
          <w:tcPr>
            <w:tcW w:w="6994"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28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126" w:type="dxa"/>
            <w:tcBorders/>
            <w:shd w:fill="auto" w:val="clear"/>
            <w:vAlign w:val="bottom"/>
          </w:tcPr>
          <w:p>
            <w:pPr>
              <w:pStyle w:val="TableContents"/>
              <w:spacing w:before="0" w:after="0"/>
              <w:ind w:left="0" w:right="0" w:hanging="0"/>
              <w:jc w:val="center"/>
              <w:rPr/>
            </w:pPr>
            <w:r>
              <w:rPr/>
              <w:t> </w:t>
            </w:r>
          </w:p>
        </w:tc>
      </w:tr>
      <w:tr>
        <w:trPr/>
        <w:tc>
          <w:tcPr>
            <w:tcW w:w="6994"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44"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69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 impact</w:t>
            </w:r>
          </w:p>
        </w:tc>
        <w:tc>
          <w:tcPr>
            <w:tcW w:w="219"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6994"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244"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69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 impact</w:t>
            </w:r>
          </w:p>
        </w:tc>
        <w:tc>
          <w:tcPr>
            <w:tcW w:w="219"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9Partners Capital and Distributions</w:t>
      </w:r>
      <w:bookmarkStart w:id="32" w:name="Note9partnersCapitalAndDistributi_180929"/>
      <w:bookmarkEnd w:id="3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three months of 2013,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07"/>
        <w:gridCol w:w="178"/>
        <w:gridCol w:w="2201"/>
        <w:gridCol w:w="178"/>
        <w:gridCol w:w="168"/>
        <w:gridCol w:w="610"/>
        <w:gridCol w:w="178"/>
        <w:gridCol w:w="204"/>
        <w:gridCol w:w="594"/>
        <w:gridCol w:w="204"/>
        <w:gridCol w:w="190"/>
        <w:gridCol w:w="469"/>
        <w:gridCol w:w="178"/>
        <w:gridCol w:w="142"/>
        <w:gridCol w:w="539"/>
        <w:gridCol w:w="178"/>
        <w:gridCol w:w="164"/>
        <w:gridCol w:w="1002"/>
        <w:gridCol w:w="121"/>
      </w:tblGrid>
      <w:tr>
        <w:trPr/>
        <w:tc>
          <w:tcPr>
            <w:tcW w:w="2707"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347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1" w:type="dxa"/>
            <w:tcBorders/>
            <w:shd w:fill="auto" w:val="clear"/>
            <w:vAlign w:val="bottom"/>
          </w:tcPr>
          <w:p>
            <w:pPr>
              <w:pStyle w:val="TableContents"/>
              <w:spacing w:before="0" w:after="0"/>
              <w:ind w:left="0" w:right="0" w:hanging="0"/>
              <w:jc w:val="center"/>
              <w:rPr/>
            </w:pPr>
            <w:r>
              <w:rPr/>
              <w:t> </w:t>
            </w:r>
          </w:p>
        </w:tc>
      </w:tr>
      <w:tr>
        <w:trPr/>
        <w:tc>
          <w:tcPr>
            <w:tcW w:w="2707"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61"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1" w:type="dxa"/>
            <w:tcBorders/>
            <w:shd w:fill="auto" w:val="clear"/>
            <w:vAlign w:val="bottom"/>
          </w:tcPr>
          <w:p>
            <w:pPr>
              <w:pStyle w:val="TableContents"/>
              <w:spacing w:before="0" w:after="0"/>
              <w:ind w:left="0" w:right="0" w:hanging="0"/>
              <w:jc w:val="center"/>
              <w:rPr/>
            </w:pPr>
            <w:r>
              <w:rPr/>
              <w:t> </w:t>
            </w:r>
          </w:p>
        </w:tc>
      </w:tr>
      <w:tr>
        <w:trPr/>
        <w:tc>
          <w:tcPr>
            <w:tcW w:w="270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8" w:type="dxa"/>
            <w:tcBorders/>
            <w:shd w:fill="auto" w:val="clear"/>
            <w:vAlign w:val="bottom"/>
          </w:tcPr>
          <w:p>
            <w:pPr>
              <w:pStyle w:val="TableContents"/>
              <w:spacing w:before="0" w:after="0"/>
              <w:ind w:left="0" w:right="0" w:hanging="0"/>
              <w:jc w:val="center"/>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8" w:type="dxa"/>
            <w:tcBorders/>
            <w:shd w:fill="auto" w:val="clear"/>
            <w:vAlign w:val="bottom"/>
          </w:tcPr>
          <w:p>
            <w:pPr>
              <w:pStyle w:val="TableContents"/>
              <w:spacing w:before="0" w:after="0"/>
              <w:ind w:left="0" w:right="0" w:hanging="0"/>
              <w:jc w:val="center"/>
              <w:rPr/>
            </w:pPr>
            <w:r>
              <w:rPr/>
              <w:t> </w:t>
            </w:r>
          </w:p>
        </w:tc>
        <w:tc>
          <w:tcPr>
            <w:tcW w:w="7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78"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121" w:type="dxa"/>
            <w:tcBorders/>
            <w:shd w:fill="auto" w:val="clear"/>
            <w:vAlign w:val="bottom"/>
          </w:tcPr>
          <w:p>
            <w:pPr>
              <w:pStyle w:val="TableContents"/>
              <w:spacing w:before="0" w:after="0"/>
              <w:ind w:left="0" w:right="0" w:hanging="0"/>
              <w:jc w:val="center"/>
              <w:rPr/>
            </w:pPr>
            <w:r>
              <w:rPr/>
              <w:t> </w:t>
            </w:r>
          </w:p>
        </w:tc>
      </w:tr>
      <w:tr>
        <w:trPr/>
        <w:tc>
          <w:tcPr>
            <w:tcW w:w="27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8, 2013</w:t>
            </w:r>
          </w:p>
        </w:tc>
        <w:tc>
          <w:tcPr>
            <w:tcW w:w="178" w:type="dxa"/>
            <w:tcBorders/>
            <w:shd w:fill="CCEEFF" w:val="clear"/>
            <w:vAlign w:val="bottom"/>
          </w:tcPr>
          <w:p>
            <w:pPr>
              <w:pStyle w:val="TableContents"/>
              <w:spacing w:before="0" w:after="0"/>
              <w:ind w:left="0" w:right="0" w:hanging="0"/>
              <w:rPr/>
            </w:pPr>
            <w:r>
              <w:rPr/>
              <w:t> </w:t>
            </w:r>
          </w:p>
        </w:tc>
        <w:tc>
          <w:tcPr>
            <w:tcW w:w="2201" w:type="dxa"/>
            <w:tcBorders/>
            <w:shd w:fill="CCEEFF" w:val="clear"/>
            <w:vAlign w:val="bottom"/>
          </w:tcPr>
          <w:p>
            <w:pPr>
              <w:pStyle w:val="TableContents"/>
              <w:spacing w:before="0" w:after="0"/>
              <w:ind w:left="0" w:right="0" w:hanging="0"/>
              <w:rPr/>
            </w:pPr>
            <w:r>
              <w:rPr>
                <w:rFonts w:ascii="Times New Roman" w:hAnsi="Times New Roman"/>
                <w:sz w:val="17"/>
              </w:rPr>
              <w:t xml:space="preserve">May 15, 2013 </w:t>
            </w:r>
            <w:r>
              <w:rPr>
                <w:sz w:val="11"/>
              </w:rPr>
              <w:t>(1)</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0.5750</w:t>
            </w:r>
          </w:p>
        </w:tc>
        <w:tc>
          <w:tcPr>
            <w:tcW w:w="121" w:type="dxa"/>
            <w:tcBorders/>
            <w:shd w:fill="CCEEFF" w:val="clear"/>
            <w:vAlign w:val="bottom"/>
          </w:tcPr>
          <w:p>
            <w:pPr>
              <w:pStyle w:val="TableContents"/>
              <w:spacing w:before="0" w:after="0"/>
              <w:ind w:left="0" w:right="0" w:hanging="0"/>
              <w:rPr/>
            </w:pPr>
            <w:r>
              <w:rPr/>
              <w:t> </w:t>
            </w:r>
          </w:p>
        </w:tc>
      </w:tr>
      <w:tr>
        <w:trPr/>
        <w:tc>
          <w:tcPr>
            <w:tcW w:w="27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7, 2013</w:t>
            </w:r>
          </w:p>
        </w:tc>
        <w:tc>
          <w:tcPr>
            <w:tcW w:w="178" w:type="dxa"/>
            <w:tcBorders/>
            <w:shd w:fill="auto" w:val="clear"/>
            <w:vAlign w:val="bottom"/>
          </w:tcPr>
          <w:p>
            <w:pPr>
              <w:pStyle w:val="TableContents"/>
              <w:spacing w:before="0" w:after="0"/>
              <w:ind w:left="0" w:right="0" w:hanging="0"/>
              <w:rPr/>
            </w:pPr>
            <w:r>
              <w:rPr/>
              <w:t> </w:t>
            </w:r>
          </w:p>
        </w:tc>
        <w:tc>
          <w:tcPr>
            <w:tcW w:w="2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2013</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0.5625</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at the close of business on May 3, 2013, for the period January 1, 2013 through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2013, we issued an aggregate of approximately 2.4 million common units under our continuous offering program, generating net proceeds of approximately $131 million, including our general partners proportionate capital contribution, net of approximately $1 million of commissions to our sales agents.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2013, noncontrolling interests in subsidiaries consisted of (i) an approximate 36%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Sales of such common units will be made by means of ordinary brokers transactions on the NYSE at market prices, in block transactions or as otherwise agreed upon by the sales agent and PNG. Under the terms of the agreement, PNG has the option to sell common units to the sales agent as principal for its own account at a price to be agreed upon at the time of the sale. For any such sales, PNG will enter into a separate terms agreement with the sales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2013, PNG issued an aggregate of approximately 57,000 common units under this agreement, generating net proceeds of approximately $1.2 million, including our proportionate capital contribution for our general partner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3" w:name="PB_14_120841_2897"/>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636"/>
        <w:gridCol w:w="208"/>
        <w:gridCol w:w="232"/>
        <w:gridCol w:w="1239"/>
        <w:gridCol w:w="277"/>
        <w:gridCol w:w="232"/>
        <w:gridCol w:w="1240"/>
        <w:gridCol w:w="141"/>
      </w:tblGrid>
      <w:tr>
        <w:trPr/>
        <w:tc>
          <w:tcPr>
            <w:tcW w:w="663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32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w:t>
            </w:r>
          </w:p>
        </w:tc>
        <w:tc>
          <w:tcPr>
            <w:tcW w:w="141" w:type="dxa"/>
            <w:tcBorders/>
            <w:shd w:fill="auto" w:val="clear"/>
            <w:vAlign w:val="bottom"/>
          </w:tcPr>
          <w:p>
            <w:pPr>
              <w:pStyle w:val="TableContents"/>
              <w:spacing w:before="0" w:after="0"/>
              <w:ind w:left="0" w:right="0" w:hanging="0"/>
              <w:jc w:val="center"/>
              <w:rPr/>
            </w:pPr>
            <w:r>
              <w:rPr/>
              <w:t> </w:t>
            </w:r>
          </w:p>
        </w:tc>
      </w:tr>
      <w:tr>
        <w:trPr/>
        <w:tc>
          <w:tcPr>
            <w:tcW w:w="663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4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77" w:type="dxa"/>
            <w:tcBorders/>
            <w:shd w:fill="auto" w:val="clear"/>
            <w:vAlign w:val="bottom"/>
          </w:tcPr>
          <w:p>
            <w:pPr>
              <w:pStyle w:val="TableContents"/>
              <w:spacing w:before="0" w:after="0"/>
              <w:ind w:left="0" w:right="0" w:hanging="0"/>
              <w:jc w:val="center"/>
              <w:rPr/>
            </w:pPr>
            <w:r>
              <w:rPr/>
              <w:t> </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1" w:type="dxa"/>
            <w:tcBorders/>
            <w:shd w:fill="auto" w:val="clear"/>
            <w:vAlign w:val="bottom"/>
          </w:tcPr>
          <w:p>
            <w:pPr>
              <w:pStyle w:val="TableContents"/>
              <w:spacing w:before="0" w:after="0"/>
              <w:ind w:left="0" w:right="0" w:hanging="0"/>
              <w:jc w:val="center"/>
              <w:rPr/>
            </w:pPr>
            <w:r>
              <w:rPr/>
              <w:t> </w:t>
            </w:r>
          </w:p>
        </w:tc>
      </w:tr>
      <w:tr>
        <w:trPr/>
        <w:tc>
          <w:tcPr>
            <w:tcW w:w="66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8" w:type="dxa"/>
            <w:tcBorders/>
            <w:shd w:fill="CCEEFF" w:val="clear"/>
            <w:vAlign w:val="bottom"/>
          </w:tcPr>
          <w:p>
            <w:pPr>
              <w:pStyle w:val="TableContents"/>
              <w:spacing w:before="0" w:after="0"/>
              <w:ind w:left="0" w:right="0" w:hanging="0"/>
              <w:rPr/>
            </w:pPr>
            <w:r>
              <w:rPr/>
              <w:t> </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77" w:type="dxa"/>
            <w:tcBorders/>
            <w:shd w:fill="CCEEFF" w:val="clear"/>
            <w:vAlign w:val="bottom"/>
          </w:tcPr>
          <w:p>
            <w:pPr>
              <w:pStyle w:val="TableContents"/>
              <w:spacing w:before="0" w:after="0"/>
              <w:ind w:left="0" w:right="0" w:hanging="0"/>
              <w:rPr/>
            </w:pPr>
            <w:r>
              <w:rPr/>
              <w:t> </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41" w:type="dxa"/>
            <w:tcBorders/>
            <w:shd w:fill="CCEEFF" w:val="clear"/>
            <w:vAlign w:val="bottom"/>
          </w:tcPr>
          <w:p>
            <w:pPr>
              <w:pStyle w:val="TableContents"/>
              <w:spacing w:before="0" w:after="0"/>
              <w:ind w:left="0" w:right="0" w:hanging="0"/>
              <w:rPr/>
            </w:pPr>
            <w:r>
              <w:rPr/>
              <w:t> </w:t>
            </w:r>
          </w:p>
        </w:tc>
      </w:tr>
      <w:tr>
        <w:trPr/>
        <w:tc>
          <w:tcPr>
            <w:tcW w:w="66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08" w:type="dxa"/>
            <w:tcBorders/>
            <w:shd w:fill="auto" w:val="clear"/>
            <w:vAlign w:val="bottom"/>
          </w:tcPr>
          <w:p>
            <w:pPr>
              <w:pStyle w:val="TableContents"/>
              <w:spacing w:before="0" w:after="0"/>
              <w:ind w:left="0" w:right="0" w:hanging="0"/>
              <w:rPr/>
            </w:pPr>
            <w:r>
              <w:rPr/>
              <w:t> </w:t>
            </w:r>
          </w:p>
        </w:tc>
        <w:tc>
          <w:tcPr>
            <w:tcW w:w="14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77"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1" w:type="dxa"/>
            <w:tcBorders/>
            <w:shd w:fill="auto" w:val="clear"/>
            <w:vAlign w:val="bottom"/>
          </w:tcPr>
          <w:p>
            <w:pPr>
              <w:pStyle w:val="TableContents"/>
              <w:spacing w:before="0" w:after="0"/>
              <w:ind w:left="0" w:right="0" w:hanging="0"/>
              <w:rPr/>
            </w:pPr>
            <w:r>
              <w:rPr/>
              <w:t> </w:t>
            </w:r>
          </w:p>
        </w:tc>
      </w:tr>
      <w:tr>
        <w:trPr/>
        <w:tc>
          <w:tcPr>
            <w:tcW w:w="66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08" w:type="dxa"/>
            <w:tcBorders/>
            <w:shd w:fill="CCEEFF" w:val="clear"/>
            <w:vAlign w:val="bottom"/>
          </w:tcPr>
          <w:p>
            <w:pPr>
              <w:pStyle w:val="TableContents"/>
              <w:spacing w:before="0" w:after="0"/>
              <w:ind w:left="0" w:right="0" w:hanging="0"/>
              <w:rPr/>
            </w:pPr>
            <w:r>
              <w:rPr/>
              <w:t> </w:t>
            </w:r>
          </w:p>
        </w:tc>
        <w:tc>
          <w:tcPr>
            <w:tcW w:w="14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8" w:type="dxa"/>
            <w:tcBorders/>
            <w:shd w:fill="auto" w:val="clear"/>
            <w:vAlign w:val="bottom"/>
          </w:tcPr>
          <w:p>
            <w:pPr>
              <w:pStyle w:val="TableContents"/>
              <w:spacing w:before="0" w:after="0"/>
              <w:ind w:left="0" w:right="0" w:hanging="0"/>
              <w:rPr/>
            </w:pPr>
            <w:r>
              <w:rPr/>
              <w:t> </w:t>
            </w:r>
          </w:p>
        </w:tc>
        <w:tc>
          <w:tcPr>
            <w:tcW w:w="14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77"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1" w:type="dxa"/>
            <w:tcBorders/>
            <w:shd w:fill="auto" w:val="clear"/>
            <w:vAlign w:val="bottom"/>
          </w:tcPr>
          <w:p>
            <w:pPr>
              <w:pStyle w:val="TableContents"/>
              <w:spacing w:before="0" w:after="0"/>
              <w:ind w:left="0" w:right="0" w:hanging="0"/>
              <w:rPr/>
            </w:pPr>
            <w:r>
              <w:rPr/>
              <w:t> </w:t>
            </w:r>
          </w:p>
        </w:tc>
      </w:tr>
      <w:tr>
        <w:trPr/>
        <w:tc>
          <w:tcPr>
            <w:tcW w:w="66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4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77" w:type="dxa"/>
            <w:tcBorders/>
            <w:shd w:fill="CCEEFF" w:val="clear"/>
            <w:vAlign w:val="bottom"/>
          </w:tcPr>
          <w:p>
            <w:pPr>
              <w:pStyle w:val="TableContents"/>
              <w:spacing w:before="0" w:after="0"/>
              <w:ind w:left="0" w:right="0" w:hanging="0"/>
              <w:rPr/>
            </w:pPr>
            <w:r>
              <w:rPr/>
              <w:t> </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1" w:type="dxa"/>
            <w:tcBorders/>
            <w:shd w:fill="CCEEFF" w:val="clear"/>
            <w:vAlign w:val="bottom"/>
          </w:tcPr>
          <w:p>
            <w:pPr>
              <w:pStyle w:val="TableContents"/>
              <w:spacing w:before="0" w:after="0"/>
              <w:ind w:left="0" w:right="0" w:hanging="0"/>
              <w:rPr/>
            </w:pPr>
            <w:r>
              <w:rPr/>
              <w:t> </w:t>
            </w:r>
          </w:p>
        </w:tc>
      </w:tr>
      <w:tr>
        <w:trPr/>
        <w:tc>
          <w:tcPr>
            <w:tcW w:w="66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8" w:type="dxa"/>
            <w:tcBorders/>
            <w:shd w:fill="auto" w:val="clear"/>
            <w:vAlign w:val="bottom"/>
          </w:tcPr>
          <w:p>
            <w:pPr>
              <w:pStyle w:val="TableContents"/>
              <w:spacing w:before="0" w:after="0"/>
              <w:ind w:left="0" w:right="0" w:hanging="0"/>
              <w:rPr/>
            </w:pPr>
            <w:r>
              <w:rPr/>
              <w:t> </w:t>
            </w:r>
          </w:p>
        </w:tc>
        <w:tc>
          <w:tcPr>
            <w:tcW w:w="1471" w:type="dxa"/>
            <w:gridSpan w:val="2"/>
            <w:tcBorders/>
            <w:shd w:fill="auto" w:val="clear"/>
            <w:vAlign w:val="bottom"/>
          </w:tcPr>
          <w:p>
            <w:pPr>
              <w:pStyle w:val="TableContents"/>
              <w:spacing w:before="0" w:after="0"/>
              <w:ind w:left="0" w:right="0" w:hanging="0"/>
              <w:jc w:val="right"/>
              <w:rPr/>
            </w:pPr>
            <w:r>
              <w:rPr/>
              <w:t> </w:t>
            </w:r>
          </w:p>
        </w:tc>
        <w:tc>
          <w:tcPr>
            <w:tcW w:w="277"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pPr>
            <w:r>
              <w:rPr/>
              <w:t> </w:t>
            </w:r>
          </w:p>
        </w:tc>
        <w:tc>
          <w:tcPr>
            <w:tcW w:w="141" w:type="dxa"/>
            <w:tcBorders/>
            <w:shd w:fill="auto" w:val="clear"/>
            <w:vAlign w:val="bottom"/>
          </w:tcPr>
          <w:p>
            <w:pPr>
              <w:pStyle w:val="TableContents"/>
              <w:spacing w:before="0" w:after="0"/>
              <w:ind w:left="0" w:right="0" w:hanging="0"/>
              <w:rPr/>
            </w:pPr>
            <w:r>
              <w:rPr/>
              <w:t> </w:t>
            </w:r>
          </w:p>
        </w:tc>
      </w:tr>
      <w:tr>
        <w:trPr/>
        <w:tc>
          <w:tcPr>
            <w:tcW w:w="66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8" w:type="dxa"/>
            <w:tcBorders/>
            <w:shd w:fill="CCEEFF" w:val="clear"/>
            <w:vAlign w:val="bottom"/>
          </w:tcPr>
          <w:p>
            <w:pPr>
              <w:pStyle w:val="TableContents"/>
              <w:spacing w:before="0" w:after="0"/>
              <w:ind w:left="0" w:right="0" w:hanging="0"/>
              <w:rPr/>
            </w:pPr>
            <w:r>
              <w:rPr/>
              <w:t> </w:t>
            </w:r>
          </w:p>
        </w:tc>
        <w:tc>
          <w:tcPr>
            <w:tcW w:w="14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77" w:type="dxa"/>
            <w:tcBorders/>
            <w:shd w:fill="CCEEFF" w:val="clear"/>
            <w:vAlign w:val="bottom"/>
          </w:tcPr>
          <w:p>
            <w:pPr>
              <w:pStyle w:val="TableContents"/>
              <w:spacing w:before="0" w:after="0"/>
              <w:ind w:left="0" w:right="0" w:hanging="0"/>
              <w:rPr/>
            </w:pPr>
            <w:r>
              <w:rPr/>
              <w:t> </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gain/(loss) on cash flow hedges</w:t>
            </w:r>
          </w:p>
        </w:tc>
        <w:tc>
          <w:tcPr>
            <w:tcW w:w="208" w:type="dxa"/>
            <w:tcBorders/>
            <w:shd w:fill="auto" w:val="clear"/>
            <w:vAlign w:val="bottom"/>
          </w:tcPr>
          <w:p>
            <w:pPr>
              <w:pStyle w:val="TableContents"/>
              <w:spacing w:before="0" w:after="0"/>
              <w:ind w:left="0" w:right="0" w:hanging="0"/>
              <w:rPr/>
            </w:pPr>
            <w:r>
              <w:rPr/>
              <w:t> </w:t>
            </w:r>
          </w:p>
        </w:tc>
        <w:tc>
          <w:tcPr>
            <w:tcW w:w="14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1" w:type="dxa"/>
            <w:tcBorders/>
            <w:shd w:fill="auto" w:val="clear"/>
            <w:vAlign w:val="bottom"/>
          </w:tcPr>
          <w:p>
            <w:pPr>
              <w:pStyle w:val="TableContents"/>
              <w:spacing w:before="0" w:after="0"/>
              <w:ind w:left="0" w:right="0" w:hanging="0"/>
              <w:rPr/>
            </w:pPr>
            <w:r>
              <w:rPr/>
              <w:t> </w:t>
            </w:r>
          </w:p>
        </w:tc>
      </w:tr>
      <w:tr>
        <w:trPr/>
        <w:tc>
          <w:tcPr>
            <w:tcW w:w="66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8"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277"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4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 Compensation Plans</w:t>
      </w:r>
      <w:bookmarkStart w:id="34" w:name="Note10equityCompensationPlans_181007"/>
      <w:bookmarkEnd w:id="3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of our equity compensation awards, see Note 15 to our Consolidated Financial Statements included in Part IV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Class B Units of Plains AAP, L.P.</w:t>
      </w:r>
      <w:r>
        <w:rPr>
          <w:rFonts w:ascii="Times New Roman" w:hAnsi="Times New Roman"/>
        </w:rPr>
        <w:t xml:space="preserve"> </w:t>
      </w:r>
      <w:r>
        <w:rPr>
          <w:rFonts w:ascii="Times New Roman" w:hAnsi="Times New Roman"/>
          <w:sz w:val="17"/>
        </w:rPr>
        <w:t>The following table contains a summary of Class B Units of Plains AAP, L.P.:</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66"/>
        <w:gridCol w:w="142"/>
        <w:gridCol w:w="1763"/>
        <w:gridCol w:w="161"/>
        <w:gridCol w:w="1368"/>
        <w:gridCol w:w="142"/>
        <w:gridCol w:w="1692"/>
        <w:gridCol w:w="142"/>
        <w:gridCol w:w="141"/>
        <w:gridCol w:w="669"/>
        <w:gridCol w:w="1913"/>
        <w:gridCol w:w="106"/>
      </w:tblGrid>
      <w:tr>
        <w:trPr/>
        <w:tc>
          <w:tcPr>
            <w:tcW w:w="1966"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jc w:val="center"/>
              <w:rPr/>
            </w:pPr>
            <w:r>
              <w:rPr/>
              <w:t> </w:t>
            </w:r>
          </w:p>
        </w:tc>
        <w:tc>
          <w:tcPr>
            <w:tcW w:w="17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br/>
              <w:t>Grants</w:t>
            </w:r>
          </w:p>
        </w:tc>
        <w:tc>
          <w:tcPr>
            <w:tcW w:w="161" w:type="dxa"/>
            <w:tcBorders/>
            <w:shd w:fill="auto" w:val="clear"/>
            <w:vAlign w:val="bottom"/>
          </w:tcPr>
          <w:p>
            <w:pPr>
              <w:pStyle w:val="TableContents"/>
              <w:spacing w:before="0" w:after="0"/>
              <w:ind w:left="0" w:right="0" w:hanging="0"/>
              <w:jc w:val="center"/>
              <w:rPr/>
            </w:pPr>
            <w:r>
              <w:rPr/>
              <w:t> </w:t>
            </w:r>
          </w:p>
        </w:tc>
        <w:tc>
          <w:tcPr>
            <w:tcW w:w="136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42" w:type="dxa"/>
            <w:tcBorders/>
            <w:shd w:fill="auto" w:val="clear"/>
            <w:vAlign w:val="bottom"/>
          </w:tcPr>
          <w:p>
            <w:pPr>
              <w:pStyle w:val="TableContents"/>
              <w:spacing w:before="0" w:after="0"/>
              <w:ind w:left="0" w:right="0" w:hanging="0"/>
              <w:jc w:val="center"/>
              <w:rPr/>
            </w:pPr>
            <w:r>
              <w:rPr/>
              <w:t> </w:t>
            </w:r>
          </w:p>
        </w:tc>
        <w:tc>
          <w:tcPr>
            <w:tcW w:w="169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142" w:type="dxa"/>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c>
          <w:tcPr>
            <w:tcW w:w="25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 Fair Value</w:t>
              <w:br/>
              <w:t>of Outstanding Class B Units </w:t>
            </w:r>
            <w:r>
              <w:rPr>
                <w:b/>
                <w:sz w:val="8"/>
              </w:rPr>
              <w:t>(1)</w:t>
              <w:br/>
            </w:r>
            <w:r>
              <w:rPr>
                <w:b/>
                <w:sz w:val="13"/>
              </w:rPr>
              <w:t>(in millions)</w:t>
            </w:r>
          </w:p>
        </w:tc>
        <w:tc>
          <w:tcPr>
            <w:tcW w:w="106" w:type="dxa"/>
            <w:tcBorders/>
            <w:shd w:fill="auto" w:val="clear"/>
            <w:vAlign w:val="bottom"/>
          </w:tcPr>
          <w:p>
            <w:pPr>
              <w:pStyle w:val="TableContents"/>
              <w:spacing w:before="0" w:after="0"/>
              <w:ind w:left="0" w:right="0" w:hanging="0"/>
              <w:jc w:val="center"/>
              <w:rPr/>
            </w:pPr>
            <w:r>
              <w:rPr/>
              <w:t> </w:t>
            </w:r>
          </w:p>
        </w:tc>
      </w:tr>
      <w:tr>
        <w:trPr/>
        <w:tc>
          <w:tcPr>
            <w:tcW w:w="19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42" w:type="dxa"/>
            <w:tcBorders/>
            <w:shd w:fill="CCEEFF" w:val="clear"/>
            <w:vAlign w:val="bottom"/>
          </w:tcPr>
          <w:p>
            <w:pPr>
              <w:pStyle w:val="TableContents"/>
              <w:spacing w:before="0" w:after="0"/>
              <w:ind w:left="0" w:right="0" w:hanging="0"/>
              <w:rPr/>
            </w:pPr>
            <w:r>
              <w:rPr/>
              <w:t> </w:t>
            </w:r>
          </w:p>
        </w:tc>
        <w:tc>
          <w:tcPr>
            <w:tcW w:w="17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17,875</w:t>
            </w:r>
          </w:p>
        </w:tc>
        <w:tc>
          <w:tcPr>
            <w:tcW w:w="161" w:type="dxa"/>
            <w:tcBorders/>
            <w:shd w:fill="CCEEFF" w:val="clear"/>
            <w:vAlign w:val="bottom"/>
          </w:tcPr>
          <w:p>
            <w:pPr>
              <w:pStyle w:val="TableContents"/>
              <w:spacing w:before="0" w:after="0"/>
              <w:ind w:left="0" w:right="0" w:hanging="0"/>
              <w:rPr/>
            </w:pPr>
            <w:r>
              <w:rPr/>
              <w:t> </w:t>
            </w:r>
          </w:p>
        </w:tc>
        <w:tc>
          <w:tcPr>
            <w:tcW w:w="13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182,125</w:t>
            </w:r>
          </w:p>
        </w:tc>
        <w:tc>
          <w:tcPr>
            <w:tcW w:w="142" w:type="dxa"/>
            <w:tcBorders/>
            <w:shd w:fill="CCEEFF" w:val="clear"/>
            <w:vAlign w:val="bottom"/>
          </w:tcPr>
          <w:p>
            <w:pPr>
              <w:pStyle w:val="TableContents"/>
              <w:spacing w:before="0" w:after="0"/>
              <w:ind w:left="0" w:right="0" w:hanging="0"/>
              <w:rPr/>
            </w:pPr>
            <w:r>
              <w:rPr/>
              <w:t> </w:t>
            </w:r>
          </w:p>
        </w:tc>
        <w:tc>
          <w:tcPr>
            <w:tcW w:w="16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130,250</w:t>
            </w:r>
          </w:p>
        </w:tc>
        <w:tc>
          <w:tcPr>
            <w:tcW w:w="14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pPr>
            <w:r>
              <w:rPr/>
              <w:t> </w:t>
            </w:r>
          </w:p>
        </w:tc>
        <w:tc>
          <w:tcPr>
            <w:tcW w:w="6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06" w:type="dxa"/>
            <w:tcBorders/>
            <w:shd w:fill="CCEEFF" w:val="clear"/>
            <w:vAlign w:val="bottom"/>
          </w:tcPr>
          <w:p>
            <w:pPr>
              <w:pStyle w:val="TableContents"/>
              <w:spacing w:before="0" w:after="0"/>
              <w:ind w:left="0" w:right="0" w:hanging="0"/>
              <w:rPr/>
            </w:pPr>
            <w:r>
              <w:rPr/>
              <w:t> </w:t>
            </w:r>
          </w:p>
        </w:tc>
      </w:tr>
      <w:tr>
        <w:trPr/>
        <w:tc>
          <w:tcPr>
            <w:tcW w:w="19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42" w:type="dxa"/>
            <w:tcBorders/>
            <w:shd w:fill="auto" w:val="clear"/>
            <w:vAlign w:val="bottom"/>
          </w:tcPr>
          <w:p>
            <w:pPr>
              <w:pStyle w:val="TableContents"/>
              <w:spacing w:before="0" w:after="0"/>
              <w:ind w:left="0" w:right="0" w:hanging="0"/>
              <w:rPr/>
            </w:pPr>
            <w:r>
              <w:rPr/>
              <w:t> </w:t>
            </w:r>
          </w:p>
        </w:tc>
        <w:tc>
          <w:tcPr>
            <w:tcW w:w="1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(3,500</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3,500</w:t>
            </w:r>
          </w:p>
        </w:tc>
        <w:tc>
          <w:tcPr>
            <w:tcW w:w="142" w:type="dxa"/>
            <w:tcBorders/>
            <w:shd w:fill="auto" w:val="clear"/>
            <w:vAlign w:val="bottom"/>
          </w:tcPr>
          <w:p>
            <w:pPr>
              <w:pStyle w:val="TableContents"/>
              <w:spacing w:before="0" w:after="0"/>
              <w:ind w:left="0" w:right="0" w:hanging="0"/>
              <w:rPr/>
            </w:pPr>
            <w:r>
              <w:rPr/>
              <w:t> </w:t>
            </w:r>
          </w:p>
        </w:tc>
        <w:tc>
          <w:tcPr>
            <w:tcW w:w="16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pPr>
            <w:r>
              <w:rPr/>
              <w:t> </w:t>
            </w:r>
          </w:p>
        </w:tc>
        <w:tc>
          <w:tcPr>
            <w:tcW w:w="25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6" w:type="dxa"/>
            <w:tcBorders/>
            <w:shd w:fill="auto" w:val="clear"/>
            <w:vAlign w:val="bottom"/>
          </w:tcPr>
          <w:p>
            <w:pPr>
              <w:pStyle w:val="TableContents"/>
              <w:spacing w:before="0" w:after="0"/>
              <w:ind w:left="0" w:right="0" w:hanging="0"/>
              <w:rPr/>
            </w:pPr>
            <w:r>
              <w:rPr/>
              <w:t> </w:t>
            </w:r>
          </w:p>
        </w:tc>
      </w:tr>
      <w:tr>
        <w:trPr/>
        <w:tc>
          <w:tcPr>
            <w:tcW w:w="19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Earned</w:t>
            </w:r>
          </w:p>
        </w:tc>
        <w:tc>
          <w:tcPr>
            <w:tcW w:w="142" w:type="dxa"/>
            <w:tcBorders/>
            <w:shd w:fill="CCEEFF" w:val="clear"/>
            <w:vAlign w:val="bottom"/>
          </w:tcPr>
          <w:p>
            <w:pPr>
              <w:pStyle w:val="TableContents"/>
              <w:spacing w:before="0" w:after="0"/>
              <w:ind w:left="0" w:right="0" w:hanging="0"/>
              <w:rPr/>
            </w:pPr>
            <w:r>
              <w:rPr/>
              <w:t> </w:t>
            </w:r>
          </w:p>
        </w:tc>
        <w:tc>
          <w:tcPr>
            <w:tcW w:w="17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1" w:type="dxa"/>
            <w:tcBorders/>
            <w:shd w:fill="CCEEFF" w:val="clear"/>
            <w:vAlign w:val="bottom"/>
          </w:tcPr>
          <w:p>
            <w:pPr>
              <w:pStyle w:val="TableContents"/>
              <w:spacing w:before="0" w:after="0"/>
              <w:ind w:left="0" w:right="0" w:hanging="0"/>
              <w:rPr/>
            </w:pPr>
            <w:r>
              <w:rPr/>
              <w:t> </w:t>
            </w:r>
          </w:p>
        </w:tc>
        <w:tc>
          <w:tcPr>
            <w:tcW w:w="136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42" w:type="dxa"/>
            <w:tcBorders/>
            <w:shd w:fill="CCEEFF" w:val="clear"/>
            <w:vAlign w:val="bottom"/>
          </w:tcPr>
          <w:p>
            <w:pPr>
              <w:pStyle w:val="TableContents"/>
              <w:spacing w:before="0" w:after="0"/>
              <w:ind w:left="0" w:right="0" w:hanging="0"/>
              <w:rPr/>
            </w:pPr>
            <w:r>
              <w:rPr/>
              <w:t> </w:t>
            </w:r>
          </w:p>
        </w:tc>
        <w:tc>
          <w:tcPr>
            <w:tcW w:w="169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w:t>
            </w:r>
          </w:p>
        </w:tc>
        <w:tc>
          <w:tcPr>
            <w:tcW w:w="14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pPr>
            <w:r>
              <w:rPr/>
              <w:t> </w:t>
            </w:r>
          </w:p>
        </w:tc>
        <w:tc>
          <w:tcPr>
            <w:tcW w:w="25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6" w:type="dxa"/>
            <w:tcBorders/>
            <w:shd w:fill="CCEEFF" w:val="clear"/>
            <w:vAlign w:val="bottom"/>
          </w:tcPr>
          <w:p>
            <w:pPr>
              <w:pStyle w:val="TableContents"/>
              <w:spacing w:before="0" w:after="0"/>
              <w:ind w:left="0" w:right="0" w:hanging="0"/>
              <w:rPr/>
            </w:pPr>
            <w:r>
              <w:rPr/>
              <w:t> </w:t>
            </w:r>
          </w:p>
        </w:tc>
      </w:tr>
      <w:tr>
        <w:trPr/>
        <w:tc>
          <w:tcPr>
            <w:tcW w:w="19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March 31, 2013</w:t>
            </w:r>
          </w:p>
        </w:tc>
        <w:tc>
          <w:tcPr>
            <w:tcW w:w="142" w:type="dxa"/>
            <w:tcBorders/>
            <w:shd w:fill="auto" w:val="clear"/>
            <w:vAlign w:val="bottom"/>
          </w:tcPr>
          <w:p>
            <w:pPr>
              <w:pStyle w:val="TableContents"/>
              <w:spacing w:before="0" w:after="0"/>
              <w:ind w:left="0" w:right="0" w:hanging="0"/>
              <w:rPr/>
            </w:pPr>
            <w:r>
              <w:rPr/>
              <w:t> </w:t>
            </w:r>
          </w:p>
        </w:tc>
        <w:tc>
          <w:tcPr>
            <w:tcW w:w="17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14,375</w:t>
            </w:r>
          </w:p>
        </w:tc>
        <w:tc>
          <w:tcPr>
            <w:tcW w:w="161" w:type="dxa"/>
            <w:tcBorders/>
            <w:shd w:fill="auto" w:val="clear"/>
            <w:vAlign w:val="bottom"/>
          </w:tcPr>
          <w:p>
            <w:pPr>
              <w:pStyle w:val="TableContents"/>
              <w:spacing w:before="0" w:after="0"/>
              <w:ind w:left="0" w:right="0" w:hanging="0"/>
              <w:rPr/>
            </w:pPr>
            <w:r>
              <w:rPr/>
              <w:t> </w:t>
            </w:r>
          </w:p>
        </w:tc>
        <w:tc>
          <w:tcPr>
            <w:tcW w:w="13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185,625</w:t>
            </w:r>
          </w:p>
        </w:tc>
        <w:tc>
          <w:tcPr>
            <w:tcW w:w="142" w:type="dxa"/>
            <w:tcBorders/>
            <w:shd w:fill="auto" w:val="clear"/>
            <w:vAlign w:val="bottom"/>
          </w:tcPr>
          <w:p>
            <w:pPr>
              <w:pStyle w:val="TableContents"/>
              <w:spacing w:before="0" w:after="0"/>
              <w:ind w:left="0" w:right="0" w:hanging="0"/>
              <w:rPr/>
            </w:pPr>
            <w:r>
              <w:rPr/>
              <w:t> </w:t>
            </w:r>
          </w:p>
        </w:tc>
        <w:tc>
          <w:tcPr>
            <w:tcW w:w="16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156,250</w:t>
            </w:r>
          </w:p>
        </w:tc>
        <w:tc>
          <w:tcPr>
            <w:tcW w:w="14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pPr>
            <w:r>
              <w:rPr/>
              <w:t> </w:t>
            </w:r>
          </w:p>
        </w:tc>
        <w:tc>
          <w:tcPr>
            <w:tcW w:w="6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0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Of the grant date fair value, less than $1 million was recognized as expense during the three months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Class B Units of PNGS GP LLC. </w:t>
      </w:r>
      <w:r>
        <w:rPr>
          <w:rFonts w:ascii="Times New Roman" w:hAnsi="Times New Roman"/>
          <w:sz w:val="17"/>
        </w:rPr>
        <w:t>During July 2010, the Board of Directors of PNGs general partner authorized the issuance of 165,000 Class B units of PNGS GP LLC (PNGS GP LLC Class B Units). At December 31, 2012, 74,250 PNGS GP LLC Class B Units were outstanding. In February 2013, PNGs general partner determined that the PNGS GP LLC Class B Units were not serving their intended purpose due to the low likelihood of achieving the PNG distribution performance benchmarks required for vesting, which ranged from $2.00 to $2.70 per common unit. As a result, all 74,250 of the existing PNGS GP LLC Class B Unit awards were canceled. In order to encourage the retention of the holders of such canceled awards and provide them with long-term performance incentives, our general partner authorized the issuance of Special PAA Awards to such officers, as further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Special PAA Awards.</w:t>
      </w:r>
      <w:r>
        <w:rPr>
          <w:rFonts w:ascii="Times New Roman" w:hAnsi="Times New Roman"/>
        </w:rPr>
        <w:t xml:space="preserve"> </w:t>
      </w:r>
      <w:r>
        <w:rPr>
          <w:rFonts w:ascii="Times New Roman" w:hAnsi="Times New Roman"/>
          <w:sz w:val="17"/>
        </w:rPr>
        <w:t>In February 2013, we granted 143,000 Special PAA Awards to certain members of PNGs management.  These awards are denominated in PAA common units and will vest 50% on PAAs August 2018 distribution date and 50% on PAAs August 2019 distribution date provided that PNGs annualized distribution averages at least $1.48 and $1.43 per unit, respectively, for the twelve months prior to each vesting date. DERs associated with these awards will vest on the date that we pay an annualized distribution of $2.40 per unit, provided that PNGs quarterly distribution remains at least $1.43 (annualized) per unit. Any unvested Special PAA Awards that remain outstanding on December 31, 2020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LTIP Awards.</w:t>
      </w:r>
      <w:r>
        <w:rPr>
          <w:rFonts w:ascii="Times New Roman" w:hAnsi="Times New Roman"/>
        </w:rPr>
        <w:t xml:space="preserve"> </w:t>
      </w:r>
      <w:r>
        <w:rPr>
          <w:rFonts w:ascii="Times New Roman" w:hAnsi="Times New Roman"/>
          <w:sz w:val="17"/>
        </w:rPr>
        <w:t>In addition to the Special PAA Awards described above, in February 2013, we also granted 2.7 million equity-classified phantom unit awards and 1.2 million liability-classified phantom unit awards under our LTIPs.  Substantially all of the equity-classified awards vest as follows: (i) one-third will vest upon the later of the August 2016 distribution date and the date we pay an annualized quarterly distribution of at least $2.35 per common unit, (ii) one-third will vest upon the later of the August 2017 distribution date and the date we pay an annualized quarterly distribution of at least $2.50 per common unit, and (iii) one-third will vest upon the later of the August 2018 distribution date and the date we pay an annualized quarterly distribution of at least $2.65 per unit.  Certain of these equity-classified awards include DERs that will vest in one-third increments upon achieving the referenced distribution performance thresholds, without regard to the minimum service period.  Any of these equity-classified awards and associated DERs that have not vested as of the August 2019 distribution date will be forfeited.  Substantially all of the liability-classified awards are expected to vest on dates ranging from the August 2015 distribution date to the August 2017 distribution date and vest dependent on PAA paying annualized quarterly distributions ranging from $2.30 per common unit to $2.50 per common unit. None of the liability-classified awards include 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 Compensation Information.  </w:t>
      </w:r>
      <w:r>
        <w:rPr>
          <w:rFonts w:ascii="Times New Roman" w:hAnsi="Times New Roman"/>
          <w:sz w:val="17"/>
        </w:rPr>
        <w:t>Our equity compensation activity for LTIP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66"/>
        <w:gridCol w:w="177"/>
        <w:gridCol w:w="786"/>
        <w:gridCol w:w="193"/>
        <w:gridCol w:w="309"/>
        <w:gridCol w:w="2053"/>
        <w:gridCol w:w="177"/>
        <w:gridCol w:w="786"/>
        <w:gridCol w:w="177"/>
        <w:gridCol w:w="309"/>
        <w:gridCol w:w="2053"/>
        <w:gridCol w:w="119"/>
      </w:tblGrid>
      <w:tr>
        <w:trPr/>
        <w:tc>
          <w:tcPr>
            <w:tcW w:w="3066"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334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w:t>
            </w:r>
          </w:p>
        </w:tc>
        <w:tc>
          <w:tcPr>
            <w:tcW w:w="177" w:type="dxa"/>
            <w:tcBorders/>
            <w:shd w:fill="auto" w:val="clear"/>
            <w:vAlign w:val="bottom"/>
          </w:tcPr>
          <w:p>
            <w:pPr>
              <w:pStyle w:val="TableContents"/>
              <w:spacing w:before="0" w:after="0"/>
              <w:ind w:left="0" w:right="0" w:hanging="0"/>
              <w:jc w:val="center"/>
              <w:rPr/>
            </w:pPr>
            <w:r>
              <w:rPr/>
              <w:t> </w:t>
            </w:r>
          </w:p>
        </w:tc>
        <w:tc>
          <w:tcPr>
            <w:tcW w:w="332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(2) (3)</w:t>
            </w:r>
          </w:p>
        </w:tc>
        <w:tc>
          <w:tcPr>
            <w:tcW w:w="119" w:type="dxa"/>
            <w:tcBorders/>
            <w:shd w:fill="auto" w:val="clear"/>
            <w:vAlign w:val="bottom"/>
          </w:tcPr>
          <w:p>
            <w:pPr>
              <w:pStyle w:val="TableContents"/>
              <w:spacing w:before="0" w:after="0"/>
              <w:ind w:left="0" w:right="0" w:hanging="0"/>
              <w:jc w:val="center"/>
              <w:rPr/>
            </w:pPr>
            <w:r>
              <w:rPr/>
              <w:t> </w:t>
            </w:r>
          </w:p>
        </w:tc>
      </w:tr>
      <w:tr>
        <w:trPr/>
        <w:tc>
          <w:tcPr>
            <w:tcW w:w="3066"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78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3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77" w:type="dxa"/>
            <w:tcBorders/>
            <w:shd w:fill="auto" w:val="clear"/>
            <w:vAlign w:val="bottom"/>
          </w:tcPr>
          <w:p>
            <w:pPr>
              <w:pStyle w:val="TableContents"/>
              <w:spacing w:before="0" w:after="0"/>
              <w:ind w:left="0" w:right="0" w:hanging="0"/>
              <w:jc w:val="center"/>
              <w:rPr/>
            </w:pPr>
            <w:r>
              <w:rPr/>
              <w:t> </w:t>
            </w:r>
          </w:p>
        </w:tc>
        <w:tc>
          <w:tcPr>
            <w:tcW w:w="78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3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9" w:type="dxa"/>
            <w:tcBorders/>
            <w:shd w:fill="auto" w:val="clear"/>
            <w:vAlign w:val="bottom"/>
          </w:tcPr>
          <w:p>
            <w:pPr>
              <w:pStyle w:val="TableContents"/>
              <w:spacing w:before="0" w:after="0"/>
              <w:ind w:left="0" w:right="0" w:hanging="0"/>
              <w:jc w:val="center"/>
              <w:rPr/>
            </w:pPr>
            <w:r>
              <w:rPr/>
              <w:t> </w:t>
            </w:r>
          </w:p>
        </w:tc>
      </w:tr>
      <w:tr>
        <w:trPr/>
        <w:tc>
          <w:tcPr>
            <w:tcW w:w="3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December 31, 2012</w:t>
            </w:r>
          </w:p>
        </w:tc>
        <w:tc>
          <w:tcPr>
            <w:tcW w:w="177" w:type="dxa"/>
            <w:tcBorders/>
            <w:shd w:fill="CCEEFF" w:val="clear"/>
            <w:vAlign w:val="bottom"/>
          </w:tcPr>
          <w:p>
            <w:pPr>
              <w:pStyle w:val="TableContents"/>
              <w:spacing w:before="0" w:after="0"/>
              <w:ind w:left="0" w:right="0" w:hanging="0"/>
              <w:rPr/>
            </w:pPr>
            <w:r>
              <w:rPr/>
              <w:t> </w:t>
            </w:r>
          </w:p>
        </w:tc>
        <w:tc>
          <w:tcPr>
            <w:tcW w:w="7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3"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25.55</w:t>
            </w:r>
          </w:p>
        </w:tc>
        <w:tc>
          <w:tcPr>
            <w:tcW w:w="177" w:type="dxa"/>
            <w:tcBorders/>
            <w:shd w:fill="CCEEFF" w:val="clear"/>
            <w:vAlign w:val="bottom"/>
          </w:tcPr>
          <w:p>
            <w:pPr>
              <w:pStyle w:val="TableContents"/>
              <w:spacing w:before="0" w:after="0"/>
              <w:ind w:left="0" w:right="0" w:hanging="0"/>
              <w:rPr/>
            </w:pPr>
            <w:r>
              <w:rPr/>
              <w:t> </w:t>
            </w:r>
          </w:p>
        </w:tc>
        <w:tc>
          <w:tcPr>
            <w:tcW w:w="7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77"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19" w:type="dxa"/>
            <w:tcBorders/>
            <w:shd w:fill="CCEEFF" w:val="clear"/>
            <w:vAlign w:val="bottom"/>
          </w:tcPr>
          <w:p>
            <w:pPr>
              <w:pStyle w:val="TableContents"/>
              <w:spacing w:before="0" w:after="0"/>
              <w:ind w:left="0" w:right="0" w:hanging="0"/>
              <w:rPr/>
            </w:pPr>
            <w:r>
              <w:rPr/>
              <w:t> </w:t>
            </w:r>
          </w:p>
        </w:tc>
      </w:tr>
      <w:tr>
        <w:trPr/>
        <w:tc>
          <w:tcPr>
            <w:tcW w:w="3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7" w:type="dxa"/>
            <w:tcBorders/>
            <w:shd w:fill="auto" w:val="clear"/>
            <w:vAlign w:val="bottom"/>
          </w:tcPr>
          <w:p>
            <w:pPr>
              <w:pStyle w:val="TableContents"/>
              <w:spacing w:before="0" w:after="0"/>
              <w:ind w:left="0" w:right="0" w:hanging="0"/>
              <w:rPr/>
            </w:pPr>
            <w:r>
              <w:rPr/>
              <w:t> </w:t>
            </w:r>
          </w:p>
        </w:tc>
        <w:tc>
          <w:tcPr>
            <w:tcW w:w="7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3"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47.04</w:t>
            </w:r>
          </w:p>
        </w:tc>
        <w:tc>
          <w:tcPr>
            <w:tcW w:w="177" w:type="dxa"/>
            <w:tcBorders/>
            <w:shd w:fill="auto" w:val="clear"/>
            <w:vAlign w:val="bottom"/>
          </w:tcPr>
          <w:p>
            <w:pPr>
              <w:pStyle w:val="TableContents"/>
              <w:spacing w:before="0" w:after="0"/>
              <w:ind w:left="0" w:right="0" w:hanging="0"/>
              <w:rPr/>
            </w:pPr>
            <w:r>
              <w:rPr/>
              <w:t> </w:t>
            </w:r>
          </w:p>
        </w:tc>
        <w:tc>
          <w:tcPr>
            <w:tcW w:w="7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77"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17.42</w:t>
            </w:r>
          </w:p>
        </w:tc>
        <w:tc>
          <w:tcPr>
            <w:tcW w:w="119" w:type="dxa"/>
            <w:tcBorders/>
            <w:shd w:fill="auto" w:val="clear"/>
            <w:vAlign w:val="bottom"/>
          </w:tcPr>
          <w:p>
            <w:pPr>
              <w:pStyle w:val="TableContents"/>
              <w:spacing w:before="0" w:after="0"/>
              <w:ind w:left="0" w:right="0" w:hanging="0"/>
              <w:rPr/>
            </w:pPr>
            <w:r>
              <w:rPr/>
              <w:t> </w:t>
            </w:r>
          </w:p>
        </w:tc>
      </w:tr>
      <w:tr>
        <w:trPr/>
        <w:tc>
          <w:tcPr>
            <w:tcW w:w="30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7" w:type="dxa"/>
            <w:tcBorders/>
            <w:shd w:fill="CCEEFF" w:val="clear"/>
            <w:vAlign w:val="bottom"/>
          </w:tcPr>
          <w:p>
            <w:pPr>
              <w:pStyle w:val="TableContents"/>
              <w:spacing w:before="0" w:after="0"/>
              <w:ind w:left="0" w:right="0" w:hanging="0"/>
              <w:rPr/>
            </w:pPr>
            <w:r>
              <w:rPr/>
              <w:t> </w:t>
            </w:r>
          </w:p>
        </w:tc>
        <w:tc>
          <w:tcPr>
            <w:tcW w:w="78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31.47</w:t>
            </w:r>
          </w:p>
        </w:tc>
        <w:tc>
          <w:tcPr>
            <w:tcW w:w="177" w:type="dxa"/>
            <w:tcBorders/>
            <w:shd w:fill="CCEEFF" w:val="clear"/>
            <w:vAlign w:val="bottom"/>
          </w:tcPr>
          <w:p>
            <w:pPr>
              <w:pStyle w:val="TableContents"/>
              <w:spacing w:before="0" w:after="0"/>
              <w:ind w:left="0" w:right="0" w:hanging="0"/>
              <w:rPr/>
            </w:pPr>
            <w:r>
              <w:rPr/>
              <w:t> </w:t>
            </w:r>
          </w:p>
        </w:tc>
        <w:tc>
          <w:tcPr>
            <w:tcW w:w="78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7"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r>
      <w:tr>
        <w:trPr/>
        <w:tc>
          <w:tcPr>
            <w:tcW w:w="30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March 31, 2013</w:t>
            </w:r>
          </w:p>
        </w:tc>
        <w:tc>
          <w:tcPr>
            <w:tcW w:w="177" w:type="dxa"/>
            <w:tcBorders/>
            <w:shd w:fill="auto" w:val="clear"/>
            <w:vAlign w:val="bottom"/>
          </w:tcPr>
          <w:p>
            <w:pPr>
              <w:pStyle w:val="TableContents"/>
              <w:spacing w:before="0" w:after="0"/>
              <w:ind w:left="0" w:right="0" w:hanging="0"/>
              <w:rPr/>
            </w:pPr>
            <w:r>
              <w:rPr/>
              <w:t> </w:t>
            </w:r>
          </w:p>
        </w:tc>
        <w:tc>
          <w:tcPr>
            <w:tcW w:w="7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93"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34.24</w:t>
            </w:r>
          </w:p>
        </w:tc>
        <w:tc>
          <w:tcPr>
            <w:tcW w:w="177" w:type="dxa"/>
            <w:tcBorders/>
            <w:shd w:fill="auto" w:val="clear"/>
            <w:vAlign w:val="bottom"/>
          </w:tcPr>
          <w:p>
            <w:pPr>
              <w:pStyle w:val="TableContents"/>
              <w:spacing w:before="0" w:after="0"/>
              <w:ind w:left="0" w:right="0" w:hanging="0"/>
              <w:rPr/>
            </w:pPr>
            <w:r>
              <w:rPr/>
              <w:t> </w:t>
            </w:r>
          </w:p>
        </w:tc>
        <w:tc>
          <w:tcPr>
            <w:tcW w:w="7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7"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17.47</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5" w:name="PB_15_121926_705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do not include PNGS GP LLC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include PNG Transaction Grants.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470"/>
        <w:gridCol w:w="208"/>
        <w:gridCol w:w="206"/>
        <w:gridCol w:w="1170"/>
        <w:gridCol w:w="238"/>
        <w:gridCol w:w="206"/>
        <w:gridCol w:w="1171"/>
        <w:gridCol w:w="127"/>
      </w:tblGrid>
      <w:tr>
        <w:trPr/>
        <w:tc>
          <w:tcPr>
            <w:tcW w:w="64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99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64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99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7" w:type="dxa"/>
            <w:tcBorders/>
            <w:shd w:fill="auto" w:val="clear"/>
            <w:vAlign w:val="bottom"/>
          </w:tcPr>
          <w:p>
            <w:pPr>
              <w:pStyle w:val="TableContents"/>
              <w:spacing w:before="0" w:after="0"/>
              <w:ind w:left="0" w:right="0" w:hanging="0"/>
              <w:jc w:val="center"/>
              <w:rPr/>
            </w:pPr>
            <w:r>
              <w:rPr/>
              <w:t> </w:t>
            </w:r>
          </w:p>
        </w:tc>
      </w:tr>
      <w:tr>
        <w:trPr/>
        <w:tc>
          <w:tcPr>
            <w:tcW w:w="64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8" w:type="dxa"/>
            <w:tcBorders/>
            <w:shd w:fill="auto" w:val="clear"/>
            <w:vAlign w:val="bottom"/>
          </w:tcPr>
          <w:p>
            <w:pPr>
              <w:pStyle w:val="TableContents"/>
              <w:spacing w:before="0" w:after="0"/>
              <w:ind w:left="0" w:right="0" w:hanging="0"/>
              <w:jc w:val="center"/>
              <w:rPr/>
            </w:pPr>
            <w:r>
              <w:rPr/>
              <w:t> </w:t>
            </w:r>
          </w:p>
        </w:tc>
        <w:tc>
          <w:tcPr>
            <w:tcW w:w="13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6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27" w:type="dxa"/>
            <w:tcBorders/>
            <w:shd w:fill="CCEEFF" w:val="clear"/>
            <w:vAlign w:val="bottom"/>
          </w:tcPr>
          <w:p>
            <w:pPr>
              <w:pStyle w:val="TableContents"/>
              <w:spacing w:before="0" w:after="0"/>
              <w:ind w:left="0" w:right="0" w:hanging="0"/>
              <w:rPr/>
            </w:pPr>
            <w:r>
              <w:rPr/>
              <w:t> </w:t>
            </w:r>
          </w:p>
        </w:tc>
      </w:tr>
      <w:tr>
        <w:trPr/>
        <w:tc>
          <w:tcPr>
            <w:tcW w:w="6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LTIP unit-settled vestings </w:t>
            </w:r>
          </w:p>
        </w:tc>
        <w:tc>
          <w:tcPr>
            <w:tcW w:w="2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7" w:type="dxa"/>
            <w:tcBorders/>
            <w:shd w:fill="auto" w:val="clear"/>
            <w:vAlign w:val="bottom"/>
          </w:tcPr>
          <w:p>
            <w:pPr>
              <w:pStyle w:val="TableContents"/>
              <w:spacing w:before="0" w:after="0"/>
              <w:ind w:left="0" w:right="0" w:hanging="0"/>
              <w:rPr/>
            </w:pPr>
            <w:r>
              <w:rPr/>
              <w:t> </w:t>
            </w:r>
          </w:p>
        </w:tc>
      </w:tr>
      <w:tr>
        <w:trPr/>
        <w:tc>
          <w:tcPr>
            <w:tcW w:w="6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cash-settled vestings</w:t>
            </w:r>
          </w:p>
        </w:tc>
        <w:tc>
          <w:tcPr>
            <w:tcW w:w="20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CCEEFF" w:val="clear"/>
            <w:vAlign w:val="bottom"/>
          </w:tcPr>
          <w:p>
            <w:pPr>
              <w:pStyle w:val="TableContents"/>
              <w:spacing w:before="0" w:after="0"/>
              <w:ind w:left="0" w:right="0" w:hanging="0"/>
              <w:rPr/>
            </w:pPr>
            <w:r>
              <w:rPr/>
              <w:t> </w:t>
            </w:r>
          </w:p>
        </w:tc>
      </w:tr>
      <w:tr>
        <w:trPr/>
        <w:tc>
          <w:tcPr>
            <w:tcW w:w="6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11Derivatives and Risk Management Activities</w:t>
      </w:r>
      <w:bookmarkStart w:id="36" w:name="Note11derivativesAndRiskManagemen_181041"/>
      <w:bookmarkEnd w:id="3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March 31, 2013,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319,400 barrels per day net long position (total of 9.6 million barrels) associated with our crude oil purchases, which was unwound ratably during April 2013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14,600 barrels per day (total of 13.7 million barrels), which hedges a portion of our anticipated crude oil lease gathering purchases through November 2015.  These derivatives are time spreads consisting of offsetting purchases and sales between two different months.  Our use of these derivatives does not expose us to outright price risk.</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12,800 barrels per day on average (total of 3.2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7" w:name="PB_16_124144_7056"/>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2,800 barrels per day (total of 1.0 million barrels) of butane/WTI spread positions, which hedge specific butane sales contracts that are based on a percentage of WTI through March 2014.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long swap position of approximately 2.9 Bcf through April 2016 related to both anticipated base gas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swap position of approximately 26.5 Bcf through December 2013 related to anticipated sales of natural gas.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Storage Capacity Utilization  </w:t>
      </w:r>
      <w:r>
        <w:rPr>
          <w:rFonts w:ascii="Times New Roman" w:hAnsi="Times New Roman"/>
          <w:sz w:val="17"/>
        </w:rPr>
        <w:t>We own approximately 97 million barrels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March 31, 2013, we used derivatives to manage the risk of not utilizing approximately 2.1 million barrels per month of storage capacity through 2013. These positions are a combination of calendar spread options and futures contracts. These positions involve no outright price exposure, but instead enable us to profitably use the capacity to store hedged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w:t>
      </w:r>
      <w:r>
        <w:rPr>
          <w:rFonts w:ascii="Times New Roman" w:hAnsi="Times New Roman"/>
        </w:rPr>
        <w:t xml:space="preserve"> </w:t>
      </w:r>
      <w:r>
        <w:rPr>
          <w:rFonts w:ascii="Times New Roman" w:hAnsi="Times New Roman"/>
          <w:sz w:val="17"/>
        </w:rPr>
        <w:t> 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March 31, 2013, we had derivatives totaling approximately 7.8 million barrels hedging our inventory. These positions are a combination of futures, swaps and option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March 31, 2013, our PLA hedges included (i) a net short position consisting of crude oil futures and swaps for an average of approximately 1,900 barrels per day (total of 1.9 million barrels) through December 2015, (ii) a long put option position of approximately 0.2 million barrels through December 2013 and (iii) a long call option position of approximately 0.5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purchase of natural gas and the subsequent sale of the individual specification products.  As of March 31, 2013, we had a long natural gas position of approximately 16.1 Bcf through December 2014, a short propane position of approximately 2.8 million barrels through December 2014, a short butane position of approximately 0.8 million barrels through December 2014 and a short WTI position of approximately 0.3 million barrels through December 2014. In addition, we had a long power position of 0.7 million megawatt hours which hedges a portion of our power supply requirements at our natural gas processing and fractionation plants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March 31, 2013, AOCI includes deferred losses of approximately $123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8" w:name="PB_17_120502_5335"/>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entered into forward starting interest rate swaps to hedge the underlying benchmark interest rate related to forecasted debt issuances through 2015.  The following table summarizes the terms of our forward starting interest rate swaps as of March 31, 2013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101"/>
        <w:gridCol w:w="177"/>
        <w:gridCol w:w="2008"/>
        <w:gridCol w:w="177"/>
        <w:gridCol w:w="149"/>
        <w:gridCol w:w="790"/>
        <w:gridCol w:w="177"/>
        <w:gridCol w:w="1576"/>
        <w:gridCol w:w="177"/>
        <w:gridCol w:w="1151"/>
        <w:gridCol w:w="226"/>
        <w:gridCol w:w="1384"/>
        <w:gridCol w:w="112"/>
      </w:tblGrid>
      <w:tr>
        <w:trPr/>
        <w:tc>
          <w:tcPr>
            <w:tcW w:w="210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7" w:type="dxa"/>
            <w:tcBorders/>
            <w:shd w:fill="auto" w:val="clear"/>
            <w:tcMar>
              <w:bottom w:w="0" w:type="dxa"/>
            </w:tcMar>
            <w:vAlign w:val="bottom"/>
          </w:tcPr>
          <w:p>
            <w:pPr>
              <w:pStyle w:val="TableContents"/>
              <w:spacing w:before="0" w:after="0"/>
              <w:ind w:left="0" w:right="0" w:hanging="0"/>
              <w:jc w:val="center"/>
              <w:rPr/>
            </w:pPr>
            <w:r>
              <w:rPr/>
              <w:t> </w:t>
            </w:r>
          </w:p>
        </w:tc>
        <w:tc>
          <w:tcPr>
            <w:tcW w:w="200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7" w:type="dxa"/>
            <w:tcBorders/>
            <w:shd w:fill="auto" w:val="clear"/>
            <w:tcMar>
              <w:bottom w:w="0" w:type="dxa"/>
            </w:tcMar>
            <w:vAlign w:val="bottom"/>
          </w:tcPr>
          <w:p>
            <w:pPr>
              <w:pStyle w:val="TableContents"/>
              <w:spacing w:before="0" w:after="0"/>
              <w:ind w:left="0" w:right="0" w:hanging="0"/>
              <w:jc w:val="center"/>
              <w:rPr/>
            </w:pPr>
            <w:r>
              <w:rPr/>
              <w:t> </w:t>
            </w:r>
          </w:p>
        </w:tc>
        <w:tc>
          <w:tcPr>
            <w:tcW w:w="93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7" w:type="dxa"/>
            <w:tcBorders/>
            <w:shd w:fill="auto" w:val="clear"/>
            <w:tcMar>
              <w:bottom w:w="0" w:type="dxa"/>
            </w:tcMar>
            <w:vAlign w:val="bottom"/>
          </w:tcPr>
          <w:p>
            <w:pPr>
              <w:pStyle w:val="TableContents"/>
              <w:spacing w:before="0" w:after="0"/>
              <w:ind w:left="0" w:right="0" w:hanging="0"/>
              <w:jc w:val="center"/>
              <w:rPr/>
            </w:pPr>
            <w:r>
              <w:rPr/>
              <w:t> </w:t>
            </w:r>
          </w:p>
        </w:tc>
        <w:tc>
          <w:tcPr>
            <w:tcW w:w="157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77" w:type="dxa"/>
            <w:tcBorders/>
            <w:shd w:fill="auto" w:val="clear"/>
            <w:tcMar>
              <w:bottom w:w="0" w:type="dxa"/>
            </w:tcMar>
            <w:vAlign w:val="bottom"/>
          </w:tcPr>
          <w:p>
            <w:pPr>
              <w:pStyle w:val="TableContents"/>
              <w:spacing w:before="0" w:after="0"/>
              <w:ind w:left="0" w:right="0" w:hanging="0"/>
              <w:jc w:val="center"/>
              <w:rPr/>
            </w:pPr>
            <w:r>
              <w:rPr/>
              <w:t> </w:t>
            </w:r>
          </w:p>
        </w:tc>
        <w:tc>
          <w:tcPr>
            <w:tcW w:w="115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226" w:type="dxa"/>
            <w:tcBorders/>
            <w:shd w:fill="auto" w:val="clear"/>
            <w:tcMar>
              <w:bottom w:w="0" w:type="dxa"/>
            </w:tcMar>
            <w:vAlign w:val="bottom"/>
          </w:tcPr>
          <w:p>
            <w:pPr>
              <w:pStyle w:val="TableContents"/>
              <w:spacing w:before="0" w:after="0"/>
              <w:ind w:left="0" w:right="0" w:hanging="0"/>
              <w:jc w:val="center"/>
              <w:rPr/>
            </w:pPr>
            <w:r>
              <w:rPr/>
              <w:t> </w:t>
            </w:r>
          </w:p>
        </w:tc>
        <w:tc>
          <w:tcPr>
            <w:tcW w:w="138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210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77" w:type="dxa"/>
            <w:tcBorders/>
            <w:shd w:fill="CCEEFF" w:val="clear"/>
            <w:tcMar>
              <w:bottom w:w="0" w:type="dxa"/>
            </w:tcMar>
            <w:vAlign w:val="bottom"/>
          </w:tcPr>
          <w:p>
            <w:pPr>
              <w:pStyle w:val="TableContents"/>
              <w:spacing w:before="0" w:after="0"/>
              <w:ind w:left="0" w:right="0" w:hanging="0"/>
              <w:rPr/>
            </w:pPr>
            <w:r>
              <w:rPr/>
              <w:t> </w:t>
            </w:r>
          </w:p>
        </w:tc>
        <w:tc>
          <w:tcPr>
            <w:tcW w:w="200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 forward starting</w:t>
              <w:br/>
              <w:t>swaps (30-year)</w:t>
            </w:r>
          </w:p>
        </w:tc>
        <w:tc>
          <w:tcPr>
            <w:tcW w:w="177"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77" w:type="dxa"/>
            <w:tcBorders/>
            <w:shd w:fill="CCEEFF" w:val="clear"/>
            <w:tcMar>
              <w:bottom w:w="0" w:type="dxa"/>
            </w:tcMar>
            <w:vAlign w:val="bottom"/>
          </w:tcPr>
          <w:p>
            <w:pPr>
              <w:pStyle w:val="TableContents"/>
              <w:spacing w:before="0" w:after="0"/>
              <w:ind w:left="0" w:right="0" w:hanging="0"/>
              <w:rPr/>
            </w:pPr>
            <w:r>
              <w:rPr/>
              <w:t> </w:t>
            </w:r>
          </w:p>
        </w:tc>
        <w:tc>
          <w:tcPr>
            <w:tcW w:w="1576"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77" w:type="dxa"/>
            <w:tcBorders/>
            <w:shd w:fill="CCEEFF" w:val="clear"/>
            <w:tcMar>
              <w:bottom w:w="0" w:type="dxa"/>
            </w:tcMar>
            <w:vAlign w:val="bottom"/>
          </w:tcPr>
          <w:p>
            <w:pPr>
              <w:pStyle w:val="TableContents"/>
              <w:spacing w:before="0" w:after="0"/>
              <w:ind w:left="0" w:right="0" w:hanging="0"/>
              <w:rPr/>
            </w:pPr>
            <w:r>
              <w:rPr/>
              <w:t> </w:t>
            </w:r>
          </w:p>
        </w:tc>
        <w:tc>
          <w:tcPr>
            <w:tcW w:w="1151"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4"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10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77" w:type="dxa"/>
            <w:tcBorders/>
            <w:shd w:fill="auto" w:val="clear"/>
            <w:tcMar>
              <w:bottom w:w="0" w:type="dxa"/>
            </w:tcMar>
            <w:vAlign w:val="bottom"/>
          </w:tcPr>
          <w:p>
            <w:pPr>
              <w:pStyle w:val="TableContents"/>
              <w:spacing w:before="0" w:after="0"/>
              <w:ind w:left="0" w:right="0" w:hanging="0"/>
              <w:rPr/>
            </w:pPr>
            <w:r>
              <w:rPr/>
              <w:t> </w:t>
            </w:r>
          </w:p>
        </w:tc>
        <w:tc>
          <w:tcPr>
            <w:tcW w:w="200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w:t>
              <w:br/>
              <w:t>swaps (30-year)</w:t>
            </w:r>
          </w:p>
        </w:tc>
        <w:tc>
          <w:tcPr>
            <w:tcW w:w="177"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0"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77" w:type="dxa"/>
            <w:tcBorders/>
            <w:shd w:fill="auto" w:val="clear"/>
            <w:tcMar>
              <w:bottom w:w="0" w:type="dxa"/>
            </w:tcMar>
            <w:vAlign w:val="bottom"/>
          </w:tcPr>
          <w:p>
            <w:pPr>
              <w:pStyle w:val="TableContents"/>
              <w:spacing w:before="0" w:after="0"/>
              <w:ind w:left="0" w:right="0" w:hanging="0"/>
              <w:rPr/>
            </w:pPr>
            <w:r>
              <w:rPr/>
              <w:t> </w:t>
            </w:r>
          </w:p>
        </w:tc>
        <w:tc>
          <w:tcPr>
            <w:tcW w:w="1576"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77" w:type="dxa"/>
            <w:tcBorders/>
            <w:shd w:fill="auto" w:val="clear"/>
            <w:tcMar>
              <w:bottom w:w="0" w:type="dxa"/>
            </w:tcMar>
            <w:vAlign w:val="bottom"/>
          </w:tcPr>
          <w:p>
            <w:pPr>
              <w:pStyle w:val="TableContents"/>
              <w:spacing w:before="0" w:after="0"/>
              <w:ind w:left="0" w:right="0" w:hanging="0"/>
              <w:rPr/>
            </w:pPr>
            <w:r>
              <w:rPr/>
              <w:t> </w:t>
            </w:r>
          </w:p>
        </w:tc>
        <w:tc>
          <w:tcPr>
            <w:tcW w:w="1151"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4"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March 31, 2013, AOCI includes net deferred gains of approximately $4 million that relate to foreign currency derivatives that were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2013,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as of March 31,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46"/>
        <w:gridCol w:w="208"/>
        <w:gridCol w:w="744"/>
        <w:gridCol w:w="208"/>
        <w:gridCol w:w="110"/>
        <w:gridCol w:w="634"/>
        <w:gridCol w:w="208"/>
        <w:gridCol w:w="110"/>
        <w:gridCol w:w="634"/>
        <w:gridCol w:w="208"/>
        <w:gridCol w:w="2178"/>
        <w:gridCol w:w="117"/>
      </w:tblGrid>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08" w:type="dxa"/>
            <w:tcBorders/>
            <w:shd w:fill="auto" w:val="clear"/>
            <w:vAlign w:val="bottom"/>
          </w:tcPr>
          <w:p>
            <w:pPr>
              <w:pStyle w:val="TableContents"/>
              <w:spacing w:before="0" w:after="0"/>
              <w:ind w:left="0" w:right="0" w:hanging="0"/>
              <w:jc w:val="center"/>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08" w:type="dxa"/>
            <w:tcBorders/>
            <w:shd w:fill="auto" w:val="clear"/>
            <w:vAlign w:val="bottom"/>
          </w:tcPr>
          <w:p>
            <w:pPr>
              <w:pStyle w:val="TableContents"/>
              <w:spacing w:before="0" w:after="0"/>
              <w:ind w:left="0" w:right="0" w:hanging="0"/>
              <w:jc w:val="center"/>
              <w:rPr/>
            </w:pPr>
            <w:r>
              <w:rPr/>
              <w:t> </w:t>
            </w:r>
          </w:p>
        </w:tc>
        <w:tc>
          <w:tcPr>
            <w:tcW w:w="21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 USD</w:t>
              <w:br/>
              <w:t>to CAD</w:t>
            </w:r>
          </w:p>
        </w:tc>
        <w:tc>
          <w:tcPr>
            <w:tcW w:w="117" w:type="dxa"/>
            <w:tcBorders/>
            <w:shd w:fill="auto" w:val="clear"/>
            <w:vAlign w:val="bottom"/>
          </w:tcPr>
          <w:p>
            <w:pPr>
              <w:pStyle w:val="TableContents"/>
              <w:spacing w:before="0" w:after="0"/>
              <w:ind w:left="0" w:right="0" w:hanging="0"/>
              <w:jc w:val="center"/>
              <w:rPr/>
            </w:pPr>
            <w:r>
              <w:rPr/>
              <w:t> </w:t>
            </w:r>
          </w:p>
        </w:tc>
      </w:tr>
      <w:tr>
        <w:trPr/>
        <w:tc>
          <w:tcPr>
            <w:tcW w:w="484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CAD for USD:</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0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to $1.00</w:t>
            </w:r>
          </w:p>
        </w:tc>
        <w:tc>
          <w:tcPr>
            <w:tcW w:w="117" w:type="dxa"/>
            <w:tcBorders/>
            <w:shd w:fill="auto" w:val="clear"/>
            <w:vAlign w:val="bottom"/>
          </w:tcPr>
          <w:p>
            <w:pPr>
              <w:pStyle w:val="TableContents"/>
              <w:spacing w:before="0" w:after="0"/>
              <w:ind w:left="0" w:right="0" w:hanging="0"/>
              <w:rPr/>
            </w:pPr>
            <w:r>
              <w:rPr/>
              <w:t> </w:t>
            </w:r>
          </w:p>
        </w:tc>
      </w:tr>
      <w:tr>
        <w:trPr/>
        <w:tc>
          <w:tcPr>
            <w:tcW w:w="484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center"/>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USD for CAD:</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484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0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0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$0.99 to $1.00</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2014</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to $1.00</w:t>
            </w:r>
          </w:p>
        </w:tc>
        <w:tc>
          <w:tcPr>
            <w:tcW w:w="117" w:type="dxa"/>
            <w:tcBorders/>
            <w:shd w:fill="auto" w:val="clear"/>
            <w:vAlign w:val="bottom"/>
          </w:tcPr>
          <w:p>
            <w:pPr>
              <w:pStyle w:val="TableContents"/>
              <w:spacing w:before="0" w:after="0"/>
              <w:ind w:left="0" w:right="0" w:hanging="0"/>
              <w:rPr/>
            </w:pPr>
            <w:r>
              <w:rPr/>
              <w:t> </w:t>
            </w:r>
          </w:p>
        </w:tc>
      </w:tr>
      <w:tr>
        <w:trPr/>
        <w:tc>
          <w:tcPr>
            <w:tcW w:w="484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center"/>
              <w:rPr/>
            </w:pPr>
            <w:r>
              <w:rPr/>
              <w:t> </w:t>
            </w:r>
          </w:p>
        </w:tc>
        <w:tc>
          <w:tcPr>
            <w:tcW w:w="20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$0.99 to $1.00</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484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position by currency:</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center"/>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2013</w:t>
            </w:r>
          </w:p>
        </w:tc>
        <w:tc>
          <w:tcPr>
            <w:tcW w:w="20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484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2014</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484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8"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impact earnings.  For our interest rate swaps that qualify as fair value hedges, changes in the fair value of the derivatives are recognized in earnings each period.  Additionally, the change in fair value of the hedged item, attributable to the hedged risk, is recognized as a basis adjustment to the hedged item and is also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9" w:name="PB_18_121410_5796"/>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months ended March 31, 2013 and 2012 is as follows (in millions):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3059"/>
        <w:gridCol w:w="174"/>
        <w:gridCol w:w="509"/>
        <w:gridCol w:w="1271"/>
        <w:gridCol w:w="354"/>
        <w:gridCol w:w="380"/>
        <w:gridCol w:w="1132"/>
        <w:gridCol w:w="204"/>
        <w:gridCol w:w="336"/>
        <w:gridCol w:w="1182"/>
        <w:gridCol w:w="204"/>
        <w:gridCol w:w="208"/>
        <w:gridCol w:w="952"/>
        <w:gridCol w:w="137"/>
      </w:tblGrid>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673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2013</w:t>
            </w:r>
          </w:p>
        </w:tc>
        <w:tc>
          <w:tcPr>
            <w:tcW w:w="137" w:type="dxa"/>
            <w:tcBorders/>
            <w:shd w:fill="auto" w:val="clear"/>
            <w:vAlign w:val="bottom"/>
          </w:tcPr>
          <w:p>
            <w:pPr>
              <w:pStyle w:val="TableContents"/>
              <w:spacing w:before="0" w:after="0"/>
              <w:ind w:left="0" w:right="0" w:hanging="0"/>
              <w:jc w:val="center"/>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36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 Relationships</w:t>
            </w:r>
          </w:p>
        </w:tc>
        <w:tc>
          <w:tcPr>
            <w:tcW w:w="204" w:type="dxa"/>
            <w:tcBorders/>
            <w:shd w:fill="auto" w:val="clear"/>
            <w:vAlign w:val="bottom"/>
          </w:tcPr>
          <w:p>
            <w:pPr>
              <w:pStyle w:val="TableContents"/>
              <w:spacing w:before="0" w:after="0"/>
              <w:ind w:left="0" w:right="0" w:hanging="0"/>
              <w:jc w:val="center"/>
              <w:rPr/>
            </w:pPr>
            <w:r>
              <w:rPr/>
              <w:t> </w:t>
            </w:r>
          </w:p>
        </w:tc>
        <w:tc>
          <w:tcPr>
            <w:tcW w:w="1518" w:type="dxa"/>
            <w:gridSpan w:val="2"/>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160"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17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Gain/(loss)</w:t>
            </w:r>
          </w:p>
        </w:tc>
        <w:tc>
          <w:tcPr>
            <w:tcW w:w="354" w:type="dxa"/>
            <w:tcBorders/>
            <w:shd w:fill="auto" w:val="clear"/>
            <w:vAlign w:val="bottom"/>
          </w:tcPr>
          <w:p>
            <w:pPr>
              <w:pStyle w:val="TableContents"/>
              <w:spacing w:before="0" w:after="0"/>
              <w:ind w:left="0" w:right="0" w:hanging="0"/>
              <w:jc w:val="center"/>
              <w:rPr/>
            </w:pPr>
            <w:r>
              <w:rPr/>
              <w:t> </w:t>
            </w:r>
          </w:p>
        </w:tc>
        <w:tc>
          <w:tcPr>
            <w:tcW w:w="15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 gain/(loss)</w:t>
            </w:r>
          </w:p>
        </w:tc>
        <w:tc>
          <w:tcPr>
            <w:tcW w:w="204" w:type="dxa"/>
            <w:tcBorders/>
            <w:shd w:fill="auto" w:val="clear"/>
            <w:vAlign w:val="bottom"/>
          </w:tcPr>
          <w:p>
            <w:pPr>
              <w:pStyle w:val="TableContents"/>
              <w:spacing w:before="0" w:after="0"/>
              <w:ind w:left="0" w:right="0" w:hanging="0"/>
              <w:jc w:val="center"/>
              <w:rPr/>
            </w:pPr>
            <w:r>
              <w:rPr/>
              <w:t> </w:t>
            </w:r>
          </w:p>
        </w:tc>
        <w:tc>
          <w:tcPr>
            <w:tcW w:w="15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04" w:type="dxa"/>
            <w:tcBorders/>
            <w:shd w:fill="auto" w:val="clear"/>
            <w:vAlign w:val="bottom"/>
          </w:tcPr>
          <w:p>
            <w:pPr>
              <w:pStyle w:val="TableContents"/>
              <w:spacing w:before="0" w:after="0"/>
              <w:ind w:left="0" w:right="0" w:hanging="0"/>
              <w:jc w:val="center"/>
              <w:rPr/>
            </w:pPr>
            <w:r>
              <w:rPr/>
              <w:t> </w:t>
            </w:r>
          </w:p>
        </w:tc>
        <w:tc>
          <w:tcPr>
            <w:tcW w:w="1160"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17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reclassified from</w:t>
            </w:r>
          </w:p>
        </w:tc>
        <w:tc>
          <w:tcPr>
            <w:tcW w:w="354" w:type="dxa"/>
            <w:tcBorders/>
            <w:shd w:fill="auto" w:val="clear"/>
            <w:vAlign w:val="bottom"/>
          </w:tcPr>
          <w:p>
            <w:pPr>
              <w:pStyle w:val="TableContents"/>
              <w:spacing w:before="0" w:after="0"/>
              <w:ind w:left="0" w:right="0" w:hanging="0"/>
              <w:jc w:val="center"/>
              <w:rPr/>
            </w:pPr>
            <w:r>
              <w:rPr/>
              <w:t> </w:t>
            </w:r>
          </w:p>
        </w:tc>
        <w:tc>
          <w:tcPr>
            <w:tcW w:w="15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recognized in</w:t>
            </w:r>
          </w:p>
        </w:tc>
        <w:tc>
          <w:tcPr>
            <w:tcW w:w="204" w:type="dxa"/>
            <w:tcBorders/>
            <w:shd w:fill="auto" w:val="clear"/>
            <w:vAlign w:val="bottom"/>
          </w:tcPr>
          <w:p>
            <w:pPr>
              <w:pStyle w:val="TableContents"/>
              <w:spacing w:before="0" w:after="0"/>
              <w:ind w:left="0" w:right="0" w:hanging="0"/>
              <w:jc w:val="center"/>
              <w:rPr/>
            </w:pPr>
            <w:r>
              <w:rPr/>
              <w:t> </w:t>
            </w:r>
          </w:p>
        </w:tc>
        <w:tc>
          <w:tcPr>
            <w:tcW w:w="15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 Designated</w:t>
            </w:r>
          </w:p>
        </w:tc>
        <w:tc>
          <w:tcPr>
            <w:tcW w:w="204" w:type="dxa"/>
            <w:tcBorders/>
            <w:shd w:fill="auto" w:val="clear"/>
            <w:vAlign w:val="bottom"/>
          </w:tcPr>
          <w:p>
            <w:pPr>
              <w:pStyle w:val="TableContents"/>
              <w:spacing w:before="0" w:after="0"/>
              <w:ind w:left="0" w:right="0" w:hanging="0"/>
              <w:jc w:val="center"/>
              <w:rPr/>
            </w:pPr>
            <w:r>
              <w:rPr/>
              <w:t> </w:t>
            </w:r>
          </w:p>
        </w:tc>
        <w:tc>
          <w:tcPr>
            <w:tcW w:w="1160"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05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74" w:type="dxa"/>
            <w:tcBorders/>
            <w:shd w:fill="auto" w:val="clear"/>
            <w:vAlign w:val="bottom"/>
          </w:tcPr>
          <w:p>
            <w:pPr>
              <w:pStyle w:val="TableContents"/>
              <w:spacing w:before="0" w:after="0"/>
              <w:ind w:left="0" w:right="0" w:hanging="0"/>
              <w:jc w:val="center"/>
              <w:rPr/>
            </w:pPr>
            <w:r>
              <w:rPr/>
              <w:t> </w:t>
            </w:r>
          </w:p>
        </w:tc>
        <w:tc>
          <w:tcPr>
            <w:tcW w:w="17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AOCI into income </w:t>
            </w:r>
            <w:r>
              <w:rPr>
                <w:b/>
                <w:sz w:val="8"/>
              </w:rPr>
              <w:t>(1)</w:t>
            </w:r>
          </w:p>
        </w:tc>
        <w:tc>
          <w:tcPr>
            <w:tcW w:w="354"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income</w:t>
            </w:r>
          </w:p>
        </w:tc>
        <w:tc>
          <w:tcPr>
            <w:tcW w:w="204" w:type="dxa"/>
            <w:tcBorders/>
            <w:shd w:fill="auto" w:val="clear"/>
            <w:vAlign w:val="bottom"/>
          </w:tcPr>
          <w:p>
            <w:pPr>
              <w:pStyle w:val="TableContents"/>
              <w:spacing w:before="0" w:after="0"/>
              <w:ind w:left="0" w:right="0" w:hanging="0"/>
              <w:jc w:val="center"/>
              <w:rPr/>
            </w:pPr>
            <w:r>
              <w:rPr/>
              <w:t> </w:t>
            </w:r>
          </w:p>
        </w:tc>
        <w:tc>
          <w:tcPr>
            <w:tcW w:w="15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(2)</w:t>
            </w:r>
          </w:p>
        </w:tc>
        <w:tc>
          <w:tcPr>
            <w:tcW w:w="204" w:type="dxa"/>
            <w:tcBorders/>
            <w:shd w:fill="auto" w:val="clear"/>
            <w:vAlign w:val="bottom"/>
          </w:tcPr>
          <w:p>
            <w:pPr>
              <w:pStyle w:val="TableContents"/>
              <w:spacing w:before="0" w:after="0"/>
              <w:ind w:left="0" w:right="0" w:hanging="0"/>
              <w:jc w:val="center"/>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7" w:type="dxa"/>
            <w:tcBorders/>
            <w:shd w:fill="auto" w:val="clear"/>
            <w:vAlign w:val="bottom"/>
          </w:tcPr>
          <w:p>
            <w:pPr>
              <w:pStyle w:val="TableContents"/>
              <w:spacing w:before="0" w:after="0"/>
              <w:ind w:left="0" w:right="0" w:hanging="0"/>
              <w:jc w:val="center"/>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pPr>
            <w:r>
              <w:rPr/>
              <w:t> </w:t>
            </w:r>
          </w:p>
        </w:tc>
        <w:tc>
          <w:tcPr>
            <w:tcW w:w="354"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74" w:type="dxa"/>
            <w:tcBorders/>
            <w:shd w:fill="CCEEFF" w:val="clear"/>
            <w:vAlign w:val="bottom"/>
          </w:tcPr>
          <w:p>
            <w:pPr>
              <w:pStyle w:val="TableContents"/>
              <w:spacing w:before="0" w:after="0"/>
              <w:ind w:left="0" w:right="0" w:hanging="0"/>
              <w:rPr/>
            </w:pPr>
            <w:r>
              <w:rPr/>
              <w:t> </w:t>
            </w:r>
          </w:p>
        </w:tc>
        <w:tc>
          <w:tcPr>
            <w:tcW w:w="5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54" w:type="dxa"/>
            <w:tcBorders/>
            <w:shd w:fill="CCEEFF" w:val="clear"/>
            <w:vAlign w:val="bottom"/>
          </w:tcPr>
          <w:p>
            <w:pPr>
              <w:pStyle w:val="TableContents"/>
              <w:spacing w:before="0" w:after="0"/>
              <w:ind w:left="0" w:right="0" w:hanging="0"/>
              <w:rPr/>
            </w:pPr>
            <w:r>
              <w:rPr/>
              <w:t> </w:t>
            </w:r>
          </w:p>
        </w:tc>
        <w:tc>
          <w:tcPr>
            <w:tcW w:w="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3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4"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4"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pPr>
            <w:r>
              <w:rPr/>
              <w:t> </w:t>
            </w:r>
          </w:p>
        </w:tc>
        <w:tc>
          <w:tcPr>
            <w:tcW w:w="354"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shd w:fill="CCEEFF" w:val="clear"/>
            <w:vAlign w:val="bottom"/>
          </w:tcPr>
          <w:p>
            <w:pPr>
              <w:pStyle w:val="TableContents"/>
              <w:spacing w:before="0" w:after="0"/>
              <w:ind w:left="0" w:right="0" w:hanging="0"/>
              <w:jc w:val="right"/>
              <w:rPr/>
            </w:pPr>
            <w:r>
              <w:rPr/>
              <w:t> </w:t>
            </w:r>
          </w:p>
        </w:tc>
        <w:tc>
          <w:tcPr>
            <w:tcW w:w="354"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74" w:type="dxa"/>
            <w:tcBorders/>
            <w:shd w:fill="CCEEFF" w:val="clear"/>
            <w:vAlign w:val="bottom"/>
          </w:tcPr>
          <w:p>
            <w:pPr>
              <w:pStyle w:val="TableContents"/>
              <w:spacing w:before="0" w:after="0"/>
              <w:ind w:left="0" w:right="0" w:hanging="0"/>
              <w:rPr/>
            </w:pPr>
            <w:r>
              <w:rPr/>
              <w:t> </w:t>
            </w:r>
          </w:p>
        </w:tc>
        <w:tc>
          <w:tcPr>
            <w:tcW w:w="17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54" w:type="dxa"/>
            <w:tcBorders/>
            <w:shd w:fill="CCEEFF"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CCEEFF" w:val="clear"/>
            <w:vAlign w:val="bottom"/>
          </w:tcPr>
          <w:p>
            <w:pPr>
              <w:pStyle w:val="TableContents"/>
              <w:spacing w:before="0" w:after="0"/>
              <w:ind w:left="0" w:right="0" w:hanging="0"/>
              <w:rPr/>
            </w:pPr>
            <w:r>
              <w:rPr/>
              <w:t> </w:t>
            </w:r>
          </w:p>
        </w:tc>
      </w:tr>
      <w:tr>
        <w:trPr/>
        <w:tc>
          <w:tcPr>
            <w:tcW w:w="3059"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780" w:type="dxa"/>
            <w:gridSpan w:val="2"/>
            <w:tcBorders/>
            <w:shd w:fill="auto" w:val="clear"/>
            <w:vAlign w:val="bottom"/>
          </w:tcPr>
          <w:p>
            <w:pPr>
              <w:pStyle w:val="TableContents"/>
              <w:spacing w:before="0" w:after="0"/>
              <w:ind w:left="0" w:right="0" w:hanging="0"/>
              <w:jc w:val="right"/>
              <w:rPr/>
            </w:pPr>
            <w:r>
              <w:rPr/>
              <w:t> </w:t>
            </w:r>
          </w:p>
        </w:tc>
        <w:tc>
          <w:tcPr>
            <w:tcW w:w="354"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1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05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 on Derivatives Recognized in Net Income</w:t>
            </w:r>
          </w:p>
        </w:tc>
        <w:tc>
          <w:tcPr>
            <w:tcW w:w="174" w:type="dxa"/>
            <w:tcBorders/>
            <w:shd w:fill="CCEEFF" w:val="clear"/>
            <w:vAlign w:val="bottom"/>
          </w:tcPr>
          <w:p>
            <w:pPr>
              <w:pStyle w:val="TableContents"/>
              <w:spacing w:before="0" w:after="0"/>
              <w:ind w:left="0" w:right="0" w:hanging="0"/>
              <w:rPr/>
            </w:pPr>
            <w:r>
              <w:rPr/>
              <w:t> </w:t>
            </w:r>
          </w:p>
        </w:tc>
        <w:tc>
          <w:tcPr>
            <w:tcW w:w="5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w:t>
            </w:r>
          </w:p>
        </w:tc>
        <w:tc>
          <w:tcPr>
            <w:tcW w:w="354" w:type="dxa"/>
            <w:tcBorders/>
            <w:shd w:fill="CCEEFF" w:val="clear"/>
            <w:vAlign w:val="bottom"/>
          </w:tcPr>
          <w:p>
            <w:pPr>
              <w:pStyle w:val="TableContents"/>
              <w:spacing w:before="0" w:after="0"/>
              <w:ind w:left="0" w:right="0" w:hanging="0"/>
              <w:rPr/>
            </w:pPr>
            <w:r>
              <w:rPr/>
              <w:t> </w:t>
            </w:r>
          </w:p>
        </w:tc>
        <w:tc>
          <w:tcPr>
            <w:tcW w:w="3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4" w:type="dxa"/>
            <w:tcBorders/>
            <w:shd w:fill="CCEEFF" w:val="clear"/>
            <w:vAlign w:val="bottom"/>
          </w:tcPr>
          <w:p>
            <w:pPr>
              <w:pStyle w:val="TableContents"/>
              <w:spacing w:before="0" w:after="0"/>
              <w:ind w:left="0" w:right="0" w:hanging="0"/>
              <w:rPr/>
            </w:pPr>
            <w:r>
              <w:rPr/>
              <w:t> </w:t>
            </w:r>
          </w:p>
        </w:tc>
        <w:tc>
          <w:tcPr>
            <w:tcW w:w="3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w:t>
            </w:r>
          </w:p>
        </w:tc>
        <w:tc>
          <w:tcPr>
            <w:tcW w:w="204"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w:t>
            </w:r>
          </w:p>
        </w:tc>
        <w:tc>
          <w:tcPr>
            <w:tcW w:w="13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40" w:name="PB_19_121431_2897"/>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114"/>
        <w:gridCol w:w="177"/>
        <w:gridCol w:w="449"/>
        <w:gridCol w:w="1352"/>
        <w:gridCol w:w="289"/>
        <w:gridCol w:w="372"/>
        <w:gridCol w:w="1182"/>
        <w:gridCol w:w="225"/>
        <w:gridCol w:w="291"/>
        <w:gridCol w:w="1243"/>
        <w:gridCol w:w="225"/>
        <w:gridCol w:w="197"/>
        <w:gridCol w:w="951"/>
        <w:gridCol w:w="138"/>
      </w:tblGrid>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7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March 31, 2012</w:t>
            </w:r>
          </w:p>
        </w:tc>
        <w:tc>
          <w:tcPr>
            <w:tcW w:w="138" w:type="dxa"/>
            <w:tcBorders/>
            <w:shd w:fill="auto" w:val="clear"/>
            <w:vAlign w:val="bottom"/>
          </w:tcPr>
          <w:p>
            <w:pPr>
              <w:pStyle w:val="TableContents"/>
              <w:spacing w:before="0" w:after="0"/>
              <w:ind w:left="0" w:right="0" w:hanging="0"/>
              <w:jc w:val="center"/>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36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 Relationships</w:t>
            </w:r>
          </w:p>
        </w:tc>
        <w:tc>
          <w:tcPr>
            <w:tcW w:w="225"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pPr>
            <w:r>
              <w:rPr/>
              <w:t> </w:t>
            </w:r>
          </w:p>
        </w:tc>
        <w:tc>
          <w:tcPr>
            <w:tcW w:w="225" w:type="dxa"/>
            <w:tcBorders/>
            <w:shd w:fill="auto" w:val="clear"/>
            <w:vAlign w:val="bottom"/>
          </w:tcPr>
          <w:p>
            <w:pPr>
              <w:pStyle w:val="TableContents"/>
              <w:spacing w:before="0" w:after="0"/>
              <w:ind w:left="0" w:right="0" w:hanging="0"/>
              <w:jc w:val="center"/>
              <w:rPr/>
            </w:pPr>
            <w:r>
              <w:rPr/>
              <w:t> </w:t>
            </w:r>
          </w:p>
        </w:tc>
        <w:tc>
          <w:tcPr>
            <w:tcW w:w="1148"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8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Gain/(loss)</w:t>
            </w:r>
          </w:p>
        </w:tc>
        <w:tc>
          <w:tcPr>
            <w:tcW w:w="289" w:type="dxa"/>
            <w:tcBorders/>
            <w:shd w:fill="auto" w:val="clear"/>
            <w:vAlign w:val="bottom"/>
          </w:tcPr>
          <w:p>
            <w:pPr>
              <w:pStyle w:val="TableContents"/>
              <w:spacing w:before="0" w:after="0"/>
              <w:ind w:left="0" w:right="0" w:hanging="0"/>
              <w:jc w:val="center"/>
              <w:rPr/>
            </w:pPr>
            <w:r>
              <w:rPr/>
              <w:t> </w:t>
            </w:r>
          </w:p>
        </w:tc>
        <w:tc>
          <w:tcPr>
            <w:tcW w:w="15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 gain/(loss)</w:t>
            </w:r>
          </w:p>
        </w:tc>
        <w:tc>
          <w:tcPr>
            <w:tcW w:w="225"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225" w:type="dxa"/>
            <w:tcBorders/>
            <w:shd w:fill="auto" w:val="clear"/>
            <w:vAlign w:val="bottom"/>
          </w:tcPr>
          <w:p>
            <w:pPr>
              <w:pStyle w:val="TableContents"/>
              <w:spacing w:before="0" w:after="0"/>
              <w:ind w:left="0" w:right="0" w:hanging="0"/>
              <w:jc w:val="center"/>
              <w:rPr/>
            </w:pPr>
            <w:r>
              <w:rPr/>
              <w:t> </w:t>
            </w:r>
          </w:p>
        </w:tc>
        <w:tc>
          <w:tcPr>
            <w:tcW w:w="1148"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18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reclassified from</w:t>
            </w:r>
          </w:p>
        </w:tc>
        <w:tc>
          <w:tcPr>
            <w:tcW w:w="289" w:type="dxa"/>
            <w:tcBorders/>
            <w:shd w:fill="auto" w:val="clear"/>
            <w:vAlign w:val="bottom"/>
          </w:tcPr>
          <w:p>
            <w:pPr>
              <w:pStyle w:val="TableContents"/>
              <w:spacing w:before="0" w:after="0"/>
              <w:ind w:left="0" w:right="0" w:hanging="0"/>
              <w:jc w:val="center"/>
              <w:rPr/>
            </w:pPr>
            <w:r>
              <w:rPr/>
              <w:t> </w:t>
            </w:r>
          </w:p>
        </w:tc>
        <w:tc>
          <w:tcPr>
            <w:tcW w:w="15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recognized in</w:t>
            </w:r>
          </w:p>
        </w:tc>
        <w:tc>
          <w:tcPr>
            <w:tcW w:w="225" w:type="dxa"/>
            <w:tcBorders/>
            <w:shd w:fill="auto" w:val="clear"/>
            <w:vAlign w:val="bottom"/>
          </w:tcPr>
          <w:p>
            <w:pPr>
              <w:pStyle w:val="TableContents"/>
              <w:spacing w:before="0" w:after="0"/>
              <w:ind w:left="0" w:right="0" w:hanging="0"/>
              <w:jc w:val="center"/>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 Designated</w:t>
            </w:r>
          </w:p>
        </w:tc>
        <w:tc>
          <w:tcPr>
            <w:tcW w:w="225" w:type="dxa"/>
            <w:tcBorders/>
            <w:shd w:fill="auto" w:val="clear"/>
            <w:vAlign w:val="bottom"/>
          </w:tcPr>
          <w:p>
            <w:pPr>
              <w:pStyle w:val="TableContents"/>
              <w:spacing w:before="0" w:after="0"/>
              <w:ind w:left="0" w:right="0" w:hanging="0"/>
              <w:jc w:val="center"/>
              <w:rPr/>
            </w:pPr>
            <w:r>
              <w:rPr/>
              <w:t> </w:t>
            </w:r>
          </w:p>
        </w:tc>
        <w:tc>
          <w:tcPr>
            <w:tcW w:w="1148"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1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77" w:type="dxa"/>
            <w:tcBorders/>
            <w:shd w:fill="auto" w:val="clear"/>
            <w:vAlign w:val="bottom"/>
          </w:tcPr>
          <w:p>
            <w:pPr>
              <w:pStyle w:val="TableContents"/>
              <w:spacing w:before="0" w:after="0"/>
              <w:ind w:left="0" w:right="0" w:hanging="0"/>
              <w:jc w:val="center"/>
              <w:rPr/>
            </w:pPr>
            <w:r>
              <w:rPr/>
              <w:t> </w:t>
            </w:r>
          </w:p>
        </w:tc>
        <w:tc>
          <w:tcPr>
            <w:tcW w:w="18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AOCI into income </w:t>
            </w:r>
            <w:r>
              <w:rPr>
                <w:b/>
                <w:sz w:val="8"/>
              </w:rPr>
              <w:t>(1)</w:t>
            </w:r>
          </w:p>
        </w:tc>
        <w:tc>
          <w:tcPr>
            <w:tcW w:w="289" w:type="dxa"/>
            <w:tcBorders/>
            <w:shd w:fill="auto" w:val="clear"/>
            <w:vAlign w:val="bottom"/>
          </w:tcPr>
          <w:p>
            <w:pPr>
              <w:pStyle w:val="TableContents"/>
              <w:spacing w:before="0" w:after="0"/>
              <w:ind w:left="0" w:right="0" w:hanging="0"/>
              <w:jc w:val="center"/>
              <w:rPr/>
            </w:pPr>
            <w:r>
              <w:rPr/>
              <w:t> </w:t>
            </w:r>
          </w:p>
        </w:tc>
        <w:tc>
          <w:tcPr>
            <w:tcW w:w="15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income</w:t>
            </w:r>
          </w:p>
        </w:tc>
        <w:tc>
          <w:tcPr>
            <w:tcW w:w="225" w:type="dxa"/>
            <w:tcBorders/>
            <w:shd w:fill="auto" w:val="clear"/>
            <w:vAlign w:val="bottom"/>
          </w:tcPr>
          <w:p>
            <w:pPr>
              <w:pStyle w:val="TableContents"/>
              <w:spacing w:before="0" w:after="0"/>
              <w:ind w:left="0" w:right="0" w:hanging="0"/>
              <w:jc w:val="center"/>
              <w:rPr/>
            </w:pPr>
            <w:r>
              <w:rPr/>
              <w:t> </w:t>
            </w:r>
          </w:p>
        </w:tc>
        <w:tc>
          <w:tcPr>
            <w:tcW w:w="15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(2)</w:t>
            </w:r>
          </w:p>
        </w:tc>
        <w:tc>
          <w:tcPr>
            <w:tcW w:w="225" w:type="dxa"/>
            <w:tcBorders/>
            <w:shd w:fill="auto" w:val="clear"/>
            <w:vAlign w:val="bottom"/>
          </w:tcPr>
          <w:p>
            <w:pPr>
              <w:pStyle w:val="TableContents"/>
              <w:spacing w:before="0" w:after="0"/>
              <w:ind w:left="0" w:right="0" w:hanging="0"/>
              <w:jc w:val="center"/>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8" w:type="dxa"/>
            <w:tcBorders/>
            <w:shd w:fill="auto" w:val="clear"/>
            <w:vAlign w:val="bottom"/>
          </w:tcPr>
          <w:p>
            <w:pPr>
              <w:pStyle w:val="TableContents"/>
              <w:spacing w:before="0" w:after="0"/>
              <w:ind w:left="0" w:right="0" w:hanging="0"/>
              <w:jc w:val="center"/>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pPr>
            <w:r>
              <w:rPr/>
              <w:t> </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77" w:type="dxa"/>
            <w:tcBorders/>
            <w:shd w:fill="CCEEFF" w:val="clear"/>
            <w:vAlign w:val="bottom"/>
          </w:tcPr>
          <w:p>
            <w:pPr>
              <w:pStyle w:val="TableContents"/>
              <w:spacing w:before="0" w:after="0"/>
              <w:ind w:left="0" w:right="0" w:hanging="0"/>
              <w:rPr/>
            </w:pPr>
            <w:r>
              <w:rPr/>
              <w:t> </w:t>
            </w:r>
          </w:p>
        </w:tc>
        <w:tc>
          <w:tcPr>
            <w:tcW w:w="4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89" w:type="dxa"/>
            <w:tcBorders/>
            <w:shd w:fill="CCEEFF" w:val="clear"/>
            <w:vAlign w:val="bottom"/>
          </w:tcPr>
          <w:p>
            <w:pPr>
              <w:pStyle w:val="TableContents"/>
              <w:spacing w:before="0" w:after="0"/>
              <w:ind w:left="0" w:right="0" w:hanging="0"/>
              <w:rPr/>
            </w:pPr>
            <w:r>
              <w:rPr/>
              <w:t> </w:t>
            </w:r>
          </w:p>
        </w:tc>
        <w:tc>
          <w:tcPr>
            <w:tcW w:w="3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pPr>
            <w:r>
              <w:rPr/>
              <w:t> </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pPr>
            <w:r>
              <w:rPr/>
              <w:t> </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77" w:type="dxa"/>
            <w:tcBorders/>
            <w:shd w:fill="CCEEFF" w:val="clear"/>
            <w:vAlign w:val="bottom"/>
          </w:tcPr>
          <w:p>
            <w:pPr>
              <w:pStyle w:val="TableContents"/>
              <w:spacing w:before="0" w:after="0"/>
              <w:ind w:left="0" w:right="0" w:hanging="0"/>
              <w:rPr/>
            </w:pPr>
            <w:r>
              <w:rPr/>
              <w:t> </w:t>
            </w:r>
          </w:p>
        </w:tc>
        <w:tc>
          <w:tcPr>
            <w:tcW w:w="18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89" w:type="dxa"/>
            <w:tcBorders/>
            <w:shd w:fill="CCEEFF" w:val="clear"/>
            <w:vAlign w:val="bottom"/>
          </w:tcPr>
          <w:p>
            <w:pPr>
              <w:pStyle w:val="TableContents"/>
              <w:spacing w:before="0" w:after="0"/>
              <w:ind w:left="0" w:right="0" w:hanging="0"/>
              <w:rPr/>
            </w:pPr>
            <w:r>
              <w:rPr/>
              <w:t> </w:t>
            </w:r>
          </w:p>
        </w:tc>
        <w:tc>
          <w:tcPr>
            <w:tcW w:w="15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5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pPr>
            <w:r>
              <w:rPr/>
              <w:t> </w:t>
            </w:r>
          </w:p>
        </w:tc>
      </w:tr>
      <w:tr>
        <w:trPr/>
        <w:tc>
          <w:tcPr>
            <w:tcW w:w="3114"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1801" w:type="dxa"/>
            <w:gridSpan w:val="2"/>
            <w:tcBorders/>
            <w:shd w:fill="auto" w:val="clear"/>
            <w:vAlign w:val="bottom"/>
          </w:tcPr>
          <w:p>
            <w:pPr>
              <w:pStyle w:val="TableContents"/>
              <w:spacing w:before="0" w:after="0"/>
              <w:ind w:left="0" w:right="0" w:hanging="0"/>
              <w:jc w:val="right"/>
              <w:rPr/>
            </w:pPr>
            <w:r>
              <w:rPr/>
              <w:t> </w:t>
            </w:r>
          </w:p>
        </w:tc>
        <w:tc>
          <w:tcPr>
            <w:tcW w:w="289" w:type="dxa"/>
            <w:tcBorders/>
            <w:shd w:fill="auto" w:val="clear"/>
            <w:vAlign w:val="bottom"/>
          </w:tcPr>
          <w:p>
            <w:pPr>
              <w:pStyle w:val="TableContents"/>
              <w:spacing w:before="0" w:after="0"/>
              <w:ind w:left="0" w:right="0" w:hanging="0"/>
              <w:rPr/>
            </w:pPr>
            <w:r>
              <w:rPr/>
              <w:t> </w:t>
            </w:r>
          </w:p>
        </w:tc>
        <w:tc>
          <w:tcPr>
            <w:tcW w:w="155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534"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1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77" w:type="dxa"/>
            <w:tcBorders/>
            <w:shd w:fill="CCEEFF" w:val="clear"/>
            <w:vAlign w:val="bottom"/>
          </w:tcPr>
          <w:p>
            <w:pPr>
              <w:pStyle w:val="TableContents"/>
              <w:spacing w:before="0" w:after="0"/>
              <w:ind w:left="0" w:right="0" w:hanging="0"/>
              <w:rPr/>
            </w:pPr>
            <w:r>
              <w:rPr/>
              <w:t> </w:t>
            </w:r>
          </w:p>
        </w:tc>
        <w:tc>
          <w:tcPr>
            <w:tcW w:w="4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52</w:t>
            </w:r>
          </w:p>
        </w:tc>
        <w:tc>
          <w:tcPr>
            <w:tcW w:w="289" w:type="dxa"/>
            <w:tcBorders/>
            <w:shd w:fill="CCEEFF" w:val="clear"/>
            <w:vAlign w:val="bottom"/>
          </w:tcPr>
          <w:p>
            <w:pPr>
              <w:pStyle w:val="TableContents"/>
              <w:spacing w:before="0" w:after="0"/>
              <w:ind w:left="0" w:right="0" w:hanging="0"/>
              <w:rPr/>
            </w:pPr>
            <w:r>
              <w:rPr/>
              <w:t> </w:t>
            </w:r>
          </w:p>
        </w:tc>
        <w:tc>
          <w:tcPr>
            <w:tcW w:w="3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w:t>
            </w:r>
          </w:p>
        </w:tc>
        <w:tc>
          <w:tcPr>
            <w:tcW w:w="2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w:t>
            </w:r>
          </w:p>
        </w:tc>
        <w:tc>
          <w:tcPr>
            <w:tcW w:w="2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w:t>
            </w:r>
          </w:p>
        </w:tc>
        <w:tc>
          <w:tcPr>
            <w:tcW w:w="13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the three months ended March 31, 2013, we reclassified a gain of approximately $2 million from AOCI to Supply and Logistics segment revenues as a result of anticipated hedged transactions that are probable of not occurring. All of our hedged transactions were deemed probable of occurring during the three months ended March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realized and unrealized gains and losses for derivatives that did not qualify or were not designated for hedge accounting during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1" w:name="PB_20_122357_3020"/>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March 31,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33"/>
        <w:gridCol w:w="197"/>
        <w:gridCol w:w="2113"/>
        <w:gridCol w:w="197"/>
        <w:gridCol w:w="179"/>
        <w:gridCol w:w="1083"/>
        <w:gridCol w:w="197"/>
        <w:gridCol w:w="2113"/>
        <w:gridCol w:w="197"/>
        <w:gridCol w:w="166"/>
        <w:gridCol w:w="1096"/>
        <w:gridCol w:w="134"/>
      </w:tblGrid>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35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7" w:type="dxa"/>
            <w:tcBorders/>
            <w:shd w:fill="auto" w:val="clear"/>
            <w:vAlign w:val="bottom"/>
          </w:tcPr>
          <w:p>
            <w:pPr>
              <w:pStyle w:val="TableContents"/>
              <w:spacing w:before="0" w:after="0"/>
              <w:ind w:left="0" w:right="0" w:hanging="0"/>
              <w:rPr/>
            </w:pPr>
            <w:r>
              <w:rPr/>
              <w:t> </w:t>
            </w:r>
          </w:p>
        </w:tc>
        <w:tc>
          <w:tcPr>
            <w:tcW w:w="35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4" w:type="dxa"/>
            <w:tcBorders/>
            <w:shd w:fill="auto"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4" w:type="dxa"/>
            <w:tcBorders/>
            <w:shd w:fill="auto" w:val="clear"/>
            <w:vAlign w:val="bottom"/>
          </w:tcPr>
          <w:p>
            <w:pPr>
              <w:pStyle w:val="TableContents"/>
              <w:spacing w:before="0" w:after="0"/>
              <w:ind w:left="0" w:right="0" w:hanging="0"/>
              <w:jc w:val="center"/>
              <w:rPr/>
            </w:pPr>
            <w:r>
              <w:rPr/>
              <w:t> </w:t>
            </w:r>
          </w:p>
        </w:tc>
      </w:tr>
      <w:tr>
        <w:trPr/>
        <w:tc>
          <w:tcPr>
            <w:tcW w:w="253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5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33"/>
        <w:gridCol w:w="197"/>
        <w:gridCol w:w="2113"/>
        <w:gridCol w:w="197"/>
        <w:gridCol w:w="179"/>
        <w:gridCol w:w="1083"/>
        <w:gridCol w:w="197"/>
        <w:gridCol w:w="2113"/>
        <w:gridCol w:w="197"/>
        <w:gridCol w:w="166"/>
        <w:gridCol w:w="1096"/>
        <w:gridCol w:w="134"/>
      </w:tblGrid>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35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97" w:type="dxa"/>
            <w:tcBorders/>
            <w:shd w:fill="auto" w:val="clear"/>
            <w:vAlign w:val="bottom"/>
          </w:tcPr>
          <w:p>
            <w:pPr>
              <w:pStyle w:val="TableContents"/>
              <w:spacing w:before="0" w:after="0"/>
              <w:ind w:left="0" w:right="0" w:hanging="0"/>
              <w:jc w:val="center"/>
              <w:rPr/>
            </w:pPr>
            <w:r>
              <w:rPr/>
              <w:t> </w:t>
            </w:r>
          </w:p>
        </w:tc>
        <w:tc>
          <w:tcPr>
            <w:tcW w:w="35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4" w:type="dxa"/>
            <w:tcBorders/>
            <w:shd w:fill="auto" w:val="clear"/>
            <w:vAlign w:val="bottom"/>
          </w:tcPr>
          <w:p>
            <w:pPr>
              <w:pStyle w:val="TableContents"/>
              <w:spacing w:before="0" w:after="0"/>
              <w:ind w:left="0" w:right="0" w:hanging="0"/>
              <w:jc w:val="center"/>
              <w:rPr/>
            </w:pPr>
            <w:r>
              <w:rPr/>
              <w:t> </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7" w:type="dxa"/>
            <w:tcBorders/>
            <w:shd w:fill="auto" w:val="clear"/>
            <w:vAlign w:val="bottom"/>
          </w:tcPr>
          <w:p>
            <w:pPr>
              <w:pStyle w:val="TableContents"/>
              <w:spacing w:before="0" w:after="0"/>
              <w:ind w:left="0" w:right="0" w:hanging="0"/>
              <w:jc w:val="center"/>
              <w:rPr/>
            </w:pPr>
            <w:r>
              <w:rPr/>
              <w:t> </w:t>
            </w:r>
          </w:p>
        </w:tc>
        <w:tc>
          <w:tcPr>
            <w:tcW w:w="21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4" w:type="dxa"/>
            <w:tcBorders/>
            <w:shd w:fill="auto" w:val="clear"/>
            <w:vAlign w:val="bottom"/>
          </w:tcPr>
          <w:p>
            <w:pPr>
              <w:pStyle w:val="TableContents"/>
              <w:spacing w:before="0" w:after="0"/>
              <w:ind w:left="0" w:right="0" w:hanging="0"/>
              <w:jc w:val="center"/>
              <w:rPr/>
            </w:pPr>
            <w:r>
              <w:rPr/>
              <w:t> </w:t>
            </w:r>
          </w:p>
        </w:tc>
      </w:tr>
      <w:tr>
        <w:trPr/>
        <w:tc>
          <w:tcPr>
            <w:tcW w:w="253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sz w:val="17"/>
              </w:rPr>
            </w:pPr>
            <w:r>
              <w:rPr>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53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5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sz w:val="17"/>
              </w:rPr>
            </w:pPr>
            <w:r>
              <w:rPr>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sz w:val="17"/>
              </w:rPr>
            </w:pPr>
            <w:r>
              <w:rPr>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7"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sz w:val="17"/>
              </w:rPr>
            </w:pPr>
            <w:r>
              <w:rPr>
                <w:sz w:val="17"/>
              </w:rPr>
              <w:t>Other long-term liabilities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33" w:type="dxa"/>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13"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5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97" w:type="dxa"/>
            <w:tcBorders/>
            <w:shd w:fill="CCEEFF" w:val="clear"/>
            <w:vAlign w:val="bottom"/>
          </w:tcPr>
          <w:p>
            <w:pPr>
              <w:pStyle w:val="TableContents"/>
              <w:spacing w:before="0" w:after="0"/>
              <w:ind w:left="0" w:right="0" w:hanging="0"/>
              <w:rPr/>
            </w:pPr>
            <w:r>
              <w:rPr/>
              <w:t> </w:t>
            </w:r>
          </w:p>
        </w:tc>
        <w:tc>
          <w:tcPr>
            <w:tcW w:w="211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2" w:name="PB_21_121333_7056"/>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2013, we had a net broker receivable of approximately $82 million (consisting of initial margin of $70 million increased by $12 million of variation margin that had been posted by us).  As of December 31, 2012, we had a net broker receivable of approximately $41 million (consisting of initial margin of $69 million reduced by $28 million of variation margin that had been returned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information about derivatives and financial assets and liabilities that are subject to offsetting, including enforceable master netting arrangements at March 31, 2013 and December 31,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38"/>
        <w:gridCol w:w="174"/>
        <w:gridCol w:w="255"/>
        <w:gridCol w:w="1154"/>
        <w:gridCol w:w="189"/>
        <w:gridCol w:w="271"/>
        <w:gridCol w:w="1310"/>
        <w:gridCol w:w="189"/>
        <w:gridCol w:w="255"/>
        <w:gridCol w:w="1154"/>
        <w:gridCol w:w="200"/>
        <w:gridCol w:w="271"/>
        <w:gridCol w:w="1310"/>
        <w:gridCol w:w="135"/>
      </w:tblGrid>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31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89" w:type="dxa"/>
            <w:tcBorders/>
            <w:shd w:fill="auto" w:val="clear"/>
            <w:vAlign w:val="bottom"/>
          </w:tcPr>
          <w:p>
            <w:pPr>
              <w:pStyle w:val="TableContents"/>
              <w:spacing w:before="0" w:after="0"/>
              <w:ind w:left="0" w:right="0" w:hanging="0"/>
              <w:jc w:val="center"/>
              <w:rPr/>
            </w:pPr>
            <w:r>
              <w:rPr/>
              <w:t> </w:t>
            </w:r>
          </w:p>
        </w:tc>
        <w:tc>
          <w:tcPr>
            <w:tcW w:w="319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35" w:type="dxa"/>
            <w:tcBorders/>
            <w:shd w:fill="auto" w:val="clear"/>
            <w:vAlign w:val="bottom"/>
          </w:tcPr>
          <w:p>
            <w:pPr>
              <w:pStyle w:val="TableContents"/>
              <w:spacing w:before="0" w:after="0"/>
              <w:ind w:left="0" w:right="0" w:hanging="0"/>
              <w:jc w:val="center"/>
              <w:rPr/>
            </w:pPr>
            <w:r>
              <w:rPr/>
              <w:t> </w:t>
            </w:r>
          </w:p>
        </w:tc>
      </w:tr>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14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89" w:type="dxa"/>
            <w:tcBorders/>
            <w:shd w:fill="auto" w:val="clear"/>
            <w:vAlign w:val="bottom"/>
          </w:tcPr>
          <w:p>
            <w:pPr>
              <w:pStyle w:val="TableContents"/>
              <w:spacing w:before="0" w:after="0"/>
              <w:ind w:left="0" w:right="0" w:hanging="0"/>
              <w:jc w:val="center"/>
              <w:rPr/>
            </w:pPr>
            <w:r>
              <w:rPr/>
              <w:t> </w:t>
            </w:r>
          </w:p>
        </w:tc>
        <w:tc>
          <w:tcPr>
            <w:tcW w:w="15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89" w:type="dxa"/>
            <w:tcBorders/>
            <w:shd w:fill="auto" w:val="clear"/>
            <w:vAlign w:val="bottom"/>
          </w:tcPr>
          <w:p>
            <w:pPr>
              <w:pStyle w:val="TableContents"/>
              <w:spacing w:before="0" w:after="0"/>
              <w:ind w:left="0" w:right="0" w:hanging="0"/>
              <w:jc w:val="center"/>
              <w:rPr/>
            </w:pPr>
            <w:r>
              <w:rPr/>
              <w:t> </w:t>
            </w:r>
          </w:p>
        </w:tc>
        <w:tc>
          <w:tcPr>
            <w:tcW w:w="14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35" w:type="dxa"/>
            <w:tcBorders/>
            <w:shd w:fill="auto" w:val="clear"/>
            <w:vAlign w:val="bottom"/>
          </w:tcPr>
          <w:p>
            <w:pPr>
              <w:pStyle w:val="TableContents"/>
              <w:spacing w:before="0" w:after="0"/>
              <w:ind w:left="0" w:right="0" w:hanging="0"/>
              <w:jc w:val="center"/>
              <w:rPr/>
            </w:pPr>
            <w:r>
              <w:rPr/>
              <w:t> </w:t>
            </w:r>
          </w:p>
        </w:tc>
      </w:tr>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jc w:val="center"/>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189" w:type="dxa"/>
            <w:tcBorders/>
            <w:shd w:fill="auto" w:val="clear"/>
            <w:vAlign w:val="bottom"/>
          </w:tcPr>
          <w:p>
            <w:pPr>
              <w:pStyle w:val="TableContents"/>
              <w:spacing w:before="0" w:after="0"/>
              <w:ind w:left="0" w:right="0" w:hanging="0"/>
              <w:jc w:val="center"/>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89" w:type="dxa"/>
            <w:tcBorders/>
            <w:shd w:fill="auto" w:val="clear"/>
            <w:vAlign w:val="bottom"/>
          </w:tcPr>
          <w:p>
            <w:pPr>
              <w:pStyle w:val="TableContents"/>
              <w:spacing w:before="0" w:after="0"/>
              <w:ind w:left="0" w:right="0" w:hanging="0"/>
              <w:jc w:val="center"/>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200" w:type="dxa"/>
            <w:tcBorders/>
            <w:shd w:fill="auto" w:val="clear"/>
            <w:vAlign w:val="bottom"/>
          </w:tcPr>
          <w:p>
            <w:pPr>
              <w:pStyle w:val="TableContents"/>
              <w:spacing w:before="0" w:after="0"/>
              <w:ind w:left="0" w:right="0" w:hanging="0"/>
              <w:jc w:val="center"/>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35" w:type="dxa"/>
            <w:tcBorders/>
            <w:shd w:fill="auto" w:val="clear"/>
            <w:vAlign w:val="bottom"/>
          </w:tcPr>
          <w:p>
            <w:pPr>
              <w:pStyle w:val="TableContents"/>
              <w:spacing w:before="0" w:after="0"/>
              <w:ind w:left="0" w:right="0" w:hanging="0"/>
              <w:jc w:val="center"/>
              <w:rPr/>
            </w:pPr>
            <w:r>
              <w:rPr/>
              <w:t> </w:t>
            </w:r>
          </w:p>
        </w:tc>
      </w:tr>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333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Netting Adjustments:</w:t>
            </w:r>
          </w:p>
        </w:tc>
        <w:tc>
          <w:tcPr>
            <w:tcW w:w="174"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3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Gross Position - Asset/(Liability)</w:t>
            </w:r>
          </w:p>
        </w:tc>
        <w:tc>
          <w:tcPr>
            <w:tcW w:w="174"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9"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0"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Netting Adjustment</w:t>
            </w:r>
          </w:p>
        </w:tc>
        <w:tc>
          <w:tcPr>
            <w:tcW w:w="174"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9"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35" w:type="dxa"/>
            <w:tcBorders/>
            <w:shd w:fill="CCEEFF" w:val="clear"/>
            <w:vAlign w:val="bottom"/>
          </w:tcPr>
          <w:p>
            <w:pPr>
              <w:pStyle w:val="TableContents"/>
              <w:spacing w:before="0" w:after="0"/>
              <w:ind w:left="0" w:right="0" w:hanging="0"/>
              <w:rPr/>
            </w:pPr>
            <w:r>
              <w:rPr/>
              <w:t> </w:t>
            </w:r>
          </w:p>
        </w:tc>
      </w:tr>
      <w:tr>
        <w:trPr/>
        <w:tc>
          <w:tcPr>
            <w:tcW w:w="3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Collateral Paid/(Received)</w:t>
            </w:r>
          </w:p>
        </w:tc>
        <w:tc>
          <w:tcPr>
            <w:tcW w:w="174" w:type="dxa"/>
            <w:tcBorders/>
            <w:shd w:fill="auto" w:val="clear"/>
            <w:vAlign w:val="bottom"/>
          </w:tcPr>
          <w:p>
            <w:pPr>
              <w:pStyle w:val="TableContents"/>
              <w:spacing w:before="0" w:after="0"/>
              <w:ind w:left="0" w:right="0" w:hanging="0"/>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89" w:type="dxa"/>
            <w:tcBorders/>
            <w:shd w:fill="auto" w:val="clear"/>
            <w:vAlign w:val="bottom"/>
          </w:tcPr>
          <w:p>
            <w:pPr>
              <w:pStyle w:val="TableContents"/>
              <w:spacing w:before="0" w:after="0"/>
              <w:ind w:left="0" w:right="0" w:hanging="0"/>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0" w:type="dxa"/>
            <w:tcBorders/>
            <w:shd w:fill="auto" w:val="clear"/>
            <w:vAlign w:val="bottom"/>
          </w:tcPr>
          <w:p>
            <w:pPr>
              <w:pStyle w:val="TableContents"/>
              <w:spacing w:before="0" w:after="0"/>
              <w:ind w:left="0" w:right="0" w:hanging="0"/>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auto" w:val="clear"/>
            <w:vAlign w:val="bottom"/>
          </w:tcPr>
          <w:p>
            <w:pPr>
              <w:pStyle w:val="TableContents"/>
              <w:spacing w:before="0" w:after="0"/>
              <w:ind w:left="0" w:right="0" w:hanging="0"/>
              <w:rPr/>
            </w:pPr>
            <w:r>
              <w:rPr/>
              <w:t> </w:t>
            </w:r>
          </w:p>
        </w:tc>
      </w:tr>
      <w:tr>
        <w:trPr/>
        <w:tc>
          <w:tcPr>
            <w:tcW w:w="3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Position - Asset/(Liability)</w:t>
            </w:r>
          </w:p>
        </w:tc>
        <w:tc>
          <w:tcPr>
            <w:tcW w:w="174" w:type="dxa"/>
            <w:tcBorders/>
            <w:shd w:fill="CCEEFF" w:val="clear"/>
            <w:vAlign w:val="bottom"/>
          </w:tcPr>
          <w:p>
            <w:pPr>
              <w:pStyle w:val="TableContents"/>
              <w:spacing w:before="0" w:after="0"/>
              <w:ind w:left="0" w:right="0" w:hanging="0"/>
              <w:rPr/>
            </w:pPr>
            <w:r>
              <w:rPr/>
              <w:t> </w:t>
            </w:r>
          </w:p>
        </w:tc>
        <w:tc>
          <w:tcPr>
            <w:tcW w:w="2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9"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0"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333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Balance Sheet Location After Netting Adjustments:</w:t>
            </w:r>
          </w:p>
        </w:tc>
        <w:tc>
          <w:tcPr>
            <w:tcW w:w="174"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3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74"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9"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0"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auto" w:val="clear"/>
            <w:vAlign w:val="bottom"/>
          </w:tcPr>
          <w:p>
            <w:pPr>
              <w:pStyle w:val="TableContents"/>
              <w:spacing w:before="0" w:after="0"/>
              <w:ind w:left="0" w:right="0" w:hanging="0"/>
              <w:rPr/>
            </w:pPr>
            <w:r>
              <w:rPr/>
              <w:t> </w:t>
            </w:r>
          </w:p>
        </w:tc>
      </w:tr>
      <w:tr>
        <w:trPr/>
        <w:tc>
          <w:tcPr>
            <w:tcW w:w="3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74"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9"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0" w:type="dxa"/>
            <w:tcBorders/>
            <w:shd w:fill="CCEEFF" w:val="clear"/>
            <w:vAlign w:val="bottom"/>
          </w:tcPr>
          <w:p>
            <w:pPr>
              <w:pStyle w:val="TableContents"/>
              <w:spacing w:before="0" w:after="0"/>
              <w:ind w:left="0" w:right="0" w:hanging="0"/>
              <w:rPr/>
            </w:pPr>
            <w:r>
              <w:rPr/>
              <w:t> </w:t>
            </w:r>
          </w:p>
        </w:tc>
        <w:tc>
          <w:tcPr>
            <w:tcW w:w="15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3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74"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5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74" w:type="dxa"/>
            <w:tcBorders/>
            <w:shd w:fill="CCEEFF" w:val="clear"/>
            <w:vAlign w:val="bottom"/>
          </w:tcPr>
          <w:p>
            <w:pPr>
              <w:pStyle w:val="TableContents"/>
              <w:spacing w:before="0" w:after="0"/>
              <w:ind w:left="0" w:right="0" w:hanging="0"/>
              <w:rPr/>
            </w:pPr>
            <w:r>
              <w:rPr/>
              <w:t> </w:t>
            </w:r>
          </w:p>
        </w:tc>
        <w:tc>
          <w:tcPr>
            <w:tcW w:w="14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5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5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38"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pPr>
            <w:r>
              <w:rPr/>
              <w:t> </w:t>
            </w:r>
          </w:p>
        </w:tc>
        <w:tc>
          <w:tcPr>
            <w:tcW w:w="2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9"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0"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2013, there was a net loss of approximately $98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March 31, 2013, we expect to reclassify a net gain of approximately $21 million to earnings in the next twelve months.  Of the remaining deferred loss in AOCI, a net loss of approximately $2 million is expected to be reclassified to earnings prior to 2016 with the remaining deferred loss of approximately $117 million being reclassified to earnings through 2045. A portion of these amounts are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deferred gain/(loss), including tax effects, recognized in AOCI for derivatives during the three months ended March 31, 2013 and 2012 are as follows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5876"/>
        <w:gridCol w:w="200"/>
        <w:gridCol w:w="280"/>
        <w:gridCol w:w="1230"/>
        <w:gridCol w:w="267"/>
        <w:gridCol w:w="280"/>
        <w:gridCol w:w="1230"/>
        <w:gridCol w:w="127"/>
      </w:tblGrid>
      <w:tr>
        <w:trPr/>
        <w:tc>
          <w:tcPr>
            <w:tcW w:w="5876"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28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5876"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28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7" w:type="dxa"/>
            <w:tcBorders/>
            <w:shd w:fill="auto" w:val="clear"/>
            <w:vAlign w:val="bottom"/>
          </w:tcPr>
          <w:p>
            <w:pPr>
              <w:pStyle w:val="TableContents"/>
              <w:spacing w:before="0" w:after="0"/>
              <w:ind w:left="0" w:right="0" w:hanging="0"/>
              <w:jc w:val="center"/>
              <w:rPr/>
            </w:pPr>
            <w:r>
              <w:rPr/>
              <w:t> </w:t>
            </w:r>
          </w:p>
        </w:tc>
      </w:tr>
      <w:tr>
        <w:trPr/>
        <w:tc>
          <w:tcPr>
            <w:tcW w:w="5876"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67" w:type="dxa"/>
            <w:tcBorders/>
            <w:shd w:fill="auto" w:val="clear"/>
            <w:vAlign w:val="bottom"/>
          </w:tcPr>
          <w:p>
            <w:pPr>
              <w:pStyle w:val="TableContents"/>
              <w:spacing w:before="0" w:after="0"/>
              <w:ind w:left="0" w:right="0" w:hanging="0"/>
              <w:jc w:val="center"/>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58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200" w:type="dxa"/>
            <w:tcBorders/>
            <w:shd w:fill="CCEEFF" w:val="clear"/>
            <w:vAlign w:val="bottom"/>
          </w:tcPr>
          <w:p>
            <w:pPr>
              <w:pStyle w:val="TableContents"/>
              <w:spacing w:before="0" w:after="0"/>
              <w:ind w:left="0" w:right="0" w:hanging="0"/>
              <w:rPr/>
            </w:pPr>
            <w:r>
              <w:rPr/>
              <w:t> </w:t>
            </w:r>
          </w:p>
        </w:tc>
        <w:tc>
          <w:tcPr>
            <w:tcW w:w="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67" w:type="dxa"/>
            <w:tcBorders/>
            <w:shd w:fill="CCEEFF" w:val="clear"/>
            <w:vAlign w:val="bottom"/>
          </w:tcPr>
          <w:p>
            <w:pPr>
              <w:pStyle w:val="TableContents"/>
              <w:spacing w:before="0" w:after="0"/>
              <w:ind w:left="0" w:right="0" w:hanging="0"/>
              <w:rPr/>
            </w:pPr>
            <w:r>
              <w:rPr/>
              <w:t> </w:t>
            </w:r>
          </w:p>
        </w:tc>
        <w:tc>
          <w:tcPr>
            <w:tcW w:w="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7" w:type="dxa"/>
            <w:tcBorders/>
            <w:shd w:fill="CCEEFF" w:val="clear"/>
            <w:vAlign w:val="bottom"/>
          </w:tcPr>
          <w:p>
            <w:pPr>
              <w:pStyle w:val="TableContents"/>
              <w:spacing w:before="0" w:after="0"/>
              <w:ind w:left="0" w:right="0" w:hanging="0"/>
              <w:rPr/>
            </w:pPr>
            <w:r>
              <w:rPr/>
              <w:t> </w:t>
            </w:r>
          </w:p>
        </w:tc>
      </w:tr>
      <w:tr>
        <w:trPr/>
        <w:tc>
          <w:tcPr>
            <w:tcW w:w="58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67" w:type="dxa"/>
            <w:tcBorders/>
            <w:shd w:fill="auto" w:val="clear"/>
            <w:vAlign w:val="bottom"/>
          </w:tcPr>
          <w:p>
            <w:pPr>
              <w:pStyle w:val="TableContents"/>
              <w:spacing w:before="0" w:after="0"/>
              <w:ind w:left="0" w:right="0" w:hanging="0"/>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27" w:type="dxa"/>
            <w:tcBorders/>
            <w:shd w:fill="auto" w:val="clear"/>
            <w:vAlign w:val="bottom"/>
          </w:tcPr>
          <w:p>
            <w:pPr>
              <w:pStyle w:val="TableContents"/>
              <w:spacing w:before="0" w:after="0"/>
              <w:ind w:left="0" w:right="0" w:hanging="0"/>
              <w:rPr/>
            </w:pPr>
            <w:r>
              <w:rPr/>
              <w:t> </w:t>
            </w:r>
          </w:p>
        </w:tc>
      </w:tr>
      <w:tr>
        <w:trPr/>
        <w:tc>
          <w:tcPr>
            <w:tcW w:w="58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0" w:type="dxa"/>
            <w:tcBorders/>
            <w:shd w:fill="CCEEFF" w:val="clear"/>
            <w:vAlign w:val="bottom"/>
          </w:tcPr>
          <w:p>
            <w:pPr>
              <w:pStyle w:val="TableContents"/>
              <w:spacing w:before="0" w:after="0"/>
              <w:ind w:left="0" w:right="0" w:hanging="0"/>
              <w:rPr/>
            </w:pPr>
            <w:r>
              <w:rPr/>
              <w:t> </w:t>
            </w:r>
          </w:p>
        </w:tc>
        <w:tc>
          <w:tcPr>
            <w:tcW w:w="2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67" w:type="dxa"/>
            <w:tcBorders/>
            <w:shd w:fill="CCEEFF" w:val="clear"/>
            <w:vAlign w:val="bottom"/>
          </w:tcPr>
          <w:p>
            <w:pPr>
              <w:pStyle w:val="TableContents"/>
              <w:spacing w:before="0" w:after="0"/>
              <w:ind w:left="0" w:right="0" w:hanging="0"/>
              <w:rPr/>
            </w:pPr>
            <w:r>
              <w:rPr/>
              <w:t> </w:t>
            </w:r>
          </w:p>
        </w:tc>
        <w:tc>
          <w:tcPr>
            <w:tcW w:w="2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March 31,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3" w:name="PB_22_122456_5335"/>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March 31, 2013 and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51"/>
        <w:gridCol w:w="153"/>
        <w:gridCol w:w="197"/>
        <w:gridCol w:w="525"/>
        <w:gridCol w:w="174"/>
        <w:gridCol w:w="177"/>
        <w:gridCol w:w="547"/>
        <w:gridCol w:w="197"/>
        <w:gridCol w:w="227"/>
        <w:gridCol w:w="496"/>
        <w:gridCol w:w="174"/>
        <w:gridCol w:w="177"/>
        <w:gridCol w:w="550"/>
        <w:gridCol w:w="167"/>
        <w:gridCol w:w="227"/>
        <w:gridCol w:w="496"/>
        <w:gridCol w:w="183"/>
        <w:gridCol w:w="193"/>
        <w:gridCol w:w="577"/>
        <w:gridCol w:w="208"/>
        <w:gridCol w:w="227"/>
        <w:gridCol w:w="496"/>
        <w:gridCol w:w="183"/>
        <w:gridCol w:w="193"/>
        <w:gridCol w:w="582"/>
        <w:gridCol w:w="128"/>
      </w:tblGrid>
      <w:tr>
        <w:trPr/>
        <w:tc>
          <w:tcPr>
            <w:tcW w:w="2751"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center"/>
              <w:rPr/>
            </w:pPr>
            <w:r>
              <w:rPr/>
              <w:t> </w:t>
            </w:r>
          </w:p>
        </w:tc>
        <w:tc>
          <w:tcPr>
            <w:tcW w:w="344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March 31, 2013</w:t>
            </w:r>
          </w:p>
        </w:tc>
        <w:tc>
          <w:tcPr>
            <w:tcW w:w="167" w:type="dxa"/>
            <w:tcBorders/>
            <w:shd w:fill="auto" w:val="clear"/>
            <w:vAlign w:val="bottom"/>
          </w:tcPr>
          <w:p>
            <w:pPr>
              <w:pStyle w:val="TableContents"/>
              <w:spacing w:before="0" w:after="0"/>
              <w:ind w:left="0" w:right="0" w:hanging="0"/>
              <w:jc w:val="center"/>
              <w:rPr/>
            </w:pPr>
            <w:r>
              <w:rPr/>
              <w:t> </w:t>
            </w:r>
          </w:p>
        </w:tc>
        <w:tc>
          <w:tcPr>
            <w:tcW w:w="356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2012</w:t>
            </w:r>
          </w:p>
        </w:tc>
        <w:tc>
          <w:tcPr>
            <w:tcW w:w="128" w:type="dxa"/>
            <w:tcBorders/>
            <w:shd w:fill="auto" w:val="clear"/>
            <w:vAlign w:val="bottom"/>
          </w:tcPr>
          <w:p>
            <w:pPr>
              <w:pStyle w:val="TableContents"/>
              <w:spacing w:before="0" w:after="0"/>
              <w:ind w:left="0" w:right="0" w:hanging="0"/>
              <w:jc w:val="center"/>
              <w:rPr/>
            </w:pPr>
            <w:r>
              <w:rPr/>
              <w:t> </w:t>
            </w:r>
          </w:p>
        </w:tc>
      </w:tr>
      <w:tr>
        <w:trPr/>
        <w:tc>
          <w:tcPr>
            <w:tcW w:w="2751"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53" w:type="dxa"/>
            <w:tcBorders/>
            <w:shd w:fill="auto" w:val="clear"/>
            <w:vAlign w:val="bottom"/>
          </w:tcPr>
          <w:p>
            <w:pPr>
              <w:pStyle w:val="TableContents"/>
              <w:spacing w:before="0" w:after="0"/>
              <w:ind w:left="0" w:right="0" w:hanging="0"/>
              <w:jc w:val="center"/>
              <w:rPr/>
            </w:pPr>
            <w:r>
              <w:rPr/>
              <w:t> </w:t>
            </w:r>
          </w:p>
        </w:tc>
        <w:tc>
          <w:tcPr>
            <w:tcW w:w="7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7" w:type="dxa"/>
            <w:tcBorders/>
            <w:shd w:fill="auto" w:val="clear"/>
            <w:vAlign w:val="bottom"/>
          </w:tcPr>
          <w:p>
            <w:pPr>
              <w:pStyle w:val="TableContents"/>
              <w:spacing w:before="0" w:after="0"/>
              <w:ind w:left="0" w:right="0" w:hanging="0"/>
              <w:jc w:val="center"/>
              <w:rPr/>
            </w:pPr>
            <w:r>
              <w:rPr/>
              <w:t> </w:t>
            </w:r>
          </w:p>
        </w:tc>
        <w:tc>
          <w:tcPr>
            <w:tcW w:w="7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8" w:type="dxa"/>
            <w:tcBorders/>
            <w:shd w:fill="auto" w:val="clear"/>
            <w:vAlign w:val="bottom"/>
          </w:tcPr>
          <w:p>
            <w:pPr>
              <w:pStyle w:val="TableContents"/>
              <w:spacing w:before="0" w:after="0"/>
              <w:ind w:left="0" w:right="0" w:hanging="0"/>
              <w:jc w:val="center"/>
              <w:rPr/>
            </w:pPr>
            <w:r>
              <w:rPr/>
              <w:t> </w:t>
            </w:r>
          </w:p>
        </w:tc>
      </w:tr>
      <w:tr>
        <w:trPr/>
        <w:tc>
          <w:tcPr>
            <w:tcW w:w="27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53"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97"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67"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8"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8" w:type="dxa"/>
            <w:tcBorders/>
            <w:shd w:fill="CCEEFF" w:val="clear"/>
            <w:vAlign w:val="bottom"/>
          </w:tcPr>
          <w:p>
            <w:pPr>
              <w:pStyle w:val="TableContents"/>
              <w:spacing w:before="0" w:after="0"/>
              <w:ind w:left="0" w:right="0" w:hanging="0"/>
              <w:rPr/>
            </w:pPr>
            <w:r>
              <w:rPr/>
              <w:t> </w:t>
            </w:r>
          </w:p>
        </w:tc>
      </w:tr>
      <w:tr>
        <w:trPr/>
        <w:tc>
          <w:tcPr>
            <w:tcW w:w="27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53" w:type="dxa"/>
            <w:tcBorders/>
            <w:shd w:fill="auto" w:val="clear"/>
            <w:vAlign w:val="bottom"/>
          </w:tcPr>
          <w:p>
            <w:pPr>
              <w:pStyle w:val="TableContents"/>
              <w:spacing w:before="0" w:after="0"/>
              <w:ind w:left="0" w:right="0" w:hanging="0"/>
              <w:rPr/>
            </w:pPr>
            <w:r>
              <w:rPr/>
              <w:t> </w:t>
            </w:r>
          </w:p>
        </w:tc>
        <w:tc>
          <w:tcPr>
            <w:tcW w:w="7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auto" w:val="clear"/>
            <w:vAlign w:val="bottom"/>
          </w:tcPr>
          <w:p>
            <w:pPr>
              <w:pStyle w:val="TableContents"/>
              <w:spacing w:before="0" w:after="0"/>
              <w:ind w:left="0" w:right="0" w:hanging="0"/>
              <w:rPr/>
            </w:pPr>
            <w:r>
              <w:rPr/>
              <w:t> </w:t>
            </w:r>
          </w:p>
        </w:tc>
        <w:tc>
          <w:tcPr>
            <w:tcW w:w="7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auto" w:val="clear"/>
            <w:vAlign w:val="bottom"/>
          </w:tcPr>
          <w:p>
            <w:pPr>
              <w:pStyle w:val="TableContents"/>
              <w:spacing w:before="0" w:after="0"/>
              <w:ind w:left="0" w:right="0" w:hanging="0"/>
              <w:rPr/>
            </w:pPr>
            <w:r>
              <w:rPr/>
              <w:t> </w:t>
            </w:r>
          </w:p>
        </w:tc>
        <w:tc>
          <w:tcPr>
            <w:tcW w:w="7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7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53" w:type="dxa"/>
            <w:tcBorders/>
            <w:shd w:fill="CCEEFF" w:val="clear"/>
            <w:vAlign w:val="bottom"/>
          </w:tcPr>
          <w:p>
            <w:pPr>
              <w:pStyle w:val="TableContents"/>
              <w:spacing w:before="0" w:after="0"/>
              <w:ind w:left="0" w:right="0" w:hanging="0"/>
              <w:rPr/>
            </w:pPr>
            <w:r>
              <w:rPr/>
              <w:t> </w:t>
            </w:r>
          </w:p>
        </w:tc>
        <w:tc>
          <w:tcPr>
            <w:tcW w:w="7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pPr>
            <w:r>
              <w:rPr/>
              <w:t> </w:t>
            </w:r>
          </w:p>
        </w:tc>
        <w:tc>
          <w:tcPr>
            <w:tcW w:w="7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pPr>
            <w:r>
              <w:rPr/>
              <w:t> </w:t>
            </w:r>
          </w:p>
        </w:tc>
        <w:tc>
          <w:tcPr>
            <w:tcW w:w="7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7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7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27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5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auto" w:val="clear"/>
            <w:vAlign w:val="bottom"/>
          </w:tcPr>
          <w:p>
            <w:pPr>
              <w:pStyle w:val="TableContents"/>
              <w:spacing w:before="0" w:after="0"/>
              <w:ind w:left="0" w:right="0" w:hanging="0"/>
              <w:rPr/>
            </w:pPr>
            <w:r>
              <w:rPr/>
              <w:t> </w:t>
            </w:r>
          </w:p>
        </w:tc>
        <w:tc>
          <w:tcPr>
            <w:tcW w:w="17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7"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auto" w:val="clear"/>
            <w:vAlign w:val="bottom"/>
          </w:tcPr>
          <w:p>
            <w:pPr>
              <w:pStyle w:val="TableContents"/>
              <w:spacing w:before="0" w:after="0"/>
              <w:ind w:left="0" w:right="0" w:hanging="0"/>
              <w:rPr/>
            </w:pPr>
            <w:r>
              <w:rPr/>
              <w:t> </w:t>
            </w:r>
          </w:p>
        </w:tc>
        <w:tc>
          <w:tcPr>
            <w:tcW w:w="17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67" w:type="dxa"/>
            <w:tcBorders/>
            <w:shd w:fill="auto" w:val="clear"/>
            <w:vAlign w:val="bottom"/>
          </w:tcPr>
          <w:p>
            <w:pPr>
              <w:pStyle w:val="TableContents"/>
              <w:spacing w:before="0" w:after="0"/>
              <w:ind w:left="0" w:right="0" w:hanging="0"/>
              <w:rPr/>
            </w:pPr>
            <w:r>
              <w:rPr/>
              <w:t> </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options and swaps.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3"/>
        <w:gridCol w:w="215"/>
        <w:gridCol w:w="214"/>
        <w:gridCol w:w="1076"/>
        <w:gridCol w:w="270"/>
        <w:gridCol w:w="214"/>
        <w:gridCol w:w="1130"/>
        <w:gridCol w:w="143"/>
      </w:tblGrid>
      <w:tr>
        <w:trPr/>
        <w:tc>
          <w:tcPr>
            <w:tcW w:w="6943"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9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43" w:type="dxa"/>
            <w:tcBorders/>
            <w:shd w:fill="auto" w:val="clear"/>
            <w:vAlign w:val="bottom"/>
          </w:tcPr>
          <w:p>
            <w:pPr>
              <w:pStyle w:val="TableContents"/>
              <w:spacing w:before="0" w:after="0"/>
              <w:ind w:left="0" w:right="0" w:hanging="0"/>
              <w:jc w:val="center"/>
              <w:rPr/>
            </w:pPr>
            <w:r>
              <w:rPr/>
              <w:t> </w:t>
            </w:r>
          </w:p>
        </w:tc>
      </w:tr>
      <w:tr>
        <w:trPr/>
        <w:tc>
          <w:tcPr>
            <w:tcW w:w="6943"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9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43" w:type="dxa"/>
            <w:tcBorders/>
            <w:shd w:fill="auto" w:val="clear"/>
            <w:vAlign w:val="bottom"/>
          </w:tcPr>
          <w:p>
            <w:pPr>
              <w:pStyle w:val="TableContents"/>
              <w:spacing w:before="0" w:after="0"/>
              <w:ind w:left="0" w:right="0" w:hanging="0"/>
              <w:jc w:val="center"/>
              <w:rPr/>
            </w:pPr>
            <w:r>
              <w:rPr/>
              <w:t> </w:t>
            </w:r>
          </w:p>
        </w:tc>
      </w:tr>
      <w:tr>
        <w:trPr/>
        <w:tc>
          <w:tcPr>
            <w:tcW w:w="6943"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70" w:type="dxa"/>
            <w:tcBorders/>
            <w:shd w:fill="auto" w:val="clear"/>
            <w:vAlign w:val="bottom"/>
          </w:tcPr>
          <w:p>
            <w:pPr>
              <w:pStyle w:val="TableContents"/>
              <w:spacing w:before="0" w:after="0"/>
              <w:ind w:left="0" w:right="0" w:hanging="0"/>
              <w:jc w:val="center"/>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3" w:type="dxa"/>
            <w:tcBorders/>
            <w:shd w:fill="auto" w:val="clear"/>
            <w:vAlign w:val="bottom"/>
          </w:tcPr>
          <w:p>
            <w:pPr>
              <w:pStyle w:val="TableContents"/>
              <w:spacing w:before="0" w:after="0"/>
              <w:ind w:left="0" w:right="0" w:hanging="0"/>
              <w:jc w:val="center"/>
              <w:rPr/>
            </w:pPr>
            <w:r>
              <w:rPr/>
              <w:t> </w:t>
            </w:r>
          </w:p>
        </w:tc>
      </w:tr>
      <w:tr>
        <w:trPr/>
        <w:tc>
          <w:tcPr>
            <w:tcW w:w="6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7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3" w:type="dxa"/>
            <w:tcBorders/>
            <w:shd w:fill="CCEEFF" w:val="clear"/>
            <w:vAlign w:val="bottom"/>
          </w:tcPr>
          <w:p>
            <w:pPr>
              <w:pStyle w:val="TableContents"/>
              <w:spacing w:before="0" w:after="0"/>
              <w:ind w:left="0" w:right="0" w:hanging="0"/>
              <w:rPr/>
            </w:pPr>
            <w:r>
              <w:rPr/>
              <w:t> </w:t>
            </w:r>
          </w:p>
        </w:tc>
      </w:tr>
      <w:tr>
        <w:trPr/>
        <w:tc>
          <w:tcPr>
            <w:tcW w:w="6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15" w:type="dxa"/>
            <w:tcBorders/>
            <w:shd w:fill="auto" w:val="clear"/>
            <w:vAlign w:val="bottom"/>
          </w:tcPr>
          <w:p>
            <w:pPr>
              <w:pStyle w:val="TableContents"/>
              <w:spacing w:before="0" w:after="0"/>
              <w:ind w:left="0" w:right="0" w:hanging="0"/>
              <w:rPr/>
            </w:pPr>
            <w:r>
              <w:rPr/>
              <w:t> </w:t>
            </w:r>
          </w:p>
        </w:tc>
        <w:tc>
          <w:tcPr>
            <w:tcW w:w="1290" w:type="dxa"/>
            <w:gridSpan w:val="2"/>
            <w:tcBorders/>
            <w:shd w:fill="auto" w:val="clear"/>
            <w:vAlign w:val="bottom"/>
          </w:tcPr>
          <w:p>
            <w:pPr>
              <w:pStyle w:val="TableContents"/>
              <w:spacing w:before="0" w:after="0"/>
              <w:ind w:left="0" w:right="0" w:hanging="0"/>
              <w:jc w:val="right"/>
              <w:rPr/>
            </w:pPr>
            <w:r>
              <w:rPr/>
              <w:t> </w:t>
            </w:r>
          </w:p>
        </w:tc>
        <w:tc>
          <w:tcPr>
            <w:tcW w:w="270" w:type="dxa"/>
            <w:tcBorders/>
            <w:shd w:fill="auto" w:val="clear"/>
            <w:vAlign w:val="bottom"/>
          </w:tcPr>
          <w:p>
            <w:pPr>
              <w:pStyle w:val="TableContents"/>
              <w:spacing w:before="0" w:after="0"/>
              <w:ind w:left="0" w:right="0" w:hanging="0"/>
              <w:rPr/>
            </w:pPr>
            <w:r>
              <w:rPr/>
              <w:t> </w:t>
            </w:r>
          </w:p>
        </w:tc>
        <w:tc>
          <w:tcPr>
            <w:tcW w:w="1344" w:type="dxa"/>
            <w:gridSpan w:val="2"/>
            <w:tcBorders/>
            <w:shd w:fill="auto" w:val="clear"/>
            <w:vAlign w:val="bottom"/>
          </w:tcPr>
          <w:p>
            <w:pPr>
              <w:pStyle w:val="TableContents"/>
              <w:spacing w:before="0" w:after="0"/>
              <w:ind w:left="0" w:right="0" w:hanging="0"/>
              <w:jc w:val="right"/>
              <w:rPr/>
            </w:pPr>
            <w:r>
              <w:rPr/>
              <w:t> </w:t>
            </w:r>
          </w:p>
        </w:tc>
        <w:tc>
          <w:tcPr>
            <w:tcW w:w="143" w:type="dxa"/>
            <w:tcBorders/>
            <w:shd w:fill="auto" w:val="clear"/>
            <w:vAlign w:val="bottom"/>
          </w:tcPr>
          <w:p>
            <w:pPr>
              <w:pStyle w:val="TableContents"/>
              <w:spacing w:before="0" w:after="0"/>
              <w:ind w:left="0" w:right="0" w:hanging="0"/>
              <w:rPr/>
            </w:pPr>
            <w:r>
              <w:rPr/>
              <w:t> </w:t>
            </w:r>
          </w:p>
        </w:tc>
      </w:tr>
      <w:tr>
        <w:trPr/>
        <w:tc>
          <w:tcPr>
            <w:tcW w:w="6943"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15"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0" w:type="dxa"/>
            <w:tcBorders/>
            <w:shd w:fill="CCEEFF" w:val="clear"/>
            <w:vAlign w:val="bottom"/>
          </w:tcPr>
          <w:p>
            <w:pPr>
              <w:pStyle w:val="TableContents"/>
              <w:spacing w:before="0" w:after="0"/>
              <w:ind w:left="0" w:right="0" w:hanging="0"/>
              <w:rPr/>
            </w:pPr>
            <w:r>
              <w:rPr/>
              <w:t> </w:t>
            </w:r>
          </w:p>
        </w:tc>
        <w:tc>
          <w:tcPr>
            <w:tcW w:w="13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15" w:type="dxa"/>
            <w:tcBorders/>
            <w:shd w:fill="auto" w:val="clear"/>
            <w:vAlign w:val="bottom"/>
          </w:tcPr>
          <w:p>
            <w:pPr>
              <w:pStyle w:val="TableContents"/>
              <w:spacing w:before="0" w:after="0"/>
              <w:ind w:left="0" w:right="0" w:hanging="0"/>
              <w:rPr/>
            </w:pPr>
            <w:r>
              <w:rPr/>
              <w:t> </w:t>
            </w:r>
          </w:p>
        </w:tc>
        <w:tc>
          <w:tcPr>
            <w:tcW w:w="12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0" w:type="dxa"/>
            <w:tcBorders/>
            <w:shd w:fill="auto" w:val="clear"/>
            <w:vAlign w:val="bottom"/>
          </w:tcPr>
          <w:p>
            <w:pPr>
              <w:pStyle w:val="TableContents"/>
              <w:spacing w:before="0" w:after="0"/>
              <w:ind w:left="0" w:right="0" w:hanging="0"/>
              <w:rPr/>
            </w:pPr>
            <w:r>
              <w:rPr/>
              <w:t> </w:t>
            </w:r>
          </w:p>
        </w:tc>
        <w:tc>
          <w:tcPr>
            <w:tcW w:w="13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3" w:type="dxa"/>
            <w:tcBorders/>
            <w:shd w:fill="auto" w:val="clear"/>
            <w:vAlign w:val="bottom"/>
          </w:tcPr>
          <w:p>
            <w:pPr>
              <w:pStyle w:val="TableContents"/>
              <w:spacing w:before="0" w:after="0"/>
              <w:ind w:left="0" w:right="0" w:hanging="0"/>
              <w:rPr/>
            </w:pPr>
            <w:r>
              <w:rPr/>
              <w:t> </w:t>
            </w:r>
          </w:p>
        </w:tc>
      </w:tr>
      <w:tr>
        <w:trPr/>
        <w:tc>
          <w:tcPr>
            <w:tcW w:w="6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15"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15" w:type="dxa"/>
            <w:tcBorders/>
            <w:shd w:fill="auto" w:val="clear"/>
            <w:vAlign w:val="bottom"/>
          </w:tcPr>
          <w:p>
            <w:pPr>
              <w:pStyle w:val="TableContents"/>
              <w:spacing w:before="0" w:after="0"/>
              <w:ind w:left="0" w:right="0" w:hanging="0"/>
              <w:rPr/>
            </w:pPr>
            <w:r>
              <w:rPr/>
              <w:t> </w:t>
            </w:r>
          </w:p>
        </w:tc>
        <w:tc>
          <w:tcPr>
            <w:tcW w:w="12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0" w:type="dxa"/>
            <w:tcBorders/>
            <w:shd w:fill="auto" w:val="clear"/>
            <w:vAlign w:val="bottom"/>
          </w:tcPr>
          <w:p>
            <w:pPr>
              <w:pStyle w:val="TableContents"/>
              <w:spacing w:before="0" w:after="0"/>
              <w:ind w:left="0" w:right="0" w:hanging="0"/>
              <w:rPr/>
            </w:pPr>
            <w:r>
              <w:rPr/>
              <w:t> </w:t>
            </w:r>
          </w:p>
        </w:tc>
        <w:tc>
          <w:tcPr>
            <w:tcW w:w="13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3" w:type="dxa"/>
            <w:tcBorders/>
            <w:shd w:fill="auto" w:val="clear"/>
            <w:vAlign w:val="bottom"/>
          </w:tcPr>
          <w:p>
            <w:pPr>
              <w:pStyle w:val="TableContents"/>
              <w:spacing w:before="0" w:after="0"/>
              <w:ind w:left="0" w:right="0" w:hanging="0"/>
              <w:rPr/>
            </w:pPr>
            <w:r>
              <w:rPr/>
              <w:t> </w:t>
            </w:r>
          </w:p>
        </w:tc>
      </w:tr>
      <w:tr>
        <w:trPr/>
        <w:tc>
          <w:tcPr>
            <w:tcW w:w="69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15" w:type="dxa"/>
            <w:tcBorders/>
            <w:shd w:fill="CCEEFF" w:val="clear"/>
            <w:vAlign w:val="bottom"/>
          </w:tcPr>
          <w:p>
            <w:pPr>
              <w:pStyle w:val="TableContents"/>
              <w:spacing w:before="0" w:after="0"/>
              <w:ind w:left="0" w:right="0" w:hanging="0"/>
              <w:rPr/>
            </w:pPr>
            <w:r>
              <w:rPr/>
              <w:t> </w:t>
            </w:r>
          </w:p>
        </w:tc>
        <w:tc>
          <w:tcPr>
            <w:tcW w:w="12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0" w:type="dxa"/>
            <w:tcBorders/>
            <w:shd w:fill="CCEEFF" w:val="clear"/>
            <w:vAlign w:val="bottom"/>
          </w:tcPr>
          <w:p>
            <w:pPr>
              <w:pStyle w:val="TableContents"/>
              <w:spacing w:before="0" w:after="0"/>
              <w:ind w:left="0" w:right="0" w:hanging="0"/>
              <w:rPr/>
            </w:pPr>
            <w:r>
              <w:rPr/>
              <w:t> </w:t>
            </w:r>
          </w:p>
        </w:tc>
        <w:tc>
          <w:tcPr>
            <w:tcW w:w="13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3" w:type="dxa"/>
            <w:tcBorders/>
            <w:shd w:fill="CCEEFF" w:val="clear"/>
            <w:vAlign w:val="bottom"/>
          </w:tcPr>
          <w:p>
            <w:pPr>
              <w:pStyle w:val="TableContents"/>
              <w:spacing w:before="0" w:after="0"/>
              <w:ind w:left="0" w:right="0" w:hanging="0"/>
              <w:rPr/>
            </w:pPr>
            <w:r>
              <w:rPr/>
              <w:t> </w:t>
            </w:r>
          </w:p>
        </w:tc>
      </w:tr>
      <w:tr>
        <w:trPr/>
        <w:tc>
          <w:tcPr>
            <w:tcW w:w="6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15"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70"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3" w:type="dxa"/>
            <w:tcBorders/>
            <w:shd w:fill="auto" w:val="clear"/>
            <w:vAlign w:val="bottom"/>
          </w:tcPr>
          <w:p>
            <w:pPr>
              <w:pStyle w:val="TableContents"/>
              <w:spacing w:before="0" w:after="0"/>
              <w:ind w:left="0" w:right="0" w:hanging="0"/>
              <w:rPr/>
            </w:pPr>
            <w:r>
              <w:rPr/>
              <w:t> </w:t>
            </w:r>
          </w:p>
        </w:tc>
      </w:tr>
      <w:tr>
        <w:trPr/>
        <w:tc>
          <w:tcPr>
            <w:tcW w:w="6943"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pPr>
            <w:r>
              <w:rPr/>
              <w:t> </w:t>
            </w:r>
          </w:p>
        </w:tc>
        <w:tc>
          <w:tcPr>
            <w:tcW w:w="270" w:type="dxa"/>
            <w:tcBorders/>
            <w:shd w:fill="CCEEFF" w:val="clear"/>
            <w:vAlign w:val="bottom"/>
          </w:tcPr>
          <w:p>
            <w:pPr>
              <w:pStyle w:val="TableContents"/>
              <w:spacing w:before="0" w:after="0"/>
              <w:ind w:left="0" w:right="0" w:hanging="0"/>
              <w:rPr/>
            </w:pPr>
            <w:r>
              <w:rPr/>
              <w:t> </w:t>
            </w:r>
          </w:p>
        </w:tc>
        <w:tc>
          <w:tcPr>
            <w:tcW w:w="1344" w:type="dxa"/>
            <w:gridSpan w:val="2"/>
            <w:tcBorders/>
            <w:shd w:fill="CCEEFF" w:val="clear"/>
            <w:vAlign w:val="bottom"/>
          </w:tcPr>
          <w:p>
            <w:pPr>
              <w:pStyle w:val="TableContents"/>
              <w:spacing w:before="0" w:after="0"/>
              <w:ind w:left="0" w:right="0" w:hanging="0"/>
              <w:jc w:val="right"/>
              <w:rPr/>
            </w:pPr>
            <w:r>
              <w:rPr/>
              <w:t> </w:t>
            </w:r>
          </w:p>
        </w:tc>
        <w:tc>
          <w:tcPr>
            <w:tcW w:w="143" w:type="dxa"/>
            <w:tcBorders/>
            <w:shd w:fill="CCEEFF" w:val="clear"/>
            <w:vAlign w:val="bottom"/>
          </w:tcPr>
          <w:p>
            <w:pPr>
              <w:pStyle w:val="TableContents"/>
              <w:spacing w:before="0" w:after="0"/>
              <w:ind w:left="0" w:right="0" w:hanging="0"/>
              <w:rPr/>
            </w:pPr>
            <w:r>
              <w:rPr/>
              <w:t> </w:t>
            </w:r>
          </w:p>
        </w:tc>
      </w:tr>
      <w:tr>
        <w:trPr/>
        <w:tc>
          <w:tcPr>
            <w:tcW w:w="69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1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122843_579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12Commitments and Contingencies</w:t>
      </w:r>
      <w:bookmarkStart w:id="45" w:name="Note12commitmentsAndContingencies_181130"/>
      <w:bookmarkEnd w:id="45"/>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and including the general and environmental legal proceedings described below, will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Pipeline Release.</w:t>
      </w:r>
      <w:r>
        <w:rPr>
          <w:rFonts w:ascii="Times New Roman" w:hAnsi="Times New Roman"/>
        </w:rPr>
        <w:t xml:space="preserve">  </w:t>
      </w:r>
      <w:r>
        <w:rPr>
          <w:rFonts w:ascii="Times New Roman" w:hAnsi="Times New Roman"/>
          <w:sz w:val="17"/>
        </w:rPr>
        <w:t>On April 29, 2011, we experienced a crude oil release of approximately 28,000 barrels of crude oil on a remote section of our Rainbow Pipeline located in Alberta, Canada.  Since the release and through March 31, 2013, we spent approximately $70 million, before insurance recoveries, in connection with site clean-up, reclamation and remediation activities, and as of March 31, 2013, we did not have any material outstanding liabilities or insurance receivables relating to this release. On February 26, 2013, the Energy Resources Conservation Board of Alberta (ERCB)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Ministry of Environment and Sustainable Resource Development filed civil charges under the Environmental Protection and Enhancement Act against PMC relating to the release.  To date, PMC has not been assessed any fines or penalties related to this release; however, such fines or penalties may be assessed in the future and are not reasonably estimable at this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Rangeland Pipeline Release</w:t>
      </w:r>
      <w:r>
        <w:rPr>
          <w:rFonts w:ascii="Times New Roman" w:hAnsi="Times New Roman"/>
          <w:sz w:val="17"/>
        </w:rPr>
        <w:t>. On June 7,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was completed by September 30, 2012 and interim closure was received from the applicable regulatory agencies.  Ongoing monitoring will continue into 2013, and a long-term monitoring plan, if required, will be developed and implemented in accordance with regulatory requirements. Through March 31, 2013, we spent approximately $45 million, before insurance recoveries, in connection with site clean-up, reclamation and remediation activities, and as of March 31, 2013, we did not have any material outstanding liabilities or insurance receivables relating to this release. This release is currently under investigation by the ERCB. To date, no charges have been issued, and no fines or penalties have been assessed, against PMC with respect to this release; however, it is possible that charges and fines may be issued and/or assessed against PMC in the future.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Bay Springs Pipeline Release.</w:t>
      </w:r>
      <w:r>
        <w:rPr>
          <w:rFonts w:ascii="Times New Roman" w:hAnsi="Times New Roman"/>
        </w:rPr>
        <w:t xml:space="preserve"> </w:t>
      </w:r>
      <w:r>
        <w:rPr>
          <w:rFonts w:ascii="Times New Roman" w:hAnsi="Times New Roman"/>
          <w:sz w:val="17"/>
        </w:rPr>
        <w:t>On February 5, 2013, we experienced a crude oil release on a portion of one of our pipelines near Bay Springs, Mississippi. Although the volume of oil released has not been finally determined, we estimate that approximately 125 barrels were released.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We estimate that the aggregate clean-up and remediation costs associated with this release will not exceed $10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6" w:name="PB_24_122900_2897"/>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March 31, 2013, our estimated undiscounted reserve for environmental liabilities totaled approximately $101 million, of which approximately $16 million was classified as short-term and approximately $85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2013 and December 31, 2012, we had recorded receivables totaling approximately $16 million and $42 million, respectively, for amounts probable of recovery under insurance and from third parties under indemnification agreements, which are predominantly reflected in Trade accounts receivable and other receivables, net on our condensed consolidated balance sheets.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bookmarkStart w:id="47" w:name="Note13operatingSegments_181135"/>
      <w:bookmarkEnd w:id="4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The following table reflects certain financial data for each segment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86"/>
        <w:gridCol w:w="186"/>
        <w:gridCol w:w="262"/>
        <w:gridCol w:w="1216"/>
        <w:gridCol w:w="186"/>
        <w:gridCol w:w="186"/>
        <w:gridCol w:w="1017"/>
        <w:gridCol w:w="186"/>
        <w:gridCol w:w="235"/>
        <w:gridCol w:w="1698"/>
        <w:gridCol w:w="186"/>
        <w:gridCol w:w="151"/>
        <w:gridCol w:w="1087"/>
        <w:gridCol w:w="123"/>
      </w:tblGrid>
      <w:tr>
        <w:trPr/>
        <w:tc>
          <w:tcPr>
            <w:tcW w:w="3486"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6"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6" w:type="dxa"/>
            <w:tcBorders/>
            <w:shd w:fill="auto" w:val="clear"/>
            <w:vAlign w:val="bottom"/>
          </w:tcPr>
          <w:p>
            <w:pPr>
              <w:pStyle w:val="TableContents"/>
              <w:spacing w:before="0" w:after="0"/>
              <w:ind w:left="0" w:right="0" w:hanging="0"/>
              <w:jc w:val="center"/>
              <w:rPr/>
            </w:pPr>
            <w:r>
              <w:rPr/>
              <w:t> </w:t>
            </w:r>
          </w:p>
        </w:tc>
        <w:tc>
          <w:tcPr>
            <w:tcW w:w="1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86"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3" w:type="dxa"/>
            <w:tcBorders/>
            <w:shd w:fill="auto" w:val="clear"/>
            <w:vAlign w:val="bottom"/>
          </w:tcPr>
          <w:p>
            <w:pPr>
              <w:pStyle w:val="TableContents"/>
              <w:spacing w:before="0" w:after="0"/>
              <w:ind w:left="0" w:right="0" w:hanging="0"/>
              <w:jc w:val="center"/>
              <w:rPr/>
            </w:pPr>
            <w:r>
              <w:rPr/>
              <w:t> </w:t>
            </w:r>
          </w:p>
        </w:tc>
      </w:tr>
      <w:tr>
        <w:trPr/>
        <w:tc>
          <w:tcPr>
            <w:tcW w:w="348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March 31, 2013</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93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93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6"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86"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86"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10,224</w:t>
            </w:r>
          </w:p>
        </w:tc>
        <w:tc>
          <w:tcPr>
            <w:tcW w:w="186"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10,620</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86"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6" w:type="dxa"/>
            <w:tcBorders/>
            <w:shd w:fill="auto" w:val="clear"/>
            <w:vAlign w:val="bottom"/>
          </w:tcPr>
          <w:p>
            <w:pPr>
              <w:pStyle w:val="TableContents"/>
              <w:spacing w:before="0" w:after="0"/>
              <w:ind w:left="0" w:right="0" w:hanging="0"/>
              <w:rPr/>
            </w:pPr>
            <w:r>
              <w:rPr/>
              <w:t> </w:t>
            </w:r>
          </w:p>
        </w:tc>
        <w:tc>
          <w:tcPr>
            <w:tcW w:w="1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10,225</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10,947</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93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March 31, 2012</w:t>
            </w:r>
          </w:p>
        </w:tc>
        <w:tc>
          <w:tcPr>
            <w:tcW w:w="18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93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93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6"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6"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6"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8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6" w:type="dxa"/>
            <w:tcBorders/>
            <w:shd w:fill="CCEEFF"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86"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6" w:type="dxa"/>
            <w:tcBorders/>
            <w:shd w:fill="CCEEFF" w:val="clear"/>
            <w:vAlign w:val="bottom"/>
          </w:tcPr>
          <w:p>
            <w:pPr>
              <w:pStyle w:val="TableContents"/>
              <w:spacing w:before="0" w:after="0"/>
              <w:ind w:left="0" w:right="0" w:hanging="0"/>
              <w:rPr/>
            </w:pPr>
            <w:r>
              <w:rPr/>
              <w:t> </w:t>
            </w:r>
          </w:p>
        </w:tc>
        <w:tc>
          <w:tcPr>
            <w:tcW w:w="19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9,430</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3" w:type="dxa"/>
            <w:tcBorders/>
            <w:shd w:fill="CCEEFF" w:val="clear"/>
            <w:vAlign w:val="bottom"/>
          </w:tcPr>
          <w:p>
            <w:pPr>
              <w:pStyle w:val="TableContents"/>
              <w:spacing w:before="0" w:after="0"/>
              <w:ind w:left="0" w:right="0" w:hanging="0"/>
              <w:rPr/>
            </w:pPr>
            <w:r>
              <w:rPr/>
              <w:t> </w:t>
            </w:r>
          </w:p>
        </w:tc>
      </w:tr>
      <w:tr>
        <w:trPr/>
        <w:tc>
          <w:tcPr>
            <w:tcW w:w="3486"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6"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86" w:type="dxa"/>
            <w:tcBorders/>
            <w:shd w:fill="auto" w:val="clear"/>
            <w:vAlign w:val="bottom"/>
          </w:tcPr>
          <w:p>
            <w:pPr>
              <w:pStyle w:val="TableContents"/>
              <w:spacing w:before="0" w:after="0"/>
              <w:ind w:left="0" w:right="0" w:hanging="0"/>
              <w:rPr/>
            </w:pPr>
            <w:r>
              <w:rPr/>
              <w:t> </w:t>
            </w:r>
          </w:p>
        </w:tc>
        <w:tc>
          <w:tcPr>
            <w:tcW w:w="1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86"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86"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23" w:type="dxa"/>
            <w:tcBorders/>
            <w:shd w:fill="auto" w:val="clear"/>
            <w:vAlign w:val="bottom"/>
          </w:tcPr>
          <w:p>
            <w:pPr>
              <w:pStyle w:val="TableContents"/>
              <w:spacing w:before="0" w:after="0"/>
              <w:ind w:left="0" w:right="0" w:hanging="0"/>
              <w:rPr/>
            </w:pPr>
            <w:r>
              <w:rPr/>
              <w:t> </w:t>
            </w:r>
          </w:p>
        </w:tc>
      </w:tr>
      <w:tr>
        <w:trPr/>
        <w:tc>
          <w:tcPr>
            <w:tcW w:w="348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6"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6"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6"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6"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of approximately $5 million and $2 million for the three months ended March 31, 2013 and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8" w:name="PB_25_123143_3020"/>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5605"/>
        <w:gridCol w:w="187"/>
        <w:gridCol w:w="163"/>
        <w:gridCol w:w="1158"/>
        <w:gridCol w:w="217"/>
        <w:gridCol w:w="163"/>
        <w:gridCol w:w="1160"/>
        <w:gridCol w:w="123"/>
      </w:tblGrid>
      <w:tr>
        <w:trPr/>
        <w:tc>
          <w:tcPr>
            <w:tcW w:w="5605"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86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123" w:type="dxa"/>
            <w:tcBorders/>
            <w:shd w:fill="auto" w:val="clear"/>
            <w:vAlign w:val="bottom"/>
          </w:tcPr>
          <w:p>
            <w:pPr>
              <w:pStyle w:val="TableContents"/>
              <w:spacing w:before="0" w:after="0"/>
              <w:ind w:left="0" w:right="0" w:hanging="0"/>
              <w:jc w:val="center"/>
              <w:rPr/>
            </w:pPr>
            <w:r>
              <w:rPr/>
              <w:t> </w:t>
            </w:r>
          </w:p>
        </w:tc>
      </w:tr>
      <w:tr>
        <w:trPr/>
        <w:tc>
          <w:tcPr>
            <w:tcW w:w="5605"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8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123" w:type="dxa"/>
            <w:tcBorders/>
            <w:shd w:fill="auto" w:val="clear"/>
            <w:vAlign w:val="bottom"/>
          </w:tcPr>
          <w:p>
            <w:pPr>
              <w:pStyle w:val="TableContents"/>
              <w:spacing w:before="0" w:after="0"/>
              <w:ind w:left="0" w:right="0" w:hanging="0"/>
              <w:jc w:val="center"/>
              <w:rPr/>
            </w:pPr>
            <w:r>
              <w:rPr/>
              <w:t> </w:t>
            </w:r>
          </w:p>
        </w:tc>
      </w:tr>
      <w:tr>
        <w:trPr/>
        <w:tc>
          <w:tcPr>
            <w:tcW w:w="5605"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3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7" w:type="dxa"/>
            <w:tcBorders/>
            <w:shd w:fill="auto" w:val="clear"/>
            <w:vAlign w:val="bottom"/>
          </w:tcPr>
          <w:p>
            <w:pPr>
              <w:pStyle w:val="TableContents"/>
              <w:spacing w:before="0" w:after="0"/>
              <w:ind w:left="0" w:right="0" w:hanging="0"/>
              <w:jc w:val="center"/>
              <w:rPr/>
            </w:pPr>
            <w:r>
              <w:rPr/>
              <w:t> </w:t>
            </w:r>
          </w:p>
        </w:tc>
        <w:tc>
          <w:tcPr>
            <w:tcW w:w="13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56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87"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7"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23" w:type="dxa"/>
            <w:tcBorders/>
            <w:shd w:fill="CCEEFF" w:val="clear"/>
            <w:vAlign w:val="bottom"/>
          </w:tcPr>
          <w:p>
            <w:pPr>
              <w:pStyle w:val="TableContents"/>
              <w:spacing w:before="0" w:after="0"/>
              <w:ind w:left="0" w:right="0" w:hanging="0"/>
              <w:rPr/>
            </w:pPr>
            <w:r>
              <w:rPr/>
              <w:t> </w:t>
            </w:r>
          </w:p>
        </w:tc>
      </w:tr>
      <w:tr>
        <w:trPr/>
        <w:tc>
          <w:tcPr>
            <w:tcW w:w="56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7"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7" w:type="dxa"/>
            <w:tcBorders/>
            <w:shd w:fill="CCEEFF" w:val="clear"/>
            <w:vAlign w:val="bottom"/>
          </w:tcPr>
          <w:p>
            <w:pPr>
              <w:pStyle w:val="TableContents"/>
              <w:spacing w:before="0" w:after="0"/>
              <w:ind w:left="0" w:right="0" w:hanging="0"/>
              <w:rPr/>
            </w:pPr>
            <w:r>
              <w:rPr/>
              <w:t> </w:t>
            </w:r>
          </w:p>
        </w:tc>
        <w:tc>
          <w:tcPr>
            <w:tcW w:w="13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87"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pPr>
            <w:r>
              <w:rPr/>
              <w:t> </w:t>
            </w:r>
          </w:p>
        </w:tc>
      </w:tr>
      <w:tr>
        <w:trPr/>
        <w:tc>
          <w:tcPr>
            <w:tcW w:w="56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7" w:type="dxa"/>
            <w:tcBorders/>
            <w:shd w:fill="CCEEFF"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7" w:type="dxa"/>
            <w:tcBorders/>
            <w:shd w:fill="auto" w:val="clear"/>
            <w:vAlign w:val="bottom"/>
          </w:tcPr>
          <w:p>
            <w:pPr>
              <w:pStyle w:val="TableContents"/>
              <w:spacing w:before="0" w:after="0"/>
              <w:ind w:left="0" w:right="0" w:hanging="0"/>
              <w:rPr/>
            </w:pPr>
            <w:r>
              <w:rPr/>
              <w:t> </w:t>
            </w:r>
          </w:p>
        </w:tc>
        <w:tc>
          <w:tcPr>
            <w:tcW w:w="13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7" w:type="dxa"/>
            <w:tcBorders/>
            <w:shd w:fill="auto" w:val="clear"/>
            <w:vAlign w:val="bottom"/>
          </w:tcPr>
          <w:p>
            <w:pPr>
              <w:pStyle w:val="TableContents"/>
              <w:spacing w:before="0" w:after="0"/>
              <w:ind w:left="0" w:right="0" w:hanging="0"/>
              <w:rPr/>
            </w:pPr>
            <w:r>
              <w:rPr/>
              <w:t> </w:t>
            </w:r>
          </w:p>
        </w:tc>
        <w:tc>
          <w:tcPr>
            <w:tcW w:w="13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23" w:type="dxa"/>
            <w:tcBorders/>
            <w:shd w:fill="auto" w:val="clear"/>
            <w:vAlign w:val="bottom"/>
          </w:tcPr>
          <w:p>
            <w:pPr>
              <w:pStyle w:val="TableContents"/>
              <w:spacing w:before="0" w:after="0"/>
              <w:ind w:left="0" w:right="0" w:hanging="0"/>
              <w:rPr/>
            </w:pPr>
            <w:r>
              <w:rPr/>
              <w:t> </w:t>
            </w:r>
          </w:p>
        </w:tc>
      </w:tr>
      <w:tr>
        <w:trPr/>
        <w:tc>
          <w:tcPr>
            <w:tcW w:w="56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87" w:type="dxa"/>
            <w:tcBorders/>
            <w:shd w:fill="CCEEFF" w:val="clear"/>
            <w:vAlign w:val="bottom"/>
          </w:tcPr>
          <w:p>
            <w:pPr>
              <w:pStyle w:val="TableContents"/>
              <w:spacing w:before="0" w:after="0"/>
              <w:ind w:left="0" w:right="0" w:hanging="0"/>
              <w:rPr/>
            </w:pPr>
            <w:r>
              <w:rPr/>
              <w:t> </w:t>
            </w:r>
          </w:p>
        </w:tc>
        <w:tc>
          <w:tcPr>
            <w:tcW w:w="13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7"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7"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14Related Party Transactions</w:t>
      </w:r>
      <w:bookmarkStart w:id="49" w:name="Note14relatedPartyTransactions_181213"/>
      <w:bookmarkEnd w:id="4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14 to our Consolidated Financial Statements included in Part IV of our 2012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March 31, 2013, a subsidiary of Occidental Petroleum Corporation (Oxy) owned approximately 35% of our general partner interest and had a representative on the board of directors of Plains All American GP LLC. During the three months ended March 31, 2013 and 2012, we recognized sales and transportation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11"/>
        <w:gridCol w:w="218"/>
        <w:gridCol w:w="166"/>
        <w:gridCol w:w="1144"/>
        <w:gridCol w:w="230"/>
        <w:gridCol w:w="166"/>
        <w:gridCol w:w="1145"/>
        <w:gridCol w:w="125"/>
      </w:tblGrid>
      <w:tr>
        <w:trPr/>
        <w:tc>
          <w:tcPr>
            <w:tcW w:w="7011"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85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7011"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85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5" w:type="dxa"/>
            <w:tcBorders/>
            <w:shd w:fill="auto" w:val="clear"/>
            <w:vAlign w:val="bottom"/>
          </w:tcPr>
          <w:p>
            <w:pPr>
              <w:pStyle w:val="TableContents"/>
              <w:spacing w:before="0" w:after="0"/>
              <w:ind w:left="0" w:right="0" w:hanging="0"/>
              <w:jc w:val="center"/>
              <w:rPr/>
            </w:pPr>
            <w:r>
              <w:rPr/>
              <w:t> </w:t>
            </w:r>
          </w:p>
        </w:tc>
      </w:tr>
      <w:tr>
        <w:trPr/>
        <w:tc>
          <w:tcPr>
            <w:tcW w:w="7011"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0" w:type="dxa"/>
            <w:tcBorders/>
            <w:shd w:fill="auto" w:val="clear"/>
            <w:vAlign w:val="bottom"/>
          </w:tcPr>
          <w:p>
            <w:pPr>
              <w:pStyle w:val="TableContents"/>
              <w:spacing w:before="0" w:after="0"/>
              <w:ind w:left="0" w:right="0" w:hanging="0"/>
              <w:jc w:val="center"/>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5" w:type="dxa"/>
            <w:tcBorders/>
            <w:shd w:fill="auto" w:val="clear"/>
            <w:vAlign w:val="bottom"/>
          </w:tcPr>
          <w:p>
            <w:pPr>
              <w:pStyle w:val="TableContents"/>
              <w:spacing w:before="0" w:after="0"/>
              <w:ind w:left="0" w:right="0" w:hanging="0"/>
              <w:jc w:val="center"/>
              <w:rPr/>
            </w:pPr>
            <w:r>
              <w:rPr/>
              <w:t> </w:t>
            </w:r>
          </w:p>
        </w:tc>
      </w:tr>
      <w:tr>
        <w:trPr/>
        <w:tc>
          <w:tcPr>
            <w:tcW w:w="701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8"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30"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125" w:type="dxa"/>
            <w:tcBorders/>
            <w:shd w:fill="CCEEFF" w:val="clear"/>
            <w:vAlign w:val="bottom"/>
          </w:tcPr>
          <w:p>
            <w:pPr>
              <w:pStyle w:val="TableContents"/>
              <w:spacing w:before="0" w:after="0"/>
              <w:ind w:left="0" w:right="0" w:hanging="0"/>
              <w:rPr/>
            </w:pPr>
            <w:r>
              <w:rPr/>
              <w:t> </w:t>
            </w:r>
          </w:p>
        </w:tc>
      </w:tr>
      <w:tr>
        <w:trPr/>
        <w:tc>
          <w:tcPr>
            <w:tcW w:w="7011"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310"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1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8"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30"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58"/>
        <w:gridCol w:w="216"/>
        <w:gridCol w:w="183"/>
        <w:gridCol w:w="1158"/>
        <w:gridCol w:w="216"/>
        <w:gridCol w:w="211"/>
        <w:gridCol w:w="1232"/>
        <w:gridCol w:w="131"/>
      </w:tblGrid>
      <w:tr>
        <w:trPr/>
        <w:tc>
          <w:tcPr>
            <w:tcW w:w="685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3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6" w:type="dxa"/>
            <w:tcBorders/>
            <w:shd w:fill="auto" w:val="clear"/>
            <w:vAlign w:val="bottom"/>
          </w:tcPr>
          <w:p>
            <w:pPr>
              <w:pStyle w:val="TableContents"/>
              <w:spacing w:before="0" w:after="0"/>
              <w:ind w:left="0" w:right="0" w:hanging="0"/>
              <w:jc w:val="center"/>
              <w:rPr/>
            </w:pPr>
            <w:r>
              <w:rPr/>
              <w:t> </w:t>
            </w:r>
          </w:p>
        </w:tc>
        <w:tc>
          <w:tcPr>
            <w:tcW w:w="14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685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3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14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68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6"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6"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31" w:type="dxa"/>
            <w:tcBorders/>
            <w:shd w:fill="CCEEFF" w:val="clear"/>
            <w:vAlign w:val="bottom"/>
          </w:tcPr>
          <w:p>
            <w:pPr>
              <w:pStyle w:val="TableContents"/>
              <w:spacing w:before="0" w:after="0"/>
              <w:ind w:left="0" w:right="0" w:hanging="0"/>
              <w:rPr/>
            </w:pPr>
            <w:r>
              <w:rPr/>
              <w:t> </w:t>
            </w:r>
          </w:p>
        </w:tc>
      </w:tr>
      <w:tr>
        <w:trPr/>
        <w:tc>
          <w:tcPr>
            <w:tcW w:w="685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34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443"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68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6"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6"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50" w:name="PB_26_123707_7056"/>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w:t>
      </w:r>
      <w:r>
        <w:rPr>
          <w:rFonts w:ascii="Times New Roman" w:hAnsi="Times New Roman"/>
          <w:b/>
          <w:i/>
          <w:sz w:val="17"/>
        </w:rPr>
        <w:t>Managements Discussion and Analysis of Financial Condition and Results of Operations</w:t>
      </w:r>
      <w:bookmarkStart w:id="51" w:name="Item2_managementsDiscussionAndAna_181217"/>
      <w:bookmarkEnd w:id="5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three months of 2013, our net income attributable to Plains was approximately $528 million, or $1.27 per diluted limited partner unit, as compared to net income attributable to Plains of approximately $230 million, or $0.51 per diluted limited partner unit, recognized during the first three months of 2012.  Major items impacting the favorable performance between periods include significantly stronger unit margins in our Supply and Logistics segment, contributions from the BP NGL and USD Rail Terminal Acquisitions, which were completed in April 2012 and December 2012, respectively, and a favorable period-over-period impact from the mark-to-market of derivative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stronger unit margins in the Supply and Logistics segment, including the benefit from favorable location and quality differentials, are associated with the increased production from the development of North American crude oil and liquids-rich resource plays.  As the midstream infrastructure in these producing regions continues to be developed, we believe a normalization of margins will occur as the logistics challenges are addressed. Supply and Logistics margins also benefitted from increased NGL sales margins due to improved market conditions, as well as additional volumes related to the BP NGL Acquisition noted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52" w:name="PB_27_123745_5335"/>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740"/>
        <w:gridCol w:w="205"/>
        <w:gridCol w:w="131"/>
        <w:gridCol w:w="1132"/>
        <w:gridCol w:w="208"/>
        <w:gridCol w:w="131"/>
        <w:gridCol w:w="1133"/>
        <w:gridCol w:w="116"/>
      </w:tblGrid>
      <w:tr>
        <w:trPr/>
        <w:tc>
          <w:tcPr>
            <w:tcW w:w="674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674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116" w:type="dxa"/>
            <w:tcBorders/>
            <w:shd w:fill="auto" w:val="clear"/>
            <w:vAlign w:val="bottom"/>
          </w:tcPr>
          <w:p>
            <w:pPr>
              <w:pStyle w:val="TableContents"/>
              <w:spacing w:before="0" w:after="0"/>
              <w:ind w:left="0" w:right="0" w:hanging="0"/>
              <w:jc w:val="center"/>
              <w:rPr/>
            </w:pPr>
            <w:r>
              <w:rPr/>
              <w:t> </w:t>
            </w:r>
          </w:p>
        </w:tc>
      </w:tr>
      <w:tr>
        <w:trPr/>
        <w:tc>
          <w:tcPr>
            <w:tcW w:w="674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6" w:type="dxa"/>
            <w:tcBorders/>
            <w:shd w:fill="auto" w:val="clear"/>
            <w:vAlign w:val="bottom"/>
          </w:tcPr>
          <w:p>
            <w:pPr>
              <w:pStyle w:val="TableContents"/>
              <w:spacing w:before="0" w:after="0"/>
              <w:ind w:left="0" w:right="0" w:hanging="0"/>
              <w:jc w:val="center"/>
              <w:rPr/>
            </w:pPr>
            <w:r>
              <w:rPr/>
              <w:t> </w:t>
            </w:r>
          </w:p>
        </w:tc>
      </w:tr>
      <w:tr>
        <w:trPr/>
        <w:tc>
          <w:tcPr>
            <w:tcW w:w="67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Acquisition capital</w:t>
            </w:r>
          </w:p>
        </w:tc>
        <w:tc>
          <w:tcPr>
            <w:tcW w:w="205"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6" w:type="dxa"/>
            <w:tcBorders/>
            <w:shd w:fill="CCEEFF" w:val="clear"/>
            <w:vAlign w:val="bottom"/>
          </w:tcPr>
          <w:p>
            <w:pPr>
              <w:pStyle w:val="TableContents"/>
              <w:spacing w:before="0" w:after="0"/>
              <w:ind w:left="0" w:right="0" w:hanging="0"/>
              <w:rPr/>
            </w:pPr>
            <w:r>
              <w:rPr/>
              <w:t> </w:t>
            </w:r>
          </w:p>
        </w:tc>
      </w:tr>
      <w:tr>
        <w:trPr/>
        <w:tc>
          <w:tcPr>
            <w:tcW w:w="67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05"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8"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16" w:type="dxa"/>
            <w:tcBorders/>
            <w:shd w:fill="auto" w:val="clear"/>
            <w:vAlign w:val="bottom"/>
          </w:tcPr>
          <w:p>
            <w:pPr>
              <w:pStyle w:val="TableContents"/>
              <w:spacing w:before="0" w:after="0"/>
              <w:ind w:left="0" w:right="0" w:hanging="0"/>
              <w:rPr/>
            </w:pPr>
            <w:r>
              <w:rPr/>
              <w:t> </w:t>
            </w:r>
          </w:p>
        </w:tc>
      </w:tr>
      <w:tr>
        <w:trPr/>
        <w:tc>
          <w:tcPr>
            <w:tcW w:w="67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5" w:type="dxa"/>
            <w:tcBorders/>
            <w:shd w:fill="CCEEFF"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8"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6" w:type="dxa"/>
            <w:tcBorders/>
            <w:shd w:fill="CCEEFF" w:val="clear"/>
            <w:vAlign w:val="bottom"/>
          </w:tcPr>
          <w:p>
            <w:pPr>
              <w:pStyle w:val="TableContents"/>
              <w:spacing w:before="0" w:after="0"/>
              <w:ind w:left="0" w:right="0" w:hanging="0"/>
              <w:rPr/>
            </w:pPr>
            <w:r>
              <w:rPr/>
              <w:t> </w:t>
            </w:r>
          </w:p>
        </w:tc>
      </w:tr>
      <w:tr>
        <w:trPr/>
        <w:tc>
          <w:tcPr>
            <w:tcW w:w="67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5"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w:t>
            </w:r>
          </w:p>
        </w:tc>
        <w:tc>
          <w:tcPr>
            <w:tcW w:w="208"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more notable projects in progress during 2013 and the forecasted expenditures for the year ending December 31, 2013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556"/>
        <w:gridCol w:w="206"/>
        <w:gridCol w:w="1340"/>
        <w:gridCol w:w="103"/>
      </w:tblGrid>
      <w:tr>
        <w:trPr/>
        <w:tc>
          <w:tcPr>
            <w:tcW w:w="8556"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Mississippian Lime Pipeline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JV Project</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Rail Terminal Projects </w:t>
            </w:r>
            <w:r>
              <w:rPr>
                <w:sz w:val="11"/>
              </w:rPr>
              <w:t>(1)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White Cliffs Expansion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Gulf Coast Pipeline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Yorktown Terminal Projects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Area Pipeline Projects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Terminal Projects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Cactus Pipeline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Western Oklahoma Extension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Cushing Terminal Projects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298</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vAlign w:val="bottom"/>
          </w:tcPr>
          <w:p>
            <w:pPr>
              <w:pStyle w:val="TableContents"/>
              <w:spacing w:before="0" w:after="0"/>
              <w:ind w:left="0" w:right="0" w:hanging="0"/>
              <w:rPr/>
            </w:pPr>
            <w:r>
              <w:rPr/>
              <w:t> </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$1,400</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556"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$150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55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double" w:sz="6"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$1,350 - $1,550</w:t>
            </w:r>
          </w:p>
        </w:tc>
        <w:tc>
          <w:tcPr>
            <w:tcW w:w="10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Carr, CO and Van Hook, ND.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3" w:name="PB_28_124005_5796"/>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2012 Annual Report on Form 10-K for further discussion of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39"/>
        <w:gridCol w:w="216"/>
        <w:gridCol w:w="114"/>
        <w:gridCol w:w="979"/>
        <w:gridCol w:w="218"/>
        <w:gridCol w:w="114"/>
        <w:gridCol w:w="980"/>
        <w:gridCol w:w="218"/>
        <w:gridCol w:w="114"/>
        <w:gridCol w:w="979"/>
        <w:gridCol w:w="218"/>
        <w:gridCol w:w="1086"/>
        <w:gridCol w:w="230"/>
      </w:tblGrid>
      <w:tr>
        <w:trPr/>
        <w:tc>
          <w:tcPr>
            <w:tcW w:w="473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40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8" w:type="dxa"/>
            <w:tcBorders/>
            <w:shd w:fill="auto" w:val="clear"/>
            <w:vAlign w:val="bottom"/>
          </w:tcPr>
          <w:p>
            <w:pPr>
              <w:pStyle w:val="TableContents"/>
              <w:spacing w:before="0" w:after="0"/>
              <w:ind w:left="0" w:right="0" w:hanging="0"/>
              <w:jc w:val="center"/>
              <w:rPr/>
            </w:pPr>
            <w:r>
              <w:rPr/>
              <w:t> </w:t>
            </w:r>
          </w:p>
        </w:tc>
        <w:tc>
          <w:tcPr>
            <w:tcW w:w="239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473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4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8" w:type="dxa"/>
            <w:tcBorders/>
            <w:shd w:fill="auto" w:val="clear"/>
            <w:vAlign w:val="bottom"/>
          </w:tcPr>
          <w:p>
            <w:pPr>
              <w:pStyle w:val="TableContents"/>
              <w:spacing w:before="0" w:after="0"/>
              <w:ind w:left="0" w:right="0" w:hanging="0"/>
              <w:jc w:val="center"/>
              <w:rPr/>
            </w:pPr>
            <w:r>
              <w:rPr/>
              <w:t> </w:t>
            </w:r>
          </w:p>
        </w:tc>
        <w:tc>
          <w:tcPr>
            <w:tcW w:w="239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473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0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216"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8"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8"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pPr>
            <w:r>
              <w:rPr/>
              <w:t> </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8"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8" w:type="dxa"/>
            <w:tcBorders/>
            <w:shd w:fill="auto" w:val="clear"/>
            <w:vAlign w:val="bottom"/>
          </w:tcPr>
          <w:p>
            <w:pPr>
              <w:pStyle w:val="TableContents"/>
              <w:spacing w:before="0" w:after="0"/>
              <w:ind w:left="0" w:right="0" w:hanging="0"/>
              <w:rPr/>
            </w:pPr>
            <w:r>
              <w:rPr/>
              <w:t> </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8" w:type="dxa"/>
            <w:tcBorders/>
            <w:shd w:fill="CCEEFF" w:val="clear"/>
            <w:vAlign w:val="bottom"/>
          </w:tcPr>
          <w:p>
            <w:pPr>
              <w:pStyle w:val="TableContents"/>
              <w:spacing w:before="0" w:after="0"/>
              <w:ind w:left="0" w:right="0" w:hanging="0"/>
              <w:rPr/>
            </w:pPr>
            <w:r>
              <w:rPr/>
              <w:t> </w:t>
            </w:r>
          </w:p>
        </w:tc>
        <w:tc>
          <w:tcPr>
            <w:tcW w:w="10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8" w:type="dxa"/>
            <w:tcBorders/>
            <w:shd w:fill="CCEEFF"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8" w:type="dxa"/>
            <w:tcBorders/>
            <w:shd w:fill="CCEEFF" w:val="clear"/>
            <w:vAlign w:val="bottom"/>
          </w:tcPr>
          <w:p>
            <w:pPr>
              <w:pStyle w:val="TableContents"/>
              <w:spacing w:before="0" w:after="0"/>
              <w:ind w:left="0" w:right="0" w:hanging="0"/>
              <w:rPr/>
            </w:pPr>
            <w:r>
              <w:rPr/>
              <w:t> </w:t>
            </w:r>
          </w:p>
        </w:tc>
        <w:tc>
          <w:tcPr>
            <w:tcW w:w="108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8"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18"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18" w:type="dxa"/>
            <w:tcBorders/>
            <w:shd w:fill="auto" w:val="clear"/>
            <w:vAlign w:val="bottom"/>
          </w:tcPr>
          <w:p>
            <w:pPr>
              <w:pStyle w:val="TableContents"/>
              <w:spacing w:before="0" w:after="0"/>
              <w:ind w:left="0" w:right="0" w:hanging="0"/>
              <w:rPr/>
            </w:pPr>
            <w:r>
              <w:rPr/>
              <w:t> </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8"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8"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8" w:type="dxa"/>
            <w:tcBorders/>
            <w:shd w:fill="CCEEFF" w:val="clear"/>
            <w:vAlign w:val="bottom"/>
          </w:tcPr>
          <w:p>
            <w:pPr>
              <w:pStyle w:val="TableContents"/>
              <w:spacing w:before="0" w:after="0"/>
              <w:ind w:left="0" w:right="0" w:hanging="0"/>
              <w:rPr/>
            </w:pPr>
            <w:r>
              <w:rPr/>
              <w:t> </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8"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18"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18" w:type="dxa"/>
            <w:tcBorders/>
            <w:shd w:fill="CCEEFF" w:val="clear"/>
            <w:vAlign w:val="bottom"/>
          </w:tcPr>
          <w:p>
            <w:pPr>
              <w:pStyle w:val="TableContents"/>
              <w:spacing w:before="0" w:after="0"/>
              <w:ind w:left="0" w:right="0" w:hanging="0"/>
              <w:rPr/>
            </w:pPr>
            <w:r>
              <w:rPr/>
              <w:t> </w:t>
            </w:r>
          </w:p>
        </w:tc>
        <w:tc>
          <w:tcPr>
            <w:tcW w:w="10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86"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86"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216"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8"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8"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0.76</w:t>
            </w:r>
          </w:p>
        </w:tc>
        <w:tc>
          <w:tcPr>
            <w:tcW w:w="218" w:type="dxa"/>
            <w:tcBorders/>
            <w:shd w:fill="auto" w:val="clear"/>
            <w:vAlign w:val="bottom"/>
          </w:tcPr>
          <w:p>
            <w:pPr>
              <w:pStyle w:val="TableContents"/>
              <w:spacing w:before="0" w:after="0"/>
              <w:ind w:left="0" w:right="0" w:hanging="0"/>
              <w:rPr/>
            </w:pPr>
            <w:r>
              <w:rPr/>
              <w:t> </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216"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8"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18"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0.76</w:t>
            </w:r>
          </w:p>
        </w:tc>
        <w:tc>
          <w:tcPr>
            <w:tcW w:w="218" w:type="dxa"/>
            <w:tcBorders/>
            <w:shd w:fill="CCEEFF" w:val="clear"/>
            <w:vAlign w:val="bottom"/>
          </w:tcPr>
          <w:p>
            <w:pPr>
              <w:pStyle w:val="TableContents"/>
              <w:spacing w:before="0" w:after="0"/>
              <w:ind w:left="0" w:right="0" w:hanging="0"/>
              <w:rPr/>
            </w:pPr>
            <w:r>
              <w:rPr/>
              <w:t> </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6"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8" w:type="dxa"/>
            <w:tcBorders/>
            <w:shd w:fill="auto" w:val="clear"/>
            <w:vAlign w:val="bottom"/>
          </w:tcPr>
          <w:p>
            <w:pPr>
              <w:pStyle w:val="TableContents"/>
              <w:spacing w:before="0" w:after="0"/>
              <w:ind w:left="0" w:right="0" w:hanging="0"/>
              <w:rPr/>
            </w:pPr>
            <w:r>
              <w:rPr/>
              <w:t> </w:t>
            </w:r>
          </w:p>
        </w:tc>
        <w:tc>
          <w:tcPr>
            <w:tcW w:w="10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218" w:type="dxa"/>
            <w:tcBorders/>
            <w:shd w:fill="auto" w:val="clear"/>
            <w:vAlign w:val="bottom"/>
          </w:tcPr>
          <w:p>
            <w:pPr>
              <w:pStyle w:val="TableContents"/>
              <w:spacing w:before="0" w:after="0"/>
              <w:ind w:left="0" w:right="0" w:hanging="0"/>
              <w:rPr/>
            </w:pPr>
            <w:r>
              <w:rPr/>
              <w:t> </w:t>
            </w:r>
          </w:p>
        </w:tc>
        <w:tc>
          <w:tcPr>
            <w:tcW w:w="10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8" w:type="dxa"/>
            <w:tcBorders/>
            <w:shd w:fill="auto" w:val="clear"/>
            <w:vAlign w:val="bottom"/>
          </w:tcPr>
          <w:p>
            <w:pPr>
              <w:pStyle w:val="TableContents"/>
              <w:spacing w:before="0" w:after="0"/>
              <w:ind w:left="0" w:right="0" w:hanging="0"/>
              <w:rPr/>
            </w:pPr>
            <w:r>
              <w:rPr/>
              <w:t> </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8" w:type="dxa"/>
            <w:tcBorders/>
            <w:shd w:fill="CCEEFF" w:val="clear"/>
            <w:vAlign w:val="bottom"/>
          </w:tcPr>
          <w:p>
            <w:pPr>
              <w:pStyle w:val="TableContents"/>
              <w:spacing w:before="0" w:after="0"/>
              <w:ind w:left="0" w:right="0" w:hanging="0"/>
              <w:rPr/>
            </w:pPr>
            <w:r>
              <w:rPr/>
              <w:t> </w:t>
            </w:r>
          </w:p>
        </w:tc>
        <w:tc>
          <w:tcPr>
            <w:tcW w:w="10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18" w:type="dxa"/>
            <w:tcBorders/>
            <w:shd w:fill="CCEEFF" w:val="clear"/>
            <w:vAlign w:val="bottom"/>
          </w:tcPr>
          <w:p>
            <w:pPr>
              <w:pStyle w:val="TableContents"/>
              <w:spacing w:before="0" w:after="0"/>
              <w:ind w:left="0" w:right="0" w:hanging="0"/>
              <w:rPr/>
            </w:pPr>
            <w:r>
              <w:rPr/>
              <w:t> </w:t>
            </w:r>
          </w:p>
        </w:tc>
        <w:tc>
          <w:tcPr>
            <w:tcW w:w="10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8" w:type="dxa"/>
            <w:tcBorders/>
            <w:shd w:fill="CCEEFF" w:val="clear"/>
            <w:vAlign w:val="bottom"/>
          </w:tcPr>
          <w:p>
            <w:pPr>
              <w:pStyle w:val="TableContents"/>
              <w:spacing w:before="0" w:after="0"/>
              <w:ind w:left="0" w:right="0" w:hanging="0"/>
              <w:rPr/>
            </w:pPr>
            <w:r>
              <w:rPr/>
              <w:t> </w:t>
            </w:r>
          </w:p>
        </w:tc>
        <w:tc>
          <w:tcPr>
            <w:tcW w:w="10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4" w:name="PB_29_124337_2897"/>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to the most directly comparable GAAP measures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20"/>
        <w:gridCol w:w="214"/>
        <w:gridCol w:w="125"/>
        <w:gridCol w:w="977"/>
        <w:gridCol w:w="219"/>
        <w:gridCol w:w="125"/>
        <w:gridCol w:w="876"/>
        <w:gridCol w:w="217"/>
        <w:gridCol w:w="122"/>
        <w:gridCol w:w="970"/>
        <w:gridCol w:w="217"/>
        <w:gridCol w:w="1083"/>
        <w:gridCol w:w="240"/>
      </w:tblGrid>
      <w:tr>
        <w:trPr/>
        <w:tc>
          <w:tcPr>
            <w:tcW w:w="482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3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239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40" w:type="dxa"/>
            <w:tcBorders/>
            <w:shd w:fill="auto" w:val="clear"/>
            <w:vAlign w:val="bottom"/>
          </w:tcPr>
          <w:p>
            <w:pPr>
              <w:pStyle w:val="TableContents"/>
              <w:spacing w:before="0" w:after="0"/>
              <w:ind w:left="0" w:right="0" w:hanging="0"/>
              <w:jc w:val="center"/>
              <w:rPr/>
            </w:pPr>
            <w:r>
              <w:rPr/>
              <w:t> </w:t>
            </w:r>
          </w:p>
        </w:tc>
      </w:tr>
      <w:tr>
        <w:trPr/>
        <w:tc>
          <w:tcPr>
            <w:tcW w:w="482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3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7" w:type="dxa"/>
            <w:tcBorders/>
            <w:shd w:fill="auto" w:val="clear"/>
            <w:vAlign w:val="bottom"/>
          </w:tcPr>
          <w:p>
            <w:pPr>
              <w:pStyle w:val="TableContents"/>
              <w:spacing w:before="0" w:after="0"/>
              <w:ind w:left="0" w:right="0" w:hanging="0"/>
              <w:jc w:val="center"/>
              <w:rPr/>
            </w:pPr>
            <w:r>
              <w:rPr/>
              <w:t> </w:t>
            </w:r>
          </w:p>
        </w:tc>
        <w:tc>
          <w:tcPr>
            <w:tcW w:w="239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0" w:type="dxa"/>
            <w:tcBorders/>
            <w:shd w:fill="auto" w:val="clear"/>
            <w:vAlign w:val="bottom"/>
          </w:tcPr>
          <w:p>
            <w:pPr>
              <w:pStyle w:val="TableContents"/>
              <w:spacing w:before="0" w:after="0"/>
              <w:ind w:left="0" w:right="0" w:hanging="0"/>
              <w:jc w:val="center"/>
              <w:rPr/>
            </w:pPr>
            <w:r>
              <w:rPr/>
              <w:t> </w:t>
            </w:r>
          </w:p>
        </w:tc>
      </w:tr>
      <w:tr>
        <w:trPr/>
        <w:tc>
          <w:tcPr>
            <w:tcW w:w="482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shd w:fill="auto" w:val="clear"/>
            <w:vAlign w:val="bottom"/>
          </w:tcPr>
          <w:p>
            <w:pPr>
              <w:pStyle w:val="TableContents"/>
              <w:spacing w:before="0" w:after="0"/>
              <w:ind w:left="0" w:right="0" w:hanging="0"/>
              <w:jc w:val="center"/>
              <w:rPr/>
            </w:pPr>
            <w:r>
              <w:rPr/>
              <w:t> </w:t>
            </w:r>
          </w:p>
        </w:tc>
        <w:tc>
          <w:tcPr>
            <w:tcW w:w="108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0" w:type="dxa"/>
            <w:tcBorders/>
            <w:shd w:fill="auto" w:val="clear"/>
            <w:vAlign w:val="bottom"/>
          </w:tcPr>
          <w:p>
            <w:pPr>
              <w:pStyle w:val="TableContents"/>
              <w:spacing w:before="0" w:after="0"/>
              <w:ind w:left="0" w:right="0" w:hanging="0"/>
              <w:jc w:val="center"/>
              <w:rPr/>
            </w:pPr>
            <w:r>
              <w:rPr/>
              <w:t> </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9"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7"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pPr>
            <w:r>
              <w:rPr/>
              <w:t> </w:t>
            </w:r>
          </w:p>
        </w:tc>
        <w:tc>
          <w:tcPr>
            <w:tcW w:w="108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7"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7" w:type="dxa"/>
            <w:tcBorders/>
            <w:shd w:fill="auto" w:val="clear"/>
            <w:vAlign w:val="bottom"/>
          </w:tcPr>
          <w:p>
            <w:pPr>
              <w:pStyle w:val="TableContents"/>
              <w:spacing w:before="0" w:after="0"/>
              <w:ind w:left="0" w:right="0" w:hanging="0"/>
              <w:rPr/>
            </w:pPr>
            <w:r>
              <w:rPr/>
              <w:t> </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r>
      <w:tr>
        <w:trPr/>
        <w:tc>
          <w:tcPr>
            <w:tcW w:w="482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pPr>
            <w:r>
              <w:rPr/>
              <w:t> </w:t>
            </w:r>
          </w:p>
        </w:tc>
        <w:tc>
          <w:tcPr>
            <w:tcW w:w="240" w:type="dxa"/>
            <w:tcBorders/>
            <w:shd w:fill="auto" w:val="clear"/>
            <w:vAlign w:val="bottom"/>
          </w:tcPr>
          <w:p>
            <w:pPr>
              <w:pStyle w:val="TableContents"/>
              <w:spacing w:before="0" w:after="0"/>
              <w:ind w:left="0" w:right="0" w:hanging="0"/>
              <w:rPr/>
            </w:pPr>
            <w:r>
              <w:rPr/>
              <w:t> </w:t>
            </w:r>
          </w:p>
        </w:tc>
      </w:tr>
      <w:tr>
        <w:trPr/>
        <w:tc>
          <w:tcPr>
            <w:tcW w:w="4820"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9"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rFonts w:ascii="Times New Roman" w:hAnsi="Times New Roman"/>
                <w:sz w:val="17"/>
              </w:rPr>
              <w:t xml:space="preserve">Net gain on foreign currency revaluation </w:t>
            </w:r>
            <w:r>
              <w:rPr>
                <w:sz w:val="11"/>
              </w:rPr>
              <w:t>(3)</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40" w:type="dxa"/>
            <w:tcBorders/>
            <w:shd w:fill="CCEEFF" w:val="clear"/>
            <w:vAlign w:val="bottom"/>
          </w:tcPr>
          <w:p>
            <w:pPr>
              <w:pStyle w:val="TableContents"/>
              <w:spacing w:before="0" w:after="0"/>
              <w:ind w:left="0" w:right="0" w:hanging="0"/>
              <w:rPr/>
            </w:pPr>
            <w:r>
              <w:rPr/>
              <w:t> </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CCEEFF" w:val="clear"/>
            <w:vAlign w:val="bottom"/>
          </w:tcPr>
          <w:p>
            <w:pPr>
              <w:pStyle w:val="TableContents"/>
              <w:spacing w:before="0" w:after="0"/>
              <w:ind w:left="0" w:right="0" w:hanging="0"/>
              <w:rPr/>
            </w:pPr>
            <w:r>
              <w:rPr/>
              <w:t> </w:t>
            </w:r>
          </w:p>
        </w:tc>
        <w:tc>
          <w:tcPr>
            <w:tcW w:w="108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7" w:type="dxa"/>
            <w:tcBorders/>
            <w:shd w:fill="auto" w:val="clear"/>
            <w:vAlign w:val="bottom"/>
          </w:tcPr>
          <w:p>
            <w:pPr>
              <w:pStyle w:val="TableContents"/>
              <w:spacing w:before="0" w:after="0"/>
              <w:ind w:left="0" w:right="0" w:hanging="0"/>
              <w:rPr/>
            </w:pPr>
            <w:r>
              <w:rPr/>
              <w:t> </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9"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7"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7"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7" w:type="dxa"/>
            <w:tcBorders/>
            <w:shd w:fill="auto" w:val="clear"/>
            <w:vAlign w:val="bottom"/>
          </w:tcPr>
          <w:p>
            <w:pPr>
              <w:pStyle w:val="TableContents"/>
              <w:spacing w:before="0" w:after="0"/>
              <w:ind w:left="0" w:right="0" w:hanging="0"/>
              <w:rPr/>
            </w:pPr>
            <w:r>
              <w:rPr/>
              <w:t> </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0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83"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11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auto" w:val="clear"/>
            <w:vAlign w:val="bottom"/>
          </w:tcPr>
          <w:p>
            <w:pPr>
              <w:pStyle w:val="TableContents"/>
              <w:spacing w:before="0" w:after="0"/>
              <w:ind w:left="0" w:right="0" w:hanging="0"/>
              <w:rPr/>
            </w:pPr>
            <w:r>
              <w:rPr/>
              <w:t> </w:t>
            </w:r>
          </w:p>
        </w:tc>
        <w:tc>
          <w:tcPr>
            <w:tcW w:w="10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8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CCEEFF"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214" w:type="dxa"/>
            <w:tcBorders/>
            <w:shd w:fill="CCEEFF" w:val="clear"/>
            <w:vAlign w:val="bottom"/>
          </w:tcPr>
          <w:p>
            <w:pPr>
              <w:pStyle w:val="TableContents"/>
              <w:spacing w:before="0" w:after="0"/>
              <w:ind w:left="0" w:right="0" w:hanging="0"/>
              <w:rPr/>
            </w:pPr>
            <w:r>
              <w:rPr/>
              <w:t> </w:t>
            </w:r>
          </w:p>
        </w:tc>
        <w:tc>
          <w:tcPr>
            <w:tcW w:w="11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08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21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7"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7" w:type="dxa"/>
            <w:tcBorders/>
            <w:shd w:fill="auto" w:val="clear"/>
            <w:vAlign w:val="bottom"/>
          </w:tcPr>
          <w:p>
            <w:pPr>
              <w:pStyle w:val="TableContents"/>
              <w:spacing w:before="0" w:after="0"/>
              <w:ind w:left="0" w:right="0" w:hanging="0"/>
              <w:rPr/>
            </w:pPr>
            <w:r>
              <w:rPr/>
              <w:t> </w:t>
            </w:r>
          </w:p>
        </w:tc>
        <w:tc>
          <w:tcPr>
            <w:tcW w:w="10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15 to our Consolidated Financial Statements included in Part IV of our 2012 Annual Report on Form 10-K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During the three months ended March 31, 2013, there were fluctuations in the value of the Canadian dollar to the U.S dollar, resulting in net gains that were not related to our core operating results for the period and were thus classified as selected items impacting comparability. See Note 11 to our condensed consolidated financial statements for further discussion regarding our currency exchange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distributions that pertain to the current periods net income and are paid in the subsequent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5" w:name="PB_30_124359_3020"/>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NGL and refined products on pipelines, gathering systems, trucks and barges.  The Transportation segment generates revenue through a combination of tariffs, third-party leases of pipeline capacity and other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5"/>
        <w:gridCol w:w="214"/>
        <w:gridCol w:w="112"/>
        <w:gridCol w:w="1075"/>
        <w:gridCol w:w="216"/>
        <w:gridCol w:w="112"/>
        <w:gridCol w:w="1075"/>
        <w:gridCol w:w="215"/>
        <w:gridCol w:w="112"/>
        <w:gridCol w:w="1079"/>
        <w:gridCol w:w="215"/>
        <w:gridCol w:w="1285"/>
        <w:gridCol w:w="230"/>
      </w:tblGrid>
      <w:tr>
        <w:trPr/>
        <w:tc>
          <w:tcPr>
            <w:tcW w:w="42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8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87"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69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42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59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5" w:type="dxa"/>
            <w:tcBorders/>
            <w:shd w:fill="auto" w:val="clear"/>
            <w:vAlign w:val="bottom"/>
          </w:tcPr>
          <w:p>
            <w:pPr>
              <w:pStyle w:val="TableContents"/>
              <w:spacing w:before="0" w:after="0"/>
              <w:ind w:left="0" w:right="0" w:hanging="0"/>
              <w:jc w:val="center"/>
              <w:rPr/>
            </w:pPr>
            <w:r>
              <w:rPr/>
              <w:t> </w:t>
            </w:r>
          </w:p>
        </w:tc>
        <w:tc>
          <w:tcPr>
            <w:tcW w:w="269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4265"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259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5" w:type="dxa"/>
            <w:tcBorders/>
            <w:shd w:fill="auto" w:val="clear"/>
            <w:vAlign w:val="bottom"/>
          </w:tcPr>
          <w:p>
            <w:pPr>
              <w:pStyle w:val="TableContents"/>
              <w:spacing w:before="0" w:after="0"/>
              <w:ind w:left="0" w:right="0" w:hanging="0"/>
              <w:jc w:val="center"/>
              <w:rPr/>
            </w:pPr>
            <w:r>
              <w:rPr/>
              <w:t> </w:t>
            </w:r>
          </w:p>
        </w:tc>
        <w:tc>
          <w:tcPr>
            <w:tcW w:w="269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426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4" w:type="dxa"/>
            <w:tcBorders/>
            <w:shd w:fill="auto" w:val="clear"/>
            <w:vAlign w:val="bottom"/>
          </w:tcPr>
          <w:p>
            <w:pPr>
              <w:pStyle w:val="TableContents"/>
              <w:spacing w:before="0" w:after="0"/>
              <w:ind w:left="0" w:right="0" w:hanging="0"/>
              <w:jc w:val="center"/>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shd w:fill="auto" w:val="clear"/>
            <w:vAlign w:val="bottom"/>
          </w:tcPr>
          <w:p>
            <w:pPr>
              <w:pStyle w:val="TableContents"/>
              <w:spacing w:before="0" w:after="0"/>
              <w:ind w:left="0" w:right="0" w:hanging="0"/>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4265"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 xml:space="preserve">(1)  </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42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4"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5"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5"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6"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5"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214"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16"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15"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5"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4265"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 xml:space="preserve">(1)  </w:t>
            </w:r>
          </w:p>
        </w:tc>
        <w:tc>
          <w:tcPr>
            <w:tcW w:w="214"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42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214"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pPr>
            <w:r>
              <w:rPr>
                <w:rFonts w:ascii="Times New Roman" w:hAnsi="Times New Roman"/>
                <w:sz w:val="17"/>
              </w:rPr>
              <w:t>Equity compensation expense - operations</w:t>
            </w:r>
            <w:r>
              <w:rPr/>
              <w:t xml:space="preserve">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auto"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(3)</w:t>
            </w:r>
          </w:p>
        </w:tc>
        <w:tc>
          <w:tcPr>
            <w:tcW w:w="214"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4"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4"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5"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6"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14"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21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5"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6" w:name="PB_31_120128_7056"/>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5"/>
        <w:gridCol w:w="210"/>
        <w:gridCol w:w="1263"/>
        <w:gridCol w:w="209"/>
        <w:gridCol w:w="1263"/>
        <w:gridCol w:w="210"/>
        <w:gridCol w:w="1262"/>
        <w:gridCol w:w="210"/>
        <w:gridCol w:w="1263"/>
        <w:gridCol w:w="210"/>
      </w:tblGrid>
      <w:tr>
        <w:trPr/>
        <w:tc>
          <w:tcPr>
            <w:tcW w:w="410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63"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0" w:type="dxa"/>
            <w:tcBorders/>
            <w:shd w:fill="auto" w:val="clear"/>
            <w:vAlign w:val="bottom"/>
          </w:tcPr>
          <w:p>
            <w:pPr>
              <w:pStyle w:val="TableContents"/>
              <w:spacing w:before="0" w:after="0"/>
              <w:ind w:left="0" w:right="0" w:hanging="0"/>
              <w:jc w:val="center"/>
              <w:rPr/>
            </w:pPr>
            <w:r>
              <w:rPr/>
              <w:t> </w:t>
            </w:r>
          </w:p>
        </w:tc>
      </w:tr>
      <w:tr>
        <w:trPr/>
        <w:tc>
          <w:tcPr>
            <w:tcW w:w="410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0" w:type="dxa"/>
            <w:tcBorders/>
            <w:shd w:fill="auto" w:val="clear"/>
            <w:vAlign w:val="bottom"/>
          </w:tcPr>
          <w:p>
            <w:pPr>
              <w:pStyle w:val="TableContents"/>
              <w:spacing w:before="0" w:after="0"/>
              <w:ind w:left="0" w:right="0" w:hanging="0"/>
              <w:jc w:val="center"/>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0" w:type="dxa"/>
            <w:tcBorders/>
            <w:shd w:fill="auto" w:val="clear"/>
            <w:vAlign w:val="bottom"/>
          </w:tcPr>
          <w:p>
            <w:pPr>
              <w:pStyle w:val="TableContents"/>
              <w:spacing w:before="0" w:after="0"/>
              <w:ind w:left="0" w:right="0" w:hanging="0"/>
              <w:jc w:val="center"/>
              <w:rPr/>
            </w:pPr>
            <w:r>
              <w:rPr/>
              <w:t> </w:t>
            </w:r>
          </w:p>
        </w:tc>
        <w:tc>
          <w:tcPr>
            <w:tcW w:w="273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0" w:type="dxa"/>
            <w:tcBorders/>
            <w:shd w:fill="auto" w:val="clear"/>
            <w:vAlign w:val="bottom"/>
          </w:tcPr>
          <w:p>
            <w:pPr>
              <w:pStyle w:val="TableContents"/>
              <w:spacing w:before="0" w:after="0"/>
              <w:ind w:left="0" w:right="0" w:hanging="0"/>
              <w:jc w:val="center"/>
              <w:rPr/>
            </w:pPr>
            <w:r>
              <w:rPr/>
              <w:t> </w:t>
            </w:r>
          </w:p>
        </w:tc>
      </w:tr>
      <w:tr>
        <w:trPr/>
        <w:tc>
          <w:tcPr>
            <w:tcW w:w="410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w:t>
            </w:r>
            <w:r>
              <w:rPr/>
              <w:t> </w:t>
            </w:r>
            <w:r>
              <w:rPr>
                <w:b/>
                <w:sz w:val="8"/>
              </w:rPr>
              <w:t>(4)</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shd w:fill="auto" w:val="clear"/>
            <w:vAlign w:val="bottom"/>
          </w:tcPr>
          <w:p>
            <w:pPr>
              <w:pStyle w:val="TableContents"/>
              <w:spacing w:before="0" w:after="0"/>
              <w:ind w:left="0" w:right="0" w:hanging="0"/>
              <w:jc w:val="center"/>
              <w:rPr/>
            </w:pPr>
            <w:r>
              <w:rPr/>
              <w:t> </w:t>
            </w:r>
          </w:p>
        </w:tc>
        <w:tc>
          <w:tcPr>
            <w:tcW w:w="12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12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auto" w:val="clear"/>
            <w:vAlign w:val="bottom"/>
          </w:tcPr>
          <w:p>
            <w:pPr>
              <w:pStyle w:val="TableContents"/>
              <w:spacing w:before="0" w:after="0"/>
              <w:ind w:left="0" w:right="0" w:hanging="0"/>
              <w:jc w:val="center"/>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Basin / Mesa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Line 2000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9"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2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Pipelines </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0" w:type="dxa"/>
            <w:tcBorders/>
            <w:shd w:fill="auto" w:val="clear"/>
            <w:vAlign w:val="bottom"/>
          </w:tcPr>
          <w:p>
            <w:pPr>
              <w:pStyle w:val="TableContents"/>
              <w:spacing w:before="0" w:after="0"/>
              <w:ind w:left="0" w:right="0" w:hanging="0"/>
              <w:rPr/>
            </w:pPr>
            <w:r>
              <w:rPr/>
              <w:t> </w:t>
            </w:r>
          </w:p>
        </w:tc>
        <w:tc>
          <w:tcPr>
            <w:tcW w:w="126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9"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3,058</w:t>
            </w:r>
          </w:p>
        </w:tc>
        <w:tc>
          <w:tcPr>
            <w:tcW w:w="210" w:type="dxa"/>
            <w:tcBorders/>
            <w:shd w:fill="CCEEFF" w:val="clear"/>
            <w:vAlign w:val="bottom"/>
          </w:tcPr>
          <w:p>
            <w:pPr>
              <w:pStyle w:val="TableContents"/>
              <w:spacing w:before="0" w:after="0"/>
              <w:ind w:left="0" w:right="0" w:hanging="0"/>
              <w:rPr/>
            </w:pPr>
            <w:r>
              <w:rPr/>
              <w:t> </w:t>
            </w:r>
          </w:p>
        </w:tc>
        <w:tc>
          <w:tcPr>
            <w:tcW w:w="12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9"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0" w:type="dxa"/>
            <w:tcBorders/>
            <w:shd w:fill="auto" w:val="clear"/>
            <w:vAlign w:val="bottom"/>
          </w:tcPr>
          <w:p>
            <w:pPr>
              <w:pStyle w:val="TableContents"/>
              <w:spacing w:before="0" w:after="0"/>
              <w:ind w:left="0" w:right="0" w:hanging="0"/>
              <w:rPr/>
            </w:pPr>
            <w:r>
              <w:rPr/>
              <w:t> </w:t>
            </w:r>
          </w:p>
        </w:tc>
        <w:tc>
          <w:tcPr>
            <w:tcW w:w="126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3,641</w:t>
            </w:r>
          </w:p>
        </w:tc>
        <w:tc>
          <w:tcPr>
            <w:tcW w:w="209"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3,166</w:t>
            </w:r>
          </w:p>
        </w:tc>
        <w:tc>
          <w:tcPr>
            <w:tcW w:w="210" w:type="dxa"/>
            <w:tcBorders/>
            <w:shd w:fill="CCEEFF" w:val="clear"/>
            <w:vAlign w:val="bottom"/>
          </w:tcPr>
          <w:p>
            <w:pPr>
              <w:pStyle w:val="TableContents"/>
              <w:spacing w:before="0" w:after="0"/>
              <w:ind w:left="0" w:right="0" w:hanging="0"/>
              <w:rPr/>
            </w:pPr>
            <w:r>
              <w:rPr/>
              <w:t> </w:t>
            </w:r>
          </w:p>
        </w:tc>
        <w:tc>
          <w:tcPr>
            <w:tcW w:w="12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shown in the table above includes expenses associated with awards that will or may be settled in units and awards that will or may be settled in cash. Selected Items Impacting Comparability included in the table under Results of OperationsNon-GAAP Financial Measures excludes the portion of the equity compensation expense that will be settled in cash.  See Note 15 to our Consolidated Financial Statements included in Part IV of our 2012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(attributable to our interest)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tables above, our total Transportation segment revenues, net of trucking costs, and volumes increased for the three months ended March 31, 2013 compared to the three months ended March 31, 2012.  The primary drivers of the significant variances in revenues and volumes between the comparative periods were: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7" w:name="PB_32_120240_5335"/>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pipelines acquired through the BP NGL Acquisition on April 1, 2012 generated revenues of approximately $27 million and increased volumes by approximately 264,000 barrels per day for the three months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Expansion ProjectsIncreased producer drilling activities, primarily in the Permian Basin, Oklahoma, Eagle Ford and Texas Panhandle producing regions, combined with our phased-in expansion projects, resulted in favorable volume and revenue variances for the three months ended March 31, 2013 over the comparative 2012 period, most notably on our Basin and Mesa pipelines and our Permian Basin, Mid-Continent and Eagle Ford Area Systems. We estimate that increased production combined with our phased-in expansion projects increased revenues by over $10 million for the first three months of 2013 over the comparable 2012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Revenues on our pipelines are impacted by various rate changes that may occur during the period.  These rate changes primarily include the upward indexing of rates on our FERC regulated pipelines, rate increases or decreases on our intrastate and Canadian pipelines or other negotiated rate changes.  The upward indexing that was effective July 1, 2012 had a favorable impact on revenues from our FERC regulated pipelines during the first quarter of 2013 compared to the first quarter of 2012. Revenues were also favorably impacted by increasing tariff rates on certain of our non-FERC regulated pipelines. We estimate that the impact of these favorable rate changes increased revenues by over $15 million for the three months ended March 31, 2013 compared to the three months ended March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$10 million for the three months ended March 31, 2013 compared to the three months ended March 31, 2012. This decrease was primarily due to a lower average realized price per barrel (including the impact of gains and losses from derivative-related activities), as compared to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noteworthy volume and revenue variances for the three months ended March 31, 2013 compared to the three months ended March 31, 2012 include (i) increased volumes and revenues on our All American pipeline due to maintenance activities at the production facilities during the first quarter of 2012, (ii) increased volumes and revenues on Capline pipeline due to increased refinery demand during the first quarter of 2013, as well as unplanned refinery downtime during the first quarter of 2012 and (iii) decreased volumes on our Manito and Rainbow pipelines and our Bakken Area Systems primarily due to volumes diverted to rail.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as discussed further below) increased during the three months ended March 31, 2013 compared to the three months ended March 31, 2012 primarily due to approximately $12 million of environmental response and remediation expenses associated with pipeline releases, approximately $4 million of pipeline testing costs incurred as we considered bringing certain pipelines back into service, and higher insurance costs.  Excluding the impacts of the environmental response and remediation expenses, field operating costs in general remained relatively consistent on a per barrel basis during these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Compensation Expense.</w:t>
      </w:r>
      <w:r>
        <w:rPr>
          <w:rFonts w:ascii="Times New Roman" w:hAnsi="Times New Roman"/>
        </w:rPr>
        <w:t xml:space="preserve"> </w:t>
      </w:r>
      <w:r>
        <w:rPr>
          <w:rFonts w:ascii="Times New Roman" w:hAnsi="Times New Roman"/>
          <w:sz w:val="17"/>
        </w:rPr>
        <w:t>Equity compensation expense increased for the three months ended March 31, 2013 compared to the three months ended March 31, 2012, primarily due to a more significant impact of the increase in unit price during the first quarter of 2013 compared to the impact of the increase during the first quarter of 2012, partially offset by a less significant impact during the first quarter of 2013 compared to the increase during the first quarter of 2012 of the change in assumption of probable distribution levels. See Note 15 to our Consolidated Financial Statements included in Part IV of our 2012 Annual Report on Form 10-K for further information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during the three months ended March 31, 2013 compared to the three months ended March 31, 2012 is primarily due to increased investment on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months ended March 31, 2013 compared to the three months ended March 31, 2012 was primarily due to increased earnings from our equity method investments as a result of increased demand for capacity on the White Cliffs pipeline and expansions and increased demand for services provided by Settoon Towing.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8" w:name="PB_33_120310_579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as well as NGL fractionation and isomerization services and natural gas and condensate processing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8"/>
        <w:gridCol w:w="212"/>
        <w:gridCol w:w="115"/>
        <w:gridCol w:w="1071"/>
        <w:gridCol w:w="215"/>
        <w:gridCol w:w="115"/>
        <w:gridCol w:w="1072"/>
        <w:gridCol w:w="215"/>
        <w:gridCol w:w="115"/>
        <w:gridCol w:w="1072"/>
        <w:gridCol w:w="215"/>
        <w:gridCol w:w="1270"/>
        <w:gridCol w:w="230"/>
      </w:tblGrid>
      <w:tr>
        <w:trPr/>
        <w:tc>
          <w:tcPr>
            <w:tcW w:w="428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187"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67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428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5" w:type="dxa"/>
            <w:tcBorders/>
            <w:shd w:fill="auto" w:val="clear"/>
            <w:vAlign w:val="bottom"/>
          </w:tcPr>
          <w:p>
            <w:pPr>
              <w:pStyle w:val="TableContents"/>
              <w:spacing w:before="0" w:after="0"/>
              <w:ind w:left="0" w:right="0" w:hanging="0"/>
              <w:jc w:val="center"/>
              <w:rPr/>
            </w:pPr>
            <w:r>
              <w:rPr/>
              <w:t> </w:t>
            </w:r>
          </w:p>
        </w:tc>
        <w:tc>
          <w:tcPr>
            <w:tcW w:w="267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4288"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212" w:type="dxa"/>
            <w:tcBorders/>
            <w:shd w:fill="auto" w:val="clear"/>
            <w:vAlign w:val="bottom"/>
          </w:tcPr>
          <w:p>
            <w:pPr>
              <w:pStyle w:val="TableContents"/>
              <w:spacing w:before="0" w:after="0"/>
              <w:ind w:left="0" w:right="0" w:hanging="0"/>
              <w:jc w:val="center"/>
              <w:rPr/>
            </w:pPr>
            <w:r>
              <w:rPr/>
              <w:t> </w:t>
            </w:r>
          </w:p>
        </w:tc>
        <w:tc>
          <w:tcPr>
            <w:tcW w:w="25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5" w:type="dxa"/>
            <w:tcBorders/>
            <w:shd w:fill="auto" w:val="clear"/>
            <w:vAlign w:val="bottom"/>
          </w:tcPr>
          <w:p>
            <w:pPr>
              <w:pStyle w:val="TableContents"/>
              <w:spacing w:before="0" w:after="0"/>
              <w:ind w:left="0" w:right="0" w:hanging="0"/>
              <w:jc w:val="center"/>
              <w:rPr/>
            </w:pPr>
            <w:r>
              <w:rPr/>
              <w:t> </w:t>
            </w:r>
          </w:p>
        </w:tc>
        <w:tc>
          <w:tcPr>
            <w:tcW w:w="267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428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5" w:type="dxa"/>
            <w:tcBorders/>
            <w:shd w:fill="auto" w:val="clear"/>
            <w:vAlign w:val="bottom"/>
          </w:tcPr>
          <w:p>
            <w:pPr>
              <w:pStyle w:val="TableContents"/>
              <w:spacing w:before="0" w:after="0"/>
              <w:ind w:left="0" w:right="0" w:hanging="0"/>
              <w:jc w:val="center"/>
              <w:rPr/>
            </w:pPr>
            <w:r>
              <w:rPr/>
              <w:t> </w:t>
            </w:r>
          </w:p>
        </w:tc>
        <w:tc>
          <w:tcPr>
            <w:tcW w:w="11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shd w:fill="auto" w:val="clear"/>
            <w:vAlign w:val="bottom"/>
          </w:tcPr>
          <w:p>
            <w:pPr>
              <w:pStyle w:val="TableContents"/>
              <w:spacing w:before="0" w:after="0"/>
              <w:ind w:left="0" w:right="0" w:hanging="0"/>
              <w:jc w:val="center"/>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4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5"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5" w:type="dxa"/>
            <w:tcBorders/>
            <w:shd w:fill="CCEEFF" w:val="clear"/>
            <w:vAlign w:val="bottom"/>
          </w:tcPr>
          <w:p>
            <w:pPr>
              <w:pStyle w:val="TableContents"/>
              <w:spacing w:before="0" w:after="0"/>
              <w:ind w:left="0" w:right="0" w:hanging="0"/>
              <w:rPr/>
            </w:pPr>
            <w:r>
              <w:rPr/>
              <w:t> </w:t>
            </w:r>
          </w:p>
        </w:tc>
        <w:tc>
          <w:tcPr>
            <w:tcW w:w="12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15"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5"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5" w:type="dxa"/>
            <w:tcBorders/>
            <w:shd w:fill="auto" w:val="clear"/>
            <w:vAlign w:val="bottom"/>
          </w:tcPr>
          <w:p>
            <w:pPr>
              <w:pStyle w:val="TableContents"/>
              <w:spacing w:before="0" w:after="0"/>
              <w:ind w:left="0" w:right="0" w:hanging="0"/>
              <w:rPr/>
            </w:pPr>
            <w:r>
              <w:rPr/>
              <w:t> </w:t>
            </w:r>
          </w:p>
        </w:tc>
        <w:tc>
          <w:tcPr>
            <w:tcW w:w="12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212"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12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(2)</w:t>
            </w:r>
          </w:p>
        </w:tc>
        <w:tc>
          <w:tcPr>
            <w:tcW w:w="212"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compensation expense) </w:t>
            </w:r>
          </w:p>
        </w:tc>
        <w:tc>
          <w:tcPr>
            <w:tcW w:w="212"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212" w:type="dxa"/>
            <w:tcBorders/>
            <w:shd w:fill="auto" w:val="clear"/>
            <w:vAlign w:val="bottom"/>
          </w:tcPr>
          <w:p>
            <w:pPr>
              <w:pStyle w:val="TableContents"/>
              <w:spacing w:before="0" w:after="0"/>
              <w:ind w:left="0" w:right="0" w:hanging="0"/>
              <w:rPr/>
            </w:pPr>
            <w:r>
              <w:rPr/>
              <w:t> </w:t>
            </w:r>
          </w:p>
        </w:tc>
        <w:tc>
          <w:tcPr>
            <w:tcW w:w="11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2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(4)</w:t>
            </w:r>
          </w:p>
        </w:tc>
        <w:tc>
          <w:tcPr>
            <w:tcW w:w="212" w:type="dxa"/>
            <w:tcBorders/>
            <w:shd w:fill="CCEEFF" w:val="clear"/>
            <w:vAlign w:val="bottom"/>
          </w:tcPr>
          <w:p>
            <w:pPr>
              <w:pStyle w:val="TableContents"/>
              <w:spacing w:before="0" w:after="0"/>
              <w:ind w:left="0" w:right="0" w:hanging="0"/>
              <w:rPr/>
            </w:pPr>
            <w:r>
              <w:rPr/>
              <w:t> </w:t>
            </w:r>
          </w:p>
        </w:tc>
        <w:tc>
          <w:tcPr>
            <w:tcW w:w="11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212" w:type="dxa"/>
            <w:tcBorders/>
            <w:shd w:fill="auto" w:val="clear"/>
            <w:vAlign w:val="bottom"/>
          </w:tcPr>
          <w:p>
            <w:pPr>
              <w:pStyle w:val="TableContents"/>
              <w:spacing w:before="0" w:after="0"/>
              <w:ind w:left="0" w:right="0" w:hanging="0"/>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pPr>
            <w:r>
              <w:rPr/>
              <w:t> </w:t>
            </w:r>
          </w:p>
        </w:tc>
        <w:tc>
          <w:tcPr>
            <w:tcW w:w="127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21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CCEEFF" w:val="clear"/>
            <w:vAlign w:val="bottom"/>
          </w:tcPr>
          <w:p>
            <w:pPr>
              <w:pStyle w:val="TableContents"/>
              <w:spacing w:before="0" w:after="0"/>
              <w:ind w:left="0" w:right="0" w:hanging="0"/>
              <w:rPr/>
            </w:pPr>
            <w:r>
              <w:rPr/>
              <w:t> </w:t>
            </w:r>
          </w:p>
        </w:tc>
        <w:tc>
          <w:tcPr>
            <w:tcW w:w="12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2"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127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21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15"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15" w:type="dxa"/>
            <w:tcBorders/>
            <w:shd w:fill="CCEEFF" w:val="clear"/>
            <w:vAlign w:val="bottom"/>
          </w:tcPr>
          <w:p>
            <w:pPr>
              <w:pStyle w:val="TableContents"/>
              <w:spacing w:before="0" w:after="0"/>
              <w:ind w:left="0" w:right="0" w:hanging="0"/>
              <w:rPr/>
            </w:pPr>
            <w:r>
              <w:rPr/>
              <w:t> </w:t>
            </w:r>
          </w:p>
        </w:tc>
        <w:tc>
          <w:tcPr>
            <w:tcW w:w="12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6"/>
        <w:gridCol w:w="206"/>
        <w:gridCol w:w="1284"/>
        <w:gridCol w:w="217"/>
        <w:gridCol w:w="1285"/>
        <w:gridCol w:w="206"/>
        <w:gridCol w:w="1317"/>
        <w:gridCol w:w="206"/>
        <w:gridCol w:w="1212"/>
        <w:gridCol w:w="166"/>
      </w:tblGrid>
      <w:tr>
        <w:trPr/>
        <w:tc>
          <w:tcPr>
            <w:tcW w:w="410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84" w:type="dxa"/>
            <w:tcBorders/>
            <w:shd w:fill="auto" w:val="clear"/>
            <w:vAlign w:val="bottom"/>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285"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166"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8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6" w:type="dxa"/>
            <w:tcBorders/>
            <w:shd w:fill="auto" w:val="clear"/>
            <w:vAlign w:val="bottom"/>
          </w:tcPr>
          <w:p>
            <w:pPr>
              <w:pStyle w:val="TableContents"/>
              <w:spacing w:before="0" w:after="0"/>
              <w:ind w:left="0" w:right="0" w:hanging="0"/>
              <w:jc w:val="center"/>
              <w:rPr/>
            </w:pPr>
            <w:r>
              <w:rPr/>
              <w:t> </w:t>
            </w:r>
          </w:p>
        </w:tc>
        <w:tc>
          <w:tcPr>
            <w:tcW w:w="273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166"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8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06" w:type="dxa"/>
            <w:tcBorders/>
            <w:shd w:fill="auto" w:val="clear"/>
            <w:vAlign w:val="bottom"/>
          </w:tcPr>
          <w:p>
            <w:pPr>
              <w:pStyle w:val="TableContents"/>
              <w:spacing w:before="0" w:after="0"/>
              <w:ind w:left="0" w:right="0" w:hanging="0"/>
              <w:jc w:val="center"/>
              <w:rPr/>
            </w:pPr>
            <w:r>
              <w:rPr/>
              <w:t> </w:t>
            </w:r>
          </w:p>
        </w:tc>
        <w:tc>
          <w:tcPr>
            <w:tcW w:w="273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66" w:type="dxa"/>
            <w:tcBorders/>
            <w:shd w:fill="auto" w:val="clear"/>
            <w:vAlign w:val="bottom"/>
          </w:tcPr>
          <w:p>
            <w:pPr>
              <w:pStyle w:val="TableContents"/>
              <w:spacing w:before="0" w:after="0"/>
              <w:ind w:left="0" w:right="0" w:hanging="0"/>
              <w:jc w:val="center"/>
              <w:rPr/>
            </w:pPr>
            <w:r>
              <w:rPr/>
              <w:t> </w:t>
            </w:r>
          </w:p>
        </w:tc>
      </w:tr>
      <w:tr>
        <w:trPr/>
        <w:tc>
          <w:tcPr>
            <w:tcW w:w="4106"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(5)(6)</w:t>
            </w:r>
          </w:p>
        </w:tc>
        <w:tc>
          <w:tcPr>
            <w:tcW w:w="206" w:type="dxa"/>
            <w:tcBorders/>
            <w:shd w:fill="auto" w:val="clear"/>
            <w:vAlign w:val="bottom"/>
          </w:tcPr>
          <w:p>
            <w:pPr>
              <w:pStyle w:val="TableContents"/>
              <w:spacing w:before="0" w:after="0"/>
              <w:ind w:left="0" w:right="0" w:hanging="0"/>
              <w:jc w:val="center"/>
              <w:rPr/>
            </w:pPr>
            <w:r>
              <w:rPr/>
              <w:t> </w:t>
            </w:r>
          </w:p>
        </w:tc>
        <w:tc>
          <w:tcPr>
            <w:tcW w:w="12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7" w:type="dxa"/>
            <w:tcBorders/>
            <w:shd w:fill="auto" w:val="clear"/>
            <w:vAlign w:val="bottom"/>
          </w:tcPr>
          <w:p>
            <w:pPr>
              <w:pStyle w:val="TableContents"/>
              <w:spacing w:before="0" w:after="0"/>
              <w:ind w:left="0" w:right="0" w:hanging="0"/>
              <w:jc w:val="center"/>
              <w:rPr/>
            </w:pPr>
            <w:r>
              <w:rPr/>
              <w:t> </w:t>
            </w:r>
          </w:p>
        </w:tc>
        <w:tc>
          <w:tcPr>
            <w:tcW w:w="128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3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1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6" w:type="dxa"/>
            <w:tcBorders/>
            <w:shd w:fill="auto" w:val="clear"/>
            <w:vAlign w:val="bottom"/>
          </w:tcPr>
          <w:p>
            <w:pPr>
              <w:pStyle w:val="TableContents"/>
              <w:spacing w:before="0" w:after="0"/>
              <w:ind w:left="0" w:right="0" w:hanging="0"/>
              <w:jc w:val="center"/>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 (average monthly capacity in millions of barrels)</w:t>
            </w:r>
          </w:p>
        </w:tc>
        <w:tc>
          <w:tcPr>
            <w:tcW w:w="206" w:type="dxa"/>
            <w:tcBorders/>
            <w:shd w:fill="CCEEFF" w:val="clear"/>
            <w:vAlign w:val="bottom"/>
          </w:tcPr>
          <w:p>
            <w:pPr>
              <w:pStyle w:val="TableContents"/>
              <w:spacing w:before="0" w:after="0"/>
              <w:ind w:left="0" w:right="0" w:hanging="0"/>
              <w:rPr/>
            </w:pPr>
            <w:r>
              <w:rPr/>
              <w:t> </w:t>
            </w:r>
          </w:p>
        </w:tc>
        <w:tc>
          <w:tcPr>
            <w:tcW w:w="12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7"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6" w:type="dxa"/>
            <w:tcBorders/>
            <w:shd w:fill="CCEEFF" w:val="clear"/>
            <w:vAlign w:val="bottom"/>
          </w:tcPr>
          <w:p>
            <w:pPr>
              <w:pStyle w:val="TableContents"/>
              <w:spacing w:before="0" w:after="0"/>
              <w:ind w:left="0" w:right="0" w:hanging="0"/>
              <w:rPr/>
            </w:pPr>
            <w:r>
              <w:rPr/>
              <w:t> </w:t>
            </w:r>
          </w:p>
        </w:tc>
        <w:tc>
          <w:tcPr>
            <w:tcW w:w="13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6" w:type="dxa"/>
            <w:tcBorders/>
            <w:shd w:fill="CCEEFF" w:val="clear"/>
            <w:vAlign w:val="bottom"/>
          </w:tcPr>
          <w:p>
            <w:pPr>
              <w:pStyle w:val="TableContents"/>
              <w:spacing w:before="0" w:after="0"/>
              <w:ind w:left="0" w:right="0" w:hanging="0"/>
              <w:rPr/>
            </w:pPr>
            <w:r>
              <w:rPr/>
              <w:t> </w:t>
            </w:r>
          </w:p>
        </w:tc>
        <w:tc>
          <w:tcPr>
            <w:tcW w:w="12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load / unload volumes (average volumes in thousands of barrels per day)</w:t>
            </w:r>
          </w:p>
        </w:tc>
        <w:tc>
          <w:tcPr>
            <w:tcW w:w="206" w:type="dxa"/>
            <w:tcBorders/>
            <w:shd w:fill="auto" w:val="clear"/>
            <w:vAlign w:val="bottom"/>
          </w:tcPr>
          <w:p>
            <w:pPr>
              <w:pStyle w:val="TableContents"/>
              <w:spacing w:before="0" w:after="0"/>
              <w:ind w:left="0" w:right="0" w:hanging="0"/>
              <w:rPr/>
            </w:pPr>
            <w:r>
              <w:rPr/>
              <w:t> </w:t>
            </w:r>
          </w:p>
        </w:tc>
        <w:tc>
          <w:tcPr>
            <w:tcW w:w="12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17" w:type="dxa"/>
            <w:tcBorders/>
            <w:shd w:fill="auto" w:val="clear"/>
            <w:vAlign w:val="bottom"/>
          </w:tcPr>
          <w:p>
            <w:pPr>
              <w:pStyle w:val="TableContents"/>
              <w:spacing w:before="0" w:after="0"/>
              <w:ind w:left="0" w:right="0" w:hanging="0"/>
              <w:rPr/>
            </w:pPr>
            <w:r>
              <w:rPr/>
              <w:t> </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3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06" w:type="dxa"/>
            <w:tcBorders/>
            <w:shd w:fill="auto" w:val="clear"/>
            <w:vAlign w:val="bottom"/>
          </w:tcPr>
          <w:p>
            <w:pPr>
              <w:pStyle w:val="TableContents"/>
              <w:spacing w:before="0" w:after="0"/>
              <w:ind w:left="0" w:right="0" w:hanging="0"/>
              <w:rPr/>
            </w:pPr>
            <w:r>
              <w:rPr/>
              <w:t> </w:t>
            </w:r>
          </w:p>
        </w:tc>
        <w:tc>
          <w:tcPr>
            <w:tcW w:w="12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6" w:type="dxa"/>
            <w:tcBorders/>
            <w:shd w:fill="auto" w:val="clear"/>
            <w:vAlign w:val="bottom"/>
          </w:tcPr>
          <w:p>
            <w:pPr>
              <w:pStyle w:val="TableContents"/>
              <w:spacing w:before="0" w:after="0"/>
              <w:ind w:left="0" w:right="0" w:hanging="0"/>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6" w:type="dxa"/>
            <w:tcBorders/>
            <w:shd w:fill="CCEEFF" w:val="clear"/>
            <w:vAlign w:val="bottom"/>
          </w:tcPr>
          <w:p>
            <w:pPr>
              <w:pStyle w:val="TableContents"/>
              <w:spacing w:before="0" w:after="0"/>
              <w:ind w:left="0" w:right="0" w:hanging="0"/>
              <w:rPr/>
            </w:pPr>
            <w:r>
              <w:rPr/>
              <w:t> </w:t>
            </w:r>
          </w:p>
        </w:tc>
        <w:tc>
          <w:tcPr>
            <w:tcW w:w="12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6" w:type="dxa"/>
            <w:tcBorders/>
            <w:shd w:fill="CCEEFF" w:val="clear"/>
            <w:vAlign w:val="bottom"/>
          </w:tcPr>
          <w:p>
            <w:pPr>
              <w:pStyle w:val="TableContents"/>
              <w:spacing w:before="0" w:after="0"/>
              <w:ind w:left="0" w:right="0" w:hanging="0"/>
              <w:rPr/>
            </w:pPr>
            <w:r>
              <w:rPr/>
              <w:t> </w:t>
            </w:r>
          </w:p>
        </w:tc>
        <w:tc>
          <w:tcPr>
            <w:tcW w:w="13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6" w:type="dxa"/>
            <w:tcBorders/>
            <w:shd w:fill="CCEEFF" w:val="clear"/>
            <w:vAlign w:val="bottom"/>
          </w:tcPr>
          <w:p>
            <w:pPr>
              <w:pStyle w:val="TableContents"/>
              <w:spacing w:before="0" w:after="0"/>
              <w:ind w:left="0" w:right="0" w:hanging="0"/>
              <w:rPr/>
            </w:pPr>
            <w:r>
              <w:rPr/>
              <w:t> </w:t>
            </w:r>
          </w:p>
        </w:tc>
        <w:tc>
          <w:tcPr>
            <w:tcW w:w="12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volumes in thousands of barrels per day)</w:t>
            </w:r>
          </w:p>
        </w:tc>
        <w:tc>
          <w:tcPr>
            <w:tcW w:w="206" w:type="dxa"/>
            <w:tcBorders/>
            <w:shd w:fill="auto" w:val="clear"/>
            <w:vAlign w:val="bottom"/>
          </w:tcPr>
          <w:p>
            <w:pPr>
              <w:pStyle w:val="TableContents"/>
              <w:spacing w:before="0" w:after="0"/>
              <w:ind w:left="0" w:right="0" w:hanging="0"/>
              <w:rPr/>
            </w:pPr>
            <w:r>
              <w:rPr/>
              <w:t> </w:t>
            </w:r>
          </w:p>
        </w:tc>
        <w:tc>
          <w:tcPr>
            <w:tcW w:w="12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auto" w:val="clear"/>
            <w:vAlign w:val="bottom"/>
          </w:tcPr>
          <w:p>
            <w:pPr>
              <w:pStyle w:val="TableContents"/>
              <w:spacing w:before="0" w:after="0"/>
              <w:ind w:left="0" w:right="0" w:hanging="0"/>
              <w:rPr/>
            </w:pPr>
            <w:r>
              <w:rPr/>
              <w:t> </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auto" w:val="clear"/>
            <w:vAlign w:val="bottom"/>
          </w:tcPr>
          <w:p>
            <w:pPr>
              <w:pStyle w:val="TableContents"/>
              <w:spacing w:before="0" w:after="0"/>
              <w:ind w:left="0" w:right="0" w:hanging="0"/>
              <w:rPr/>
            </w:pPr>
            <w:r>
              <w:rPr/>
              <w:t> </w:t>
            </w:r>
          </w:p>
        </w:tc>
        <w:tc>
          <w:tcPr>
            <w:tcW w:w="13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6" w:type="dxa"/>
            <w:tcBorders/>
            <w:shd w:fill="auto" w:val="clear"/>
            <w:vAlign w:val="bottom"/>
          </w:tcPr>
          <w:p>
            <w:pPr>
              <w:pStyle w:val="TableContents"/>
              <w:spacing w:before="0" w:after="0"/>
              <w:ind w:left="0" w:right="0" w:hanging="0"/>
              <w:rPr/>
            </w:pPr>
            <w:r>
              <w:rPr/>
              <w:t> </w:t>
            </w:r>
          </w:p>
        </w:tc>
        <w:tc>
          <w:tcPr>
            <w:tcW w:w="12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809</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volumes in millions of barrels)</w:t>
            </w:r>
          </w:p>
        </w:tc>
        <w:tc>
          <w:tcPr>
            <w:tcW w:w="206" w:type="dxa"/>
            <w:tcBorders/>
            <w:shd w:fill="CCEEFF" w:val="clear"/>
            <w:vAlign w:val="bottom"/>
          </w:tcPr>
          <w:p>
            <w:pPr>
              <w:pStyle w:val="TableContents"/>
              <w:spacing w:before="0" w:after="0"/>
              <w:ind w:left="0" w:right="0" w:hanging="0"/>
              <w:rPr/>
            </w:pPr>
            <w:r>
              <w:rPr/>
              <w:t> </w:t>
            </w:r>
          </w:p>
        </w:tc>
        <w:tc>
          <w:tcPr>
            <w:tcW w:w="12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17"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6" w:type="dxa"/>
            <w:tcBorders/>
            <w:shd w:fill="CCEEFF" w:val="clear"/>
            <w:vAlign w:val="bottom"/>
          </w:tcPr>
          <w:p>
            <w:pPr>
              <w:pStyle w:val="TableContents"/>
              <w:spacing w:before="0" w:after="0"/>
              <w:ind w:left="0" w:right="0" w:hanging="0"/>
              <w:rPr/>
            </w:pPr>
            <w:r>
              <w:rPr/>
              <w:t> </w:t>
            </w:r>
          </w:p>
        </w:tc>
        <w:tc>
          <w:tcPr>
            <w:tcW w:w="13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6" w:type="dxa"/>
            <w:tcBorders/>
            <w:shd w:fill="CCEEFF" w:val="clear"/>
            <w:vAlign w:val="bottom"/>
          </w:tcPr>
          <w:p>
            <w:pPr>
              <w:pStyle w:val="TableContents"/>
              <w:spacing w:before="0" w:after="0"/>
              <w:ind w:left="0" w:right="0" w:hanging="0"/>
              <w:rPr/>
            </w:pPr>
            <w:r>
              <w:rPr/>
              <w:t> </w:t>
            </w:r>
          </w:p>
        </w:tc>
        <w:tc>
          <w:tcPr>
            <w:tcW w:w="12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shown in the table above includes expenses associated with awards that will or may be settled in units and awards that will or may be settled in cash. Selected Items Impacting Comparability included in the table under Results of OperationsNon-GAAP Financial Measures excludes the portion of the equity compensation expense that will be settled in cash.  See Note 15 to our Consolidated Financial Statements included in Part IV of our 2012 Annual Report on Form 10-K for additional discussion regarding our equity compensation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59" w:name="PB_34_120516_7056"/>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Facilities total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tables above, our Facilities segment revenues and volumes increased for the three months ended March 31, 2013 compared to the same period in 2012.  The significant variances in revenues and average monthly volumes between the comparative periods are primarily due to our ongoing acquisition and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AcquisitionThe NGL storage facilities, fractionation plants and related assets acquired through the BP NGL Acquisition on April 1, 2012 contributed aggregate revenues of approximately $66 million for the three months ended March 31, 2013. These assets increased average monthly capacity of NGL storage by approximately 14 million barrels and increased average NGL fractionation throughput by approximately 87,000 barrels per day for the three months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Terminals  The USD Rail Terminal Acquisition completed in December 2012 and internal growth projects completed throughout 2012 expanded our rail loading and unloading fee-based activities. Our rail load and unload activities contributed approximately $26 million to the increase in total revenues for the comparative periods and approximately 216,000 barrels per day of throughput volumes during the three months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expense) increased during the three months ended March 31, 2013 compared to the three months ended March 31, 2012 due to our growth through acquisitions, primarily the BP NGL and USD Rail Terminal acquisitions. Additionally, the BP NGL Acquisition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General and administrative expenses (excluding equity compensation expense) increased during the three months ended March 31, 2013 compared to the three months ended March 31, 2012 due to growth associated with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as well as sales of NGL volumes purchased from suppliers.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may vary from period to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0" w:name="PB_35_120544_5335"/>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46"/>
        <w:gridCol w:w="215"/>
        <w:gridCol w:w="110"/>
        <w:gridCol w:w="1085"/>
        <w:gridCol w:w="216"/>
        <w:gridCol w:w="110"/>
        <w:gridCol w:w="1082"/>
        <w:gridCol w:w="216"/>
        <w:gridCol w:w="110"/>
        <w:gridCol w:w="1082"/>
        <w:gridCol w:w="216"/>
        <w:gridCol w:w="1292"/>
        <w:gridCol w:w="225"/>
      </w:tblGrid>
      <w:tr>
        <w:trPr/>
        <w:tc>
          <w:tcPr>
            <w:tcW w:w="424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195"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92"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70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5" w:type="dxa"/>
            <w:tcBorders/>
            <w:shd w:fill="auto" w:val="clear"/>
            <w:vAlign w:val="bottom"/>
          </w:tcPr>
          <w:p>
            <w:pPr>
              <w:pStyle w:val="TableContents"/>
              <w:spacing w:before="0" w:after="0"/>
              <w:ind w:left="0" w:right="0" w:hanging="0"/>
              <w:jc w:val="center"/>
              <w:rPr/>
            </w:pPr>
            <w:r>
              <w:rPr/>
              <w:t> </w:t>
            </w:r>
          </w:p>
        </w:tc>
      </w:tr>
      <w:tr>
        <w:trPr/>
        <w:tc>
          <w:tcPr>
            <w:tcW w:w="424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6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6" w:type="dxa"/>
            <w:tcBorders/>
            <w:shd w:fill="auto" w:val="clear"/>
            <w:vAlign w:val="bottom"/>
          </w:tcPr>
          <w:p>
            <w:pPr>
              <w:pStyle w:val="TableContents"/>
              <w:spacing w:before="0" w:after="0"/>
              <w:ind w:left="0" w:right="0" w:hanging="0"/>
              <w:jc w:val="center"/>
              <w:rPr/>
            </w:pPr>
            <w:r>
              <w:rPr/>
              <w:t> </w:t>
            </w:r>
          </w:p>
        </w:tc>
        <w:tc>
          <w:tcPr>
            <w:tcW w:w="270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5" w:type="dxa"/>
            <w:tcBorders/>
            <w:shd w:fill="auto" w:val="clear"/>
            <w:vAlign w:val="bottom"/>
          </w:tcPr>
          <w:p>
            <w:pPr>
              <w:pStyle w:val="TableContents"/>
              <w:spacing w:before="0" w:after="0"/>
              <w:ind w:left="0" w:right="0" w:hanging="0"/>
              <w:jc w:val="center"/>
              <w:rPr/>
            </w:pPr>
            <w:r>
              <w:rPr/>
              <w:t> </w:t>
            </w:r>
          </w:p>
        </w:tc>
      </w:tr>
      <w:tr>
        <w:trPr/>
        <w:tc>
          <w:tcPr>
            <w:tcW w:w="4246"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215" w:type="dxa"/>
            <w:tcBorders/>
            <w:shd w:fill="auto" w:val="clear"/>
            <w:vAlign w:val="bottom"/>
          </w:tcPr>
          <w:p>
            <w:pPr>
              <w:pStyle w:val="TableContents"/>
              <w:spacing w:before="0" w:after="0"/>
              <w:ind w:left="0" w:right="0" w:hanging="0"/>
              <w:jc w:val="center"/>
              <w:rPr/>
            </w:pPr>
            <w:r>
              <w:rPr/>
              <w:t> </w:t>
            </w:r>
          </w:p>
        </w:tc>
        <w:tc>
          <w:tcPr>
            <w:tcW w:w="26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16" w:type="dxa"/>
            <w:tcBorders/>
            <w:shd w:fill="auto" w:val="clear"/>
            <w:vAlign w:val="bottom"/>
          </w:tcPr>
          <w:p>
            <w:pPr>
              <w:pStyle w:val="TableContents"/>
              <w:spacing w:before="0" w:after="0"/>
              <w:ind w:left="0" w:right="0" w:hanging="0"/>
              <w:jc w:val="center"/>
              <w:rPr/>
            </w:pPr>
            <w:r>
              <w:rPr/>
              <w:t> </w:t>
            </w:r>
          </w:p>
        </w:tc>
        <w:tc>
          <w:tcPr>
            <w:tcW w:w="270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5" w:type="dxa"/>
            <w:tcBorders/>
            <w:shd w:fill="auto" w:val="clear"/>
            <w:vAlign w:val="bottom"/>
          </w:tcPr>
          <w:p>
            <w:pPr>
              <w:pStyle w:val="TableContents"/>
              <w:spacing w:before="0" w:after="0"/>
              <w:ind w:left="0" w:right="0" w:hanging="0"/>
              <w:jc w:val="center"/>
              <w:rPr/>
            </w:pPr>
            <w:r>
              <w:rPr/>
              <w:t> </w:t>
            </w:r>
          </w:p>
        </w:tc>
      </w:tr>
      <w:tr>
        <w:trPr/>
        <w:tc>
          <w:tcPr>
            <w:tcW w:w="424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5" w:type="dxa"/>
            <w:tcBorders/>
            <w:shd w:fill="auto" w:val="clear"/>
            <w:vAlign w:val="bottom"/>
          </w:tcPr>
          <w:p>
            <w:pPr>
              <w:pStyle w:val="TableContents"/>
              <w:spacing w:before="0" w:after="0"/>
              <w:ind w:left="0" w:right="0" w:hanging="0"/>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11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5" w:type="dxa"/>
            <w:tcBorders/>
            <w:shd w:fill="auto" w:val="clear"/>
            <w:vAlign w:val="bottom"/>
          </w:tcPr>
          <w:p>
            <w:pPr>
              <w:pStyle w:val="TableContents"/>
              <w:spacing w:before="0" w:after="0"/>
              <w:ind w:left="0" w:right="0" w:hanging="0"/>
              <w:jc w:val="center"/>
              <w:rPr/>
            </w:pPr>
            <w:r>
              <w:rPr/>
              <w:t> </w:t>
            </w:r>
          </w:p>
        </w:tc>
      </w:tr>
      <w:tr>
        <w:trPr/>
        <w:tc>
          <w:tcPr>
            <w:tcW w:w="4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10,225</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1,348</w:t>
            </w:r>
          </w:p>
        </w:tc>
        <w:tc>
          <w:tcPr>
            <w:tcW w:w="216" w:type="dxa"/>
            <w:tcBorders/>
            <w:shd w:fill="CCEEFF" w:val="clear"/>
            <w:vAlign w:val="bottom"/>
          </w:tcPr>
          <w:p>
            <w:pPr>
              <w:pStyle w:val="TableContents"/>
              <w:spacing w:before="0" w:after="0"/>
              <w:ind w:left="0" w:right="0" w:hanging="0"/>
              <w:rPr/>
            </w:pPr>
            <w:r>
              <w:rPr/>
              <w:t> </w:t>
            </w:r>
          </w:p>
        </w:tc>
        <w:tc>
          <w:tcPr>
            <w:tcW w:w="12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 </w:t>
            </w:r>
          </w:p>
        </w:tc>
        <w:tc>
          <w:tcPr>
            <w:tcW w:w="215"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(9,636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215"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215"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2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 compensation expense) </w:t>
            </w:r>
            <w:r>
              <w:rPr>
                <w:sz w:val="11"/>
              </w:rPr>
              <w:t>(4)</w:t>
            </w:r>
          </w:p>
        </w:tc>
        <w:tc>
          <w:tcPr>
            <w:tcW w:w="215"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12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auto" w:val="clear"/>
            <w:vAlign w:val="bottom"/>
          </w:tcPr>
          <w:p>
            <w:pPr>
              <w:pStyle w:val="TableContents"/>
              <w:spacing w:before="0" w:after="0"/>
              <w:ind w:left="0" w:right="0" w:hanging="0"/>
              <w:rPr/>
            </w:pPr>
            <w:r>
              <w:rPr>
                <w:rFonts w:ascii="Times New Roman" w:hAnsi="Times New Roman"/>
                <w:sz w:val="17"/>
              </w:rPr>
              <w:t>Equity compensation expense - general and administrative</w:t>
            </w:r>
            <w:r>
              <w:rPr/>
              <w:t xml:space="preserve"> </w:t>
            </w:r>
            <w:r>
              <w:rPr>
                <w:sz w:val="11"/>
              </w:rPr>
              <w:t>(3)</w:t>
            </w:r>
          </w:p>
        </w:tc>
        <w:tc>
          <w:tcPr>
            <w:tcW w:w="215"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6" w:type="dxa"/>
            <w:tcBorders/>
            <w:shd w:fill="CCEEFF" w:val="clear"/>
            <w:vAlign w:val="bottom"/>
          </w:tcPr>
          <w:p>
            <w:pPr>
              <w:pStyle w:val="TableContents"/>
              <w:spacing w:before="0" w:after="0"/>
              <w:ind w:left="0" w:right="0" w:hanging="0"/>
              <w:rPr/>
            </w:pPr>
            <w:r>
              <w:rPr/>
              <w:t> </w:t>
            </w:r>
          </w:p>
        </w:tc>
        <w:tc>
          <w:tcPr>
            <w:tcW w:w="12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16" w:type="dxa"/>
            <w:tcBorders/>
            <w:shd w:fill="CCEEFF" w:val="clear"/>
            <w:vAlign w:val="bottom"/>
          </w:tcPr>
          <w:p>
            <w:pPr>
              <w:pStyle w:val="TableContents"/>
              <w:spacing w:before="0" w:after="0"/>
              <w:ind w:left="0" w:right="0" w:hanging="0"/>
              <w:rPr/>
            </w:pPr>
            <w:r>
              <w:rPr/>
              <w:t> </w:t>
            </w:r>
          </w:p>
        </w:tc>
        <w:tc>
          <w:tcPr>
            <w:tcW w:w="12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69"/>
        <w:gridCol w:w="197"/>
        <w:gridCol w:w="1261"/>
        <w:gridCol w:w="203"/>
        <w:gridCol w:w="1203"/>
        <w:gridCol w:w="197"/>
        <w:gridCol w:w="1263"/>
        <w:gridCol w:w="197"/>
        <w:gridCol w:w="1154"/>
        <w:gridCol w:w="161"/>
      </w:tblGrid>
      <w:tr>
        <w:trPr/>
        <w:tc>
          <w:tcPr>
            <w:tcW w:w="4369"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261"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203" w:type="dxa"/>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61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161" w:type="dxa"/>
            <w:tcBorders/>
            <w:shd w:fill="auto" w:val="clear"/>
            <w:vAlign w:val="bottom"/>
          </w:tcPr>
          <w:p>
            <w:pPr>
              <w:pStyle w:val="TableContents"/>
              <w:spacing w:before="0" w:after="0"/>
              <w:ind w:left="0" w:right="0" w:hanging="0"/>
              <w:jc w:val="center"/>
              <w:rPr/>
            </w:pPr>
            <w:r>
              <w:rPr/>
              <w:t> </w:t>
            </w:r>
          </w:p>
        </w:tc>
      </w:tr>
      <w:tr>
        <w:trPr/>
        <w:tc>
          <w:tcPr>
            <w:tcW w:w="4369"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266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7" w:type="dxa"/>
            <w:tcBorders/>
            <w:shd w:fill="auto" w:val="clear"/>
            <w:vAlign w:val="bottom"/>
          </w:tcPr>
          <w:p>
            <w:pPr>
              <w:pStyle w:val="TableContents"/>
              <w:spacing w:before="0" w:after="0"/>
              <w:ind w:left="0" w:right="0" w:hanging="0"/>
              <w:jc w:val="center"/>
              <w:rPr/>
            </w:pPr>
            <w:r>
              <w:rPr/>
              <w:t> </w:t>
            </w:r>
          </w:p>
        </w:tc>
        <w:tc>
          <w:tcPr>
            <w:tcW w:w="261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161" w:type="dxa"/>
            <w:tcBorders/>
            <w:shd w:fill="auto" w:val="clear"/>
            <w:vAlign w:val="bottom"/>
          </w:tcPr>
          <w:p>
            <w:pPr>
              <w:pStyle w:val="TableContents"/>
              <w:spacing w:before="0" w:after="0"/>
              <w:ind w:left="0" w:right="0" w:hanging="0"/>
              <w:jc w:val="center"/>
              <w:rPr/>
            </w:pPr>
            <w:r>
              <w:rPr/>
              <w:t> </w:t>
            </w:r>
          </w:p>
        </w:tc>
      </w:tr>
      <w:tr>
        <w:trPr/>
        <w:tc>
          <w:tcPr>
            <w:tcW w:w="4369"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97" w:type="dxa"/>
            <w:tcBorders/>
            <w:shd w:fill="auto" w:val="clear"/>
            <w:vAlign w:val="bottom"/>
          </w:tcPr>
          <w:p>
            <w:pPr>
              <w:pStyle w:val="TableContents"/>
              <w:spacing w:before="0" w:after="0"/>
              <w:ind w:left="0" w:right="0" w:hanging="0"/>
              <w:jc w:val="center"/>
              <w:rPr/>
            </w:pPr>
            <w:r>
              <w:rPr/>
              <w:t> </w:t>
            </w:r>
          </w:p>
        </w:tc>
        <w:tc>
          <w:tcPr>
            <w:tcW w:w="266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197" w:type="dxa"/>
            <w:tcBorders/>
            <w:shd w:fill="auto" w:val="clear"/>
            <w:vAlign w:val="bottom"/>
          </w:tcPr>
          <w:p>
            <w:pPr>
              <w:pStyle w:val="TableContents"/>
              <w:spacing w:before="0" w:after="0"/>
              <w:ind w:left="0" w:right="0" w:hanging="0"/>
              <w:jc w:val="center"/>
              <w:rPr/>
            </w:pPr>
            <w:r>
              <w:rPr/>
              <w:t> </w:t>
            </w:r>
          </w:p>
        </w:tc>
        <w:tc>
          <w:tcPr>
            <w:tcW w:w="261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61" w:type="dxa"/>
            <w:tcBorders/>
            <w:shd w:fill="auto" w:val="clear"/>
            <w:vAlign w:val="bottom"/>
          </w:tcPr>
          <w:p>
            <w:pPr>
              <w:pStyle w:val="TableContents"/>
              <w:spacing w:before="0" w:after="0"/>
              <w:ind w:left="0" w:right="0" w:hanging="0"/>
              <w:jc w:val="center"/>
              <w:rPr/>
            </w:pPr>
            <w:r>
              <w:rPr/>
              <w:t> </w:t>
            </w:r>
          </w:p>
        </w:tc>
      </w:tr>
      <w:tr>
        <w:trPr/>
        <w:tc>
          <w:tcPr>
            <w:tcW w:w="436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197" w:type="dxa"/>
            <w:tcBorders/>
            <w:shd w:fill="auto" w:val="clear"/>
            <w:vAlign w:val="bottom"/>
          </w:tcPr>
          <w:p>
            <w:pPr>
              <w:pStyle w:val="TableContents"/>
              <w:spacing w:before="0" w:after="0"/>
              <w:ind w:left="0" w:right="0" w:hanging="0"/>
              <w:jc w:val="center"/>
              <w:rPr/>
            </w:pPr>
            <w:r>
              <w:rPr/>
              <w:t> </w:t>
            </w:r>
          </w:p>
        </w:tc>
        <w:tc>
          <w:tcPr>
            <w:tcW w:w="12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shd w:fill="auto" w:val="clear"/>
            <w:vAlign w:val="bottom"/>
          </w:tcPr>
          <w:p>
            <w:pPr>
              <w:pStyle w:val="TableContents"/>
              <w:spacing w:before="0" w:after="0"/>
              <w:ind w:left="0" w:right="0" w:hanging="0"/>
              <w:jc w:val="center"/>
              <w:rPr/>
            </w:pPr>
            <w:r>
              <w:rPr/>
              <w:t> </w:t>
            </w:r>
          </w:p>
        </w:tc>
        <w:tc>
          <w:tcPr>
            <w:tcW w:w="120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7"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1" w:type="dxa"/>
            <w:tcBorders/>
            <w:shd w:fill="auto" w:val="clear"/>
            <w:vAlign w:val="bottom"/>
          </w:tcPr>
          <w:p>
            <w:pPr>
              <w:pStyle w:val="TableContents"/>
              <w:spacing w:before="0" w:after="0"/>
              <w:ind w:left="0" w:right="0" w:hanging="0"/>
              <w:jc w:val="center"/>
              <w:rPr/>
            </w:pPr>
            <w:r>
              <w:rPr/>
              <w:t> </w:t>
            </w:r>
          </w:p>
        </w:tc>
      </w:tr>
      <w:tr>
        <w:trPr/>
        <w:tc>
          <w:tcPr>
            <w:tcW w:w="43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97" w:type="dxa"/>
            <w:tcBorders/>
            <w:shd w:fill="CCEEFF" w:val="clear"/>
            <w:vAlign w:val="bottom"/>
          </w:tcPr>
          <w:p>
            <w:pPr>
              <w:pStyle w:val="TableContents"/>
              <w:spacing w:before="0" w:after="0"/>
              <w:ind w:left="0" w:right="0" w:hanging="0"/>
              <w:rPr/>
            </w:pPr>
            <w:r>
              <w:rPr/>
              <w:t> </w:t>
            </w:r>
          </w:p>
        </w:tc>
        <w:tc>
          <w:tcPr>
            <w:tcW w:w="12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03" w:type="dxa"/>
            <w:tcBorders/>
            <w:shd w:fill="CCEEFF" w:val="clear"/>
            <w:vAlign w:val="bottom"/>
          </w:tcPr>
          <w:p>
            <w:pPr>
              <w:pStyle w:val="TableContents"/>
              <w:spacing w:before="0" w:after="0"/>
              <w:ind w:left="0" w:right="0" w:hanging="0"/>
              <w:rPr/>
            </w:pPr>
            <w:r>
              <w:rPr/>
              <w:t> </w:t>
            </w:r>
          </w:p>
        </w:tc>
        <w:tc>
          <w:tcPr>
            <w:tcW w:w="12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197"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97" w:type="dxa"/>
            <w:tcBorders/>
            <w:shd w:fill="CCEEFF" w:val="clear"/>
            <w:vAlign w:val="bottom"/>
          </w:tcPr>
          <w:p>
            <w:pPr>
              <w:pStyle w:val="TableContents"/>
              <w:spacing w:before="0" w:after="0"/>
              <w:ind w:left="0" w:right="0" w:hanging="0"/>
              <w:rPr/>
            </w:pPr>
            <w:r>
              <w:rPr/>
              <w:t> </w:t>
            </w:r>
          </w:p>
        </w:tc>
        <w:tc>
          <w:tcPr>
            <w:tcW w:w="11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197" w:type="dxa"/>
            <w:tcBorders/>
            <w:shd w:fill="auto" w:val="clear"/>
            <w:vAlign w:val="bottom"/>
          </w:tcPr>
          <w:p>
            <w:pPr>
              <w:pStyle w:val="TableContents"/>
              <w:spacing w:before="0" w:after="0"/>
              <w:ind w:left="0" w:right="0" w:hanging="0"/>
              <w:rPr/>
            </w:pPr>
            <w:r>
              <w:rPr/>
              <w:t> </w:t>
            </w:r>
          </w:p>
        </w:tc>
        <w:tc>
          <w:tcPr>
            <w:tcW w:w="12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03" w:type="dxa"/>
            <w:tcBorders/>
            <w:shd w:fill="auto" w:val="clear"/>
            <w:vAlign w:val="bottom"/>
          </w:tcPr>
          <w:p>
            <w:pPr>
              <w:pStyle w:val="TableContents"/>
              <w:spacing w:before="0" w:after="0"/>
              <w:ind w:left="0" w:right="0" w:hanging="0"/>
              <w:rPr/>
            </w:pPr>
            <w:r>
              <w:rPr/>
              <w:t> </w:t>
            </w:r>
          </w:p>
        </w:tc>
        <w:tc>
          <w:tcPr>
            <w:tcW w:w="12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97"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7" w:type="dxa"/>
            <w:tcBorders/>
            <w:shd w:fill="auto" w:val="clear"/>
            <w:vAlign w:val="bottom"/>
          </w:tcPr>
          <w:p>
            <w:pPr>
              <w:pStyle w:val="TableContents"/>
              <w:spacing w:before="0" w:after="0"/>
              <w:ind w:left="0" w:right="0" w:hanging="0"/>
              <w:rPr/>
            </w:pPr>
            <w:r>
              <w:rPr/>
              <w:t> </w:t>
            </w:r>
          </w:p>
        </w:tc>
        <w:tc>
          <w:tcPr>
            <w:tcW w:w="11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3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197" w:type="dxa"/>
            <w:tcBorders/>
            <w:shd w:fill="CCEEFF" w:val="clear"/>
            <w:vAlign w:val="bottom"/>
          </w:tcPr>
          <w:p>
            <w:pPr>
              <w:pStyle w:val="TableContents"/>
              <w:spacing w:before="0" w:after="0"/>
              <w:ind w:left="0" w:right="0" w:hanging="0"/>
              <w:rPr/>
            </w:pPr>
            <w:r>
              <w:rPr/>
              <w:t> </w:t>
            </w:r>
          </w:p>
        </w:tc>
        <w:tc>
          <w:tcPr>
            <w:tcW w:w="126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3" w:type="dxa"/>
            <w:tcBorders/>
            <w:shd w:fill="CCEEFF" w:val="clear"/>
            <w:vAlign w:val="bottom"/>
          </w:tcPr>
          <w:p>
            <w:pPr>
              <w:pStyle w:val="TableContents"/>
              <w:spacing w:before="0" w:after="0"/>
              <w:ind w:left="0" w:right="0" w:hanging="0"/>
              <w:rPr/>
            </w:pPr>
            <w:r>
              <w:rPr/>
              <w:t> </w:t>
            </w:r>
          </w:p>
        </w:tc>
        <w:tc>
          <w:tcPr>
            <w:tcW w:w="120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7" w:type="dxa"/>
            <w:tcBorders/>
            <w:shd w:fill="CCEEFF" w:val="clear"/>
            <w:vAlign w:val="bottom"/>
          </w:tcPr>
          <w:p>
            <w:pPr>
              <w:pStyle w:val="TableContents"/>
              <w:spacing w:before="0" w:after="0"/>
              <w:ind w:left="0" w:right="0" w:hanging="0"/>
              <w:rPr/>
            </w:pPr>
            <w:r>
              <w:rPr/>
              <w:t> </w:t>
            </w:r>
          </w:p>
        </w:tc>
        <w:tc>
          <w:tcPr>
            <w:tcW w:w="11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1" w:type="dxa"/>
            <w:tcBorders/>
            <w:shd w:fill="CCEEFF" w:val="clear"/>
            <w:vAlign w:val="bottom"/>
          </w:tcPr>
          <w:p>
            <w:pPr>
              <w:pStyle w:val="TableContents"/>
              <w:spacing w:before="0" w:after="0"/>
              <w:ind w:left="0" w:right="0" w:hanging="0"/>
              <w:rPr/>
            </w:pPr>
            <w:r>
              <w:rPr/>
              <w:t> </w:t>
            </w:r>
          </w:p>
        </w:tc>
      </w:tr>
      <w:tr>
        <w:trPr/>
        <w:tc>
          <w:tcPr>
            <w:tcW w:w="43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w:t>
            </w:r>
          </w:p>
        </w:tc>
        <w:tc>
          <w:tcPr>
            <w:tcW w:w="197" w:type="dxa"/>
            <w:tcBorders/>
            <w:shd w:fill="auto" w:val="clear"/>
            <w:vAlign w:val="bottom"/>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03" w:type="dxa"/>
            <w:tcBorders/>
            <w:shd w:fill="auto" w:val="clear"/>
            <w:vAlign w:val="bottom"/>
          </w:tcPr>
          <w:p>
            <w:pPr>
              <w:pStyle w:val="TableContents"/>
              <w:spacing w:before="0" w:after="0"/>
              <w:ind w:left="0" w:right="0" w:hanging="0"/>
              <w:rPr/>
            </w:pPr>
            <w:r>
              <w:rPr/>
              <w:t> </w:t>
            </w:r>
          </w:p>
        </w:tc>
        <w:tc>
          <w:tcPr>
            <w:tcW w:w="12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197" w:type="dxa"/>
            <w:tcBorders/>
            <w:shd w:fill="auto" w:val="clear"/>
            <w:vAlign w:val="bottom"/>
          </w:tcPr>
          <w:p>
            <w:pPr>
              <w:pStyle w:val="TableContents"/>
              <w:spacing w:before="0" w:after="0"/>
              <w:ind w:left="0" w:right="0" w:hanging="0"/>
              <w:rPr/>
            </w:pPr>
            <w:r>
              <w:rPr/>
              <w:t> </w:t>
            </w:r>
          </w:p>
        </w:tc>
        <w:tc>
          <w:tcPr>
            <w:tcW w:w="12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97" w:type="dxa"/>
            <w:tcBorders/>
            <w:shd w:fill="auto" w:val="clear"/>
            <w:vAlign w:val="bottom"/>
          </w:tcPr>
          <w:p>
            <w:pPr>
              <w:pStyle w:val="TableContents"/>
              <w:spacing w:before="0" w:after="0"/>
              <w:ind w:left="0" w:right="0" w:hanging="0"/>
              <w:rPr/>
            </w:pPr>
            <w:r>
              <w:rPr/>
              <w:t> </w:t>
            </w:r>
          </w:p>
        </w:tc>
        <w:tc>
          <w:tcPr>
            <w:tcW w:w="11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and NGL inventory) of approximately $5 million and $2 million for the three months ended March 31, 2013 and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presented in the table above includes expenses associated with awards that will or may be settled in units and that will or may be settled in cash. Selected Items Impacting Comparability included in the table under Results of OperationsNon-GAAP Financial Measures excludes the portion of the equity compensation expense that will be settled in cash.  See Note 15 to our Consolidated Financial Statements included in Part IV of our 2012 Annual Report on Form 10-K for additional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NYMEX benchmark price of crude oil ranged from approximately $89 to $98 per barrel and $95 to $111 per barrel during the three months ended March 31, 2013 and 2012,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2013 and 2012 primarily from increased volumes in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1" w:name="PB_36_121012_5335"/>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NGL marketing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Our Supply and Logistics segment revenues, net of purchases and related costs and excluding gains and losses from derivative activities (see the table below), and volumes increased for the three months ended March 31, 2013 compared to the three months ended March 31, 2012. Generally, the increasing production of oil and liquids-rich gas in North America has created supply and demand imbalances that have increased the volatility of historical differentials for various grades of crude oil and has also impacted the historical pricing relationship between NGL and crude oil.  These market conditions have generally been favorable to our supply and logistics activities.  The following summarizes the more significant items in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margins related to opportunities created in certain producing regions where crude oil production volumes exceed existing pipeline takeaway capacity and where there are associated logistics challenges.  We have utilized various methods of transportation to capture enhanced margins in these regions. We believe the fundamentals of our business remain strong; however, as the midstream infrastructure in these producing regions continues to be developed, we believe a normalization of margins will occur as the logistics challenges are addressed.  (See Items 1 and 2 Business and PropertiesDescription of Segments and Associated Assets</w:t>
      </w:r>
      <w:r>
        <w:rPr>
          <w:rFonts w:ascii="Times New Roman" w:hAnsi="Times New Roman"/>
          <w:i/>
          <w:sz w:val="17"/>
        </w:rPr>
        <w:t>Supply and Logistics Segment</w:t>
      </w:r>
      <w:r>
        <w:rPr>
          <w:rFonts w:ascii="Times New Roman" w:hAnsi="Times New Roman"/>
          <w:sz w:val="17"/>
        </w:rPr>
        <w:t>Impact of Commodity Price Volatility and Dynamic Market Conditions on Our Business Model included in Part I of our 2012 Annual Report on Form 10-K for further discussion regarding our business model, including diversification and utilization of our asset base among varying demand- and supply-driven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opportunities from more favorable crude oil quality differentials experienced in certain regions;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higher volumes due to continued increases in production related to the active development of crude oil and liquids-rich resource plays, primarily a result of increased drilling activities in the Permian Basin, Eagle Ford, Oklahoma and Texas Panhandle producing regions.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NGL sales volumes and margins increased for the three months ended March 31, 2013 compared to 2012 primarily due to higher demand related to increases in (i) heating requirements during an extended winter season, (ii) export activity that reduced overall product availability in the market and (iii) petrochemical demand. NGL sales volumes and margins were also favorably impacted by our BP NGL Acquisition, which was completed on April 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Impact from derivative activities.</w:t>
      </w:r>
      <w:r>
        <w:rPr>
          <w:rFonts w:ascii="Times New Roman" w:hAnsi="Times New Roman"/>
        </w:rPr>
        <w:t xml:space="preserve"> </w:t>
      </w:r>
      <w:r>
        <w:rPr>
          <w:rFonts w:ascii="Times New Roman" w:hAnsi="Times New Roman"/>
          <w:sz w:val="17"/>
        </w:rPr>
        <w:t>The mark-to-market valuation of our derivative activities also favorable impacted our results for the three months ended March 31, 2013 compared to the three months ended March 31,2012,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16"/>
        <w:gridCol w:w="218"/>
        <w:gridCol w:w="173"/>
        <w:gridCol w:w="1079"/>
        <w:gridCol w:w="229"/>
        <w:gridCol w:w="173"/>
        <w:gridCol w:w="1125"/>
        <w:gridCol w:w="229"/>
        <w:gridCol w:w="201"/>
        <w:gridCol w:w="1129"/>
        <w:gridCol w:w="133"/>
      </w:tblGrid>
      <w:tr>
        <w:trPr/>
        <w:tc>
          <w:tcPr>
            <w:tcW w:w="5516"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77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9" w:type="dxa"/>
            <w:tcBorders/>
            <w:shd w:fill="auto" w:val="clear"/>
            <w:vAlign w:val="bottom"/>
          </w:tcPr>
          <w:p>
            <w:pPr>
              <w:pStyle w:val="TableContents"/>
              <w:spacing w:before="0" w:after="0"/>
              <w:ind w:left="0" w:right="0" w:hanging="0"/>
              <w:jc w:val="center"/>
              <w:rPr/>
            </w:pPr>
            <w:r>
              <w:rPr/>
              <w:t> </w:t>
            </w:r>
          </w:p>
        </w:tc>
        <w:tc>
          <w:tcPr>
            <w:tcW w:w="1330"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5516"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27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March 31,</w:t>
            </w:r>
          </w:p>
        </w:tc>
        <w:tc>
          <w:tcPr>
            <w:tcW w:w="229" w:type="dxa"/>
            <w:tcBorders/>
            <w:shd w:fill="auto" w:val="clear"/>
            <w:vAlign w:val="bottom"/>
          </w:tcPr>
          <w:p>
            <w:pPr>
              <w:pStyle w:val="TableContents"/>
              <w:spacing w:before="0" w:after="0"/>
              <w:ind w:left="0" w:right="0" w:hanging="0"/>
              <w:jc w:val="center"/>
              <w:rPr/>
            </w:pPr>
            <w:r>
              <w:rPr/>
              <w:t> </w:t>
            </w:r>
          </w:p>
        </w:tc>
        <w:tc>
          <w:tcPr>
            <w:tcW w:w="1330"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5516"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9"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9" w:type="dxa"/>
            <w:tcBorders/>
            <w:shd w:fill="auto" w:val="clear"/>
            <w:vAlign w:val="bottom"/>
          </w:tcPr>
          <w:p>
            <w:pPr>
              <w:pStyle w:val="TableContents"/>
              <w:spacing w:before="0" w:after="0"/>
              <w:ind w:left="0" w:right="0" w:hanging="0"/>
              <w:jc w:val="center"/>
              <w:rPr/>
            </w:pPr>
            <w:r>
              <w:rPr/>
              <w:t> </w:t>
            </w:r>
          </w:p>
        </w:tc>
        <w:tc>
          <w:tcPr>
            <w:tcW w:w="13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33" w:type="dxa"/>
            <w:tcBorders/>
            <w:shd w:fill="auto" w:val="clear"/>
            <w:vAlign w:val="bottom"/>
          </w:tcPr>
          <w:p>
            <w:pPr>
              <w:pStyle w:val="TableContents"/>
              <w:spacing w:before="0" w:after="0"/>
              <w:ind w:left="0" w:right="0" w:hanging="0"/>
              <w:jc w:val="center"/>
              <w:rPr/>
            </w:pPr>
            <w:r>
              <w:rPr/>
              <w:t> </w:t>
            </w:r>
          </w:p>
        </w:tc>
      </w:tr>
      <w:tr>
        <w:trPr/>
        <w:tc>
          <w:tcPr>
            <w:tcW w:w="5516"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218"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9"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33" w:type="dxa"/>
            <w:tcBorders/>
            <w:shd w:fill="CCEEFF" w:val="clear"/>
            <w:vAlign w:val="bottom"/>
          </w:tcPr>
          <w:p>
            <w:pPr>
              <w:pStyle w:val="TableContents"/>
              <w:spacing w:before="0" w:after="0"/>
              <w:ind w:left="0" w:right="0" w:hanging="0"/>
              <w:rPr/>
            </w:pPr>
            <w:r>
              <w:rPr/>
              <w:t> </w:t>
            </w:r>
          </w:p>
        </w:tc>
      </w:tr>
      <w:tr>
        <w:trPr/>
        <w:tc>
          <w:tcPr>
            <w:tcW w:w="551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 compensation expense) increased in the three months ended March 31, 2013 compared to the three months ended March 31, 2012 primarily related to increased lease gathered volumes, particularly in West Texas, Oklahoma and the Rockies.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2" w:name="PB_37_121107_5796"/>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approximately $82 million for the three months ended March 31, 2013 compared to approximately $60 million for the three months ended March 31, 2012. The increase in the 2013 period over the comparative 2012 period was primarily the result of an increased amount of assets resulting from acquisition activities, including amortization of certain intangible assets associated with those acquisitions, as well as various internal growth projects in both years.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$12 million for the three months ended March 31, 2013, compared to the three months ended March 31, 2012. This increase was primarily related to the collective issuances of approximately $1.25 billion of senior notes in March 2012, which were used to fund the BP NGL Acquisition, and approximately $750 million of senior notes in December 2012, which were used primarily to fund our growth through acquisitions and our ongoing capital program.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three months ended March 31, 2013 compared to the three months ended March 31, 2012 increased by approximately $33 million, primarily as a result of the BP NGL Acquisition, as well as the strength of our existing operations, which increased the proportion of earnings subject to Canadian federal and provincial taxes. Canadian withholding taxes also increased on interest and dividends from our Canadian entities to other affiliates. These Canadian withholding taxes are due as payments occur.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 from operating activities, (ii) borrowings under our credit facilities and (iii) funds received from sales of equity and debt securities.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and refinancing our long-term debt, through a variety of sources (either separately or in combination), which may include operating cash flows, borrowings under our credit facilities, and/or the issuance of additional equity or debt securities. As of March 31, 2013, we had a working capital surplus of approximately $118 million and approximately $2.77 billion of liquidity available to meet our other ongoing operational, investing and finance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114"/>
        <w:gridCol w:w="220"/>
        <w:gridCol w:w="202"/>
        <w:gridCol w:w="1540"/>
        <w:gridCol w:w="129"/>
      </w:tblGrid>
      <w:tr>
        <w:trPr/>
        <w:tc>
          <w:tcPr>
            <w:tcW w:w="8114"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7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29" w:type="dxa"/>
            <w:tcBorders/>
            <w:shd w:fill="auto" w:val="clear"/>
            <w:vAlign w:val="bottom"/>
          </w:tcPr>
          <w:p>
            <w:pPr>
              <w:pStyle w:val="TableContents"/>
              <w:spacing w:before="0" w:after="0"/>
              <w:ind w:left="0" w:right="0" w:hanging="0"/>
              <w:jc w:val="center"/>
              <w:rPr/>
            </w:pPr>
            <w:r>
              <w:rPr/>
              <w:t> </w:t>
            </w:r>
          </w:p>
        </w:tc>
      </w:tr>
      <w:tr>
        <w:trPr/>
        <w:tc>
          <w:tcPr>
            <w:tcW w:w="8114"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7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29" w:type="dxa"/>
            <w:tcBorders/>
            <w:shd w:fill="auto" w:val="clear"/>
            <w:vAlign w:val="bottom"/>
          </w:tcPr>
          <w:p>
            <w:pPr>
              <w:pStyle w:val="TableContents"/>
              <w:spacing w:before="0" w:after="0"/>
              <w:ind w:left="0" w:right="0" w:hanging="0"/>
              <w:jc w:val="center"/>
              <w:rPr/>
            </w:pPr>
            <w:r>
              <w:rPr/>
              <w:t> </w:t>
            </w:r>
          </w:p>
        </w:tc>
      </w:tr>
      <w:tr>
        <w:trPr/>
        <w:tc>
          <w:tcPr>
            <w:tcW w:w="8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20"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1,556</w:t>
            </w:r>
          </w:p>
        </w:tc>
        <w:tc>
          <w:tcPr>
            <w:tcW w:w="129" w:type="dxa"/>
            <w:tcBorders/>
            <w:shd w:fill="CCEEFF" w:val="clear"/>
            <w:vAlign w:val="bottom"/>
          </w:tcPr>
          <w:p>
            <w:pPr>
              <w:pStyle w:val="TableContents"/>
              <w:spacing w:before="0" w:after="0"/>
              <w:ind w:left="0" w:right="0" w:hanging="0"/>
              <w:rPr/>
            </w:pPr>
            <w:r>
              <w:rPr/>
              <w:t> </w:t>
            </w:r>
          </w:p>
        </w:tc>
      </w:tr>
      <w:tr>
        <w:trPr/>
        <w:tc>
          <w:tcPr>
            <w:tcW w:w="8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20" w:type="dxa"/>
            <w:tcBorders/>
            <w:shd w:fill="auto" w:val="clear"/>
            <w:vAlign w:val="bottom"/>
          </w:tcPr>
          <w:p>
            <w:pPr>
              <w:pStyle w:val="TableContents"/>
              <w:spacing w:before="0" w:after="0"/>
              <w:ind w:left="0" w:right="0" w:hanging="0"/>
              <w:rPr/>
            </w:pPr>
            <w:r>
              <w:rPr/>
              <w:t> </w:t>
            </w:r>
          </w:p>
        </w:tc>
        <w:tc>
          <w:tcPr>
            <w:tcW w:w="17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w:t>
            </w:r>
          </w:p>
        </w:tc>
        <w:tc>
          <w:tcPr>
            <w:tcW w:w="129" w:type="dxa"/>
            <w:tcBorders/>
            <w:shd w:fill="auto" w:val="clear"/>
            <w:vAlign w:val="bottom"/>
          </w:tcPr>
          <w:p>
            <w:pPr>
              <w:pStyle w:val="TableContents"/>
              <w:spacing w:before="0" w:after="0"/>
              <w:ind w:left="0" w:right="0" w:hanging="0"/>
              <w:rPr/>
            </w:pPr>
            <w:r>
              <w:rPr/>
              <w:t> </w:t>
            </w:r>
          </w:p>
        </w:tc>
      </w:tr>
      <w:tr>
        <w:trPr/>
        <w:tc>
          <w:tcPr>
            <w:tcW w:w="8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20" w:type="dxa"/>
            <w:tcBorders/>
            <w:shd w:fill="CCEEFF" w:val="clear"/>
            <w:vAlign w:val="bottom"/>
          </w:tcPr>
          <w:p>
            <w:pPr>
              <w:pStyle w:val="TableContents"/>
              <w:spacing w:before="0" w:after="0"/>
              <w:ind w:left="0" w:right="0" w:hanging="0"/>
              <w:rPr/>
            </w:pPr>
            <w:r>
              <w:rPr/>
              <w:t> </w:t>
            </w:r>
          </w:p>
        </w:tc>
        <w:tc>
          <w:tcPr>
            <w:tcW w:w="17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9" w:type="dxa"/>
            <w:tcBorders/>
            <w:shd w:fill="CCEEFF" w:val="clear"/>
            <w:vAlign w:val="bottom"/>
          </w:tcPr>
          <w:p>
            <w:pPr>
              <w:pStyle w:val="TableContents"/>
              <w:spacing w:before="0" w:after="0"/>
              <w:ind w:left="0" w:right="0" w:hanging="0"/>
              <w:rPr/>
            </w:pPr>
            <w:r>
              <w:rPr/>
              <w:t> </w:t>
            </w:r>
          </w:p>
        </w:tc>
      </w:tr>
      <w:tr>
        <w:trPr/>
        <w:tc>
          <w:tcPr>
            <w:tcW w:w="8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20" w:type="dxa"/>
            <w:tcBorders/>
            <w:shd w:fill="auto" w:val="clear"/>
            <w:vAlign w:val="bottom"/>
          </w:tcPr>
          <w:p>
            <w:pPr>
              <w:pStyle w:val="TableContents"/>
              <w:spacing w:before="0" w:after="0"/>
              <w:ind w:left="0" w:right="0" w:hanging="0"/>
              <w:rPr/>
            </w:pPr>
            <w:r>
              <w:rPr/>
              <w:t> </w:t>
            </w:r>
          </w:p>
        </w:tc>
        <w:tc>
          <w:tcPr>
            <w:tcW w:w="17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9" w:type="dxa"/>
            <w:tcBorders/>
            <w:shd w:fill="auto" w:val="clear"/>
            <w:vAlign w:val="bottom"/>
          </w:tcPr>
          <w:p>
            <w:pPr>
              <w:pStyle w:val="TableContents"/>
              <w:spacing w:before="0" w:after="0"/>
              <w:ind w:left="0" w:right="0" w:hanging="0"/>
              <w:rPr/>
            </w:pPr>
            <w:r>
              <w:rPr/>
              <w:t> </w:t>
            </w:r>
          </w:p>
        </w:tc>
      </w:tr>
      <w:tr>
        <w:trPr/>
        <w:tc>
          <w:tcPr>
            <w:tcW w:w="8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20" w:type="dxa"/>
            <w:tcBorders/>
            <w:shd w:fill="CCEEFF" w:val="clear"/>
            <w:vAlign w:val="bottom"/>
          </w:tcPr>
          <w:p>
            <w:pPr>
              <w:pStyle w:val="TableContents"/>
              <w:spacing w:before="0" w:after="0"/>
              <w:ind w:left="0" w:right="0" w:hanging="0"/>
              <w:rPr/>
            </w:pPr>
            <w:r>
              <w:rPr/>
              <w:t> </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2,766</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2012 Annual Report on Form 10-K for further discussion regarding such risks that may impact our liquidity and capital resources.  Usage of our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3" w:name="PB_38_121355_2897"/>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operating activities, including the impact of varying market conditions and the timing of settlement of our derivative activities, see Liquidity and Capital ResourcesCash Flow from Operations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three months of 2013 was approximately $979 million. The cash provided by operating activities reflects cash generated by our recurring operations, and can also be significantly impacted in periods when we are increasing or decreasing the amount of inventory in storage.  During the first quarter of 2013, we decreased the amount of our inventory.  The decrease in inventory was primarily due to the sale of NGL inventory related to higher product demand caused by increases in (i) heating requirements during an extended winter season, (ii) export activity that reduced overall product availability in the market and (iii) petrochemical demand.  The net proceeds received from liquidation of such inventory during the quarter were used to repay borrowings under our credit facilities and favorably impacted our cash flow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three months of 2012 was approximately $317 million. During the first quarter of 2012, we decreased our NGL inventory resulting from end users demand for heating requirements during the winter heating season. The cash flow generated from liquidating our NGL inventory for the first three months of 2012 was partially offset by increasing our crude oil inventory levels primarily due to storing barrels in the contango market.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NGL business and contango market activities,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March 31, 2013, we had approximately $1.8 billion of unsold securities available under the Traditional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access to a universal shelf registration statement (WKSI Shelf), which provides us with the ability to offer and sell an unlimited amount of debt and equity securities, subject to market conditions and our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(PNG Shelf) that, subject to effectiveness at the time of use, allows PNG to issue up to an aggregate of $1.0 billion of debt or equity securities. All issuances of equity securities associated with PNGs continuous offering program, as discussed further below, have been issued pursuant to the PNG Shelf. At March 31, 2013, PNG had approximately $999 million of unsold securities available under the PNG Shelf.</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months ended March 31, 2013, we issued an aggregate of approximately 2.4 million common units under our continuous offering program, generating net proceeds of approximately $131 million, including our general partners proportionate capital contribution. The net proceeds from sales were used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Sales of such common units will be made by means of ordinary brokers transactions on the NYSE at market prices, in block transactions or as otherwise agreed upon by the sales agent and PNG. Under the terms of the agreement, PNG has the option to sell common units to the sales agent as principal for its own account at a price to be agreed upon at the time of the sale. For any such sales, PNG will enter into a separate terms agreement with the sales agent.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4" w:name="PB_39_121415_3020"/>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2013, PNG issued an aggregate of approximately 57,000 common units under this agreement, generating net proceeds of approximately $1.2 million, including our proportionate capital contribution for our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w:t>
      </w:r>
      <w:r>
        <w:rPr>
          <w:rFonts w:ascii="Times New Roman" w:hAnsi="Times New Roman"/>
          <w:sz w:val="17"/>
        </w:rPr>
        <w:t>During the three months ended March 31, 2013, we had net repayments on our credit agreements, which include our revolving credit facilities and our hedged inventory facility, in the aggregate of approximately $380 million. These net repayments resulted primarily from cash flows from operating activities, such as sales of NGL inventory that was liquidated during the period as well as our debt and equity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months ended March 31, 2012, we had net borrowings on our credit agreements in the aggregate of approximately $104 million.  These net borrowings resulted primarily when we increased our crude oil inventory levels related to storing barrels in the contango market, which more than offset the normal seasonal decrease in NGL inventory.  For further discussion related to our credit facilities and long-term debt, see Cash Flows from Operating Activities above and Liquidity and Capital ResourcesCredit Facilities and Indentures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the operating and financing activities discussed above.  See Internal Growth Projects above and Acquisitions and Internal Growth Projects under Item 7 of our 2012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acquisitions and the timing of certain cash payments, the net cash paid may differ significantly from the total price of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May 15, 2013, we will pay a quarterly distribution of $0.5750 per limited partner unit.  This distribution represents a year-over-year distribution increase of approximately 10.0%.  See Note 9 to our condensed consolidated financial statements for details of distributions paid.  Also, see Item 5. Market for Registrants Common Units, Related Unitholder Matters and Issuer Purchases of Equity SecuritiesCash Distribution Policy included in our 2012 Annual Report on Form 10-K for additional discussion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$12 million for distributions to noncontrolling interests during each of the three months ended March 31, 2013 and 2012.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5" w:name="PB_40_122254_7056"/>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March 31,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00"/>
        <w:gridCol w:w="213"/>
        <w:gridCol w:w="114"/>
        <w:gridCol w:w="667"/>
        <w:gridCol w:w="213"/>
        <w:gridCol w:w="114"/>
        <w:gridCol w:w="667"/>
        <w:gridCol w:w="213"/>
        <w:gridCol w:w="114"/>
        <w:gridCol w:w="667"/>
        <w:gridCol w:w="213"/>
        <w:gridCol w:w="114"/>
        <w:gridCol w:w="667"/>
        <w:gridCol w:w="213"/>
        <w:gridCol w:w="114"/>
        <w:gridCol w:w="666"/>
        <w:gridCol w:w="213"/>
        <w:gridCol w:w="114"/>
        <w:gridCol w:w="679"/>
        <w:gridCol w:w="213"/>
        <w:gridCol w:w="114"/>
        <w:gridCol w:w="676"/>
        <w:gridCol w:w="127"/>
      </w:tblGrid>
      <w:tr>
        <w:trPr/>
        <w:tc>
          <w:tcPr>
            <w:tcW w:w="3100"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0"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9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 and</w:t>
            </w:r>
          </w:p>
        </w:tc>
        <w:tc>
          <w:tcPr>
            <w:tcW w:w="21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r>
      <w:tr>
        <w:trPr/>
        <w:tc>
          <w:tcPr>
            <w:tcW w:w="3100"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13" w:type="dxa"/>
            <w:tcBorders/>
            <w:shd w:fill="auto" w:val="clear"/>
            <w:vAlign w:val="bottom"/>
          </w:tcPr>
          <w:p>
            <w:pPr>
              <w:pStyle w:val="TableContents"/>
              <w:spacing w:before="0" w:after="0"/>
              <w:ind w:left="0" w:right="0" w:hanging="0"/>
              <w:jc w:val="center"/>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213" w:type="dxa"/>
            <w:tcBorders/>
            <w:shd w:fill="auto" w:val="clear"/>
            <w:vAlign w:val="bottom"/>
          </w:tcPr>
          <w:p>
            <w:pPr>
              <w:pStyle w:val="TableContents"/>
              <w:spacing w:before="0" w:after="0"/>
              <w:ind w:left="0" w:right="0" w:hanging="0"/>
              <w:jc w:val="center"/>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13"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3100" w:type="dxa"/>
            <w:tcBorders/>
            <w:shd w:fill="CCEEFF" w:val="clear"/>
            <w:vAlign w:val="bottom"/>
          </w:tcPr>
          <w:p>
            <w:pPr>
              <w:pStyle w:val="TableContents"/>
              <w:spacing w:before="0" w:after="0"/>
              <w:ind w:left="0" w:right="0" w:hanging="0"/>
              <w:rPr/>
            </w:pPr>
            <w:r>
              <w:rPr>
                <w:rFonts w:ascii="Times New Roman" w:hAnsi="Times New Roman"/>
                <w:sz w:val="17"/>
              </w:rPr>
              <w:t xml:space="preserve">Long-term debt, including current maturities and related interest payments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873</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666</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7,359</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10,531</w:t>
            </w:r>
          </w:p>
        </w:tc>
        <w:tc>
          <w:tcPr>
            <w:tcW w:w="127" w:type="dxa"/>
            <w:tcBorders/>
            <w:shd w:fill="CCEEFF" w:val="clear"/>
            <w:vAlign w:val="bottom"/>
          </w:tcPr>
          <w:p>
            <w:pPr>
              <w:pStyle w:val="TableContents"/>
              <w:spacing w:before="0" w:after="0"/>
              <w:ind w:left="0" w:right="0" w:hanging="0"/>
              <w:rPr/>
            </w:pPr>
            <w:r>
              <w:rPr/>
              <w:t> </w:t>
            </w:r>
          </w:p>
        </w:tc>
      </w:tr>
      <w:tr>
        <w:trPr/>
        <w:tc>
          <w:tcPr>
            <w:tcW w:w="3100" w:type="dxa"/>
            <w:tcBorders/>
            <w:shd w:fill="auto" w:val="clear"/>
            <w:vAlign w:val="bottom"/>
          </w:tcPr>
          <w:p>
            <w:pPr>
              <w:pStyle w:val="TableContents"/>
              <w:spacing w:before="0" w:after="0"/>
              <w:ind w:left="0" w:right="0" w:hanging="0"/>
              <w:rPr/>
            </w:pPr>
            <w:r>
              <w:rPr>
                <w:rFonts w:ascii="Times New Roman" w:hAnsi="Times New Roman"/>
                <w:sz w:val="17"/>
              </w:rPr>
              <w:t xml:space="preserve">Leases </w:t>
            </w:r>
            <w:r>
              <w:rPr>
                <w:sz w:val="11"/>
              </w:rPr>
              <w:t>(2)</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3"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3"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w:t>
            </w:r>
          </w:p>
        </w:tc>
        <w:tc>
          <w:tcPr>
            <w:tcW w:w="21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127" w:type="dxa"/>
            <w:tcBorders/>
            <w:shd w:fill="auto" w:val="clear"/>
            <w:vAlign w:val="bottom"/>
          </w:tcPr>
          <w:p>
            <w:pPr>
              <w:pStyle w:val="TableContents"/>
              <w:spacing w:before="0" w:after="0"/>
              <w:ind w:left="0" w:right="0" w:hanging="0"/>
              <w:rPr/>
            </w:pPr>
            <w:r>
              <w:rPr/>
              <w:t> </w:t>
            </w:r>
          </w:p>
        </w:tc>
      </w:tr>
      <w:tr>
        <w:trPr/>
        <w:tc>
          <w:tcPr>
            <w:tcW w:w="3100" w:type="dxa"/>
            <w:tcBorders/>
            <w:shd w:fill="CCEEFF" w:val="clear"/>
            <w:vAlign w:val="bottom"/>
          </w:tcPr>
          <w:p>
            <w:pPr>
              <w:pStyle w:val="TableContents"/>
              <w:spacing w:before="0" w:after="0"/>
              <w:ind w:left="0" w:right="0" w:hanging="0"/>
              <w:rPr/>
            </w:pPr>
            <w:r>
              <w:rPr>
                <w:rFonts w:ascii="Times New Roman" w:hAnsi="Times New Roman"/>
                <w:sz w:val="17"/>
              </w:rPr>
              <w:t xml:space="preserve">Other obligations </w:t>
            </w:r>
            <w:r>
              <w:rPr>
                <w:sz w:val="11"/>
              </w:rPr>
              <w:t>(3)</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3" w:type="dxa"/>
            <w:tcBorders/>
            <w:shd w:fill="CCEEFF"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3"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644</w:t>
            </w:r>
          </w:p>
        </w:tc>
        <w:tc>
          <w:tcPr>
            <w:tcW w:w="127" w:type="dxa"/>
            <w:tcBorders/>
            <w:shd w:fill="CCEEFF" w:val="clear"/>
            <w:vAlign w:val="bottom"/>
          </w:tcPr>
          <w:p>
            <w:pPr>
              <w:pStyle w:val="TableContents"/>
              <w:spacing w:before="0" w:after="0"/>
              <w:ind w:left="0" w:right="0" w:hanging="0"/>
              <w:rPr/>
            </w:pPr>
            <w:r>
              <w:rPr/>
              <w:t> </w:t>
            </w:r>
          </w:p>
        </w:tc>
      </w:tr>
      <w:tr>
        <w:trPr/>
        <w:tc>
          <w:tcPr>
            <w:tcW w:w="31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552</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924</w:t>
            </w:r>
          </w:p>
        </w:tc>
        <w:tc>
          <w:tcPr>
            <w:tcW w:w="213"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13"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7,885</w:t>
            </w:r>
          </w:p>
        </w:tc>
        <w:tc>
          <w:tcPr>
            <w:tcW w:w="21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12,085</w:t>
            </w:r>
          </w:p>
        </w:tc>
        <w:tc>
          <w:tcPr>
            <w:tcW w:w="127" w:type="dxa"/>
            <w:tcBorders/>
            <w:shd w:fill="auto" w:val="clear"/>
            <w:vAlign w:val="bottom"/>
          </w:tcPr>
          <w:p>
            <w:pPr>
              <w:pStyle w:val="TableContents"/>
              <w:spacing w:before="0" w:after="0"/>
              <w:ind w:left="0" w:right="0" w:hanging="0"/>
              <w:rPr/>
            </w:pPr>
            <w:r>
              <w:rPr/>
              <w:t> </w:t>
            </w:r>
          </w:p>
        </w:tc>
      </w:tr>
      <w:tr>
        <w:trPr/>
        <w:tc>
          <w:tcPr>
            <w:tcW w:w="3100" w:type="dxa"/>
            <w:tcBorders/>
            <w:shd w:fill="CCEEFF" w:val="clear"/>
            <w:vAlign w:val="bottom"/>
          </w:tcPr>
          <w:p>
            <w:pPr>
              <w:pStyle w:val="TableContents"/>
              <w:spacing w:before="0" w:after="0"/>
              <w:ind w:left="0" w:right="0" w:hanging="0"/>
              <w:rPr/>
            </w:pPr>
            <w:r>
              <w:rPr>
                <w:rFonts w:ascii="Times New Roman" w:hAnsi="Times New Roman"/>
                <w:sz w:val="17"/>
              </w:rPr>
              <w:t xml:space="preserve">Crude oil, natural gas, NGL and other purchases </w:t>
            </w:r>
            <w:r>
              <w:rPr>
                <w:sz w:val="11"/>
              </w:rPr>
              <w:t>(4)</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7,051</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1,878</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1,798</w:t>
            </w:r>
          </w:p>
        </w:tc>
        <w:tc>
          <w:tcPr>
            <w:tcW w:w="213" w:type="dxa"/>
            <w:tcBorders/>
            <w:shd w:fill="CCEEFF"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1,324</w:t>
            </w:r>
          </w:p>
        </w:tc>
        <w:tc>
          <w:tcPr>
            <w:tcW w:w="213"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2,794</w:t>
            </w:r>
          </w:p>
        </w:tc>
        <w:tc>
          <w:tcPr>
            <w:tcW w:w="213"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17,745</w:t>
            </w:r>
          </w:p>
        </w:tc>
        <w:tc>
          <w:tcPr>
            <w:tcW w:w="127" w:type="dxa"/>
            <w:tcBorders/>
            <w:shd w:fill="CCEEFF" w:val="clear"/>
            <w:vAlign w:val="bottom"/>
          </w:tcPr>
          <w:p>
            <w:pPr>
              <w:pStyle w:val="TableContents"/>
              <w:spacing w:before="0" w:after="0"/>
              <w:ind w:left="0" w:right="0" w:hanging="0"/>
              <w:rPr/>
            </w:pPr>
            <w:r>
              <w:rPr/>
              <w:t> </w:t>
            </w:r>
          </w:p>
        </w:tc>
      </w:tr>
      <w:tr>
        <w:trPr/>
        <w:tc>
          <w:tcPr>
            <w:tcW w:w="31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7,967</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3,452</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2,722</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2,089</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10,679</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29,830</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interest payments and the commitment fee on the PNG credit agreement and the commitment fee on our PAA credit facilities.  Although there is an outstanding balance on our PAA credit facilities at March 31, 2013,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including projected contributions for our share of the capital spending of our equity-method investments.  Excludes a non-current liability of approximately $22 million related to derivative activity included in Crude oil, natural gas, NGL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March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March 31, 2013 and December 31, 2012, we had outstanding letters of credit of approximately $56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6" w:name="PB_41_120759_7056"/>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factors could cause actual results or outcomes to differ materially from the results or outcomes anticipated in the forward-looking statements.  The most important of these factors include, but are not limited to:</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7" w:name="PB_42_120932_5335"/>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Item 1A of our 2012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QUANTITATIVE AND QUALITATIVE DISCLOSURES ABOUT MARKET RISK</w:t>
      </w:r>
      <w:bookmarkStart w:id="68" w:name="Item3_QuantitativeAndQualitativeD_181620"/>
      <w:bookmarkEnd w:id="6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 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stored inventory and to manage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 for further discussion regarding our hedging strategies and objectives.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9" w:name="PB_43_121204_5796"/>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March 31, 2013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4"/>
        <w:gridCol w:w="207"/>
        <w:gridCol w:w="243"/>
        <w:gridCol w:w="1124"/>
        <w:gridCol w:w="221"/>
        <w:gridCol w:w="260"/>
        <w:gridCol w:w="1254"/>
        <w:gridCol w:w="221"/>
        <w:gridCol w:w="263"/>
        <w:gridCol w:w="1261"/>
        <w:gridCol w:w="147"/>
      </w:tblGrid>
      <w:tr>
        <w:trPr/>
        <w:tc>
          <w:tcPr>
            <w:tcW w:w="500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7" w:type="dxa"/>
            <w:gridSpan w:val="2"/>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7" w:type="dxa"/>
            <w:tcBorders/>
            <w:shd w:fill="auto" w:val="clear"/>
            <w:vAlign w:val="bottom"/>
          </w:tcPr>
          <w:p>
            <w:pPr>
              <w:pStyle w:val="TableContents"/>
              <w:spacing w:before="0" w:after="0"/>
              <w:ind w:left="0" w:right="0" w:hanging="0"/>
              <w:jc w:val="center"/>
              <w:rPr/>
            </w:pPr>
            <w:r>
              <w:rPr/>
              <w:t> </w:t>
            </w:r>
          </w:p>
        </w:tc>
      </w:tr>
      <w:tr>
        <w:trPr/>
        <w:tc>
          <w:tcPr>
            <w:tcW w:w="500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1" w:type="dxa"/>
            <w:tcBorders/>
            <w:shd w:fill="auto" w:val="clear"/>
            <w:vAlign w:val="bottom"/>
          </w:tcPr>
          <w:p>
            <w:pPr>
              <w:pStyle w:val="TableContents"/>
              <w:spacing w:before="0" w:after="0"/>
              <w:ind w:left="0" w:right="0" w:hanging="0"/>
              <w:jc w:val="center"/>
              <w:rPr/>
            </w:pPr>
            <w:r>
              <w:rPr/>
              <w:t> </w:t>
            </w:r>
          </w:p>
        </w:tc>
        <w:tc>
          <w:tcPr>
            <w:tcW w:w="15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7" w:type="dxa"/>
            <w:tcBorders/>
            <w:shd w:fill="auto" w:val="clear"/>
            <w:vAlign w:val="bottom"/>
          </w:tcPr>
          <w:p>
            <w:pPr>
              <w:pStyle w:val="TableContents"/>
              <w:spacing w:before="0" w:after="0"/>
              <w:ind w:left="0" w:right="0" w:hanging="0"/>
              <w:jc w:val="center"/>
              <w:rPr/>
            </w:pPr>
            <w:r>
              <w:rPr/>
              <w:t> </w:t>
            </w:r>
          </w:p>
        </w:tc>
      </w:tr>
      <w:tr>
        <w:trPr/>
        <w:tc>
          <w:tcPr>
            <w:tcW w:w="5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and related products</w:t>
            </w:r>
          </w:p>
        </w:tc>
        <w:tc>
          <w:tcPr>
            <w:tcW w:w="207"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47" w:type="dxa"/>
            <w:tcBorders/>
            <w:shd w:fill="CCEEFF" w:val="clear"/>
            <w:vAlign w:val="bottom"/>
          </w:tcPr>
          <w:p>
            <w:pPr>
              <w:pStyle w:val="TableContents"/>
              <w:spacing w:before="0" w:after="0"/>
              <w:ind w:left="0" w:right="0" w:hanging="0"/>
              <w:rPr/>
            </w:pPr>
            <w:r>
              <w:rPr/>
              <w:t> </w:t>
            </w:r>
          </w:p>
        </w:tc>
      </w:tr>
      <w:tr>
        <w:trPr/>
        <w:tc>
          <w:tcPr>
            <w:tcW w:w="5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7" w:type="dxa"/>
            <w:tcBorders/>
            <w:shd w:fill="auto" w:val="clear"/>
            <w:vAlign w:val="bottom"/>
          </w:tcPr>
          <w:p>
            <w:pPr>
              <w:pStyle w:val="TableContents"/>
              <w:spacing w:before="0" w:after="0"/>
              <w:ind w:left="0" w:right="0" w:hanging="0"/>
              <w:rPr/>
            </w:pPr>
            <w:r>
              <w:rPr/>
              <w:t> </w:t>
            </w:r>
          </w:p>
        </w:tc>
        <w:tc>
          <w:tcPr>
            <w:tcW w:w="13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7" w:type="dxa"/>
            <w:tcBorders/>
            <w:shd w:fill="auto" w:val="clear"/>
            <w:vAlign w:val="bottom"/>
          </w:tcPr>
          <w:p>
            <w:pPr>
              <w:pStyle w:val="TableContents"/>
              <w:spacing w:before="0" w:after="0"/>
              <w:ind w:left="0" w:right="0" w:hanging="0"/>
              <w:rPr/>
            </w:pPr>
            <w:r>
              <w:rPr/>
              <w:t> </w:t>
            </w:r>
          </w:p>
        </w:tc>
      </w:tr>
      <w:tr>
        <w:trPr/>
        <w:tc>
          <w:tcPr>
            <w:tcW w:w="5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and other</w:t>
            </w:r>
          </w:p>
        </w:tc>
        <w:tc>
          <w:tcPr>
            <w:tcW w:w="207" w:type="dxa"/>
            <w:tcBorders/>
            <w:shd w:fill="CCEEFF" w:val="clear"/>
            <w:vAlign w:val="bottom"/>
          </w:tcPr>
          <w:p>
            <w:pPr>
              <w:pStyle w:val="TableContents"/>
              <w:spacing w:before="0" w:after="0"/>
              <w:ind w:left="0" w:right="0" w:hanging="0"/>
              <w:rPr/>
            </w:pPr>
            <w:r>
              <w:rPr/>
              <w:t> </w:t>
            </w:r>
          </w:p>
        </w:tc>
        <w:tc>
          <w:tcPr>
            <w:tcW w:w="13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1"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1"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7" w:type="dxa"/>
            <w:tcBorders/>
            <w:shd w:fill="auto" w:val="clear"/>
            <w:vAlign w:val="bottom"/>
          </w:tcPr>
          <w:p>
            <w:pPr>
              <w:pStyle w:val="TableContents"/>
              <w:spacing w:before="0" w:after="0"/>
              <w:ind w:left="0" w:right="0" w:hanging="0"/>
              <w:rPr/>
            </w:pPr>
            <w:r>
              <w:rPr/>
              <w:t> </w:t>
            </w:r>
          </w:p>
        </w:tc>
        <w:tc>
          <w:tcPr>
            <w:tcW w:w="2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1" w:type="dxa"/>
            <w:tcBorders/>
            <w:shd w:fill="auto" w:val="clear"/>
            <w:vAlign w:val="bottom"/>
          </w:tcPr>
          <w:p>
            <w:pPr>
              <w:pStyle w:val="TableContents"/>
              <w:spacing w:before="0" w:after="0"/>
              <w:ind w:left="0" w:right="0" w:hanging="0"/>
              <w:rPr/>
            </w:pPr>
            <w:r>
              <w:rPr/>
              <w:t> </w:t>
            </w:r>
          </w:p>
        </w:tc>
        <w:tc>
          <w:tcPr>
            <w:tcW w:w="151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524"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March 31, 2013, approximately $650 million (which excludes $100 million of variable rate debt when giving consideration to our interest rate derivatives that swap floating rate debt for fixed), is subject to interest rate re-sets, which range from one week to three months. The average interest rate of approximately 1.8% is based upon rates in effect during the three months ended March 31, 2013 without giving consideration to our interest rate swaps. The fair value of our interest rate derivatives is an unrealized loss of approximately $21 million as of March 31, 2013. A 10% increase in the forward LIBOR curve as of March 31, 2013 would result in an increase of approximately $25 million to the fair value of our interest rate derivatives. A 10% decrease in the forward LIBOR curve as of March 31, 2013 would result in a decrease of approximately $25 million to the fair value of our interest rate derivatives. See Note 11 to our condensed consolidated financial statements for a discussion of our interest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CONTROLS AND PROCEDURES</w:t>
      </w:r>
      <w:bookmarkStart w:id="70" w:name="Item4_ControlsAndProcedures_181628"/>
      <w:bookmarkEnd w:id="70"/>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1" w:name="PB_44_121446_2897"/>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2" w:name="Partii_OtherInformation_181634"/>
      <w:bookmarkEnd w:id="72"/>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73" w:name="Item1_LegalProceedings_181635"/>
      <w:bookmarkEnd w:id="7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12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74" w:name="Item1a_RiskFactors_181636"/>
      <w:bookmarkEnd w:id="7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75" w:name="Item2_UnregisteredSalesOfEquitySe_181638"/>
      <w:bookmarkEnd w:id="7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76" w:name="Item3_DefaultsUponSeniorSecuritie_181639"/>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77" w:name="Item4_MineSafetyDisclosures_181640"/>
      <w:bookmarkEnd w:id="7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78" w:name="Item5_OtherInformation_181641"/>
      <w:bookmarkEnd w:id="7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79" w:name="Item6_Exhibits_181643"/>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80" w:name="PB_45_121521_3020"/>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1" w:name="Signatures_181724"/>
      <w:bookmarkEnd w:id="81"/>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8, 2013</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8, 2013</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82" w:name="PB_46_122156_5335"/>
      <w:bookmarkEnd w:id="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36"/>
        <w:gridCol w:w="515"/>
        <w:gridCol w:w="8454"/>
      </w:tblGrid>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dated as of May 17, 2012 (incorporated by reference to Exhibit 3.1 to the Current Report on Form 8-K filed May 23, 2012).</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236"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83" w:name="PB_47_122537_5796"/>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35"/>
        <w:gridCol w:w="514"/>
        <w:gridCol w:w="8456"/>
      </w:tblGrid>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Twenty-Second Supplemental Indenture (2.85% Senior Notes due 2023) dated December 10, 2012, by and among Plains All American Pipeline, L.P., PAA Finance Corp., and U.S. Bank National Association, as trustee (incorporated by reference to Exhibit 4.1 to the Current Report on Form 8-K filed December 12, 2012).</w:t>
            </w:r>
          </w:p>
        </w:tc>
      </w:tr>
      <w:tr>
        <w:trPr/>
        <w:tc>
          <w:tcPr>
            <w:tcW w:w="123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Twenty-Third Supplemental Indenture (4.30% Senior Notes due 2043) dated December 10, 2012, by and among Plains All American Pipeline, L.P., PAA Finance Corp., and U.S. Bank National Association, as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84" w:name="PB_48_122550_2897"/>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37"/>
        <w:gridCol w:w="514"/>
        <w:gridCol w:w="8454"/>
      </w:tblGrid>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trustee (incorporated by reference to Exhibit 4.3 to the Current Report on Form 8-K filed December 12, 2012).</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1</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PAA LTIP Grant Letter for Officers (February 2013).</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237"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Furnished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85" w:name="PB_49_122803_3020"/>
      <w:bookmarkEnd w:id="85"/>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6" w:name="a13-8241_1ex10d1.htm"/>
      <w:bookmarkStart w:id="87" w:name="ksa138241_1ex10d1"/>
      <w:bookmarkEnd w:id="86"/>
      <w:bookmarkEnd w:id="87"/>
      <w:r>
        <w:rPr>
          <w:rFonts w:ascii="Times New Roman" w:hAnsi="Times New Roman"/>
          <w:b/>
          <w:sz w:val="17"/>
        </w:rPr>
        <w:t>Exhibit 10.1</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401"/>
        <w:gridCol w:w="2371"/>
        <w:gridCol w:w="103"/>
        <w:gridCol w:w="4330"/>
      </w:tblGrid>
      <w:tr>
        <w:trPr/>
        <w:tc>
          <w:tcPr>
            <w:tcW w:w="3401" w:type="dxa"/>
            <w:tcBorders/>
            <w:shd w:fill="auto" w:val="clear"/>
          </w:tcPr>
          <w:p>
            <w:pPr>
              <w:pStyle w:val="TableContents"/>
              <w:spacing w:before="0" w:after="0"/>
              <w:ind w:left="0" w:right="0" w:hanging="0"/>
              <w:rPr/>
            </w:pPr>
            <w:r>
              <w:rPr/>
              <w:t> </w:t>
            </w:r>
          </w:p>
        </w:tc>
        <w:tc>
          <w:tcPr>
            <w:tcW w:w="2371" w:type="dxa"/>
            <w:tcBorders/>
            <w:shd w:fill="auto" w:val="clear"/>
          </w:tcPr>
          <w:p>
            <w:pPr>
              <w:pStyle w:val="TableContents"/>
              <w:spacing w:before="0" w:after="0"/>
              <w:ind w:left="0" w:right="0" w:hanging="0"/>
              <w:jc w:val="right"/>
              <w:rPr/>
            </w:pPr>
            <w:r>
              <w:rPr/>
              <w:drawing>
                <wp:inline distT="0" distB="0" distL="0" distR="0">
                  <wp:extent cx="9144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23900"/>
                          </a:xfrm>
                          <a:prstGeom prst="rect">
                            <a:avLst/>
                          </a:prstGeom>
                        </pic:spPr>
                      </pic:pic>
                    </a:graphicData>
                  </a:graphic>
                </wp:inline>
              </w:drawing>
            </w:r>
          </w:p>
        </w:tc>
        <w:tc>
          <w:tcPr>
            <w:tcW w:w="103" w:type="dxa"/>
            <w:tcBorders/>
            <w:shd w:fill="auto" w:val="clear"/>
            <w:vAlign w:val="center"/>
          </w:tcPr>
          <w:p>
            <w:pPr>
              <w:pStyle w:val="TableContents"/>
              <w:spacing w:before="0" w:after="0"/>
              <w:ind w:left="0" w:right="0" w:hanging="0"/>
              <w:rPr/>
            </w:pPr>
            <w:r>
              <w:rPr/>
              <w:t> </w:t>
            </w:r>
          </w:p>
        </w:tc>
        <w:tc>
          <w:tcPr>
            <w:tcW w:w="4330" w:type="dxa"/>
            <w:tcBorders/>
            <w:shd w:fill="auto" w:val="clear"/>
            <w:vAlign w:val="center"/>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PLAINS</w:t>
            </w:r>
          </w:p>
          <w:p>
            <w:pPr>
              <w:pStyle w:val="TableContents"/>
              <w:spacing w:before="0" w:after="0"/>
              <w:ind w:left="0" w:right="0" w:hanging="0"/>
              <w:rPr>
                <w:rFonts w:ascii="Times New Roman" w:hAnsi="Times New Roman"/>
                <w:sz w:val="17"/>
              </w:rPr>
            </w:pPr>
            <w:r>
              <w:rPr>
                <w:rFonts w:ascii="Times New Roman" w:hAnsi="Times New Roman"/>
                <w:sz w:val="17"/>
              </w:rPr>
              <w:t>ALL AMERICAN</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February 21,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«First» «MI» «Last»</w:t>
      </w:r>
    </w:p>
    <w:p>
      <w:pPr>
        <w:pStyle w:val="TextBody"/>
        <w:spacing w:before="0" w:after="0"/>
        <w:ind w:left="0" w:right="0" w:hanging="0"/>
        <w:rPr>
          <w:rFonts w:ascii="Times New Roman" w:hAnsi="Times New Roman"/>
          <w:sz w:val="17"/>
        </w:rPr>
      </w:pPr>
      <w:r>
        <w:rPr>
          <w:rFonts w:ascii="Times New Roman" w:hAnsi="Times New Roman"/>
          <w:sz w:val="17"/>
        </w:rPr>
        <w:t>«Address1»</w:t>
      </w:r>
    </w:p>
    <w:p>
      <w:pPr>
        <w:pStyle w:val="TextBody"/>
        <w:spacing w:before="0" w:after="0"/>
        <w:ind w:left="0" w:right="0" w:hanging="0"/>
        <w:rPr>
          <w:rFonts w:ascii="Times New Roman" w:hAnsi="Times New Roman"/>
          <w:sz w:val="17"/>
        </w:rPr>
      </w:pPr>
      <w:r>
        <w:rPr>
          <w:rFonts w:ascii="Times New Roman" w:hAnsi="Times New Roman"/>
          <w:sz w:val="17"/>
        </w:rPr>
        <w:t>«City» «State» «Zip»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Re:</w:t>
      </w:r>
      <w:r>
        <w:rPr>
          <w:rFonts w:ascii="Times New Roman" w:hAnsi="Times New Roman"/>
        </w:rPr>
        <w:t xml:space="preserve">                             </w:t>
      </w:r>
      <w:r>
        <w:rPr>
          <w:rFonts w:ascii="Times New Roman" w:hAnsi="Times New Roman"/>
          <w:sz w:val="17"/>
        </w:rPr>
        <w:t>Grant of Phantom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«First»: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am pleased to inform you that you have been granted «Units» Phantom Units as of the above date pursuant to the Companys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Subject to the further provisions of this Agreement, your Phantom Units shall vest (become payable in the form of one Common Unit of PAA for each Phantom Unit) as follows: (i) one-third shall vest upon the later to occur of the August 2016 Distribution Date and the date on which the Partnership pays an annualized quarterly distribution of at least $2.35 per unit, (ii) one-third shall vest upon the later to occur of the August 2017 Distribution Date and the date on which the Partnership pays an annualized quarterly distribution of at least $2.50 per unit, and (iii) one-third shall vest upon the later to occur of the August 2018 Distribution Date and the date on which the Partnership pays an annualized quarterly distribution of at least $2.65 per unit.  Any remaining Phantom Units that are not vested by the August 2019 Distribution Date, and any tandem DERs (regardless of vesting) associated with such Phantom Units, shall expire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Subject to the further provisions of this Agreement, your DERs shall vest (become payable in cash) as follows: (i) one-third shall vest upon and effective with the date on which the Partnership pays an annualized quarterly distribution of at least $2.35 per unit, (ii) one-third shall vest upon and effective with date on which the Partnership pays an annualized quarterly distribution of at least $2.50 per unit, and (iii) one-third shall vest upon and effective with the date on which the Partnership pays an annualized quarterly distribution of at least $2.65 per unit.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Your DERs shall not accrue payments prior to vesting.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number of Phantom Units subject to this award and any distribution level required for vesting under paragraphs 1 or 2 above shall be proportionately reduced</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 increased for any split or reverse split, respectively, of the Units, or any event or transaction having similar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In the event of the termination of your employment with the Company and its Affiliates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5 above; and (iii) any unvested Phantom Units that have satisfied none of the vesting criteria as of the date of termination, and any tandem DERs (regardless of vesting) associated with such Phantom Units, shall automatically be forfeited as of the date of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sz w:val="17"/>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and tandem DERs shall not be forfeited on such date, and (i) such DERs shall vest in accordance with paragraph 2 above and expire in accordance with paragraph 1 or paragraph 5 above, as applicable, and  (ii) such Phantom Units shall vest or expire in accordance with paragraph 1 above; provided, however, 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7, payment will be made in cash in an amount equal to the Market Value of the number of Phantom Units vesting.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sz w:val="17"/>
        </w:rPr>
        <w:t>In the event of a Change in Status, all of your then outstanding Phantom Units and tandem DERs shall be deemed 100% nonforfeitable on such date, and such Phantom Units shall vest in full upon the next Distribution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88" w:name="PB_2_024435_7056"/>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sz w:val="17"/>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shall not be a Change in Status unless (1) you provide written notice to the Company of the condition in (B)(i)(ii) or (iii) that would constitute a Change in Status within 90 days of the initial existence of the condition and (2) the Company fails to remedy the condition within the 30-day period following such notice.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of Control means, and shall be deemed to have occurred upon the occurrence of, one or more of the following events:  (i) the Company ceasing to retain direct or indirect control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  Notwithstanding the foregoing, no Change of Control shall be deemed to have occurred in connection with a restructuring or reorganization related to a securitization and sale to the public of direct or indirect equity interests in the general partner if (x) the Company retains direct or indirect control over the general partner and (y) the Persons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89" w:name="PB_3_024447_5335"/>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who own membership interests in the Company on the date hereof continue to beneficially own, directly or indirectly, more than 50% of the membership interest in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or (ii) violation of the Companys Code of Business Conduct (unless waived in accordance with the terms thereof), in each case, with the specific failure or violation described to you in writing.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Terms used herein that are not defined herein shall have the meanings set forth in the Plan or, if not defined in the Plan, in the Fourth Amended and Restated Agreement of Limited Partnership of Plains All American Pipeline, L.P., as amended (the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signing below, you agree that the Phantom Units and DERs granted hereunder are governed by the terms of the Plan.  Copies of the Plan and the Partnership Agreement are available upon request.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0" w:name="PB_4_024515_5796"/>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7"/>
        <w:gridCol w:w="4434"/>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&amp; General Counsel</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Beneficiary Designation</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362"/>
        <w:gridCol w:w="205"/>
        <w:gridCol w:w="2062"/>
        <w:gridCol w:w="205"/>
        <w:gridCol w:w="2269"/>
        <w:gridCol w:w="102"/>
      </w:tblGrid>
      <w:tr>
        <w:trPr/>
        <w:tc>
          <w:tcPr>
            <w:tcW w:w="536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Primary Beneficiary Name</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06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Relationship</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26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 (Must total 100%)</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5362"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jc w:val="center"/>
              <w:rPr/>
            </w:pPr>
            <w:r>
              <w:rPr/>
              <w:t> </w:t>
            </w:r>
          </w:p>
        </w:tc>
        <w:tc>
          <w:tcPr>
            <w:tcW w:w="2062" w:type="dxa"/>
            <w:tcBorders/>
            <w:shd w:fill="CCEEFF" w:val="clear"/>
            <w:tcMar>
              <w:bottom w:w="0" w:type="dxa"/>
            </w:tcMar>
            <w:vAlign w:val="bottom"/>
          </w:tcPr>
          <w:p>
            <w:pPr>
              <w:pStyle w:val="TableContents"/>
              <w:spacing w:before="0" w:after="0"/>
              <w:ind w:left="0" w:right="0" w:hanging="0"/>
              <w:jc w:val="center"/>
              <w:rPr/>
            </w:pPr>
            <w:r>
              <w:rPr/>
              <w:t> </w:t>
            </w:r>
          </w:p>
        </w:tc>
        <w:tc>
          <w:tcPr>
            <w:tcW w:w="205" w:type="dxa"/>
            <w:tcBorders/>
            <w:shd w:fill="CCEEFF" w:val="clear"/>
            <w:tcMar>
              <w:bottom w:w="0" w:type="dxa"/>
            </w:tcMar>
            <w:vAlign w:val="bottom"/>
          </w:tcPr>
          <w:p>
            <w:pPr>
              <w:pStyle w:val="TableContents"/>
              <w:spacing w:before="0" w:after="0"/>
              <w:ind w:left="0" w:right="0" w:hanging="0"/>
              <w:jc w:val="center"/>
              <w:rPr/>
            </w:pPr>
            <w:r>
              <w:rPr/>
              <w:t> </w:t>
            </w:r>
          </w:p>
        </w:tc>
        <w:tc>
          <w:tcPr>
            <w:tcW w:w="2269" w:type="dxa"/>
            <w:tcBorders/>
            <w:shd w:fill="CCEEFF" w:val="clear"/>
            <w:tcMar>
              <w:bottom w:w="0" w:type="dxa"/>
            </w:tcMar>
            <w:vAlign w:val="bottom"/>
          </w:tcPr>
          <w:p>
            <w:pPr>
              <w:pStyle w:val="TableContents"/>
              <w:spacing w:before="0" w:after="0"/>
              <w:ind w:left="0" w:right="0" w:hanging="0"/>
              <w:jc w:val="center"/>
              <w:rPr/>
            </w:pPr>
            <w:r>
              <w:rPr/>
              <w:t> </w:t>
            </w:r>
          </w:p>
        </w:tc>
        <w:tc>
          <w:tcPr>
            <w:tcW w:w="102" w:type="dxa"/>
            <w:tcBorders/>
            <w:shd w:fill="CCEEFF" w:val="clear"/>
            <w:tcMar>
              <w:bottom w:w="0" w:type="dxa"/>
            </w:tcMar>
            <w:vAlign w:val="bottom"/>
          </w:tcPr>
          <w:p>
            <w:pPr>
              <w:pStyle w:val="TableContents"/>
              <w:spacing w:before="0" w:after="0"/>
              <w:ind w:left="0" w:right="0" w:hanging="0"/>
              <w:jc w:val="center"/>
              <w:rPr/>
            </w:pPr>
            <w:r>
              <w:rPr/>
              <w:t> </w:t>
            </w:r>
          </w:p>
        </w:tc>
      </w:tr>
      <w:tr>
        <w:trPr/>
        <w:tc>
          <w:tcPr>
            <w:tcW w:w="5362" w:type="dxa"/>
            <w:tcBorders/>
            <w:shd w:fill="auto" w:val="clear"/>
            <w:tcMar>
              <w:bottom w:w="0" w:type="dxa"/>
            </w:tcMar>
            <w:vAlign w:val="bottom"/>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062" w:type="dxa"/>
            <w:tcBorders/>
            <w:shd w:fill="auto" w:val="clear"/>
            <w:tcMar>
              <w:bottom w:w="0" w:type="dxa"/>
            </w:tcMar>
            <w:vAlign w:val="bottom"/>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2269" w:type="dxa"/>
            <w:tcBorders/>
            <w:shd w:fill="auto" w:val="clear"/>
            <w:tcMar>
              <w:bottom w:w="0" w:type="dxa"/>
            </w:tcMar>
            <w:vAlign w:val="bottom"/>
          </w:tcPr>
          <w:p>
            <w:pPr>
              <w:pStyle w:val="TableContents"/>
              <w:spacing w:before="0" w:after="0"/>
              <w:ind w:left="0" w:right="0" w:hanging="0"/>
              <w:jc w:val="center"/>
              <w:rPr/>
            </w:pPr>
            <w:r>
              <w:rPr/>
              <w:t> </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5362"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jc w:val="center"/>
              <w:rPr/>
            </w:pPr>
            <w:r>
              <w:rPr/>
              <w:t> </w:t>
            </w:r>
          </w:p>
        </w:tc>
        <w:tc>
          <w:tcPr>
            <w:tcW w:w="2062" w:type="dxa"/>
            <w:tcBorders/>
            <w:shd w:fill="CCEEFF" w:val="clear"/>
            <w:tcMar>
              <w:bottom w:w="0" w:type="dxa"/>
            </w:tcMar>
            <w:vAlign w:val="bottom"/>
          </w:tcPr>
          <w:p>
            <w:pPr>
              <w:pStyle w:val="TableContents"/>
              <w:spacing w:before="0" w:after="0"/>
              <w:ind w:left="0" w:right="0" w:hanging="0"/>
              <w:jc w:val="center"/>
              <w:rPr/>
            </w:pPr>
            <w:r>
              <w:rPr/>
              <w:t> </w:t>
            </w:r>
          </w:p>
        </w:tc>
        <w:tc>
          <w:tcPr>
            <w:tcW w:w="205" w:type="dxa"/>
            <w:tcBorders/>
            <w:shd w:fill="CCEEFF" w:val="clear"/>
            <w:tcMar>
              <w:bottom w:w="0" w:type="dxa"/>
            </w:tcMar>
            <w:vAlign w:val="bottom"/>
          </w:tcPr>
          <w:p>
            <w:pPr>
              <w:pStyle w:val="TableContents"/>
              <w:spacing w:before="0" w:after="0"/>
              <w:ind w:left="0" w:right="0" w:hanging="0"/>
              <w:jc w:val="center"/>
              <w:rPr/>
            </w:pPr>
            <w:r>
              <w:rPr/>
              <w:t> </w:t>
            </w:r>
          </w:p>
        </w:tc>
        <w:tc>
          <w:tcPr>
            <w:tcW w:w="2269" w:type="dxa"/>
            <w:tcBorders/>
            <w:shd w:fill="CCEEFF" w:val="clear"/>
            <w:tcMar>
              <w:bottom w:w="0" w:type="dxa"/>
            </w:tcMar>
            <w:vAlign w:val="bottom"/>
          </w:tcPr>
          <w:p>
            <w:pPr>
              <w:pStyle w:val="TableContents"/>
              <w:spacing w:before="0" w:after="0"/>
              <w:ind w:left="0" w:right="0" w:hanging="0"/>
              <w:jc w:val="center"/>
              <w:rPr/>
            </w:pPr>
            <w:r>
              <w:rPr/>
              <w:t> </w:t>
            </w:r>
          </w:p>
        </w:tc>
        <w:tc>
          <w:tcPr>
            <w:tcW w:w="102" w:type="dxa"/>
            <w:tcBorders/>
            <w:shd w:fill="CCEEFF" w:val="clear"/>
            <w:tcMar>
              <w:bottom w:w="0" w:type="dxa"/>
            </w:tcMar>
            <w:vAlign w:val="bottom"/>
          </w:tcPr>
          <w:p>
            <w:pPr>
              <w:pStyle w:val="TableContents"/>
              <w:spacing w:before="0" w:after="0"/>
              <w:ind w:left="0" w:right="0" w:hanging="0"/>
              <w:jc w:val="center"/>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314"/>
        <w:gridCol w:w="207"/>
        <w:gridCol w:w="2083"/>
        <w:gridCol w:w="207"/>
        <w:gridCol w:w="2291"/>
        <w:gridCol w:w="103"/>
      </w:tblGrid>
      <w:tr>
        <w:trPr/>
        <w:tc>
          <w:tcPr>
            <w:tcW w:w="531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Secondary Beneficiary Name</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208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Relationship</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229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 (Must total 100%)</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5314" w:type="dxa"/>
            <w:tcBorders/>
            <w:shd w:fill="CCEEFF" w:val="clear"/>
            <w:tcMar>
              <w:bottom w:w="0" w:type="dxa"/>
            </w:tcMar>
            <w:vAlign w:val="bottom"/>
          </w:tcPr>
          <w:p>
            <w:pPr>
              <w:pStyle w:val="TableContents"/>
              <w:spacing w:before="0" w:after="0"/>
              <w:ind w:left="0" w:right="0" w:hanging="0"/>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2083"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2291" w:type="dxa"/>
            <w:tcBorders/>
            <w:shd w:fill="CCEEFF" w:val="clear"/>
            <w:tcMar>
              <w:bottom w:w="0" w:type="dxa"/>
            </w:tcMar>
            <w:vAlign w:val="bottom"/>
          </w:tcPr>
          <w:p>
            <w:pPr>
              <w:pStyle w:val="TableContents"/>
              <w:spacing w:before="0" w:after="0"/>
              <w:ind w:left="0" w:right="0" w:hanging="0"/>
              <w:jc w:val="center"/>
              <w:rPr/>
            </w:pPr>
            <w:r>
              <w:rPr/>
              <w:t> </w:t>
            </w:r>
          </w:p>
        </w:tc>
        <w:tc>
          <w:tcPr>
            <w:tcW w:w="103" w:type="dxa"/>
            <w:tcBorders/>
            <w:shd w:fill="CCEEFF" w:val="clear"/>
            <w:tcMar>
              <w:bottom w:w="0" w:type="dxa"/>
            </w:tcMar>
            <w:vAlign w:val="bottom"/>
          </w:tcPr>
          <w:p>
            <w:pPr>
              <w:pStyle w:val="TableContents"/>
              <w:spacing w:before="0" w:after="0"/>
              <w:ind w:left="0" w:right="0" w:hanging="0"/>
              <w:jc w:val="center"/>
              <w:rPr/>
            </w:pPr>
            <w:r>
              <w:rPr/>
              <w:t> </w:t>
            </w:r>
          </w:p>
        </w:tc>
      </w:tr>
      <w:tr>
        <w:trPr/>
        <w:tc>
          <w:tcPr>
            <w:tcW w:w="5314"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2083" w:type="dxa"/>
            <w:tcBorders/>
            <w:shd w:fill="auto" w:val="clear"/>
            <w:tcMar>
              <w:bottom w:w="0" w:type="dxa"/>
            </w:tcMar>
            <w:vAlign w:val="bottom"/>
          </w:tcPr>
          <w:p>
            <w:pPr>
              <w:pStyle w:val="TableContents"/>
              <w:spacing w:before="0" w:after="0"/>
              <w:ind w:left="0" w:right="0" w:hanging="0"/>
              <w:jc w:val="center"/>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2291" w:type="dxa"/>
            <w:tcBorders/>
            <w:shd w:fill="auto" w:val="clear"/>
            <w:tcMar>
              <w:bottom w:w="0" w:type="dxa"/>
            </w:tcMar>
            <w:vAlign w:val="bottom"/>
          </w:tcPr>
          <w:p>
            <w:pPr>
              <w:pStyle w:val="TableContents"/>
              <w:spacing w:before="0" w:after="0"/>
              <w:ind w:left="0" w:right="0" w:hanging="0"/>
              <w:jc w:val="center"/>
              <w:rPr/>
            </w:pPr>
            <w:r>
              <w:rPr/>
              <w:t> </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5314" w:type="dxa"/>
            <w:tcBorders/>
            <w:shd w:fill="CCEEFF" w:val="clear"/>
            <w:tcMar>
              <w:bottom w:w="0" w:type="dxa"/>
            </w:tcMar>
            <w:vAlign w:val="bottom"/>
          </w:tcPr>
          <w:p>
            <w:pPr>
              <w:pStyle w:val="TableContents"/>
              <w:spacing w:before="0" w:after="0"/>
              <w:ind w:left="0" w:right="0" w:hanging="0"/>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2083"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2291" w:type="dxa"/>
            <w:tcBorders/>
            <w:shd w:fill="CCEEFF" w:val="clear"/>
            <w:tcMar>
              <w:bottom w:w="0" w:type="dxa"/>
            </w:tcMar>
            <w:vAlign w:val="bottom"/>
          </w:tcPr>
          <w:p>
            <w:pPr>
              <w:pStyle w:val="TableContents"/>
              <w:spacing w:before="0" w:after="0"/>
              <w:ind w:left="0" w:right="0" w:hanging="0"/>
              <w:jc w:val="center"/>
              <w:rPr/>
            </w:pPr>
            <w:r>
              <w:rPr/>
              <w:t> </w:t>
            </w:r>
          </w:p>
        </w:tc>
        <w:tc>
          <w:tcPr>
            <w:tcW w:w="103" w:type="dxa"/>
            <w:tcBorders/>
            <w:shd w:fill="CCEEFF" w:val="clear"/>
            <w:tcMar>
              <w:bottom w:w="0" w:type="dxa"/>
            </w:tcMar>
            <w:vAlign w:val="bottom"/>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Check this box only if designation does not apply to prior grants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24"/>
        <w:gridCol w:w="4166"/>
        <w:gridCol w:w="208"/>
        <w:gridCol w:w="5207"/>
      </w:tblGrid>
      <w:tr>
        <w:trPr/>
        <w:tc>
          <w:tcPr>
            <w:tcW w:w="47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«MI» «Last»</w:t>
            </w:r>
          </w:p>
        </w:tc>
        <w:tc>
          <w:tcPr>
            <w:tcW w:w="208" w:type="dxa"/>
            <w:tcBorders/>
            <w:shd w:fill="auto" w:val="clear"/>
          </w:tcPr>
          <w:p>
            <w:pPr>
              <w:pStyle w:val="TableContents"/>
              <w:spacing w:before="0" w:after="0"/>
              <w:ind w:left="0" w:right="0" w:hanging="0"/>
              <w:rPr/>
            </w:pPr>
            <w:r>
              <w:rPr/>
              <w:t> </w:t>
            </w:r>
          </w:p>
        </w:tc>
        <w:tc>
          <w:tcPr>
            <w:tcW w:w="5207" w:type="dxa"/>
            <w:tcBorders/>
            <w:shd w:fill="auto" w:val="clear"/>
          </w:tcPr>
          <w:p>
            <w:pPr>
              <w:pStyle w:val="TableContents"/>
              <w:spacing w:before="0" w:after="0"/>
              <w:ind w:left="0" w:right="0" w:hanging="0"/>
              <w:rPr/>
            </w:pPr>
            <w:r>
              <w:rPr/>
              <w:t> </w:t>
            </w:r>
          </w:p>
        </w:tc>
      </w:tr>
      <w:tr>
        <w:trPr/>
        <w:tc>
          <w:tcPr>
            <w:tcW w:w="624" w:type="dxa"/>
            <w:tcBorders/>
            <w:shd w:fill="auto" w:val="clear"/>
          </w:tcPr>
          <w:p>
            <w:pPr>
              <w:pStyle w:val="TableContents"/>
              <w:spacing w:before="0" w:after="0"/>
              <w:ind w:left="0" w:right="0" w:hanging="0"/>
              <w:rPr/>
            </w:pPr>
            <w:r>
              <w:rPr/>
              <w:t> </w:t>
            </w:r>
          </w:p>
        </w:tc>
        <w:tc>
          <w:tcPr>
            <w:tcW w:w="416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5207" w:type="dxa"/>
            <w:tcBorders/>
            <w:shd w:fill="auto" w:val="clear"/>
          </w:tcPr>
          <w:p>
            <w:pPr>
              <w:pStyle w:val="TableContents"/>
              <w:spacing w:before="0" w:after="0"/>
              <w:ind w:left="0" w:right="0" w:hanging="0"/>
              <w:rPr/>
            </w:pPr>
            <w:r>
              <w:rPr/>
              <w:t> </w:t>
            </w:r>
          </w:p>
        </w:tc>
      </w:tr>
      <w:tr>
        <w:trPr/>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Units:</w:t>
            </w:r>
          </w:p>
        </w:tc>
        <w:tc>
          <w:tcPr>
            <w:tcW w:w="4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«Units»</w:t>
            </w:r>
          </w:p>
        </w:tc>
        <w:tc>
          <w:tcPr>
            <w:tcW w:w="208" w:type="dxa"/>
            <w:tcBorders/>
            <w:shd w:fill="auto" w:val="clear"/>
          </w:tcPr>
          <w:p>
            <w:pPr>
              <w:pStyle w:val="TableContents"/>
              <w:spacing w:before="0" w:after="0"/>
              <w:ind w:left="0" w:right="0" w:hanging="0"/>
              <w:rPr/>
            </w:pPr>
            <w:r>
              <w:rPr/>
              <w:t> </w:t>
            </w:r>
          </w:p>
        </w:tc>
        <w:tc>
          <w:tcPr>
            <w:tcW w:w="5207" w:type="dxa"/>
            <w:tcBorders/>
            <w:shd w:fill="auto" w:val="clear"/>
          </w:tcPr>
          <w:p>
            <w:pPr>
              <w:pStyle w:val="TableContents"/>
              <w:spacing w:before="0" w:after="0"/>
              <w:ind w:left="0" w:right="0" w:hanging="0"/>
              <w:rPr/>
            </w:pPr>
            <w:r>
              <w:rPr/>
              <w:t> </w:t>
            </w:r>
          </w:p>
        </w:tc>
      </w:tr>
      <w:tr>
        <w:trPr/>
        <w:tc>
          <w:tcPr>
            <w:tcW w:w="624" w:type="dxa"/>
            <w:tcBorders/>
            <w:shd w:fill="auto" w:val="clear"/>
          </w:tcPr>
          <w:p>
            <w:pPr>
              <w:pStyle w:val="TableContents"/>
              <w:spacing w:before="0" w:after="0"/>
              <w:ind w:left="0" w:right="0" w:hanging="0"/>
              <w:rPr/>
            </w:pPr>
            <w:r>
              <w:rPr/>
              <w:t> </w:t>
            </w:r>
          </w:p>
        </w:tc>
        <w:tc>
          <w:tcPr>
            <w:tcW w:w="416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5207" w:type="dxa"/>
            <w:tcBorders/>
            <w:shd w:fill="auto" w:val="clear"/>
          </w:tcPr>
          <w:p>
            <w:pPr>
              <w:pStyle w:val="TableContents"/>
              <w:spacing w:before="0" w:after="0"/>
              <w:ind w:left="0" w:right="0" w:hanging="0"/>
              <w:rPr/>
            </w:pPr>
            <w:r>
              <w:rPr/>
              <w:t> </w:t>
            </w:r>
          </w:p>
        </w:tc>
      </w:tr>
      <w:tr>
        <w:trPr/>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Dated:</w:t>
            </w:r>
          </w:p>
        </w:tc>
        <w:tc>
          <w:tcPr>
            <w:tcW w:w="416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5207"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91" w:name="PB_5_025344_2897"/>
      <w:bookmarkEnd w:id="9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2" w:name="a13-8241_1ex12d1.htm"/>
      <w:bookmarkStart w:id="93" w:name="ksa138241_1ex12d1"/>
      <w:bookmarkEnd w:id="92"/>
      <w:bookmarkEnd w:id="93"/>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711"/>
        <w:gridCol w:w="186"/>
        <w:gridCol w:w="232"/>
        <w:gridCol w:w="1003"/>
        <w:gridCol w:w="221"/>
        <w:gridCol w:w="148"/>
        <w:gridCol w:w="656"/>
        <w:gridCol w:w="221"/>
        <w:gridCol w:w="148"/>
        <w:gridCol w:w="656"/>
        <w:gridCol w:w="221"/>
        <w:gridCol w:w="148"/>
        <w:gridCol w:w="563"/>
        <w:gridCol w:w="220"/>
        <w:gridCol w:w="148"/>
        <w:gridCol w:w="563"/>
        <w:gridCol w:w="221"/>
        <w:gridCol w:w="148"/>
        <w:gridCol w:w="563"/>
        <w:gridCol w:w="228"/>
      </w:tblGrid>
      <w:tr>
        <w:trPr/>
        <w:tc>
          <w:tcPr>
            <w:tcW w:w="3711" w:type="dxa"/>
            <w:tcBorders/>
            <w:shd w:fill="FFFFFF" w:val="clear"/>
            <w:vAlign w:val="bottom"/>
          </w:tcPr>
          <w:p>
            <w:pPr>
              <w:pStyle w:val="TableContents"/>
              <w:spacing w:before="0" w:after="0"/>
              <w:ind w:left="0" w:right="0" w:hanging="0"/>
              <w:rPr/>
            </w:pPr>
            <w:r>
              <w:rPr/>
              <w:t> </w:t>
            </w:r>
          </w:p>
        </w:tc>
        <w:tc>
          <w:tcPr>
            <w:tcW w:w="186" w:type="dxa"/>
            <w:tcBorders/>
            <w:shd w:fill="FFFFFF" w:val="clear"/>
            <w:vAlign w:val="bottom"/>
          </w:tcPr>
          <w:p>
            <w:pPr>
              <w:pStyle w:val="TableContents"/>
              <w:spacing w:before="0" w:after="0"/>
              <w:ind w:left="0" w:right="0" w:hanging="0"/>
              <w:rPr/>
            </w:pPr>
            <w:r>
              <w:rPr/>
              <w:t> </w:t>
            </w:r>
          </w:p>
        </w:tc>
        <w:tc>
          <w:tcPr>
            <w:tcW w:w="123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1" w:type="dxa"/>
            <w:tcBorders/>
            <w:shd w:fill="FFFFFF" w:val="clear"/>
            <w:vAlign w:val="bottom"/>
          </w:tcPr>
          <w:p>
            <w:pPr>
              <w:pStyle w:val="TableContents"/>
              <w:spacing w:before="0" w:after="0"/>
              <w:ind w:left="0" w:right="0" w:hanging="0"/>
              <w:rPr/>
            </w:pPr>
            <w:r>
              <w:rPr/>
              <w:t> </w:t>
            </w:r>
          </w:p>
        </w:tc>
        <w:tc>
          <w:tcPr>
            <w:tcW w:w="804"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804"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0"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8" w:type="dxa"/>
            <w:tcBorders/>
            <w:shd w:fill="FFFFFF" w:val="clear"/>
            <w:vAlign w:val="bottom"/>
          </w:tcPr>
          <w:p>
            <w:pPr>
              <w:pStyle w:val="TableContents"/>
              <w:spacing w:before="0" w:after="0"/>
              <w:ind w:left="0" w:right="0" w:hanging="0"/>
              <w:rPr/>
            </w:pPr>
            <w:r>
              <w:rPr/>
              <w:t> </w:t>
            </w:r>
          </w:p>
        </w:tc>
      </w:tr>
      <w:tr>
        <w:trPr/>
        <w:tc>
          <w:tcPr>
            <w:tcW w:w="3711" w:type="dxa"/>
            <w:tcBorders/>
            <w:shd w:fill="FFFFFF" w:val="clear"/>
            <w:vAlign w:val="bottom"/>
          </w:tcPr>
          <w:p>
            <w:pPr>
              <w:pStyle w:val="TableContents"/>
              <w:spacing w:before="0" w:after="0"/>
              <w:ind w:left="0" w:right="0" w:hanging="0"/>
              <w:rPr/>
            </w:pPr>
            <w:r>
              <w:rPr/>
              <w:t> </w:t>
            </w:r>
          </w:p>
        </w:tc>
        <w:tc>
          <w:tcPr>
            <w:tcW w:w="186" w:type="dxa"/>
            <w:tcBorders/>
            <w:shd w:fill="FFFFFF" w:val="clear"/>
            <w:vAlign w:val="bottom"/>
          </w:tcPr>
          <w:p>
            <w:pPr>
              <w:pStyle w:val="TableContents"/>
              <w:spacing w:before="0" w:after="0"/>
              <w:ind w:left="0" w:right="0" w:hanging="0"/>
              <w:rPr/>
            </w:pPr>
            <w:r>
              <w:rPr/>
              <w:t> </w:t>
            </w:r>
          </w:p>
        </w:tc>
        <w:tc>
          <w:tcPr>
            <w:tcW w:w="123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1" w:type="dxa"/>
            <w:tcBorders/>
            <w:shd w:fill="FFFFFF" w:val="clear"/>
            <w:vAlign w:val="bottom"/>
          </w:tcPr>
          <w:p>
            <w:pPr>
              <w:pStyle w:val="TableContents"/>
              <w:spacing w:before="0" w:after="0"/>
              <w:ind w:left="0" w:right="0" w:hanging="0"/>
              <w:rPr/>
            </w:pPr>
            <w:r>
              <w:rPr/>
              <w:t> </w:t>
            </w:r>
          </w:p>
        </w:tc>
        <w:tc>
          <w:tcPr>
            <w:tcW w:w="804"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804"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0"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1" w:type="dxa"/>
            <w:tcBorders/>
            <w:shd w:fill="FFFFFF" w:val="clear"/>
            <w:vAlign w:val="bottom"/>
          </w:tcPr>
          <w:p>
            <w:pPr>
              <w:pStyle w:val="TableContents"/>
              <w:spacing w:before="0" w:after="0"/>
              <w:ind w:left="0" w:right="0" w:hanging="0"/>
              <w:rPr/>
            </w:pPr>
            <w:r>
              <w:rPr/>
              <w:t> </w:t>
            </w:r>
          </w:p>
        </w:tc>
        <w:tc>
          <w:tcPr>
            <w:tcW w:w="711" w:type="dxa"/>
            <w:gridSpan w:val="2"/>
            <w:tcBorders/>
            <w:shd w:fill="FFFFFF" w:val="clear"/>
            <w:vAlign w:val="bottom"/>
          </w:tcPr>
          <w:p>
            <w:pPr>
              <w:pStyle w:val="TableContents"/>
              <w:spacing w:before="0" w:after="0"/>
              <w:ind w:left="0" w:right="0" w:hanging="0"/>
              <w:jc w:val="center"/>
              <w:rPr/>
            </w:pPr>
            <w:r>
              <w:rPr/>
              <w:t> </w:t>
            </w:r>
          </w:p>
        </w:tc>
        <w:tc>
          <w:tcPr>
            <w:tcW w:w="228" w:type="dxa"/>
            <w:tcBorders/>
            <w:shd w:fill="FFFFFF" w:val="clear"/>
            <w:vAlign w:val="bottom"/>
          </w:tcPr>
          <w:p>
            <w:pPr>
              <w:pStyle w:val="TableContents"/>
              <w:spacing w:before="0" w:after="0"/>
              <w:ind w:left="0" w:right="0" w:hanging="0"/>
              <w:rPr/>
            </w:pPr>
            <w:r>
              <w:rPr/>
              <w:t> </w:t>
            </w:r>
          </w:p>
        </w:tc>
      </w:tr>
      <w:tr>
        <w:trPr/>
        <w:tc>
          <w:tcPr>
            <w:tcW w:w="3711" w:type="dxa"/>
            <w:tcBorders/>
            <w:shd w:fill="FFFFFF" w:val="clear"/>
            <w:vAlign w:val="bottom"/>
          </w:tcPr>
          <w:p>
            <w:pPr>
              <w:pStyle w:val="TableContents"/>
              <w:spacing w:before="0" w:after="0"/>
              <w:ind w:left="0" w:right="0" w:hanging="0"/>
              <w:rPr/>
            </w:pPr>
            <w:r>
              <w:rPr/>
              <w:t> </w:t>
            </w:r>
          </w:p>
        </w:tc>
        <w:tc>
          <w:tcPr>
            <w:tcW w:w="186" w:type="dxa"/>
            <w:tcBorders/>
            <w:shd w:fill="FFFF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21" w:type="dxa"/>
            <w:tcBorders/>
            <w:shd w:fill="FFFFFF" w:val="clear"/>
            <w:vAlign w:val="bottom"/>
          </w:tcPr>
          <w:p>
            <w:pPr>
              <w:pStyle w:val="TableContents"/>
              <w:spacing w:before="0" w:after="0"/>
              <w:ind w:left="0" w:right="0" w:hanging="0"/>
              <w:rPr/>
            </w:pPr>
            <w:r>
              <w:rPr/>
              <w:t> </w:t>
            </w:r>
          </w:p>
        </w:tc>
        <w:tc>
          <w:tcPr>
            <w:tcW w:w="4624" w:type="dxa"/>
            <w:gridSpan w:val="1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28" w:type="dxa"/>
            <w:tcBorders/>
            <w:shd w:fill="FFFFFF" w:val="clear"/>
            <w:vAlign w:val="bottom"/>
          </w:tcPr>
          <w:p>
            <w:pPr>
              <w:pStyle w:val="TableContents"/>
              <w:spacing w:before="0" w:after="0"/>
              <w:ind w:left="0" w:right="0" w:hanging="0"/>
              <w:rPr/>
            </w:pPr>
            <w:r>
              <w:rPr/>
              <w:t> </w:t>
            </w:r>
          </w:p>
        </w:tc>
      </w:tr>
      <w:tr>
        <w:trPr/>
        <w:tc>
          <w:tcPr>
            <w:tcW w:w="3711" w:type="dxa"/>
            <w:tcBorders/>
            <w:shd w:fill="FFFFFF" w:val="clear"/>
            <w:vAlign w:val="bottom"/>
          </w:tcPr>
          <w:p>
            <w:pPr>
              <w:pStyle w:val="TableContents"/>
              <w:spacing w:before="0" w:after="0"/>
              <w:ind w:left="0" w:right="0" w:hanging="0"/>
              <w:rPr/>
            </w:pPr>
            <w:r>
              <w:rPr/>
              <w:t> </w:t>
            </w:r>
          </w:p>
        </w:tc>
        <w:tc>
          <w:tcPr>
            <w:tcW w:w="186" w:type="dxa"/>
            <w:tcBorders/>
            <w:shd w:fill="FFFF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FFFFFF" w:val="clear"/>
            <w:vAlign w:val="bottom"/>
          </w:tcPr>
          <w:p>
            <w:pPr>
              <w:pStyle w:val="TableContents"/>
              <w:spacing w:before="0" w:after="0"/>
              <w:ind w:left="0" w:right="0" w:hanging="0"/>
              <w:rPr/>
            </w:pPr>
            <w:r>
              <w:rPr/>
              <w:t> </w:t>
            </w:r>
          </w:p>
        </w:tc>
        <w:tc>
          <w:tcPr>
            <w:tcW w:w="80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804"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711"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0"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711"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1"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711" w:type="dxa"/>
            <w:gridSpan w:val="2"/>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8" w:type="dxa"/>
            <w:tcBorders/>
            <w:shd w:fill="FFFFFF"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86" w:type="dxa"/>
            <w:tcBorders/>
            <w:shd w:fill="auto" w:val="clear"/>
            <w:vAlign w:val="bottom"/>
          </w:tcPr>
          <w:p>
            <w:pPr>
              <w:pStyle w:val="TableContents"/>
              <w:spacing w:before="0" w:after="0"/>
              <w:ind w:left="0" w:right="0" w:hanging="0"/>
              <w:rPr/>
            </w:pPr>
            <w:r>
              <w:rPr/>
              <w:t> </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578</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20"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86"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86" w:type="dxa"/>
            <w:tcBorders/>
            <w:shd w:fill="auto"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86"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1,529</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2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pPr>
            <w:r>
              <w:rPr>
                <w:rFonts w:ascii="Times New Roman" w:hAnsi="Times New Roman"/>
                <w:sz w:val="17"/>
              </w:rPr>
              <w:t xml:space="preserve">Interest expensed and capitalized </w:t>
            </w:r>
            <w:r>
              <w:rPr>
                <w:b/>
                <w:sz w:val="11"/>
              </w:rPr>
              <w:t>(2)</w:t>
            </w:r>
          </w:p>
        </w:tc>
        <w:tc>
          <w:tcPr>
            <w:tcW w:w="186" w:type="dxa"/>
            <w:tcBorders/>
            <w:shd w:fill="auto" w:val="clear"/>
            <w:vAlign w:val="bottom"/>
          </w:tcPr>
          <w:p>
            <w:pPr>
              <w:pStyle w:val="TableContents"/>
              <w:spacing w:before="0" w:after="0"/>
              <w:ind w:left="0" w:right="0" w:hanging="0"/>
              <w:rPr/>
            </w:pPr>
            <w:r>
              <w:rPr/>
              <w:t> </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0"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1"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CCEEFF" w:val="clear"/>
            <w:vAlign w:val="bottom"/>
          </w:tcPr>
          <w:p>
            <w:pPr>
              <w:pStyle w:val="TableContents"/>
              <w:spacing w:before="0" w:after="0"/>
              <w:ind w:left="0" w:right="0" w:hanging="0"/>
              <w:rPr/>
            </w:pPr>
            <w:r>
              <w:rPr/>
              <w:t> </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86" w:type="dxa"/>
            <w:tcBorders/>
            <w:shd w:fill="auto"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0"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86"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1"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8" w:type="dxa"/>
            <w:tcBorders/>
            <w:shd w:fill="CCEEFF" w:val="clear"/>
            <w:vAlign w:val="bottom"/>
          </w:tcPr>
          <w:p>
            <w:pPr>
              <w:pStyle w:val="TableContents"/>
              <w:spacing w:before="0" w:after="0"/>
              <w:ind w:left="0" w:right="0" w:hanging="0"/>
              <w:rPr/>
            </w:pPr>
            <w:r>
              <w:rPr/>
              <w:t> </w:t>
            </w:r>
          </w:p>
        </w:tc>
      </w:tr>
      <w:tr>
        <w:trPr/>
        <w:tc>
          <w:tcPr>
            <w:tcW w:w="3711"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0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r>
      <w:tr>
        <w:trPr/>
        <w:tc>
          <w:tcPr>
            <w:tcW w:w="3711" w:type="dxa"/>
            <w:tcBorders/>
            <w:shd w:fill="CCEEFF" w:val="clear"/>
            <w:vAlign w:val="bottom"/>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186"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(2)</w:t>
      </w:r>
      <w:r>
        <w:rPr>
          <w:rFonts w:ascii="Times New Roman" w:hAnsi="Times New Roman"/>
        </w:rPr>
        <w:t xml:space="preserve">             </w:t>
      </w:r>
      <w:r>
        <w:rPr>
          <w:rFonts w:ascii="Times New Roman" w:hAnsi="Times New Roman"/>
          <w:sz w:val="17"/>
        </w:rPr>
        <w:t>Includes interest costs attributable to borrowings for hedged inventory purchases of $5 million for the three months ended March 31, 2013 and $12 million, $20 million, $17 million, $11 million and $21 million for the years ended December 31, 2012, 2011, 2010,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4" w:name="a13-8241_1ex31d1.htm"/>
      <w:bookmarkStart w:id="95" w:name="ksa138241_1ex31d1"/>
      <w:bookmarkEnd w:id="94"/>
      <w:bookmarkEnd w:id="95"/>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May 8,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3-8241_1ex31d2.htm"/>
      <w:bookmarkStart w:id="97" w:name="ksa138241_1ex31d2"/>
      <w:bookmarkEnd w:id="96"/>
      <w:bookmarkEnd w:id="97"/>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May 8, 2013</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8" w:name="a13-8241_1ex32d1.htm"/>
      <w:bookmarkStart w:id="99" w:name="ksa138241_1ex32d1"/>
      <w:bookmarkEnd w:id="98"/>
      <w:bookmarkEnd w:id="99"/>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March 31,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8, 2013</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0" w:name="a13-8241_1ex32d2.htm"/>
      <w:bookmarkStart w:id="101" w:name="ksa138241_1ex32d2"/>
      <w:bookmarkEnd w:id="100"/>
      <w:bookmarkEnd w:id="101"/>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March 31,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8, 2013</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27853</Words>
  <CharactersWithSpaces>177008</CharactersWithSpaces>
  <Paragraphs>7910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