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hyperlink w:anchor="TableOfContents">
        <w:bookmarkStart w:id="0" w:name="a13-19355_110q.htm"/>
        <w:bookmarkStart w:id="1" w:name="ksa1319355_110q"/>
        <w:bookmarkEnd w:id="0"/>
        <w:bookmarkEnd w:id="1"/>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pBdr/>
        <w:spacing w:before="0" w:after="0"/>
        <w:ind w:left="0" w:right="0" w:hanging="0"/>
        <w:rPr>
          <w:bdr w:val="single" w:sz="24" w:space="1" w:color="000000"/>
        </w:rPr>
      </w:pPr>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10-Q</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616"/>
        <w:gridCol w:w="9589"/>
      </w:tblGrid>
      <w:tr>
        <w:trPr/>
        <w:tc>
          <w:tcPr>
            <w:tcW w:w="616" w:type="dxa"/>
            <w:tcBorders/>
            <w:shd w:fill="auto" w:val="clear"/>
          </w:tcPr>
          <w:p>
            <w:pPr>
              <w:pStyle w:val="TableContents"/>
              <w:spacing w:before="0" w:after="0"/>
              <w:ind w:left="0" w:right="0" w:hanging="0"/>
              <w:jc w:val="center"/>
              <w:rPr>
                <w:rFonts w:ascii="Wingdings" w:hAnsi="Wingdings"/>
                <w:b/>
                <w:sz w:val="20"/>
              </w:rPr>
            </w:pPr>
            <w:r>
              <w:rPr>
                <w:rFonts w:ascii="Wingdings" w:hAnsi="Wingdings"/>
                <w:b/>
                <w:sz w:val="20"/>
              </w:rPr>
              <w:t>x</w:t>
            </w:r>
          </w:p>
        </w:tc>
        <w:tc>
          <w:tcPr>
            <w:tcW w:w="9589"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For the quarterly period ended September 30,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OR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617"/>
        <w:gridCol w:w="9588"/>
      </w:tblGrid>
      <w:tr>
        <w:trPr/>
        <w:tc>
          <w:tcPr>
            <w:tcW w:w="617" w:type="dxa"/>
            <w:tcBorders/>
            <w:shd w:fill="auto" w:val="clear"/>
          </w:tcPr>
          <w:p>
            <w:pPr>
              <w:pStyle w:val="TableContents"/>
              <w:spacing w:before="0" w:after="0"/>
              <w:ind w:left="0" w:right="0" w:hanging="0"/>
              <w:jc w:val="center"/>
              <w:rPr>
                <w:rFonts w:ascii="Wingdings" w:hAnsi="Wingdings"/>
                <w:b/>
                <w:sz w:val="20"/>
              </w:rPr>
            </w:pPr>
            <w:r>
              <w:rPr>
                <w:rFonts w:ascii="Wingdings" w:hAnsi="Wingdings"/>
                <w:b/>
                <w:sz w:val="20"/>
              </w:rPr>
              <w:t>o</w:t>
            </w:r>
          </w:p>
        </w:tc>
        <w:tc>
          <w:tcPr>
            <w:tcW w:w="9588"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Commission file number: 1-14569</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4999"/>
        <w:gridCol w:w="206"/>
        <w:gridCol w:w="5000"/>
      </w:tblGrid>
      <w:tr>
        <w:trPr/>
        <w:tc>
          <w:tcPr>
            <w:tcW w:w="4999"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499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499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 or organization)</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bl>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4999"/>
        <w:gridCol w:w="206"/>
        <w:gridCol w:w="5000"/>
      </w:tblGrid>
      <w:tr>
        <w:trPr/>
        <w:tc>
          <w:tcPr>
            <w:tcW w:w="4999"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499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w:t>
            </w:r>
          </w:p>
        </w:tc>
        <w:tc>
          <w:tcPr>
            <w:tcW w:w="206" w:type="dxa"/>
            <w:tcBorders/>
            <w:shd w:fill="auto" w:val="clear"/>
            <w:vAlign w:val="bottom"/>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(713) 646-4100</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0"/>
        <w:ind w:left="0" w:right="0" w:hanging="0"/>
        <w:jc w:val="center"/>
        <w:rPr/>
      </w:pPr>
      <w:r>
        <w:rPr/>
        <w:t> </w:t>
      </w:r>
    </w:p>
    <w:p>
      <w:pPr>
        <w:pStyle w:val="HorizontalLine"/>
        <w:pBdr>
          <w:bottom w:val="single" w:sz="6" w:space="0" w:color="00000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Wingdings" w:hAnsi="Wingdings"/>
          <w:sz w:val="17"/>
        </w:rPr>
        <w:t>x</w:t>
      </w:r>
      <w:r>
        <w:rPr>
          <w:rFonts w:ascii="Times New Roman" w:hAnsi="Times New Roman"/>
        </w:rPr>
        <w:t>  </w:t>
      </w:r>
      <w:r>
        <w:rPr>
          <w:rFonts w:ascii="Times New Roman" w:hAnsi="Times New Roman"/>
          <w:sz w:val="17"/>
        </w:rPr>
        <w:t>Yes   </w:t>
      </w:r>
      <w:r>
        <w:rPr>
          <w:rFonts w:ascii="Wingdings" w:hAnsi="Wingdings"/>
          <w:sz w:val="17"/>
        </w:rPr>
        <w:t>o</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pPr>
            <w:r>
              <w:rPr>
                <w:rFonts w:ascii="Times New Roman" w:hAnsi="Times New Roman"/>
                <w:sz w:val="17"/>
              </w:rPr>
              <w:t>Large accelerated filer  </w:t>
            </w:r>
            <w:r>
              <w:rPr>
                <w:rFonts w:ascii="Wingdings" w:hAnsi="Wingdings"/>
                <w:sz w:val="17"/>
              </w:rPr>
              <w:t>x</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rFonts w:ascii="Times New Roman" w:hAnsi="Times New Roman"/>
                <w:sz w:val="17"/>
              </w:rPr>
              <w:t>Accelerated filer  </w:t>
            </w:r>
            <w:r>
              <w:rPr>
                <w:rFonts w:ascii="Wingdings" w:hAnsi="Wingdings"/>
                <w:sz w:val="17"/>
              </w:rPr>
              <w:t>o</w:t>
            </w:r>
          </w:p>
        </w:tc>
      </w:tr>
      <w:tr>
        <w:trPr/>
        <w:tc>
          <w:tcPr>
            <w:tcW w:w="5001" w:type="dxa"/>
            <w:tcBorders/>
            <w:shd w:fill="auto" w:val="clear"/>
          </w:tcPr>
          <w:p>
            <w:pPr>
              <w:pStyle w:val="TableContents"/>
              <w:spacing w:before="0" w:after="0"/>
              <w:ind w:left="0" w:right="0" w:hanging="0"/>
              <w:jc w:val="center"/>
              <w:rPr/>
            </w:pPr>
            <w:r>
              <w:rPr/>
              <w:t> </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pPr>
            <w:r>
              <w:rPr>
                <w:rFonts w:ascii="Times New Roman" w:hAnsi="Times New Roman"/>
                <w:sz w:val="17"/>
              </w:rPr>
              <w:t>Non-accelerated filer  </w:t>
            </w:r>
            <w:r>
              <w:rPr>
                <w:rFonts w:ascii="Wingdings" w:hAnsi="Wingdings"/>
                <w:sz w:val="17"/>
              </w:rPr>
              <w:t>o</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rFonts w:ascii="Times New Roman" w:hAnsi="Times New Roman"/>
                <w:sz w:val="17"/>
              </w:rPr>
              <w:t>Smaller reporting company  </w:t>
            </w:r>
            <w:r>
              <w:rPr>
                <w:rFonts w:ascii="Wingdings" w:hAnsi="Wingdings"/>
                <w:sz w:val="17"/>
              </w:rPr>
              <w:t>o</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(Do not check if a smaller reporting company)</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Indicate by check mark whether the registrant is a shell company (as defined in Rule 12b-2 of the Exchange Act).  </w:t>
      </w:r>
      <w:r>
        <w:rPr>
          <w:rFonts w:ascii="Wingdings" w:hAnsi="Wingdings"/>
          <w:sz w:val="17"/>
        </w:rPr>
        <w:t>o</w:t>
      </w:r>
      <w:r>
        <w:rPr>
          <w:rFonts w:ascii="Times New Roman" w:hAnsi="Times New Roman"/>
        </w:rPr>
        <w:t xml:space="preserve">  </w:t>
      </w:r>
      <w:r>
        <w:rPr>
          <w:rFonts w:ascii="Times New Roman" w:hAnsi="Times New Roman"/>
          <w:sz w:val="17"/>
        </w:rPr>
        <w:t xml:space="preserve">Yes  </w:t>
      </w:r>
      <w:r>
        <w:rPr>
          <w:rFonts w:ascii="Wingdings" w:hAnsi="Wingdings"/>
          <w:sz w:val="17"/>
        </w:rPr>
        <w:t>x</w:t>
      </w:r>
      <w:r>
        <w:rPr>
          <w:rFonts w:ascii="Times New Roman" w:hAnsi="Times New Roman"/>
        </w:rPr>
        <w:t>  </w:t>
      </w:r>
      <w:r>
        <w:rPr>
          <w:rFonts w:ascii="Times New Roman" w:hAnsi="Times New Roman"/>
          <w:sz w:val="17"/>
        </w:rPr>
        <w:t>No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October 31, 2013, there were 342,950,166 Common Units outstanding.</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bookmarkStart w:id="2" w:name="TableOfContents"/>
      <w:bookmarkEnd w:id="2"/>
      <w:r>
        <w:rPr>
          <w:rFonts w:ascii="Times New Roman" w:hAnsi="Times New Roman"/>
          <w:b/>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587"/>
        <w:gridCol w:w="618"/>
      </w:tblGrid>
      <w:tr>
        <w:trPr/>
        <w:tc>
          <w:tcPr>
            <w:tcW w:w="9587" w:type="dxa"/>
            <w:tcBorders/>
            <w:shd w:fill="auto" w:val="clear"/>
            <w:vAlign w:val="bottom"/>
          </w:tcPr>
          <w:p>
            <w:pPr>
              <w:pStyle w:val="TableContents"/>
              <w:spacing w:before="0" w:after="0"/>
              <w:ind w:left="0" w:right="0" w:hanging="0"/>
              <w:rPr/>
            </w:pPr>
            <w:r>
              <w:rPr/>
              <w:t> </w:t>
            </w:r>
          </w:p>
        </w:tc>
        <w:tc>
          <w:tcPr>
            <w:tcW w:w="61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587" w:type="dxa"/>
            <w:tcBorders/>
            <w:shd w:fill="auto" w:val="clear"/>
          </w:tcPr>
          <w:p>
            <w:pPr>
              <w:pStyle w:val="TableContents"/>
              <w:spacing w:before="0" w:after="0"/>
              <w:ind w:left="0" w:right="0" w:hanging="0"/>
              <w:rPr/>
            </w:pPr>
            <w:hyperlink w:anchor="Parti_FinancialInformation_130636">
              <w:r>
                <w:rPr>
                  <w:rStyle w:val="InternetLink"/>
                  <w:rFonts w:ascii="Times New Roman" w:hAnsi="Times New Roman"/>
                  <w:b/>
                  <w:sz w:val="17"/>
                </w:rPr>
                <w:t>PART I. FINANCIAL INFORMATION</w:t>
              </w:r>
            </w:hyperlink>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Item1_CondensedConsolidatedFinanc_130640">
              <w:r>
                <w:rPr>
                  <w:rStyle w:val="InternetLink"/>
                  <w:rFonts w:ascii="Times New Roman" w:hAnsi="Times New Roman"/>
                  <w:sz w:val="17"/>
                </w:rPr>
                <w:t>Item 1. UNAUDITED CONDENSED CONSOLIDATED FINANCIAL STATEMENTS:</w:t>
              </w:r>
            </w:hyperlink>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CondensedConsolidatedBalanceSheet_130642">
              <w:r>
                <w:rPr>
                  <w:rStyle w:val="InternetLink"/>
                  <w:rFonts w:ascii="Times New Roman" w:hAnsi="Times New Roman"/>
                  <w:sz w:val="17"/>
                </w:rPr>
                <w:t>Condensed Consolidated Balance Sheets: September 30, 2013 and December 31, 2012</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587" w:type="dxa"/>
            <w:tcBorders/>
            <w:shd w:fill="auto" w:val="clear"/>
          </w:tcPr>
          <w:p>
            <w:pPr>
              <w:pStyle w:val="TableContents"/>
              <w:spacing w:before="0" w:after="0"/>
              <w:ind w:left="0" w:right="0" w:hanging="0"/>
              <w:rPr/>
            </w:pPr>
            <w:hyperlink w:anchor="CondensedConsolidatedStatementsOf_130645">
              <w:r>
                <w:rPr>
                  <w:rStyle w:val="InternetLink"/>
                  <w:rFonts w:ascii="Times New Roman" w:hAnsi="Times New Roman"/>
                  <w:sz w:val="17"/>
                </w:rPr>
                <w:t>Condensed Consolidated Statements of Operations: For the three and nine months ended September 30, 2013 and 2012</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9587" w:type="dxa"/>
            <w:tcBorders/>
            <w:shd w:fill="auto" w:val="clear"/>
          </w:tcPr>
          <w:p>
            <w:pPr>
              <w:pStyle w:val="TableContents"/>
              <w:spacing w:before="0" w:after="0"/>
              <w:ind w:left="0" w:right="0" w:hanging="0"/>
              <w:rPr/>
            </w:pPr>
            <w:hyperlink w:anchor="CondensedConsolidatedStatementsOf_130650">
              <w:r>
                <w:rPr>
                  <w:rStyle w:val="InternetLink"/>
                  <w:rFonts w:ascii="Times New Roman" w:hAnsi="Times New Roman"/>
                  <w:sz w:val="17"/>
                </w:rPr>
                <w:t>Condensed Consolidated Statements of Comprehensive Income: For the three and nine months ended September 30, 2013 and 2012</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7" w:type="dxa"/>
            <w:tcBorders/>
            <w:shd w:fill="auto" w:val="clear"/>
          </w:tcPr>
          <w:p>
            <w:pPr>
              <w:pStyle w:val="TableContents"/>
              <w:spacing w:before="0" w:after="0"/>
              <w:ind w:left="0" w:right="0" w:hanging="0"/>
              <w:rPr/>
            </w:pPr>
            <w:hyperlink w:anchor="CondensedConsolidatedStatementOf_130710">
              <w:r>
                <w:rPr>
                  <w:rStyle w:val="InternetLink"/>
                  <w:rFonts w:ascii="Times New Roman" w:hAnsi="Times New Roman"/>
                  <w:sz w:val="17"/>
                </w:rPr>
                <w:t>Condensed Consolidated Statement of Changes in Accumulated Other Comprehensive Income: For the nine months ended September 30, 2013</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7" w:type="dxa"/>
            <w:tcBorders/>
            <w:shd w:fill="auto" w:val="clear"/>
          </w:tcPr>
          <w:p>
            <w:pPr>
              <w:pStyle w:val="TableContents"/>
              <w:spacing w:before="0" w:after="0"/>
              <w:ind w:left="0" w:right="0" w:hanging="0"/>
              <w:rPr/>
            </w:pPr>
            <w:hyperlink w:anchor="CondensedConsolidatedStatementsOf_130716">
              <w:r>
                <w:rPr>
                  <w:rStyle w:val="InternetLink"/>
                  <w:rFonts w:ascii="Times New Roman" w:hAnsi="Times New Roman"/>
                  <w:sz w:val="17"/>
                </w:rPr>
                <w:t>Condensed Consolidated Statements of Cash Flows: For the nine months ended September 30, 2013 and 2012</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587" w:type="dxa"/>
            <w:tcBorders/>
            <w:shd w:fill="auto" w:val="clear"/>
          </w:tcPr>
          <w:p>
            <w:pPr>
              <w:pStyle w:val="TableContents"/>
              <w:spacing w:before="0" w:after="0"/>
              <w:ind w:left="0" w:right="0" w:hanging="0"/>
              <w:rPr/>
            </w:pPr>
            <w:hyperlink w:anchor="CondensedConsolidatedStatementOfP_130722">
              <w:r>
                <w:rPr>
                  <w:rStyle w:val="InternetLink"/>
                  <w:rFonts w:ascii="Times New Roman" w:hAnsi="Times New Roman"/>
                  <w:sz w:val="17"/>
                </w:rPr>
                <w:t>Condensed Consolidated Statement of Partners Capital: For the nine months ended September 30, 2013</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587" w:type="dxa"/>
            <w:tcBorders/>
            <w:shd w:fill="auto" w:val="clear"/>
          </w:tcPr>
          <w:p>
            <w:pPr>
              <w:pStyle w:val="TableContents"/>
              <w:spacing w:before="0" w:after="0"/>
              <w:ind w:left="0" w:right="0" w:hanging="0"/>
              <w:rPr/>
            </w:pPr>
            <w:hyperlink w:anchor="NotesToCondensedConsolidatedFinan_133026">
              <w:r>
                <w:rPr>
                  <w:rStyle w:val="InternetLink"/>
                  <w:rFonts w:ascii="Times New Roman" w:hAnsi="Times New Roman"/>
                  <w:sz w:val="17"/>
                </w:rPr>
                <w:t>Notes to Condensed Consolidated Financial Statements:</w:t>
              </w:r>
            </w:hyperlink>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Note1organizationAndBasisOfPresen_133040">
              <w:r>
                <w:rPr>
                  <w:rStyle w:val="InternetLink"/>
                  <w:rFonts w:ascii="Times New Roman" w:hAnsi="Times New Roman"/>
                  <w:sz w:val="17"/>
                </w:rPr>
                <w:t>1. Organization and Basis of Presentation</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9587" w:type="dxa"/>
            <w:tcBorders/>
            <w:shd w:fill="auto" w:val="clear"/>
          </w:tcPr>
          <w:p>
            <w:pPr>
              <w:pStyle w:val="TableContents"/>
              <w:spacing w:before="0" w:after="0"/>
              <w:ind w:left="0" w:right="0" w:hanging="0"/>
              <w:rPr/>
            </w:pPr>
            <w:hyperlink w:anchor="EcentAccountingPronouncements_133050">
              <w:r>
                <w:rPr>
                  <w:rStyle w:val="InternetLink"/>
                  <w:rFonts w:ascii="Times New Roman" w:hAnsi="Times New Roman"/>
                  <w:sz w:val="17"/>
                </w:rPr>
                <w:t>2. Recent Accounting Pronouncements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9587" w:type="dxa"/>
            <w:tcBorders/>
            <w:shd w:fill="auto" w:val="clear"/>
          </w:tcPr>
          <w:p>
            <w:pPr>
              <w:pStyle w:val="TableContents"/>
              <w:spacing w:before="0" w:after="0"/>
              <w:ind w:left="0" w:right="0" w:hanging="0"/>
              <w:rPr/>
            </w:pPr>
            <w:hyperlink w:anchor="AccountsReceivable_133059">
              <w:r>
                <w:rPr>
                  <w:rStyle w:val="InternetLink"/>
                  <w:rFonts w:ascii="Times New Roman" w:hAnsi="Times New Roman"/>
                  <w:sz w:val="17"/>
                </w:rPr>
                <w:t>3. Accounts Receivable</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9587" w:type="dxa"/>
            <w:tcBorders/>
            <w:shd w:fill="auto" w:val="clear"/>
          </w:tcPr>
          <w:p>
            <w:pPr>
              <w:pStyle w:val="TableContents"/>
              <w:spacing w:before="0" w:after="0"/>
              <w:ind w:left="0" w:right="0" w:hanging="0"/>
              <w:rPr/>
            </w:pPr>
            <w:hyperlink w:anchor="Dispositions_133111">
              <w:r>
                <w:rPr>
                  <w:rStyle w:val="InternetLink"/>
                  <w:rFonts w:ascii="Times New Roman" w:hAnsi="Times New Roman"/>
                  <w:sz w:val="17"/>
                </w:rPr>
                <w:t>4. Dispositions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9587" w:type="dxa"/>
            <w:tcBorders/>
            <w:shd w:fill="auto" w:val="clear"/>
          </w:tcPr>
          <w:p>
            <w:pPr>
              <w:pStyle w:val="TableContents"/>
              <w:spacing w:before="0" w:after="0"/>
              <w:ind w:left="0" w:right="0" w:hanging="0"/>
              <w:rPr/>
            </w:pPr>
            <w:hyperlink w:anchor="InventoryLinefillAndBaseGasAndLon_133117">
              <w:r>
                <w:rPr>
                  <w:rStyle w:val="InternetLink"/>
                  <w:rFonts w:ascii="Times New Roman" w:hAnsi="Times New Roman"/>
                  <w:sz w:val="17"/>
                </w:rPr>
                <w:t>5. Inventory, Linefill and Base Gas and Long-term Inventory</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587" w:type="dxa"/>
            <w:tcBorders/>
            <w:shd w:fill="auto" w:val="clear"/>
          </w:tcPr>
          <w:p>
            <w:pPr>
              <w:pStyle w:val="TableContents"/>
              <w:spacing w:before="0" w:after="0"/>
              <w:ind w:left="0" w:right="0" w:hanging="0"/>
              <w:rPr/>
            </w:pPr>
            <w:hyperlink w:anchor="Goodwill_133124">
              <w:r>
                <w:rPr>
                  <w:rStyle w:val="InternetLink"/>
                  <w:rFonts w:ascii="Times New Roman" w:hAnsi="Times New Roman"/>
                  <w:sz w:val="17"/>
                </w:rPr>
                <w:t>6. Goodwill</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r>
      <w:tr>
        <w:trPr/>
        <w:tc>
          <w:tcPr>
            <w:tcW w:w="9587" w:type="dxa"/>
            <w:tcBorders/>
            <w:shd w:fill="auto" w:val="clear"/>
          </w:tcPr>
          <w:p>
            <w:pPr>
              <w:pStyle w:val="TableContents"/>
              <w:spacing w:before="0" w:after="0"/>
              <w:ind w:left="0" w:right="0" w:hanging="0"/>
              <w:rPr/>
            </w:pPr>
            <w:hyperlink w:anchor="Debt_133128">
              <w:r>
                <w:rPr>
                  <w:rStyle w:val="InternetLink"/>
                  <w:rFonts w:ascii="Times New Roman" w:hAnsi="Times New Roman"/>
                  <w:sz w:val="17"/>
                </w:rPr>
                <w:t>7. Debt</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9587" w:type="dxa"/>
            <w:tcBorders/>
            <w:shd w:fill="auto" w:val="clear"/>
          </w:tcPr>
          <w:p>
            <w:pPr>
              <w:pStyle w:val="TableContents"/>
              <w:spacing w:before="0" w:after="0"/>
              <w:ind w:left="0" w:right="0" w:hanging="0"/>
              <w:rPr/>
            </w:pPr>
            <w:hyperlink w:anchor="NetIncomePerLimitedPartnerUnit_133135">
              <w:r>
                <w:rPr>
                  <w:rStyle w:val="InternetLink"/>
                  <w:rFonts w:ascii="Times New Roman" w:hAnsi="Times New Roman"/>
                  <w:sz w:val="17"/>
                </w:rPr>
                <w:t>8. Net Income Per Limited Partner Unit</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9587" w:type="dxa"/>
            <w:tcBorders/>
            <w:shd w:fill="auto" w:val="clear"/>
          </w:tcPr>
          <w:p>
            <w:pPr>
              <w:pStyle w:val="TableContents"/>
              <w:spacing w:before="0" w:after="0"/>
              <w:ind w:left="0" w:right="0" w:hanging="0"/>
              <w:rPr/>
            </w:pPr>
            <w:hyperlink w:anchor="Note9partnersCapitalAndDistributi_140556">
              <w:r>
                <w:rPr>
                  <w:rStyle w:val="InternetLink"/>
                  <w:rFonts w:ascii="Times New Roman" w:hAnsi="Times New Roman"/>
                  <w:sz w:val="17"/>
                </w:rPr>
                <w:t>9. Partners Capital and Distributions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r>
      <w:tr>
        <w:trPr/>
        <w:tc>
          <w:tcPr>
            <w:tcW w:w="9587" w:type="dxa"/>
            <w:tcBorders/>
            <w:shd w:fill="auto" w:val="clear"/>
          </w:tcPr>
          <w:p>
            <w:pPr>
              <w:pStyle w:val="TableContents"/>
              <w:spacing w:before="0" w:after="0"/>
              <w:ind w:left="0" w:right="0" w:hanging="0"/>
              <w:rPr/>
            </w:pPr>
            <w:hyperlink w:anchor="Note10equityindexedCompensationPl_140603">
              <w:r>
                <w:rPr>
                  <w:rStyle w:val="InternetLink"/>
                  <w:rFonts w:ascii="Times New Roman" w:hAnsi="Times New Roman"/>
                  <w:sz w:val="17"/>
                </w:rPr>
                <w:t>10. Equity Compensation Plans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9587" w:type="dxa"/>
            <w:tcBorders/>
            <w:shd w:fill="auto" w:val="clear"/>
          </w:tcPr>
          <w:p>
            <w:pPr>
              <w:pStyle w:val="TableContents"/>
              <w:spacing w:before="0" w:after="0"/>
              <w:ind w:left="0" w:right="0" w:hanging="0"/>
              <w:rPr/>
            </w:pPr>
            <w:hyperlink w:anchor="Note11derivativesAndRiskManagemen_140608">
              <w:r>
                <w:rPr>
                  <w:rStyle w:val="InternetLink"/>
                  <w:rFonts w:ascii="Times New Roman" w:hAnsi="Times New Roman"/>
                  <w:sz w:val="17"/>
                </w:rPr>
                <w:t>11. Derivatives and Risk Management Activities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9587" w:type="dxa"/>
            <w:tcBorders/>
            <w:shd w:fill="auto" w:val="clear"/>
          </w:tcPr>
          <w:p>
            <w:pPr>
              <w:pStyle w:val="TableContents"/>
              <w:spacing w:before="0" w:after="0"/>
              <w:ind w:left="0" w:right="0" w:hanging="0"/>
              <w:rPr/>
            </w:pPr>
            <w:hyperlink w:anchor="Note12commitmentsAndContingencies_141019">
              <w:r>
                <w:rPr>
                  <w:rStyle w:val="InternetLink"/>
                  <w:rFonts w:ascii="Times New Roman" w:hAnsi="Times New Roman"/>
                  <w:sz w:val="17"/>
                </w:rPr>
                <w:t>12. Commitments and Contingencies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r>
      <w:tr>
        <w:trPr/>
        <w:tc>
          <w:tcPr>
            <w:tcW w:w="9587" w:type="dxa"/>
            <w:tcBorders/>
            <w:shd w:fill="auto" w:val="clear"/>
          </w:tcPr>
          <w:p>
            <w:pPr>
              <w:pStyle w:val="TableContents"/>
              <w:spacing w:before="0" w:after="0"/>
              <w:ind w:left="0" w:right="0" w:hanging="0"/>
              <w:rPr/>
            </w:pPr>
            <w:hyperlink w:anchor="Note13operatingSegments_141023">
              <w:r>
                <w:rPr>
                  <w:rStyle w:val="InternetLink"/>
                  <w:rFonts w:ascii="Times New Roman" w:hAnsi="Times New Roman"/>
                  <w:sz w:val="17"/>
                </w:rPr>
                <w:t>13. Operating Segments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r>
      <w:tr>
        <w:trPr/>
        <w:tc>
          <w:tcPr>
            <w:tcW w:w="9587" w:type="dxa"/>
            <w:tcBorders/>
            <w:shd w:fill="auto" w:val="clear"/>
          </w:tcPr>
          <w:p>
            <w:pPr>
              <w:pStyle w:val="TableContents"/>
              <w:spacing w:before="0" w:after="0"/>
              <w:ind w:left="0" w:right="0" w:hanging="0"/>
              <w:rPr/>
            </w:pPr>
            <w:hyperlink w:anchor="Note14relatedPartyTransactions_141026">
              <w:r>
                <w:rPr>
                  <w:rStyle w:val="InternetLink"/>
                  <w:rFonts w:ascii="Times New Roman" w:hAnsi="Times New Roman"/>
                  <w:sz w:val="17"/>
                </w:rPr>
                <w:t>14. Related Party Transactions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9587" w:type="dxa"/>
            <w:tcBorders/>
            <w:shd w:fill="auto" w:val="clear"/>
          </w:tcPr>
          <w:p>
            <w:pPr>
              <w:pStyle w:val="TableContents"/>
              <w:spacing w:before="0" w:after="0"/>
              <w:ind w:left="0" w:right="0" w:hanging="0"/>
              <w:rPr/>
            </w:pPr>
            <w:hyperlink w:anchor="Note15impairments_141028">
              <w:r>
                <w:rPr>
                  <w:rStyle w:val="InternetLink"/>
                  <w:rFonts w:ascii="Times New Roman" w:hAnsi="Times New Roman"/>
                  <w:sz w:val="17"/>
                </w:rPr>
                <w:t>15. Impairments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9587" w:type="dxa"/>
            <w:tcBorders/>
            <w:shd w:fill="auto" w:val="clear"/>
          </w:tcPr>
          <w:p>
            <w:pPr>
              <w:pStyle w:val="TableContents"/>
              <w:spacing w:before="0" w:after="0"/>
              <w:ind w:left="0" w:right="0" w:hanging="0"/>
              <w:rPr/>
            </w:pPr>
            <w:r>
              <w:rPr/>
              <w:t> </w:t>
            </w:r>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Item2_managementsDiscussionAndAna_133448">
              <w:r>
                <w:rPr>
                  <w:rStyle w:val="InternetLink"/>
                  <w:rFonts w:ascii="Times New Roman" w:hAnsi="Times New Roman"/>
                  <w:sz w:val="17"/>
                </w:rPr>
                <w:t>Item 2. MANAGEMENTS DISCUSSION AND ANALYSIS OF FINANCIAL CONDITION AND RESULTS OF OPERATIONS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r>
      <w:tr>
        <w:trPr/>
        <w:tc>
          <w:tcPr>
            <w:tcW w:w="9587" w:type="dxa"/>
            <w:tcBorders/>
            <w:shd w:fill="auto" w:val="clear"/>
          </w:tcPr>
          <w:p>
            <w:pPr>
              <w:pStyle w:val="TableContents"/>
              <w:spacing w:before="0" w:after="0"/>
              <w:ind w:left="0" w:right="0" w:hanging="0"/>
              <w:rPr/>
            </w:pPr>
            <w:hyperlink w:anchor="Item3_QuantitativeAndQualitativeD_133911">
              <w:r>
                <w:rPr>
                  <w:rStyle w:val="InternetLink"/>
                  <w:rFonts w:ascii="Times New Roman" w:hAnsi="Times New Roman"/>
                  <w:sz w:val="17"/>
                </w:rPr>
                <w:t>Item 3. QUANTITATIVE AND QUALITATIVE DISCLOSURES ABOUT MARKET RISK</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r>
      <w:tr>
        <w:trPr/>
        <w:tc>
          <w:tcPr>
            <w:tcW w:w="9587" w:type="dxa"/>
            <w:tcBorders/>
            <w:shd w:fill="auto" w:val="clear"/>
          </w:tcPr>
          <w:p>
            <w:pPr>
              <w:pStyle w:val="TableContents"/>
              <w:spacing w:before="0" w:after="0"/>
              <w:ind w:left="0" w:right="0" w:hanging="0"/>
              <w:rPr/>
            </w:pPr>
            <w:hyperlink w:anchor="Item4_ControlsAndProcedures_133916">
              <w:r>
                <w:rPr>
                  <w:rStyle w:val="InternetLink"/>
                  <w:rFonts w:ascii="Times New Roman" w:hAnsi="Times New Roman"/>
                  <w:sz w:val="17"/>
                </w:rPr>
                <w:t>Item 4. CONTROLS AND PROCEDURES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r>
      <w:tr>
        <w:trPr/>
        <w:tc>
          <w:tcPr>
            <w:tcW w:w="9587" w:type="dxa"/>
            <w:tcBorders/>
            <w:shd w:fill="auto" w:val="clear"/>
          </w:tcPr>
          <w:p>
            <w:pPr>
              <w:pStyle w:val="TableContents"/>
              <w:spacing w:before="0" w:after="0"/>
              <w:ind w:left="0" w:right="0" w:hanging="0"/>
              <w:rPr/>
            </w:pPr>
            <w:r>
              <w:rPr/>
              <w:t> </w:t>
            </w:r>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Partii_OtherInformation_130845">
              <w:r>
                <w:rPr>
                  <w:rStyle w:val="InternetLink"/>
                  <w:rFonts w:ascii="Times New Roman" w:hAnsi="Times New Roman"/>
                  <w:b/>
                  <w:sz w:val="17"/>
                </w:rPr>
                <w:t>PART II. OTHER INFORMATION</w:t>
              </w:r>
            </w:hyperlink>
          </w:p>
        </w:tc>
        <w:tc>
          <w:tcPr>
            <w:tcW w:w="618" w:type="dxa"/>
            <w:tcBorders/>
            <w:shd w:fill="auto" w:val="clear"/>
            <w:vAlign w:val="bottom"/>
          </w:tcPr>
          <w:p>
            <w:pPr>
              <w:pStyle w:val="TableContents"/>
              <w:spacing w:before="0" w:after="0"/>
              <w:ind w:left="0" w:right="0" w:hanging="0"/>
              <w:jc w:val="right"/>
              <w:rPr/>
            </w:pPr>
            <w:r>
              <w:rPr/>
              <w:t> </w:t>
            </w:r>
          </w:p>
        </w:tc>
      </w:tr>
      <w:tr>
        <w:trPr/>
        <w:tc>
          <w:tcPr>
            <w:tcW w:w="9587" w:type="dxa"/>
            <w:tcBorders/>
            <w:shd w:fill="auto" w:val="clear"/>
          </w:tcPr>
          <w:p>
            <w:pPr>
              <w:pStyle w:val="TableContents"/>
              <w:spacing w:before="0" w:after="0"/>
              <w:ind w:left="0" w:right="0" w:hanging="0"/>
              <w:rPr/>
            </w:pPr>
            <w:hyperlink w:anchor="Item1_LegalProceedings_130857">
              <w:r>
                <w:rPr>
                  <w:rStyle w:val="InternetLink"/>
                  <w:rFonts w:ascii="Times New Roman" w:hAnsi="Times New Roman"/>
                  <w:sz w:val="17"/>
                </w:rPr>
                <w:t>Item 1. LEGAL PROCEEDINGS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587" w:type="dxa"/>
            <w:tcBorders/>
            <w:shd w:fill="auto" w:val="clear"/>
          </w:tcPr>
          <w:p>
            <w:pPr>
              <w:pStyle w:val="TableContents"/>
              <w:spacing w:before="0" w:after="0"/>
              <w:ind w:left="0" w:right="0" w:hanging="0"/>
              <w:rPr/>
            </w:pPr>
            <w:hyperlink w:anchor="Item1a_RiskFactors_130859">
              <w:r>
                <w:rPr>
                  <w:rStyle w:val="InternetLink"/>
                  <w:rFonts w:ascii="Times New Roman" w:hAnsi="Times New Roman"/>
                  <w:sz w:val="17"/>
                </w:rPr>
                <w:t>Item 1A. RISK FACTORS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587" w:type="dxa"/>
            <w:tcBorders/>
            <w:shd w:fill="auto" w:val="clear"/>
          </w:tcPr>
          <w:p>
            <w:pPr>
              <w:pStyle w:val="TableContents"/>
              <w:spacing w:before="0" w:after="0"/>
              <w:ind w:left="0" w:right="0" w:hanging="0"/>
              <w:rPr/>
            </w:pPr>
            <w:hyperlink w:anchor="Item2_UnregisteredSalesOfEquitySe_130904">
              <w:r>
                <w:rPr>
                  <w:rStyle w:val="InternetLink"/>
                  <w:rFonts w:ascii="Times New Roman" w:hAnsi="Times New Roman"/>
                  <w:sz w:val="17"/>
                </w:rPr>
                <w:t>Item 2. UNREGISTERED SALES OF EQUITY SECURITIES AND USE OF PROCEEDS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587" w:type="dxa"/>
            <w:tcBorders/>
            <w:shd w:fill="auto" w:val="clear"/>
          </w:tcPr>
          <w:p>
            <w:pPr>
              <w:pStyle w:val="TableContents"/>
              <w:spacing w:before="0" w:after="0"/>
              <w:ind w:left="0" w:right="0" w:hanging="0"/>
              <w:rPr/>
            </w:pPr>
            <w:hyperlink w:anchor="Item3_DefaultsUponSeniorSecuritie_130906">
              <w:r>
                <w:rPr>
                  <w:rStyle w:val="InternetLink"/>
                  <w:rFonts w:ascii="Times New Roman" w:hAnsi="Times New Roman"/>
                  <w:sz w:val="17"/>
                </w:rPr>
                <w:t>Item 3. DEFAULTS UPON SENIOR SECURITIES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587" w:type="dxa"/>
            <w:tcBorders/>
            <w:shd w:fill="auto" w:val="clear"/>
          </w:tcPr>
          <w:p>
            <w:pPr>
              <w:pStyle w:val="TableContents"/>
              <w:spacing w:before="0" w:after="0"/>
              <w:ind w:left="0" w:right="0" w:hanging="0"/>
              <w:rPr/>
            </w:pPr>
            <w:hyperlink w:anchor="Item4_MineSafetyDisclosures_130907">
              <w:r>
                <w:rPr>
                  <w:rStyle w:val="InternetLink"/>
                  <w:rFonts w:ascii="Times New Roman" w:hAnsi="Times New Roman"/>
                  <w:sz w:val="17"/>
                </w:rPr>
                <w:t>Item 4. MINE SAFETY DISCLOSURES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587" w:type="dxa"/>
            <w:tcBorders/>
            <w:shd w:fill="auto" w:val="clear"/>
          </w:tcPr>
          <w:p>
            <w:pPr>
              <w:pStyle w:val="TableContents"/>
              <w:spacing w:before="0" w:after="0"/>
              <w:ind w:left="0" w:right="0" w:hanging="0"/>
              <w:rPr/>
            </w:pPr>
            <w:hyperlink w:anchor="Item5_OtherInformation_130909">
              <w:r>
                <w:rPr>
                  <w:rStyle w:val="InternetLink"/>
                  <w:rFonts w:ascii="Times New Roman" w:hAnsi="Times New Roman"/>
                  <w:sz w:val="17"/>
                </w:rPr>
                <w:t>Item 5. OTHER INFORMATION</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587" w:type="dxa"/>
            <w:tcBorders/>
            <w:shd w:fill="auto" w:val="clear"/>
          </w:tcPr>
          <w:p>
            <w:pPr>
              <w:pStyle w:val="TableContents"/>
              <w:spacing w:before="0" w:after="0"/>
              <w:ind w:left="0" w:right="0" w:hanging="0"/>
              <w:rPr/>
            </w:pPr>
            <w:hyperlink w:anchor="Item6_Exhibits_130911">
              <w:r>
                <w:rPr>
                  <w:rStyle w:val="InternetLink"/>
                  <w:rFonts w:ascii="Times New Roman" w:hAnsi="Times New Roman"/>
                  <w:sz w:val="17"/>
                </w:rPr>
                <w:t>Item 6. EXHIBITS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r>
      <w:tr>
        <w:trPr/>
        <w:tc>
          <w:tcPr>
            <w:tcW w:w="9587" w:type="dxa"/>
            <w:tcBorders/>
            <w:shd w:fill="auto" w:val="clear"/>
          </w:tcPr>
          <w:p>
            <w:pPr>
              <w:pStyle w:val="TableContents"/>
              <w:spacing w:before="0" w:after="0"/>
              <w:ind w:left="0" w:right="0" w:hanging="0"/>
              <w:rPr/>
            </w:pPr>
            <w:hyperlink w:anchor="Signatures_131217">
              <w:r>
                <w:rPr>
                  <w:rStyle w:val="InternetLink"/>
                  <w:rFonts w:ascii="Times New Roman" w:hAnsi="Times New Roman"/>
                  <w:sz w:val="17"/>
                </w:rPr>
                <w:t>SIGNATURES</w:t>
              </w:r>
            </w:hyperlink>
          </w:p>
        </w:tc>
        <w:tc>
          <w:tcPr>
            <w:tcW w:w="6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124635_7056"/>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 FINANCIAL INFORMATION</w:t>
      </w:r>
      <w:bookmarkStart w:id="4" w:name="Parti_FinancialInformation_130636"/>
      <w:bookmarkEnd w:id="4"/>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CONDENSED CONSOLIDATED FINANCIAL STATEMENTS</w:t>
      </w:r>
      <w:bookmarkStart w:id="5" w:name="Item1_CondensedConsolidatedFinanc_130640"/>
      <w:bookmarkEnd w:id="5"/>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BALANCE SHEETS</w:t>
      </w:r>
      <w:bookmarkStart w:id="6" w:name="CondensedConsolidatedBalanceSheet_130642"/>
      <w:bookmarkEnd w:id="6"/>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units)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034"/>
        <w:gridCol w:w="207"/>
        <w:gridCol w:w="144"/>
        <w:gridCol w:w="1175"/>
        <w:gridCol w:w="214"/>
        <w:gridCol w:w="142"/>
        <w:gridCol w:w="1162"/>
        <w:gridCol w:w="127"/>
      </w:tblGrid>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4" w:type="dxa"/>
            <w:tcBorders/>
            <w:shd w:fill="auto" w:val="clear"/>
            <w:vAlign w:val="bottom"/>
          </w:tcPr>
          <w:p>
            <w:pPr>
              <w:pStyle w:val="TableContents"/>
              <w:spacing w:before="0" w:after="0"/>
              <w:ind w:left="0" w:right="0" w:hanging="0"/>
              <w:jc w:val="center"/>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4" w:type="dxa"/>
            <w:tcBorders/>
            <w:shd w:fill="auto" w:val="clear"/>
            <w:vAlign w:val="bottom"/>
          </w:tcPr>
          <w:p>
            <w:pPr>
              <w:pStyle w:val="TableContents"/>
              <w:spacing w:before="0" w:after="0"/>
              <w:ind w:left="0" w:right="0" w:hanging="0"/>
              <w:jc w:val="center"/>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8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7" w:type="dxa"/>
            <w:tcBorders/>
            <w:shd w:fill="auto" w:val="clear"/>
            <w:vAlign w:val="bottom"/>
          </w:tcPr>
          <w:p>
            <w:pPr>
              <w:pStyle w:val="TableContents"/>
              <w:spacing w:before="0" w:after="0"/>
              <w:ind w:left="0" w:right="0" w:hanging="0"/>
              <w:jc w:val="center"/>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7"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14"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Trade accounts receivable and other receivables, net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3,562</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3,563</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1,198</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1,209</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352</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5,145</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5,147</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12,245</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11,142</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(1,638</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(1,499</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3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10,607</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9,643</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2,519</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770</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534</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7"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20,267</w:t>
            </w:r>
          </w:p>
        </w:tc>
        <w:tc>
          <w:tcPr>
            <w:tcW w:w="214"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7"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4,049</w:t>
            </w:r>
          </w:p>
        </w:tc>
        <w:tc>
          <w:tcPr>
            <w:tcW w:w="214"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3,822</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Short-term debt </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5,011</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5,183</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$15 and $15, respectively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6,710</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7,572</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6,906</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12)</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Common unitholders (342,950,166 and 335,283,874 units outstanding, respectively)</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6,873</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6,388</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 excluding noncontrolling interests</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7,150</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6,637</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07" w:type="dxa"/>
            <w:tcBorders/>
            <w:shd w:fill="auto"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534</w:t>
            </w:r>
          </w:p>
        </w:tc>
        <w:tc>
          <w:tcPr>
            <w:tcW w:w="214" w:type="dxa"/>
            <w:tcBorders/>
            <w:shd w:fill="auto"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127" w:type="dxa"/>
            <w:tcBorders/>
            <w:shd w:fill="auto" w:val="clear"/>
            <w:vAlign w:val="bottom"/>
          </w:tcPr>
          <w:p>
            <w:pPr>
              <w:pStyle w:val="TableContents"/>
              <w:spacing w:before="0" w:after="0"/>
              <w:ind w:left="0" w:right="0" w:hanging="0"/>
              <w:rPr/>
            </w:pPr>
            <w:r>
              <w:rPr/>
              <w:t> </w:t>
            </w:r>
          </w:p>
        </w:tc>
      </w:tr>
      <w:tr>
        <w:trPr/>
        <w:tc>
          <w:tcPr>
            <w:tcW w:w="70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partners capital </w:t>
            </w:r>
          </w:p>
        </w:tc>
        <w:tc>
          <w:tcPr>
            <w:tcW w:w="207" w:type="dxa"/>
            <w:tcBorders/>
            <w:shd w:fill="CCEEFF" w:val="clear"/>
            <w:vAlign w:val="bottom"/>
          </w:tcPr>
          <w:p>
            <w:pPr>
              <w:pStyle w:val="TableContents"/>
              <w:spacing w:before="0" w:after="0"/>
              <w:ind w:left="0" w:right="0" w:hanging="0"/>
              <w:rPr/>
            </w:pPr>
            <w:r>
              <w:rPr/>
              <w:t> </w:t>
            </w:r>
          </w:p>
        </w:tc>
        <w:tc>
          <w:tcPr>
            <w:tcW w:w="13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7,684</w:t>
            </w:r>
          </w:p>
        </w:tc>
        <w:tc>
          <w:tcPr>
            <w:tcW w:w="214" w:type="dxa"/>
            <w:tcBorders/>
            <w:shd w:fill="CCEEFF" w:val="clear"/>
            <w:vAlign w:val="bottom"/>
          </w:tcPr>
          <w:p>
            <w:pPr>
              <w:pStyle w:val="TableContents"/>
              <w:spacing w:before="0" w:after="0"/>
              <w:ind w:left="0" w:right="0" w:hanging="0"/>
              <w:rPr/>
            </w:pPr>
            <w:r>
              <w:rPr/>
              <w:t> </w:t>
            </w:r>
          </w:p>
        </w:tc>
        <w:tc>
          <w:tcPr>
            <w:tcW w:w="13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27" w:type="dxa"/>
            <w:tcBorders/>
            <w:shd w:fill="CCEEFF" w:val="clear"/>
            <w:vAlign w:val="bottom"/>
          </w:tcPr>
          <w:p>
            <w:pPr>
              <w:pStyle w:val="TableContents"/>
              <w:spacing w:before="0" w:after="0"/>
              <w:ind w:left="0" w:right="0" w:hanging="0"/>
              <w:rPr/>
            </w:pPr>
            <w:r>
              <w:rPr/>
              <w:t> </w:t>
            </w:r>
          </w:p>
        </w:tc>
      </w:tr>
      <w:tr>
        <w:trPr/>
        <w:tc>
          <w:tcPr>
            <w:tcW w:w="70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07"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20,267</w:t>
            </w:r>
          </w:p>
        </w:tc>
        <w:tc>
          <w:tcPr>
            <w:tcW w:w="214"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7" w:name="PB_3_124848_5335"/>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OPERATIONS</w:t>
      </w:r>
      <w:bookmarkStart w:id="8" w:name="CondensedConsolidatedStatementsOf_130645"/>
      <w:bookmarkEnd w:id="8"/>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96"/>
        <w:gridCol w:w="216"/>
        <w:gridCol w:w="110"/>
        <w:gridCol w:w="873"/>
        <w:gridCol w:w="216"/>
        <w:gridCol w:w="110"/>
        <w:gridCol w:w="871"/>
        <w:gridCol w:w="216"/>
        <w:gridCol w:w="110"/>
        <w:gridCol w:w="873"/>
        <w:gridCol w:w="216"/>
        <w:gridCol w:w="110"/>
        <w:gridCol w:w="873"/>
        <w:gridCol w:w="115"/>
      </w:tblGrid>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8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18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15" w:type="dxa"/>
            <w:tcBorders/>
            <w:shd w:fill="auto" w:val="clear"/>
            <w:vAlign w:val="bottom"/>
          </w:tcPr>
          <w:p>
            <w:pPr>
              <w:pStyle w:val="TableContents"/>
              <w:spacing w:before="0" w:after="0"/>
              <w:ind w:left="0" w:right="0" w:hanging="0"/>
              <w:jc w:val="center"/>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8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6" w:type="dxa"/>
            <w:tcBorders/>
            <w:shd w:fill="auto" w:val="clear"/>
            <w:vAlign w:val="bottom"/>
          </w:tcPr>
          <w:p>
            <w:pPr>
              <w:pStyle w:val="TableContents"/>
              <w:spacing w:before="0" w:after="0"/>
              <w:ind w:left="0" w:right="0" w:hanging="0"/>
              <w:jc w:val="center"/>
              <w:rPr/>
            </w:pPr>
            <w:r>
              <w:rPr/>
              <w:t> </w:t>
            </w:r>
          </w:p>
        </w:tc>
        <w:tc>
          <w:tcPr>
            <w:tcW w:w="218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15" w:type="dxa"/>
            <w:tcBorders/>
            <w:shd w:fill="auto" w:val="clear"/>
            <w:vAlign w:val="bottom"/>
          </w:tcPr>
          <w:p>
            <w:pPr>
              <w:pStyle w:val="TableContents"/>
              <w:spacing w:before="0" w:after="0"/>
              <w:ind w:left="0" w:right="0" w:hanging="0"/>
              <w:jc w:val="center"/>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shd w:fill="auto" w:val="clear"/>
            <w:vAlign w:val="bottom"/>
          </w:tcPr>
          <w:p>
            <w:pPr>
              <w:pStyle w:val="TableContents"/>
              <w:spacing w:before="0" w:after="0"/>
              <w:ind w:left="0" w:right="0" w:hanging="0"/>
              <w:jc w:val="center"/>
              <w:rPr/>
            </w:pPr>
            <w:r>
              <w:rPr/>
              <w:t> </w:t>
            </w:r>
          </w:p>
        </w:tc>
        <w:tc>
          <w:tcPr>
            <w:tcW w:w="98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shd w:fill="auto" w:val="clear"/>
            <w:vAlign w:val="bottom"/>
          </w:tcPr>
          <w:p>
            <w:pPr>
              <w:pStyle w:val="TableContents"/>
              <w:spacing w:before="0" w:after="0"/>
              <w:ind w:left="0" w:right="0" w:hanging="0"/>
              <w:jc w:val="center"/>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shd w:fill="auto" w:val="clear"/>
            <w:vAlign w:val="bottom"/>
          </w:tcPr>
          <w:p>
            <w:pPr>
              <w:pStyle w:val="TableContents"/>
              <w:spacing w:before="0" w:after="0"/>
              <w:ind w:left="0" w:right="0" w:hanging="0"/>
              <w:jc w:val="center"/>
              <w:rPr/>
            </w:pPr>
            <w:r>
              <w:rPr/>
              <w:t> </w:t>
            </w:r>
          </w:p>
        </w:tc>
        <w:tc>
          <w:tcPr>
            <w:tcW w:w="98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5" w:type="dxa"/>
            <w:tcBorders/>
            <w:shd w:fill="auto" w:val="clear"/>
            <w:vAlign w:val="bottom"/>
          </w:tcPr>
          <w:p>
            <w:pPr>
              <w:pStyle w:val="TableContents"/>
              <w:spacing w:before="0" w:after="0"/>
              <w:ind w:left="0" w:right="0" w:hanging="0"/>
              <w:jc w:val="center"/>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8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6" w:type="dxa"/>
            <w:tcBorders/>
            <w:shd w:fill="auto" w:val="clear"/>
            <w:vAlign w:val="bottom"/>
          </w:tcPr>
          <w:p>
            <w:pPr>
              <w:pStyle w:val="TableContents"/>
              <w:spacing w:before="0" w:after="0"/>
              <w:ind w:left="0" w:right="0" w:hanging="0"/>
              <w:jc w:val="center"/>
              <w:rPr/>
            </w:pPr>
            <w:r>
              <w:rPr/>
              <w:t> </w:t>
            </w:r>
          </w:p>
        </w:tc>
        <w:tc>
          <w:tcPr>
            <w:tcW w:w="218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15" w:type="dxa"/>
            <w:tcBorders/>
            <w:shd w:fill="auto" w:val="clear"/>
            <w:vAlign w:val="bottom"/>
          </w:tcPr>
          <w:p>
            <w:pPr>
              <w:pStyle w:val="TableContents"/>
              <w:spacing w:before="0" w:after="0"/>
              <w:ind w:left="0" w:right="0" w:hanging="0"/>
              <w:jc w:val="center"/>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10,386</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9,048</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30,542</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27,367</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revenues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10,703</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9,354</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31,617</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28,358</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9,909</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8,524</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28,733</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25,855</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1,010</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10,407</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9,107</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30,284</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27,335</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1,333</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1,023</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 of capitalized interest of $11, $9, $30 and $27, respectively)</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1,153</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840</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1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 w:name="PB_4_125253_5796"/>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COMPREHENSIVE INCOME</w:t>
      </w:r>
      <w:bookmarkStart w:id="10" w:name="CondensedConsolidatedStatementsOf_130650"/>
      <w:bookmarkEnd w:id="10"/>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971"/>
        <w:gridCol w:w="209"/>
        <w:gridCol w:w="156"/>
        <w:gridCol w:w="906"/>
        <w:gridCol w:w="230"/>
        <w:gridCol w:w="156"/>
        <w:gridCol w:w="907"/>
        <w:gridCol w:w="217"/>
        <w:gridCol w:w="144"/>
        <w:gridCol w:w="938"/>
        <w:gridCol w:w="222"/>
        <w:gridCol w:w="143"/>
        <w:gridCol w:w="876"/>
        <w:gridCol w:w="130"/>
      </w:tblGrid>
      <w:tr>
        <w:trPr/>
        <w:tc>
          <w:tcPr>
            <w:tcW w:w="497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32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0" w:type="dxa"/>
            <w:tcBorders/>
            <w:shd w:fill="auto" w:val="clear"/>
            <w:vAlign w:val="bottom"/>
          </w:tcPr>
          <w:p>
            <w:pPr>
              <w:pStyle w:val="TableContents"/>
              <w:spacing w:before="0" w:after="0"/>
              <w:ind w:left="0" w:right="0" w:hanging="0"/>
              <w:jc w:val="center"/>
              <w:rPr/>
            </w:pPr>
            <w:r>
              <w:rPr/>
              <w:t> </w:t>
            </w:r>
          </w:p>
        </w:tc>
      </w:tr>
      <w:tr>
        <w:trPr/>
        <w:tc>
          <w:tcPr>
            <w:tcW w:w="497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5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32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0" w:type="dxa"/>
            <w:tcBorders/>
            <w:shd w:fill="auto" w:val="clear"/>
            <w:vAlign w:val="bottom"/>
          </w:tcPr>
          <w:p>
            <w:pPr>
              <w:pStyle w:val="TableContents"/>
              <w:spacing w:before="0" w:after="0"/>
              <w:ind w:left="0" w:right="0" w:hanging="0"/>
              <w:jc w:val="center"/>
              <w:rPr/>
            </w:pPr>
            <w:r>
              <w:rPr/>
              <w:t> </w:t>
            </w:r>
          </w:p>
        </w:tc>
      </w:tr>
      <w:tr>
        <w:trPr/>
        <w:tc>
          <w:tcPr>
            <w:tcW w:w="497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6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7" w:type="dxa"/>
            <w:tcBorders/>
            <w:shd w:fill="auto" w:val="clear"/>
            <w:vAlign w:val="bottom"/>
          </w:tcPr>
          <w:p>
            <w:pPr>
              <w:pStyle w:val="TableContents"/>
              <w:spacing w:before="0" w:after="0"/>
              <w:ind w:left="0" w:right="0" w:hanging="0"/>
              <w:jc w:val="center"/>
              <w:rPr/>
            </w:pPr>
            <w:r>
              <w:rPr/>
              <w:t> </w:t>
            </w:r>
          </w:p>
        </w:tc>
        <w:tc>
          <w:tcPr>
            <w:tcW w:w="10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0" w:type="dxa"/>
            <w:tcBorders/>
            <w:shd w:fill="auto" w:val="clear"/>
            <w:vAlign w:val="bottom"/>
          </w:tcPr>
          <w:p>
            <w:pPr>
              <w:pStyle w:val="TableContents"/>
              <w:spacing w:before="0" w:after="0"/>
              <w:ind w:left="0" w:right="0" w:hanging="0"/>
              <w:jc w:val="center"/>
              <w:rPr/>
            </w:pPr>
            <w:r>
              <w:rPr/>
              <w:t> </w:t>
            </w:r>
          </w:p>
        </w:tc>
      </w:tr>
      <w:tr>
        <w:trPr/>
        <w:tc>
          <w:tcPr>
            <w:tcW w:w="497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35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217" w:type="dxa"/>
            <w:tcBorders/>
            <w:shd w:fill="auto" w:val="clear"/>
            <w:vAlign w:val="bottom"/>
          </w:tcPr>
          <w:p>
            <w:pPr>
              <w:pStyle w:val="TableContents"/>
              <w:spacing w:before="0" w:after="0"/>
              <w:ind w:left="0" w:right="0" w:hanging="0"/>
              <w:jc w:val="center"/>
              <w:rPr/>
            </w:pPr>
            <w:r>
              <w:rPr/>
              <w:t> </w:t>
            </w:r>
          </w:p>
        </w:tc>
        <w:tc>
          <w:tcPr>
            <w:tcW w:w="232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0" w:type="dxa"/>
            <w:tcBorders/>
            <w:shd w:fill="auto" w:val="clear"/>
            <w:vAlign w:val="bottom"/>
          </w:tcPr>
          <w:p>
            <w:pPr>
              <w:pStyle w:val="TableContents"/>
              <w:spacing w:before="0" w:after="0"/>
              <w:ind w:left="0" w:right="0" w:hanging="0"/>
              <w:jc w:val="center"/>
              <w:rPr/>
            </w:pPr>
            <w:r>
              <w:rPr/>
              <w:t> </w:t>
            </w:r>
          </w:p>
        </w:tc>
      </w:tr>
      <w:tr>
        <w:trPr/>
        <w:tc>
          <w:tcPr>
            <w:tcW w:w="49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209" w:type="dxa"/>
            <w:tcBorders/>
            <w:shd w:fill="CCEEFF" w:val="clear"/>
            <w:vAlign w:val="bottom"/>
          </w:tcPr>
          <w:p>
            <w:pPr>
              <w:pStyle w:val="TableContents"/>
              <w:spacing w:before="0" w:after="0"/>
              <w:ind w:left="0" w:right="0" w:hanging="0"/>
              <w:rPr/>
            </w:pPr>
            <w:r>
              <w:rPr/>
              <w:t> </w:t>
            </w:r>
          </w:p>
        </w:tc>
        <w:tc>
          <w:tcPr>
            <w:tcW w:w="1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30" w:type="dxa"/>
            <w:tcBorders/>
            <w:shd w:fill="CCEEFF" w:val="clear"/>
            <w:vAlign w:val="bottom"/>
          </w:tcPr>
          <w:p>
            <w:pPr>
              <w:pStyle w:val="TableContents"/>
              <w:spacing w:before="0" w:after="0"/>
              <w:ind w:left="0" w:right="0" w:hanging="0"/>
              <w:rPr/>
            </w:pPr>
            <w:r>
              <w:rPr/>
              <w:t> </w:t>
            </w:r>
          </w:p>
        </w:tc>
        <w:tc>
          <w:tcPr>
            <w:tcW w:w="15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7"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222"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130" w:type="dxa"/>
            <w:tcBorders/>
            <w:shd w:fill="CCEEFF" w:val="clear"/>
            <w:vAlign w:val="bottom"/>
          </w:tcPr>
          <w:p>
            <w:pPr>
              <w:pStyle w:val="TableContents"/>
              <w:spacing w:before="0" w:after="0"/>
              <w:ind w:left="0" w:right="0" w:hanging="0"/>
              <w:rPr/>
            </w:pPr>
            <w:r>
              <w:rPr/>
              <w:t> </w:t>
            </w:r>
          </w:p>
        </w:tc>
      </w:tr>
      <w:tr>
        <w:trPr/>
        <w:tc>
          <w:tcPr>
            <w:tcW w:w="49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09" w:type="dxa"/>
            <w:tcBorders/>
            <w:shd w:fill="auto" w:val="clear"/>
            <w:vAlign w:val="bottom"/>
          </w:tcPr>
          <w:p>
            <w:pPr>
              <w:pStyle w:val="TableContents"/>
              <w:spacing w:before="0" w:after="0"/>
              <w:ind w:left="0" w:right="0" w:hanging="0"/>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30"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17" w:type="dxa"/>
            <w:tcBorders/>
            <w:shd w:fill="auto" w:val="clear"/>
            <w:vAlign w:val="bottom"/>
          </w:tcPr>
          <w:p>
            <w:pPr>
              <w:pStyle w:val="TableContents"/>
              <w:spacing w:before="0" w:after="0"/>
              <w:ind w:left="0" w:right="0" w:hanging="0"/>
              <w:rPr/>
            </w:pPr>
            <w:r>
              <w:rPr/>
              <w:t> </w:t>
            </w:r>
          </w:p>
        </w:tc>
        <w:tc>
          <w:tcPr>
            <w:tcW w:w="10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30" w:type="dxa"/>
            <w:tcBorders/>
            <w:shd w:fill="auto" w:val="clear"/>
            <w:vAlign w:val="bottom"/>
          </w:tcPr>
          <w:p>
            <w:pPr>
              <w:pStyle w:val="TableContents"/>
              <w:spacing w:before="0" w:after="0"/>
              <w:ind w:left="0" w:right="0" w:hanging="0"/>
              <w:rPr/>
            </w:pPr>
            <w:r>
              <w:rPr/>
              <w:t> </w:t>
            </w:r>
          </w:p>
        </w:tc>
      </w:tr>
      <w:tr>
        <w:trPr/>
        <w:tc>
          <w:tcPr>
            <w:tcW w:w="49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w:t>
            </w:r>
          </w:p>
        </w:tc>
        <w:tc>
          <w:tcPr>
            <w:tcW w:w="209" w:type="dxa"/>
            <w:tcBorders/>
            <w:shd w:fill="CCEEFF" w:val="clear"/>
            <w:vAlign w:val="bottom"/>
          </w:tcPr>
          <w:p>
            <w:pPr>
              <w:pStyle w:val="TableContents"/>
              <w:spacing w:before="0" w:after="0"/>
              <w:ind w:left="0" w:right="0" w:hanging="0"/>
              <w:rPr/>
            </w:pPr>
            <w:r>
              <w:rPr/>
              <w:t> </w:t>
            </w:r>
          </w:p>
        </w:tc>
        <w:tc>
          <w:tcPr>
            <w:tcW w:w="10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23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17" w:type="dxa"/>
            <w:tcBorders/>
            <w:shd w:fill="CCEEFF" w:val="clear"/>
            <w:vAlign w:val="bottom"/>
          </w:tcPr>
          <w:p>
            <w:pPr>
              <w:pStyle w:val="TableContents"/>
              <w:spacing w:before="0" w:after="0"/>
              <w:ind w:left="0" w:right="0" w:hanging="0"/>
              <w:rPr/>
            </w:pPr>
            <w:r>
              <w:rPr/>
              <w:t> </w:t>
            </w:r>
          </w:p>
        </w:tc>
        <w:tc>
          <w:tcPr>
            <w:tcW w:w="108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975</w:t>
            </w:r>
          </w:p>
        </w:tc>
        <w:tc>
          <w:tcPr>
            <w:tcW w:w="222" w:type="dxa"/>
            <w:tcBorders/>
            <w:shd w:fill="CCEEFF" w:val="clear"/>
            <w:vAlign w:val="bottom"/>
          </w:tcPr>
          <w:p>
            <w:pPr>
              <w:pStyle w:val="TableContents"/>
              <w:spacing w:before="0" w:after="0"/>
              <w:ind w:left="0" w:right="0" w:hanging="0"/>
              <w:rPr/>
            </w:pPr>
            <w:r>
              <w:rPr/>
              <w:t> </w:t>
            </w:r>
          </w:p>
        </w:tc>
        <w:tc>
          <w:tcPr>
            <w:tcW w:w="10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832</w:t>
            </w:r>
          </w:p>
        </w:tc>
        <w:tc>
          <w:tcPr>
            <w:tcW w:w="130" w:type="dxa"/>
            <w:tcBorders/>
            <w:shd w:fill="CCEEFF" w:val="clear"/>
            <w:vAlign w:val="bottom"/>
          </w:tcPr>
          <w:p>
            <w:pPr>
              <w:pStyle w:val="TableContents"/>
              <w:spacing w:before="0" w:after="0"/>
              <w:ind w:left="0" w:right="0" w:hanging="0"/>
              <w:rPr/>
            </w:pPr>
            <w:r>
              <w:rPr/>
              <w:t> </w:t>
            </w:r>
          </w:p>
        </w:tc>
      </w:tr>
      <w:tr>
        <w:trPr/>
        <w:tc>
          <w:tcPr>
            <w:tcW w:w="49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noncontrolling interests</w:t>
            </w:r>
          </w:p>
        </w:tc>
        <w:tc>
          <w:tcPr>
            <w:tcW w:w="209" w:type="dxa"/>
            <w:tcBorders/>
            <w:shd w:fill="auto" w:val="clear"/>
            <w:vAlign w:val="bottom"/>
          </w:tcPr>
          <w:p>
            <w:pPr>
              <w:pStyle w:val="TableContents"/>
              <w:spacing w:before="0" w:after="0"/>
              <w:ind w:left="0" w:right="0" w:hanging="0"/>
              <w:rPr/>
            </w:pPr>
            <w:r>
              <w:rPr/>
              <w:t> </w:t>
            </w:r>
          </w:p>
        </w:tc>
        <w:tc>
          <w:tcPr>
            <w:tcW w:w="106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Comprehensive income attributable to Plains</w:t>
            </w:r>
          </w:p>
        </w:tc>
        <w:tc>
          <w:tcPr>
            <w:tcW w:w="209"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230"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217"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948</w:t>
            </w:r>
          </w:p>
        </w:tc>
        <w:tc>
          <w:tcPr>
            <w:tcW w:w="222"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817</w:t>
            </w:r>
          </w:p>
        </w:tc>
        <w:tc>
          <w:tcPr>
            <w:tcW w:w="13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w:t>
      </w:r>
      <w:bookmarkStart w:id="11" w:name="CondensedConsolidatedStatementOf_130710"/>
      <w:bookmarkEnd w:id="11"/>
    </w:p>
    <w:p>
      <w:pPr>
        <w:pStyle w:val="TextBody"/>
        <w:spacing w:before="0" w:after="0"/>
        <w:ind w:left="0" w:right="0" w:hanging="0"/>
        <w:jc w:val="center"/>
        <w:rPr>
          <w:rFonts w:ascii="Times New Roman" w:hAnsi="Times New Roman"/>
          <w:b/>
          <w:sz w:val="17"/>
        </w:rPr>
      </w:pPr>
      <w:r>
        <w:rPr>
          <w:rFonts w:ascii="Times New Roman" w:hAnsi="Times New Roman"/>
          <w:b/>
          <w:sz w:val="17"/>
        </w:rPr>
        <w:t>CHANGES IN ACCUMULATED OTHER COMPREHENSIVE INCOME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4650" w:type="pct"/>
        <w:jc w:val="left"/>
        <w:tblInd w:w="0" w:type="dxa"/>
        <w:tblCellMar>
          <w:top w:w="0" w:type="dxa"/>
          <w:left w:w="0" w:type="dxa"/>
          <w:bottom w:w="0" w:type="dxa"/>
          <w:right w:w="0" w:type="dxa"/>
        </w:tblCellMar>
      </w:tblPr>
      <w:tblGrid>
        <w:gridCol w:w="4750"/>
        <w:gridCol w:w="194"/>
        <w:gridCol w:w="190"/>
        <w:gridCol w:w="1219"/>
        <w:gridCol w:w="207"/>
        <w:gridCol w:w="210"/>
        <w:gridCol w:w="1208"/>
        <w:gridCol w:w="207"/>
        <w:gridCol w:w="148"/>
        <w:gridCol w:w="1024"/>
        <w:gridCol w:w="133"/>
      </w:tblGrid>
      <w:tr>
        <w:trPr/>
        <w:tc>
          <w:tcPr>
            <w:tcW w:w="4750"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40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07" w:type="dxa"/>
            <w:tcBorders/>
            <w:shd w:fill="auto" w:val="clear"/>
            <w:vAlign w:val="bottom"/>
          </w:tcPr>
          <w:p>
            <w:pPr>
              <w:pStyle w:val="TableContents"/>
              <w:spacing w:before="0" w:after="0"/>
              <w:ind w:left="0" w:right="0" w:hanging="0"/>
              <w:jc w:val="center"/>
              <w:rPr/>
            </w:pPr>
            <w:r>
              <w:rPr/>
              <w:t> </w:t>
            </w:r>
          </w:p>
        </w:tc>
        <w:tc>
          <w:tcPr>
            <w:tcW w:w="141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Translation</w:t>
            </w:r>
          </w:p>
        </w:tc>
        <w:tc>
          <w:tcPr>
            <w:tcW w:w="207" w:type="dxa"/>
            <w:tcBorders/>
            <w:shd w:fill="auto" w:val="clear"/>
            <w:vAlign w:val="bottom"/>
          </w:tcPr>
          <w:p>
            <w:pPr>
              <w:pStyle w:val="TableContents"/>
              <w:spacing w:before="0" w:after="0"/>
              <w:ind w:left="0" w:right="0" w:hanging="0"/>
              <w:jc w:val="center"/>
              <w:rPr/>
            </w:pPr>
            <w:r>
              <w:rPr/>
              <w:t> </w:t>
            </w:r>
          </w:p>
        </w:tc>
        <w:tc>
          <w:tcPr>
            <w:tcW w:w="1172" w:type="dxa"/>
            <w:gridSpan w:val="2"/>
            <w:tcBorders/>
            <w:shd w:fill="auto" w:val="clear"/>
            <w:vAlign w:val="bottom"/>
          </w:tcPr>
          <w:p>
            <w:pPr>
              <w:pStyle w:val="TableContents"/>
              <w:spacing w:before="0" w:after="0"/>
              <w:ind w:left="0" w:right="0" w:hanging="0"/>
              <w:jc w:val="center"/>
              <w:rPr/>
            </w:pPr>
            <w:r>
              <w:rPr/>
              <w:t> </w:t>
            </w:r>
          </w:p>
        </w:tc>
        <w:tc>
          <w:tcPr>
            <w:tcW w:w="133" w:type="dxa"/>
            <w:tcBorders/>
            <w:shd w:fill="auto" w:val="clear"/>
            <w:vAlign w:val="bottom"/>
          </w:tcPr>
          <w:p>
            <w:pPr>
              <w:pStyle w:val="TableContents"/>
              <w:spacing w:before="0" w:after="0"/>
              <w:ind w:left="0" w:right="0" w:hanging="0"/>
              <w:jc w:val="center"/>
              <w:rPr/>
            </w:pPr>
            <w:r>
              <w:rPr/>
              <w:t> </w:t>
            </w:r>
          </w:p>
        </w:tc>
      </w:tr>
      <w:tr>
        <w:trPr/>
        <w:tc>
          <w:tcPr>
            <w:tcW w:w="4750"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4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Instruments</w:t>
            </w:r>
          </w:p>
        </w:tc>
        <w:tc>
          <w:tcPr>
            <w:tcW w:w="207" w:type="dxa"/>
            <w:tcBorders/>
            <w:shd w:fill="auto" w:val="clear"/>
            <w:vAlign w:val="bottom"/>
          </w:tcPr>
          <w:p>
            <w:pPr>
              <w:pStyle w:val="TableContents"/>
              <w:spacing w:before="0" w:after="0"/>
              <w:ind w:left="0" w:right="0" w:hanging="0"/>
              <w:jc w:val="center"/>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207" w:type="dxa"/>
            <w:tcBorders/>
            <w:shd w:fill="auto" w:val="clear"/>
            <w:vAlign w:val="bottom"/>
          </w:tcPr>
          <w:p>
            <w:pPr>
              <w:pStyle w:val="TableContents"/>
              <w:spacing w:before="0" w:after="0"/>
              <w:ind w:left="0" w:right="0" w:hanging="0"/>
              <w:jc w:val="center"/>
              <w:rPr/>
            </w:pPr>
            <w:r>
              <w:rPr/>
              <w:t> </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3" w:type="dxa"/>
            <w:tcBorders/>
            <w:shd w:fill="auto" w:val="clear"/>
            <w:vAlign w:val="bottom"/>
          </w:tcPr>
          <w:p>
            <w:pPr>
              <w:pStyle w:val="TableContents"/>
              <w:spacing w:before="0" w:after="0"/>
              <w:ind w:left="0" w:right="0" w:hanging="0"/>
              <w:jc w:val="center"/>
              <w:rPr/>
            </w:pPr>
            <w:r>
              <w:rPr/>
              <w:t> </w:t>
            </w:r>
          </w:p>
        </w:tc>
      </w:tr>
      <w:tr>
        <w:trPr/>
        <w:tc>
          <w:tcPr>
            <w:tcW w:w="4750"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4413"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3" w:type="dxa"/>
            <w:tcBorders/>
            <w:shd w:fill="auto" w:val="clear"/>
            <w:vAlign w:val="bottom"/>
          </w:tcPr>
          <w:p>
            <w:pPr>
              <w:pStyle w:val="TableContents"/>
              <w:spacing w:before="0" w:after="0"/>
              <w:ind w:left="0" w:right="0" w:hanging="0"/>
              <w:jc w:val="center"/>
              <w:rPr/>
            </w:pPr>
            <w:r>
              <w:rPr/>
              <w:t> </w:t>
            </w:r>
          </w:p>
        </w:tc>
      </w:tr>
      <w:tr>
        <w:trPr/>
        <w:tc>
          <w:tcPr>
            <w:tcW w:w="4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194" w:type="dxa"/>
            <w:tcBorders/>
            <w:shd w:fill="CCEEFF" w:val="clear"/>
            <w:vAlign w:val="bottom"/>
          </w:tcPr>
          <w:p>
            <w:pPr>
              <w:pStyle w:val="TableContents"/>
              <w:spacing w:before="0" w:after="0"/>
              <w:ind w:left="0" w:right="0" w:hanging="0"/>
              <w:rPr/>
            </w:pPr>
            <w:r>
              <w:rPr/>
              <w:t> </w:t>
            </w:r>
          </w:p>
        </w:tc>
        <w:tc>
          <w:tcPr>
            <w:tcW w:w="19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07" w:type="dxa"/>
            <w:tcBorders/>
            <w:shd w:fill="CCEEFF" w:val="clear"/>
            <w:vAlign w:val="bottom"/>
          </w:tcPr>
          <w:p>
            <w:pPr>
              <w:pStyle w:val="TableContents"/>
              <w:spacing w:before="0" w:after="0"/>
              <w:ind w:left="0" w:right="0" w:hanging="0"/>
              <w:rPr/>
            </w:pPr>
            <w:r>
              <w:rPr/>
              <w:t> </w:t>
            </w:r>
          </w:p>
        </w:tc>
        <w:tc>
          <w:tcPr>
            <w:tcW w:w="14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33" w:type="dxa"/>
            <w:tcBorders/>
            <w:shd w:fill="CCEEFF" w:val="clear"/>
            <w:vAlign w:val="bottom"/>
          </w:tcPr>
          <w:p>
            <w:pPr>
              <w:pStyle w:val="TableContents"/>
              <w:spacing w:before="0" w:after="0"/>
              <w:ind w:left="0" w:right="0" w:hanging="0"/>
              <w:rPr/>
            </w:pPr>
            <w:r>
              <w:rPr/>
              <w:t> </w:t>
            </w:r>
          </w:p>
        </w:tc>
      </w:tr>
      <w:tr>
        <w:trPr/>
        <w:tc>
          <w:tcPr>
            <w:tcW w:w="47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194" w:type="dxa"/>
            <w:tcBorders/>
            <w:shd w:fill="auto" w:val="clear"/>
            <w:vAlign w:val="bottom"/>
          </w:tcPr>
          <w:p>
            <w:pPr>
              <w:pStyle w:val="TableContents"/>
              <w:spacing w:before="0" w:after="0"/>
              <w:ind w:left="0" w:right="0" w:hanging="0"/>
              <w:rPr/>
            </w:pPr>
            <w:r>
              <w:rPr/>
              <w:t> </w:t>
            </w:r>
          </w:p>
        </w:tc>
        <w:tc>
          <w:tcPr>
            <w:tcW w:w="140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11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Deferred gain on cash flow hedges, net of tax </w:t>
            </w:r>
          </w:p>
        </w:tc>
        <w:tc>
          <w:tcPr>
            <w:tcW w:w="194" w:type="dxa"/>
            <w:tcBorders/>
            <w:shd w:fill="CCEEFF" w:val="clear"/>
            <w:vAlign w:val="bottom"/>
          </w:tcPr>
          <w:p>
            <w:pPr>
              <w:pStyle w:val="TableContents"/>
              <w:spacing w:before="0" w:after="0"/>
              <w:ind w:left="0" w:right="0" w:hanging="0"/>
              <w:rPr/>
            </w:pPr>
            <w:r>
              <w:rPr/>
              <w:t> </w:t>
            </w:r>
          </w:p>
        </w:tc>
        <w:tc>
          <w:tcPr>
            <w:tcW w:w="140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07" w:type="dxa"/>
            <w:tcBorders/>
            <w:shd w:fill="CCEEFF" w:val="clear"/>
            <w:vAlign w:val="bottom"/>
          </w:tcPr>
          <w:p>
            <w:pPr>
              <w:pStyle w:val="TableContents"/>
              <w:spacing w:before="0" w:after="0"/>
              <w:ind w:left="0" w:right="0" w:hanging="0"/>
              <w:rPr/>
            </w:pPr>
            <w:r>
              <w:rPr/>
              <w:t> </w:t>
            </w:r>
          </w:p>
        </w:tc>
        <w:tc>
          <w:tcPr>
            <w:tcW w:w="14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1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33" w:type="dxa"/>
            <w:tcBorders/>
            <w:shd w:fill="CCEEFF" w:val="clear"/>
            <w:vAlign w:val="bottom"/>
          </w:tcPr>
          <w:p>
            <w:pPr>
              <w:pStyle w:val="TableContents"/>
              <w:spacing w:before="0" w:after="0"/>
              <w:ind w:left="0" w:right="0" w:hanging="0"/>
              <w:rPr/>
            </w:pPr>
            <w:r>
              <w:rPr/>
              <w:t> </w:t>
            </w:r>
          </w:p>
        </w:tc>
      </w:tr>
      <w:tr>
        <w:trPr/>
        <w:tc>
          <w:tcPr>
            <w:tcW w:w="47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adjustments</w:t>
            </w:r>
          </w:p>
        </w:tc>
        <w:tc>
          <w:tcPr>
            <w:tcW w:w="194" w:type="dxa"/>
            <w:tcBorders/>
            <w:shd w:fill="auto" w:val="clear"/>
            <w:vAlign w:val="bottom"/>
          </w:tcPr>
          <w:p>
            <w:pPr>
              <w:pStyle w:val="TableContents"/>
              <w:spacing w:before="0" w:after="0"/>
              <w:ind w:left="0" w:right="0" w:hanging="0"/>
              <w:rPr/>
            </w:pPr>
            <w:r>
              <w:rPr/>
              <w:t> </w:t>
            </w:r>
          </w:p>
        </w:tc>
        <w:tc>
          <w:tcPr>
            <w:tcW w:w="14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period activity</w:t>
            </w:r>
          </w:p>
        </w:tc>
        <w:tc>
          <w:tcPr>
            <w:tcW w:w="194" w:type="dxa"/>
            <w:tcBorders/>
            <w:shd w:fill="CCEEFF" w:val="clear"/>
            <w:vAlign w:val="bottom"/>
          </w:tcPr>
          <w:p>
            <w:pPr>
              <w:pStyle w:val="TableContents"/>
              <w:spacing w:before="0" w:after="0"/>
              <w:ind w:left="0" w:right="0" w:hanging="0"/>
              <w:rPr/>
            </w:pPr>
            <w:r>
              <w:rPr/>
              <w:t> </w:t>
            </w:r>
          </w:p>
        </w:tc>
        <w:tc>
          <w:tcPr>
            <w:tcW w:w="140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7" w:type="dxa"/>
            <w:tcBorders/>
            <w:shd w:fill="CCEEFF" w:val="clear"/>
            <w:vAlign w:val="bottom"/>
          </w:tcPr>
          <w:p>
            <w:pPr>
              <w:pStyle w:val="TableContents"/>
              <w:spacing w:before="0" w:after="0"/>
              <w:ind w:left="0" w:right="0" w:hanging="0"/>
              <w:rPr/>
            </w:pPr>
            <w:r>
              <w:rPr/>
              <w:t> </w:t>
            </w:r>
          </w:p>
        </w:tc>
        <w:tc>
          <w:tcPr>
            <w:tcW w:w="14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September 30, 2013</w:t>
            </w:r>
          </w:p>
        </w:tc>
        <w:tc>
          <w:tcPr>
            <w:tcW w:w="194" w:type="dxa"/>
            <w:tcBorders/>
            <w:shd w:fill="auto" w:val="clear"/>
            <w:vAlign w:val="bottom"/>
          </w:tcPr>
          <w:p>
            <w:pPr>
              <w:pStyle w:val="TableContents"/>
              <w:spacing w:before="0" w:after="0"/>
              <w:ind w:left="0" w:right="0" w:hanging="0"/>
              <w:rPr/>
            </w:pPr>
            <w:r>
              <w:rPr/>
              <w:t> </w:t>
            </w:r>
          </w:p>
        </w:tc>
        <w:tc>
          <w:tcPr>
            <w:tcW w:w="19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07"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2" w:name="PB_5_125628_2897"/>
      <w:bookmarkEnd w:id="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STATEMENTS OF CASH FLOWS</w:t>
      </w:r>
      <w:bookmarkStart w:id="13" w:name="CondensedConsolidatedStatementsOf_130716"/>
      <w:bookmarkEnd w:id="13"/>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185"/>
        <w:gridCol w:w="212"/>
        <w:gridCol w:w="132"/>
        <w:gridCol w:w="1117"/>
        <w:gridCol w:w="221"/>
        <w:gridCol w:w="134"/>
        <w:gridCol w:w="1079"/>
        <w:gridCol w:w="125"/>
      </w:tblGrid>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8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5" w:type="dxa"/>
            <w:tcBorders/>
            <w:shd w:fill="auto" w:val="clear"/>
            <w:vAlign w:val="bottom"/>
          </w:tcPr>
          <w:p>
            <w:pPr>
              <w:pStyle w:val="TableContents"/>
              <w:spacing w:before="0" w:after="0"/>
              <w:ind w:left="0" w:right="0" w:hanging="0"/>
              <w:jc w:val="center"/>
              <w:rPr/>
            </w:pPr>
            <w:r>
              <w:rPr/>
              <w:t> </w:t>
            </w:r>
          </w:p>
        </w:tc>
      </w:tr>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8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5" w:type="dxa"/>
            <w:tcBorders/>
            <w:shd w:fill="auto" w:val="clear"/>
            <w:vAlign w:val="bottom"/>
          </w:tcPr>
          <w:p>
            <w:pPr>
              <w:pStyle w:val="TableContents"/>
              <w:spacing w:before="0" w:after="0"/>
              <w:ind w:left="0" w:right="0" w:hanging="0"/>
              <w:jc w:val="center"/>
              <w:rPr/>
            </w:pPr>
            <w:r>
              <w:rPr/>
              <w:t> </w:t>
            </w:r>
          </w:p>
        </w:tc>
      </w:tr>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1" w:type="dxa"/>
            <w:tcBorders/>
            <w:shd w:fill="auto" w:val="clear"/>
            <w:vAlign w:val="bottom"/>
          </w:tcPr>
          <w:p>
            <w:pPr>
              <w:pStyle w:val="TableContents"/>
              <w:spacing w:before="0" w:after="0"/>
              <w:ind w:left="0" w:right="0" w:hanging="0"/>
              <w:jc w:val="center"/>
              <w:rPr/>
            </w:pPr>
            <w:r>
              <w:rPr/>
              <w:t> </w:t>
            </w:r>
          </w:p>
        </w:tc>
        <w:tc>
          <w:tcPr>
            <w:tcW w:w="121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5" w:type="dxa"/>
            <w:tcBorders/>
            <w:shd w:fill="auto" w:val="clear"/>
            <w:vAlign w:val="bottom"/>
          </w:tcPr>
          <w:p>
            <w:pPr>
              <w:pStyle w:val="TableContents"/>
              <w:spacing w:before="0" w:after="0"/>
              <w:ind w:left="0" w:right="0" w:hanging="0"/>
              <w:jc w:val="center"/>
              <w:rPr/>
            </w:pPr>
            <w:r>
              <w:rPr/>
              <w:t> </w:t>
            </w:r>
          </w:p>
        </w:tc>
      </w:tr>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8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25" w:type="dxa"/>
            <w:tcBorders/>
            <w:shd w:fill="auto" w:val="clear"/>
            <w:vAlign w:val="bottom"/>
          </w:tcPr>
          <w:p>
            <w:pPr>
              <w:pStyle w:val="TableContents"/>
              <w:spacing w:before="0" w:after="0"/>
              <w:ind w:left="0" w:right="0" w:hanging="0"/>
              <w:jc w:val="center"/>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OPERATING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2"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221"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Reconciliation of net income to net cash provided by operating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valuation adjustments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 on sales of linefill and base gas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Settlement of terminated interest rate and foreign currency hedging instruments </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(Gain)/loss on foreign currency revaluation</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(453</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1,594</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880</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net of cash acquired</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(1,537</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Additions to property, equipment and other</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for sales of linefill and base gas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paid for purchases of linefill and base gas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received upon formation of equity-method investment</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investing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(1,340</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(2,376</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under PAA senior secured hedged inventory facility (Note 7)</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(659</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under PAA senior unsecured revolving credit facility (Note 7)</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borrowings/(repayments) under PNG credit agreement (Note 7)</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borrowings under commercial paper program (Note 7)</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Proceeds from the issuance of senior notes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699</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1,247</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Repayments of senior notes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 (Note 9)</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812</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PNG common units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common unitholders (Note 9)</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general partner (Note 9)</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paid to noncontrolling interests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(used in)/provided by financing activities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1,501</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increase in cash and cash equivalents</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2"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21"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49"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213"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Cash paid for: </w:t>
            </w:r>
          </w:p>
        </w:tc>
        <w:tc>
          <w:tcPr>
            <w:tcW w:w="212" w:type="dxa"/>
            <w:tcBorders/>
            <w:shd w:fill="CCEEFF" w:val="clear"/>
            <w:vAlign w:val="bottom"/>
          </w:tcPr>
          <w:p>
            <w:pPr>
              <w:pStyle w:val="TableContents"/>
              <w:spacing w:before="0" w:after="0"/>
              <w:ind w:left="0" w:right="0" w:hanging="0"/>
              <w:rPr/>
            </w:pPr>
            <w:r>
              <w:rPr/>
              <w:t> </w:t>
            </w:r>
          </w:p>
        </w:tc>
        <w:tc>
          <w:tcPr>
            <w:tcW w:w="1249" w:type="dxa"/>
            <w:gridSpan w:val="2"/>
            <w:tcBorders/>
            <w:shd w:fill="CCEEFF" w:val="clear"/>
            <w:vAlign w:val="bottom"/>
          </w:tcPr>
          <w:p>
            <w:pPr>
              <w:pStyle w:val="TableContents"/>
              <w:spacing w:before="0" w:after="0"/>
              <w:ind w:left="0" w:right="0" w:hanging="0"/>
              <w:jc w:val="right"/>
              <w:rPr/>
            </w:pPr>
            <w:r>
              <w:rPr/>
              <w:t> </w:t>
            </w:r>
          </w:p>
        </w:tc>
        <w:tc>
          <w:tcPr>
            <w:tcW w:w="221" w:type="dxa"/>
            <w:tcBorders/>
            <w:shd w:fill="CCEEFF" w:val="clear"/>
            <w:vAlign w:val="bottom"/>
          </w:tcPr>
          <w:p>
            <w:pPr>
              <w:pStyle w:val="TableContents"/>
              <w:spacing w:before="0" w:after="0"/>
              <w:ind w:left="0" w:right="0" w:hanging="0"/>
              <w:rPr/>
            </w:pPr>
            <w:r>
              <w:rPr/>
              <w:t> </w:t>
            </w:r>
          </w:p>
        </w:tc>
        <w:tc>
          <w:tcPr>
            <w:tcW w:w="1213"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71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net of amounts capitalized</w:t>
            </w:r>
          </w:p>
        </w:tc>
        <w:tc>
          <w:tcPr>
            <w:tcW w:w="212"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221"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125" w:type="dxa"/>
            <w:tcBorders/>
            <w:shd w:fill="auto" w:val="clear"/>
            <w:vAlign w:val="bottom"/>
          </w:tcPr>
          <w:p>
            <w:pPr>
              <w:pStyle w:val="TableContents"/>
              <w:spacing w:before="0" w:after="0"/>
              <w:ind w:left="0" w:right="0" w:hanging="0"/>
              <w:rPr/>
            </w:pPr>
            <w:r>
              <w:rPr/>
              <w:t> </w:t>
            </w:r>
          </w:p>
        </w:tc>
      </w:tr>
      <w:tr>
        <w:trPr/>
        <w:tc>
          <w:tcPr>
            <w:tcW w:w="71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taxes, net of amounts refunded</w:t>
            </w:r>
          </w:p>
        </w:tc>
        <w:tc>
          <w:tcPr>
            <w:tcW w:w="212"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1"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4" w:name="PB_6_130003_3020"/>
      <w:bookmarkEnd w:id="1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CONDENSED CONSOLIDATED STATEMENT OF PARTNERS CAPITAL</w:t>
      </w:r>
      <w:bookmarkStart w:id="15" w:name="CondensedConsolidatedStatementOfP_130722"/>
      <w:bookmarkEnd w:id="15"/>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2631"/>
        <w:gridCol w:w="169"/>
        <w:gridCol w:w="880"/>
        <w:gridCol w:w="184"/>
        <w:gridCol w:w="145"/>
        <w:gridCol w:w="756"/>
        <w:gridCol w:w="184"/>
        <w:gridCol w:w="166"/>
        <w:gridCol w:w="709"/>
        <w:gridCol w:w="184"/>
        <w:gridCol w:w="235"/>
        <w:gridCol w:w="1293"/>
        <w:gridCol w:w="184"/>
        <w:gridCol w:w="257"/>
        <w:gridCol w:w="1011"/>
        <w:gridCol w:w="183"/>
        <w:gridCol w:w="145"/>
        <w:gridCol w:w="756"/>
        <w:gridCol w:w="133"/>
      </w:tblGrid>
      <w:tr>
        <w:trPr/>
        <w:tc>
          <w:tcPr>
            <w:tcW w:w="263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880" w:type="dxa"/>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01"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875"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5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 Capital</w:t>
            </w:r>
          </w:p>
        </w:tc>
        <w:tc>
          <w:tcPr>
            <w:tcW w:w="184" w:type="dxa"/>
            <w:tcBorders/>
            <w:shd w:fill="auto" w:val="clear"/>
            <w:vAlign w:val="bottom"/>
          </w:tcPr>
          <w:p>
            <w:pPr>
              <w:pStyle w:val="TableContents"/>
              <w:spacing w:before="0" w:after="0"/>
              <w:ind w:left="0" w:right="0" w:hanging="0"/>
              <w:jc w:val="center"/>
              <w:rPr/>
            </w:pPr>
            <w:r>
              <w:rPr/>
              <w:t> </w:t>
            </w:r>
          </w:p>
        </w:tc>
        <w:tc>
          <w:tcPr>
            <w:tcW w:w="1268"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901" w:type="dxa"/>
            <w:gridSpan w:val="2"/>
            <w:tcBorders/>
            <w:shd w:fill="auto" w:val="clear"/>
            <w:vAlign w:val="bottom"/>
          </w:tcPr>
          <w:p>
            <w:pPr>
              <w:pStyle w:val="TableContents"/>
              <w:spacing w:before="0" w:after="0"/>
              <w:ind w:left="0" w:right="0" w:hanging="0"/>
              <w:jc w:val="center"/>
              <w:rPr/>
            </w:pPr>
            <w:r>
              <w:rPr/>
              <w:t> </w:t>
            </w:r>
          </w:p>
        </w:tc>
        <w:tc>
          <w:tcPr>
            <w:tcW w:w="133" w:type="dxa"/>
            <w:tcBorders/>
            <w:shd w:fill="auto" w:val="clear"/>
            <w:vAlign w:val="bottom"/>
          </w:tcPr>
          <w:p>
            <w:pPr>
              <w:pStyle w:val="TableContents"/>
              <w:spacing w:before="0" w:after="0"/>
              <w:ind w:left="0" w:right="0" w:hanging="0"/>
              <w:jc w:val="center"/>
              <w:rPr/>
            </w:pPr>
            <w:r>
              <w:rPr/>
              <w:t> </w:t>
            </w:r>
          </w:p>
        </w:tc>
      </w:tr>
      <w:tr>
        <w:trPr/>
        <w:tc>
          <w:tcPr>
            <w:tcW w:w="263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880" w:type="dxa"/>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901"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875" w:type="dxa"/>
            <w:gridSpan w:val="2"/>
            <w:tcBorders/>
            <w:shd w:fill="auto" w:val="clear"/>
            <w:vAlign w:val="bottom"/>
          </w:tcPr>
          <w:p>
            <w:pPr>
              <w:pStyle w:val="TableContents"/>
              <w:spacing w:before="0" w:after="0"/>
              <w:ind w:left="0" w:right="0" w:hanging="0"/>
              <w:jc w:val="center"/>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5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Excluding</w:t>
            </w:r>
          </w:p>
        </w:tc>
        <w:tc>
          <w:tcPr>
            <w:tcW w:w="184" w:type="dxa"/>
            <w:tcBorders/>
            <w:shd w:fill="auto" w:val="clear"/>
            <w:vAlign w:val="bottom"/>
          </w:tcPr>
          <w:p>
            <w:pPr>
              <w:pStyle w:val="TableContents"/>
              <w:spacing w:before="0" w:after="0"/>
              <w:ind w:left="0" w:right="0" w:hanging="0"/>
              <w:jc w:val="center"/>
              <w:rPr/>
            </w:pPr>
            <w:r>
              <w:rPr/>
              <w:t> </w:t>
            </w:r>
          </w:p>
        </w:tc>
        <w:tc>
          <w:tcPr>
            <w:tcW w:w="1268"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901" w:type="dxa"/>
            <w:gridSpan w:val="2"/>
            <w:tcBorders/>
            <w:shd w:fill="auto" w:val="clear"/>
            <w:vAlign w:val="bottom"/>
          </w:tcPr>
          <w:p>
            <w:pPr>
              <w:pStyle w:val="TableContents"/>
              <w:spacing w:before="0" w:after="0"/>
              <w:ind w:left="0" w:right="0" w:hanging="0"/>
              <w:jc w:val="center"/>
              <w:rPr/>
            </w:pPr>
            <w:r>
              <w:rPr/>
              <w:t> </w:t>
            </w:r>
          </w:p>
        </w:tc>
        <w:tc>
          <w:tcPr>
            <w:tcW w:w="133" w:type="dxa"/>
            <w:tcBorders/>
            <w:shd w:fill="auto" w:val="clear"/>
            <w:vAlign w:val="bottom"/>
          </w:tcPr>
          <w:p>
            <w:pPr>
              <w:pStyle w:val="TableContents"/>
              <w:spacing w:before="0" w:after="0"/>
              <w:ind w:left="0" w:right="0" w:hanging="0"/>
              <w:jc w:val="center"/>
              <w:rPr/>
            </w:pPr>
            <w:r>
              <w:rPr/>
              <w:t> </w:t>
            </w:r>
          </w:p>
        </w:tc>
      </w:tr>
      <w:tr>
        <w:trPr/>
        <w:tc>
          <w:tcPr>
            <w:tcW w:w="263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196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 Units</w:t>
            </w:r>
          </w:p>
        </w:tc>
        <w:tc>
          <w:tcPr>
            <w:tcW w:w="184" w:type="dxa"/>
            <w:tcBorders/>
            <w:shd w:fill="auto" w:val="clear"/>
            <w:vAlign w:val="bottom"/>
          </w:tcPr>
          <w:p>
            <w:pPr>
              <w:pStyle w:val="TableContents"/>
              <w:spacing w:before="0" w:after="0"/>
              <w:ind w:left="0" w:right="0" w:hanging="0"/>
              <w:jc w:val="center"/>
              <w:rPr/>
            </w:pPr>
            <w:r>
              <w:rPr/>
              <w:t> </w:t>
            </w:r>
          </w:p>
        </w:tc>
        <w:tc>
          <w:tcPr>
            <w:tcW w:w="87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w:t>
            </w:r>
          </w:p>
        </w:tc>
        <w:tc>
          <w:tcPr>
            <w:tcW w:w="184" w:type="dxa"/>
            <w:tcBorders/>
            <w:shd w:fill="auto" w:val="clear"/>
            <w:vAlign w:val="bottom"/>
          </w:tcPr>
          <w:p>
            <w:pPr>
              <w:pStyle w:val="TableContents"/>
              <w:spacing w:before="0" w:after="0"/>
              <w:ind w:left="0" w:right="0" w:hanging="0"/>
              <w:jc w:val="center"/>
              <w:rPr/>
            </w:pPr>
            <w:r>
              <w:rPr/>
              <w:t> </w:t>
            </w:r>
          </w:p>
        </w:tc>
        <w:tc>
          <w:tcPr>
            <w:tcW w:w="15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4" w:type="dxa"/>
            <w:tcBorders/>
            <w:shd w:fill="auto" w:val="clear"/>
            <w:vAlign w:val="bottom"/>
          </w:tcPr>
          <w:p>
            <w:pPr>
              <w:pStyle w:val="TableContents"/>
              <w:spacing w:before="0" w:after="0"/>
              <w:ind w:left="0" w:right="0" w:hanging="0"/>
              <w:jc w:val="center"/>
              <w:rPr/>
            </w:pPr>
            <w:r>
              <w:rPr/>
              <w:t> </w:t>
            </w:r>
          </w:p>
        </w:tc>
        <w:tc>
          <w:tcPr>
            <w:tcW w:w="126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Noncontrolling</w:t>
            </w:r>
          </w:p>
        </w:tc>
        <w:tc>
          <w:tcPr>
            <w:tcW w:w="183" w:type="dxa"/>
            <w:tcBorders/>
            <w:shd w:fill="auto" w:val="clear"/>
            <w:vAlign w:val="bottom"/>
          </w:tcPr>
          <w:p>
            <w:pPr>
              <w:pStyle w:val="TableContents"/>
              <w:spacing w:before="0" w:after="0"/>
              <w:ind w:left="0" w:right="0" w:hanging="0"/>
              <w:jc w:val="center"/>
              <w:rPr/>
            </w:pPr>
            <w:r>
              <w:rPr/>
              <w:t> </w:t>
            </w:r>
          </w:p>
        </w:tc>
        <w:tc>
          <w:tcPr>
            <w:tcW w:w="9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Partners</w:t>
            </w:r>
          </w:p>
        </w:tc>
        <w:tc>
          <w:tcPr>
            <w:tcW w:w="133" w:type="dxa"/>
            <w:tcBorders/>
            <w:shd w:fill="auto" w:val="clear"/>
            <w:vAlign w:val="bottom"/>
          </w:tcPr>
          <w:p>
            <w:pPr>
              <w:pStyle w:val="TableContents"/>
              <w:spacing w:before="0" w:after="0"/>
              <w:ind w:left="0" w:right="0" w:hanging="0"/>
              <w:jc w:val="center"/>
              <w:rPr/>
            </w:pPr>
            <w:r>
              <w:rPr/>
              <w:t> </w:t>
            </w:r>
          </w:p>
        </w:tc>
      </w:tr>
      <w:tr>
        <w:trPr/>
        <w:tc>
          <w:tcPr>
            <w:tcW w:w="263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88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84" w:type="dxa"/>
            <w:tcBorders/>
            <w:shd w:fill="auto" w:val="clear"/>
            <w:vAlign w:val="bottom"/>
          </w:tcPr>
          <w:p>
            <w:pPr>
              <w:pStyle w:val="TableContents"/>
              <w:spacing w:before="0" w:after="0"/>
              <w:ind w:left="0" w:right="0" w:hanging="0"/>
              <w:jc w:val="center"/>
              <w:rPr/>
            </w:pPr>
            <w:r>
              <w:rPr/>
              <w:t> </w:t>
            </w:r>
          </w:p>
        </w:tc>
        <w:tc>
          <w:tcPr>
            <w:tcW w:w="9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184" w:type="dxa"/>
            <w:tcBorders/>
            <w:shd w:fill="auto" w:val="clear"/>
            <w:vAlign w:val="bottom"/>
          </w:tcPr>
          <w:p>
            <w:pPr>
              <w:pStyle w:val="TableContents"/>
              <w:spacing w:before="0" w:after="0"/>
              <w:ind w:left="0" w:right="0" w:hanging="0"/>
              <w:jc w:val="center"/>
              <w:rPr/>
            </w:pPr>
            <w:r>
              <w:rPr/>
              <w:t> </w:t>
            </w:r>
          </w:p>
        </w:tc>
        <w:tc>
          <w:tcPr>
            <w:tcW w:w="8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w:t>
            </w:r>
          </w:p>
        </w:tc>
        <w:tc>
          <w:tcPr>
            <w:tcW w:w="184" w:type="dxa"/>
            <w:tcBorders/>
            <w:shd w:fill="auto" w:val="clear"/>
            <w:vAlign w:val="bottom"/>
          </w:tcPr>
          <w:p>
            <w:pPr>
              <w:pStyle w:val="TableContents"/>
              <w:spacing w:before="0" w:after="0"/>
              <w:ind w:left="0" w:right="0" w:hanging="0"/>
              <w:jc w:val="center"/>
              <w:rPr/>
            </w:pPr>
            <w:r>
              <w:rPr/>
              <w:t> </w:t>
            </w:r>
          </w:p>
        </w:tc>
        <w:tc>
          <w:tcPr>
            <w:tcW w:w="15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4" w:type="dxa"/>
            <w:tcBorders/>
            <w:shd w:fill="auto" w:val="clear"/>
            <w:vAlign w:val="bottom"/>
          </w:tcPr>
          <w:p>
            <w:pPr>
              <w:pStyle w:val="TableContents"/>
              <w:spacing w:before="0" w:after="0"/>
              <w:ind w:left="0" w:right="0" w:hanging="0"/>
              <w:jc w:val="center"/>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Interests</w:t>
            </w:r>
          </w:p>
        </w:tc>
        <w:tc>
          <w:tcPr>
            <w:tcW w:w="183" w:type="dxa"/>
            <w:tcBorders/>
            <w:shd w:fill="auto" w:val="clear"/>
            <w:vAlign w:val="bottom"/>
          </w:tcPr>
          <w:p>
            <w:pPr>
              <w:pStyle w:val="TableContents"/>
              <w:spacing w:before="0" w:after="0"/>
              <w:ind w:left="0" w:right="0" w:hanging="0"/>
              <w:jc w:val="center"/>
              <w:rPr/>
            </w:pPr>
            <w:r>
              <w:rPr/>
              <w:t> </w:t>
            </w:r>
          </w:p>
        </w:tc>
        <w:tc>
          <w:tcPr>
            <w:tcW w:w="9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Capital</w:t>
            </w:r>
          </w:p>
        </w:tc>
        <w:tc>
          <w:tcPr>
            <w:tcW w:w="133" w:type="dxa"/>
            <w:tcBorders/>
            <w:shd w:fill="auto" w:val="clear"/>
            <w:vAlign w:val="bottom"/>
          </w:tcPr>
          <w:p>
            <w:pPr>
              <w:pStyle w:val="TableContents"/>
              <w:spacing w:before="0" w:after="0"/>
              <w:ind w:left="0" w:right="0" w:hanging="0"/>
              <w:jc w:val="center"/>
              <w:rPr/>
            </w:pPr>
            <w:r>
              <w:rPr/>
              <w:t> </w:t>
            </w:r>
          </w:p>
        </w:tc>
      </w:tr>
      <w:tr>
        <w:trPr/>
        <w:tc>
          <w:tcPr>
            <w:tcW w:w="2631" w:type="dxa"/>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jc w:val="center"/>
              <w:rPr/>
            </w:pPr>
            <w:r>
              <w:rPr/>
              <w:t> </w:t>
            </w:r>
          </w:p>
        </w:tc>
        <w:tc>
          <w:tcPr>
            <w:tcW w:w="7272" w:type="dxa"/>
            <w:gridSpan w:val="16"/>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(unaudited)</w:t>
            </w:r>
          </w:p>
        </w:tc>
        <w:tc>
          <w:tcPr>
            <w:tcW w:w="133" w:type="dxa"/>
            <w:tcBorders/>
            <w:shd w:fill="auto" w:val="clear"/>
            <w:vAlign w:val="bottom"/>
          </w:tcPr>
          <w:p>
            <w:pPr>
              <w:pStyle w:val="TableContents"/>
              <w:spacing w:before="0" w:after="0"/>
              <w:ind w:left="0" w:right="0" w:hanging="0"/>
              <w:jc w:val="center"/>
              <w:rPr/>
            </w:pPr>
            <w:r>
              <w:rPr/>
              <w:t> </w:t>
            </w:r>
          </w:p>
        </w:tc>
      </w:tr>
      <w:tr>
        <w:trPr/>
        <w:tc>
          <w:tcPr>
            <w:tcW w:w="263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169" w:type="dxa"/>
            <w:tcBorders/>
            <w:shd w:fill="CCEEFF" w:val="clear"/>
            <w:vAlign w:val="bottom"/>
          </w:tcPr>
          <w:p>
            <w:pPr>
              <w:pStyle w:val="TableContents"/>
              <w:spacing w:before="0" w:after="0"/>
              <w:ind w:left="0" w:right="0" w:hanging="0"/>
              <w:rPr/>
            </w:pPr>
            <w:r>
              <w:rPr/>
              <w:t> </w:t>
            </w:r>
          </w:p>
        </w:tc>
        <w:tc>
          <w:tcPr>
            <w:tcW w:w="8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335.3</w:t>
            </w:r>
          </w:p>
        </w:tc>
        <w:tc>
          <w:tcPr>
            <w:tcW w:w="184"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6,388</w:t>
            </w:r>
          </w:p>
        </w:tc>
        <w:tc>
          <w:tcPr>
            <w:tcW w:w="184"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184" w:type="dxa"/>
            <w:tcBorders/>
            <w:shd w:fill="CCEEFF" w:val="clear"/>
            <w:vAlign w:val="bottom"/>
          </w:tcPr>
          <w:p>
            <w:pPr>
              <w:pStyle w:val="TableContents"/>
              <w:spacing w:before="0" w:after="0"/>
              <w:ind w:left="0" w:right="0" w:hanging="0"/>
              <w:rPr/>
            </w:pPr>
            <w:r>
              <w:rPr/>
              <w:t> </w:t>
            </w:r>
          </w:p>
        </w:tc>
        <w:tc>
          <w:tcPr>
            <w:tcW w:w="2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6,637</w:t>
            </w:r>
          </w:p>
        </w:tc>
        <w:tc>
          <w:tcPr>
            <w:tcW w:w="184" w:type="dxa"/>
            <w:tcBorders/>
            <w:shd w:fill="CCEEFF" w:val="clear"/>
            <w:vAlign w:val="bottom"/>
          </w:tcPr>
          <w:p>
            <w:pPr>
              <w:pStyle w:val="TableContents"/>
              <w:spacing w:before="0" w:after="0"/>
              <w:ind w:left="0" w:right="0" w:hanging="0"/>
              <w:rPr/>
            </w:pPr>
            <w:r>
              <w:rPr/>
              <w:t> </w:t>
            </w:r>
          </w:p>
        </w:tc>
        <w:tc>
          <w:tcPr>
            <w:tcW w:w="2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183"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33" w:type="dxa"/>
            <w:tcBorders/>
            <w:shd w:fill="CCEEFF" w:val="clear"/>
            <w:vAlign w:val="bottom"/>
          </w:tcPr>
          <w:p>
            <w:pPr>
              <w:pStyle w:val="TableContents"/>
              <w:spacing w:before="0" w:after="0"/>
              <w:ind w:left="0" w:right="0" w:hanging="0"/>
              <w:rPr/>
            </w:pPr>
            <w:r>
              <w:rPr/>
              <w:t> </w:t>
            </w:r>
          </w:p>
        </w:tc>
      </w:tr>
      <w:tr>
        <w:trPr/>
        <w:tc>
          <w:tcPr>
            <w:tcW w:w="2631"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69" w:type="dxa"/>
            <w:tcBorders/>
            <w:shd w:fill="auto" w:val="clear"/>
            <w:vAlign w:val="bottom"/>
          </w:tcPr>
          <w:p>
            <w:pPr>
              <w:pStyle w:val="TableContents"/>
              <w:spacing w:before="0" w:after="0"/>
              <w:ind w:left="0" w:right="0" w:hanging="0"/>
              <w:rPr/>
            </w:pPr>
            <w:r>
              <w:rPr/>
              <w:t> </w:t>
            </w:r>
          </w:p>
        </w:tc>
        <w:tc>
          <w:tcPr>
            <w:tcW w:w="8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w:t>
            </w:r>
          </w:p>
        </w:tc>
        <w:tc>
          <w:tcPr>
            <w:tcW w:w="184"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184" w:type="dxa"/>
            <w:tcBorders/>
            <w:shd w:fill="auto" w:val="clear"/>
            <w:vAlign w:val="bottom"/>
          </w:tcPr>
          <w:p>
            <w:pPr>
              <w:pStyle w:val="TableContents"/>
              <w:spacing w:before="0" w:after="0"/>
              <w:ind w:left="0" w:right="0" w:hanging="0"/>
              <w:rPr/>
            </w:pPr>
            <w:r>
              <w:rPr/>
              <w:t> </w:t>
            </w:r>
          </w:p>
        </w:tc>
        <w:tc>
          <w:tcPr>
            <w:tcW w:w="15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184"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83"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133" w:type="dxa"/>
            <w:tcBorders/>
            <w:shd w:fill="auto" w:val="clear"/>
            <w:vAlign w:val="bottom"/>
          </w:tcPr>
          <w:p>
            <w:pPr>
              <w:pStyle w:val="TableContents"/>
              <w:spacing w:before="0" w:after="0"/>
              <w:ind w:left="0" w:right="0" w:hanging="0"/>
              <w:rPr/>
            </w:pPr>
            <w:r>
              <w:rPr/>
              <w:t> </w:t>
            </w:r>
          </w:p>
        </w:tc>
      </w:tr>
      <w:tr>
        <w:trPr/>
        <w:tc>
          <w:tcPr>
            <w:tcW w:w="263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169" w:type="dxa"/>
            <w:tcBorders/>
            <w:shd w:fill="CCEEFF" w:val="clear"/>
            <w:vAlign w:val="bottom"/>
          </w:tcPr>
          <w:p>
            <w:pPr>
              <w:pStyle w:val="TableContents"/>
              <w:spacing w:before="0" w:after="0"/>
              <w:ind w:left="0" w:right="0" w:hanging="0"/>
              <w:rPr/>
            </w:pPr>
            <w:r>
              <w:rPr/>
              <w:t> </w:t>
            </w:r>
          </w:p>
        </w:tc>
        <w:tc>
          <w:tcPr>
            <w:tcW w:w="8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(892</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169" w:type="dxa"/>
            <w:tcBorders/>
            <w:shd w:fill="auto" w:val="clear"/>
            <w:vAlign w:val="bottom"/>
          </w:tcPr>
          <w:p>
            <w:pPr>
              <w:pStyle w:val="TableContents"/>
              <w:spacing w:before="0" w:after="0"/>
              <w:ind w:left="0" w:right="0" w:hanging="0"/>
              <w:rPr/>
            </w:pPr>
            <w:r>
              <w:rPr/>
              <w:t> </w:t>
            </w:r>
          </w:p>
        </w:tc>
        <w:tc>
          <w:tcPr>
            <w:tcW w:w="8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84"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w:t>
            </w:r>
          </w:p>
        </w:tc>
        <w:tc>
          <w:tcPr>
            <w:tcW w:w="184" w:type="dxa"/>
            <w:tcBorders/>
            <w:shd w:fill="auto" w:val="clear"/>
            <w:vAlign w:val="bottom"/>
          </w:tcPr>
          <w:p>
            <w:pPr>
              <w:pStyle w:val="TableContents"/>
              <w:spacing w:before="0" w:after="0"/>
              <w:ind w:left="0" w:right="0" w:hanging="0"/>
              <w:rPr/>
            </w:pPr>
            <w:r>
              <w:rPr/>
              <w:t> </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4" w:type="dxa"/>
            <w:tcBorders/>
            <w:shd w:fill="auto" w:val="clear"/>
            <w:vAlign w:val="bottom"/>
          </w:tcPr>
          <w:p>
            <w:pPr>
              <w:pStyle w:val="TableContents"/>
              <w:spacing w:before="0" w:after="0"/>
              <w:ind w:left="0" w:right="0" w:hanging="0"/>
              <w:rPr/>
            </w:pPr>
            <w:r>
              <w:rPr/>
              <w:t> </w:t>
            </w:r>
          </w:p>
        </w:tc>
        <w:tc>
          <w:tcPr>
            <w:tcW w:w="15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84"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400</w:t>
            </w:r>
          </w:p>
        </w:tc>
        <w:tc>
          <w:tcPr>
            <w:tcW w:w="133" w:type="dxa"/>
            <w:tcBorders/>
            <w:shd w:fill="auto" w:val="clear"/>
            <w:vAlign w:val="bottom"/>
          </w:tcPr>
          <w:p>
            <w:pPr>
              <w:pStyle w:val="TableContents"/>
              <w:spacing w:before="0" w:after="0"/>
              <w:ind w:left="0" w:right="0" w:hanging="0"/>
              <w:rPr/>
            </w:pPr>
            <w:r>
              <w:rPr/>
              <w:t> </w:t>
            </w:r>
          </w:p>
        </w:tc>
      </w:tr>
      <w:tr>
        <w:trPr/>
        <w:tc>
          <w:tcPr>
            <w:tcW w:w="26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common units under LTIP</w:t>
            </w:r>
          </w:p>
        </w:tc>
        <w:tc>
          <w:tcPr>
            <w:tcW w:w="169" w:type="dxa"/>
            <w:tcBorders/>
            <w:shd w:fill="CCEEFF" w:val="clear"/>
            <w:vAlign w:val="bottom"/>
          </w:tcPr>
          <w:p>
            <w:pPr>
              <w:pStyle w:val="TableContents"/>
              <w:spacing w:before="0" w:after="0"/>
              <w:ind w:left="0" w:right="0" w:hanging="0"/>
              <w:rPr/>
            </w:pPr>
            <w:r>
              <w:rPr/>
              <w:t> </w:t>
            </w:r>
          </w:p>
        </w:tc>
        <w:tc>
          <w:tcPr>
            <w:tcW w:w="8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w:t>
            </w:r>
          </w:p>
        </w:tc>
        <w:tc>
          <w:tcPr>
            <w:tcW w:w="184"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4"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15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4"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3" w:type="dxa"/>
            <w:tcBorders/>
            <w:shd w:fill="CCEEFF" w:val="clear"/>
            <w:vAlign w:val="bottom"/>
          </w:tcPr>
          <w:p>
            <w:pPr>
              <w:pStyle w:val="TableContents"/>
              <w:spacing w:before="0" w:after="0"/>
              <w:ind w:left="0" w:right="0" w:hanging="0"/>
              <w:rPr/>
            </w:pPr>
            <w:r>
              <w:rPr/>
              <w:t> </w:t>
            </w:r>
          </w:p>
        </w:tc>
      </w:tr>
      <w:tr>
        <w:trPr/>
        <w:tc>
          <w:tcPr>
            <w:tcW w:w="26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Units tendered by employees to satisfy tax withholding obligations</w:t>
            </w:r>
          </w:p>
        </w:tc>
        <w:tc>
          <w:tcPr>
            <w:tcW w:w="169" w:type="dxa"/>
            <w:tcBorders/>
            <w:shd w:fill="auto" w:val="clear"/>
            <w:vAlign w:val="bottom"/>
          </w:tcPr>
          <w:p>
            <w:pPr>
              <w:pStyle w:val="TableContents"/>
              <w:spacing w:before="0" w:after="0"/>
              <w:ind w:left="0" w:right="0" w:hanging="0"/>
              <w:rPr/>
            </w:pPr>
            <w:r>
              <w:rPr/>
              <w:t> </w:t>
            </w:r>
          </w:p>
        </w:tc>
        <w:tc>
          <w:tcPr>
            <w:tcW w:w="8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15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3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169" w:type="dxa"/>
            <w:tcBorders/>
            <w:shd w:fill="CCEEFF" w:val="clear"/>
            <w:vAlign w:val="bottom"/>
          </w:tcPr>
          <w:p>
            <w:pPr>
              <w:pStyle w:val="TableContents"/>
              <w:spacing w:before="0" w:after="0"/>
              <w:ind w:left="0" w:right="0" w:hanging="0"/>
              <w:rPr/>
            </w:pPr>
            <w:r>
              <w:rPr/>
              <w:t> </w:t>
            </w:r>
          </w:p>
        </w:tc>
        <w:tc>
          <w:tcPr>
            <w:tcW w:w="8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4"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4" w:type="dxa"/>
            <w:tcBorders/>
            <w:shd w:fill="CCEEFF" w:val="clear"/>
            <w:vAlign w:val="bottom"/>
          </w:tcPr>
          <w:p>
            <w:pPr>
              <w:pStyle w:val="TableContents"/>
              <w:spacing w:before="0" w:after="0"/>
              <w:ind w:left="0" w:right="0" w:hanging="0"/>
              <w:rPr/>
            </w:pPr>
            <w:r>
              <w:rPr/>
              <w:t> </w:t>
            </w:r>
          </w:p>
        </w:tc>
        <w:tc>
          <w:tcPr>
            <w:tcW w:w="15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84"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3"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33" w:type="dxa"/>
            <w:tcBorders/>
            <w:shd w:fill="CCEEFF" w:val="clear"/>
            <w:vAlign w:val="bottom"/>
          </w:tcPr>
          <w:p>
            <w:pPr>
              <w:pStyle w:val="TableContents"/>
              <w:spacing w:before="0" w:after="0"/>
              <w:ind w:left="0" w:right="0" w:hanging="0"/>
              <w:rPr/>
            </w:pPr>
            <w:r>
              <w:rPr/>
              <w:t> </w:t>
            </w:r>
          </w:p>
        </w:tc>
      </w:tr>
      <w:tr>
        <w:trPr/>
        <w:tc>
          <w:tcPr>
            <w:tcW w:w="2631"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 payments</w:t>
            </w:r>
          </w:p>
        </w:tc>
        <w:tc>
          <w:tcPr>
            <w:tcW w:w="169" w:type="dxa"/>
            <w:tcBorders/>
            <w:shd w:fill="auto" w:val="clear"/>
            <w:vAlign w:val="bottom"/>
          </w:tcPr>
          <w:p>
            <w:pPr>
              <w:pStyle w:val="TableContents"/>
              <w:spacing w:before="0" w:after="0"/>
              <w:ind w:left="0" w:right="0" w:hanging="0"/>
              <w:rPr/>
            </w:pPr>
            <w:r>
              <w:rPr/>
              <w:t> </w:t>
            </w:r>
          </w:p>
        </w:tc>
        <w:tc>
          <w:tcPr>
            <w:tcW w:w="8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15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3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Issuance of PNG common units</w:t>
            </w:r>
          </w:p>
        </w:tc>
        <w:tc>
          <w:tcPr>
            <w:tcW w:w="169" w:type="dxa"/>
            <w:tcBorders/>
            <w:shd w:fill="CCEEFF" w:val="clear"/>
            <w:vAlign w:val="bottom"/>
          </w:tcPr>
          <w:p>
            <w:pPr>
              <w:pStyle w:val="TableContents"/>
              <w:spacing w:before="0" w:after="0"/>
              <w:ind w:left="0" w:right="0" w:hanging="0"/>
              <w:rPr/>
            </w:pPr>
            <w:r>
              <w:rPr/>
              <w:t> </w:t>
            </w:r>
          </w:p>
        </w:tc>
        <w:tc>
          <w:tcPr>
            <w:tcW w:w="8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4" w:type="dxa"/>
            <w:tcBorders/>
            <w:shd w:fill="CCEEFF" w:val="clear"/>
            <w:vAlign w:val="bottom"/>
          </w:tcPr>
          <w:p>
            <w:pPr>
              <w:pStyle w:val="TableContents"/>
              <w:spacing w:before="0" w:after="0"/>
              <w:ind w:left="0" w:right="0" w:hanging="0"/>
              <w:rPr/>
            </w:pPr>
            <w:r>
              <w:rPr/>
              <w:t> </w:t>
            </w:r>
          </w:p>
        </w:tc>
        <w:tc>
          <w:tcPr>
            <w:tcW w:w="8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15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84"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83" w:type="dxa"/>
            <w:tcBorders/>
            <w:shd w:fill="CCEEFF" w:val="clear"/>
            <w:vAlign w:val="bottom"/>
          </w:tcPr>
          <w:p>
            <w:pPr>
              <w:pStyle w:val="TableContents"/>
              <w:spacing w:before="0" w:after="0"/>
              <w:ind w:left="0" w:right="0" w:hanging="0"/>
              <w:rPr/>
            </w:pPr>
            <w:r>
              <w:rPr/>
              <w:t> </w:t>
            </w:r>
          </w:p>
        </w:tc>
        <w:tc>
          <w:tcPr>
            <w:tcW w:w="9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33" w:type="dxa"/>
            <w:tcBorders/>
            <w:shd w:fill="CCEEFF" w:val="clear"/>
            <w:vAlign w:val="bottom"/>
          </w:tcPr>
          <w:p>
            <w:pPr>
              <w:pStyle w:val="TableContents"/>
              <w:spacing w:before="0" w:after="0"/>
              <w:ind w:left="0" w:right="0" w:hanging="0"/>
              <w:rPr/>
            </w:pPr>
            <w:r>
              <w:rPr/>
              <w:t> </w:t>
            </w:r>
          </w:p>
        </w:tc>
      </w:tr>
      <w:tr>
        <w:trPr/>
        <w:tc>
          <w:tcPr>
            <w:tcW w:w="2631"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69" w:type="dxa"/>
            <w:tcBorders/>
            <w:shd w:fill="auto" w:val="clear"/>
            <w:vAlign w:val="bottom"/>
          </w:tcPr>
          <w:p>
            <w:pPr>
              <w:pStyle w:val="TableContents"/>
              <w:spacing w:before="0" w:after="0"/>
              <w:ind w:left="0" w:right="0" w:hanging="0"/>
              <w:rPr/>
            </w:pPr>
            <w:r>
              <w:rPr/>
              <w:t> </w:t>
            </w:r>
          </w:p>
        </w:tc>
        <w:tc>
          <w:tcPr>
            <w:tcW w:w="8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auto" w:val="clear"/>
            <w:vAlign w:val="bottom"/>
          </w:tcPr>
          <w:p>
            <w:pPr>
              <w:pStyle w:val="TableContents"/>
              <w:spacing w:before="0" w:after="0"/>
              <w:ind w:left="0" w:right="0" w:hanging="0"/>
              <w:rPr/>
            </w:pPr>
            <w:r>
              <w:rPr/>
              <w:t> </w:t>
            </w:r>
          </w:p>
        </w:tc>
        <w:tc>
          <w:tcPr>
            <w:tcW w:w="15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3" w:type="dxa"/>
            <w:tcBorders/>
            <w:shd w:fill="auto" w:val="clear"/>
            <w:vAlign w:val="bottom"/>
          </w:tcPr>
          <w:p>
            <w:pPr>
              <w:pStyle w:val="TableContents"/>
              <w:spacing w:before="0" w:after="0"/>
              <w:ind w:left="0" w:right="0" w:hanging="0"/>
              <w:rPr/>
            </w:pPr>
            <w:r>
              <w:rPr/>
              <w:t> </w:t>
            </w:r>
          </w:p>
        </w:tc>
        <w:tc>
          <w:tcPr>
            <w:tcW w:w="9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31"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169" w:type="dxa"/>
            <w:tcBorders/>
            <w:shd w:fill="CCEEFF" w:val="clear"/>
            <w:vAlign w:val="bottom"/>
          </w:tcPr>
          <w:p>
            <w:pPr>
              <w:pStyle w:val="TableContents"/>
              <w:spacing w:before="0" w:after="0"/>
              <w:ind w:left="0" w:right="0" w:hanging="0"/>
              <w:rPr/>
            </w:pPr>
            <w:r>
              <w:rPr/>
              <w:t> </w:t>
            </w:r>
          </w:p>
        </w:tc>
        <w:tc>
          <w:tcPr>
            <w:tcW w:w="88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9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3" w:type="dxa"/>
            <w:tcBorders/>
            <w:shd w:fill="CCEEFF" w:val="clear"/>
            <w:vAlign w:val="bottom"/>
          </w:tcPr>
          <w:p>
            <w:pPr>
              <w:pStyle w:val="TableContents"/>
              <w:spacing w:before="0" w:after="0"/>
              <w:ind w:left="0" w:right="0" w:hanging="0"/>
              <w:rPr/>
            </w:pPr>
            <w:r>
              <w:rPr/>
              <w:t> </w:t>
            </w:r>
          </w:p>
        </w:tc>
        <w:tc>
          <w:tcPr>
            <w:tcW w:w="9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631"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Balance at September 30, 2013</w:t>
            </w:r>
          </w:p>
        </w:tc>
        <w:tc>
          <w:tcPr>
            <w:tcW w:w="169" w:type="dxa"/>
            <w:tcBorders/>
            <w:shd w:fill="auto" w:val="clear"/>
            <w:vAlign w:val="bottom"/>
          </w:tcPr>
          <w:p>
            <w:pPr>
              <w:pStyle w:val="TableContents"/>
              <w:spacing w:before="0" w:after="0"/>
              <w:ind w:left="0" w:right="0" w:hanging="0"/>
              <w:rPr/>
            </w:pPr>
            <w:r>
              <w:rPr/>
              <w:t> </w:t>
            </w:r>
          </w:p>
        </w:tc>
        <w:tc>
          <w:tcPr>
            <w:tcW w:w="8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343.0</w:t>
            </w:r>
          </w:p>
        </w:tc>
        <w:tc>
          <w:tcPr>
            <w:tcW w:w="184"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6,873</w:t>
            </w:r>
          </w:p>
        </w:tc>
        <w:tc>
          <w:tcPr>
            <w:tcW w:w="184"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184" w:type="dxa"/>
            <w:tcBorders/>
            <w:shd w:fill="auto" w:val="clear"/>
            <w:vAlign w:val="bottom"/>
          </w:tcPr>
          <w:p>
            <w:pPr>
              <w:pStyle w:val="TableContents"/>
              <w:spacing w:before="0" w:after="0"/>
              <w:ind w:left="0" w:right="0" w:hanging="0"/>
              <w:rPr/>
            </w:pPr>
            <w:r>
              <w:rPr/>
              <w:t> </w:t>
            </w:r>
          </w:p>
        </w:tc>
        <w:tc>
          <w:tcPr>
            <w:tcW w:w="2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7,150</w:t>
            </w:r>
          </w:p>
        </w:tc>
        <w:tc>
          <w:tcPr>
            <w:tcW w:w="184" w:type="dxa"/>
            <w:tcBorders/>
            <w:shd w:fill="auto" w:val="clear"/>
            <w:vAlign w:val="bottom"/>
          </w:tcPr>
          <w:p>
            <w:pPr>
              <w:pStyle w:val="TableContents"/>
              <w:spacing w:before="0" w:after="0"/>
              <w:ind w:left="0" w:right="0" w:hanging="0"/>
              <w:rPr/>
            </w:pPr>
            <w:r>
              <w:rPr/>
              <w:t> </w:t>
            </w:r>
          </w:p>
        </w:tc>
        <w:tc>
          <w:tcPr>
            <w:tcW w:w="2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534</w:t>
            </w:r>
          </w:p>
        </w:tc>
        <w:tc>
          <w:tcPr>
            <w:tcW w:w="183"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7,684</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6" w:name="PB_7_130326_7748"/>
      <w:bookmarkEnd w:id="1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CONDENSED CONSOLIDATED FINANCIAL</w:t>
      </w:r>
      <w:bookmarkStart w:id="17" w:name="NotesToCondensedConsolidatedFinan_133026"/>
      <w:bookmarkEnd w:id="17"/>
      <w:r>
        <w:rPr>
          <w:rFonts w:ascii="Times New Roman" w:hAnsi="Times New Roman"/>
          <w:b/>
          <w:sz w:val="17"/>
        </w:rPr>
        <w:t xml:space="preserve"> STATEMENTS</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1Organization and Basis of Presentation</w:t>
      </w:r>
      <w:bookmarkStart w:id="18" w:name="Note1organizationAndBasisOfPresen_133040"/>
      <w:bookmarkEnd w:id="18"/>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Organization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Delaware limited partnership formed in 1998. As used in this Form 10-Q and unless the context indicates otherwise, the terms Partnership, Plains, PAA, we, us, our, ours and similar terms refer to Plains All American Pipeline, L.P. and its subsidiaries.  Our 2% general partner interest is held by PAA GP LLC, a Delaware limited liability company, whose sole member is Plains AAP, L.P., a Delaware limited partnership. On October 21, 2013, Plains GP Holdings, L.P., a Delaware limited partnership that has elected to be treated as a corporation for U.S. federal income tax purposes (PAGP) completed its initial public offering. As a result of the offering, PAGP currently owns an approximate 21.8% limited partner interest in Plains AAP, L.P.  The remaining limited partner interests in Plains AAP, L.P. continue to be held by the owners of PAAs general partner entities immediately prior to PAGPs initial public offering.  In addition to its ownership of PAA GP LLC, Plains AAP, L.P. also owns all of the incentive distribution rights in PAA. Plains All American GP LLC, a Delaware limited liability company, is Plains AAP, L.P.s general partner.  References to our general partner, as the context requires, include any or all of PAA GP LLC, Plains AAP, L.P. and Plains All American GP LLC.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(LPG). When used in this document, NGL refers to all NGL products including LPG. Through our general partner interest and majority equity ownership position in PAA Natural Gas Storage, L.P. (NYSE: PNG), we also own and operate natural gas storage facilities.  Our business activities are conducted through three operating segments: (i) Transportation, (ii) Facilities and (iii) Supply and Logistics.  See Note 13 for further discussion of our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Potential Acquisition of Publicly-held Common Units of PNG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22, 2013, we announced our entry into a definitive agreement and plan of merger (the Merger Agreement) with PNG that provides for a merger whereby PNG will become our wholly-owned subsidiary through a unit-for-unit exchange (the Merger). Under the terms of the Merger Agreement, we will issue 0.445 PAA common units for each outstanding PNG common unit held by unitholders other than us, plus cash in lieu of any fractional PAA common units otherwise issuable in the Merger. There are approximately 33.0 million PNG common units owned by unitholders other than us and consummation of the transaction is expected to result in the issuance of approximately 14.7 million PAA common units. In connection with the closing of the Merger, the owners of our general partner have agreed to reduce their incentive distribution rights under our Partnership Agreement by $12 million in each of 2014 and 2015, $10 million in 2016 and $5 million per year thereafter.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closing of the Merger is subject to the satisfaction of certain conditions, including the approval of the Merger and the Merger Agreement at a special meeting of the unitholders of PNG by the affirmative vote of holders of a majority of the outstanding PNG common units (including PNG common units held by us) voting as a separate class and the affirmative vote of holders of a majority of PNGs outstanding subordinated units voting as a separate class. We own 100% of the membership interests in the general partner of PNG, 100% of the outstanding subordinated units of PNG and approximately 46% of the 61.2 million outstanding common units of PNG. Pursuant to the Merger Agreement, we have agreed to vote our common units and subordinated units in favor of the Merger. We anticipate that the Merger will close in the latter half of the fourth quarter of 2013 or the first quarter of 2014, and that the previously announced quarterly distribution of $0.3575 per PNG common unit payable to holders of record of such units on November 1, 2013 will be paid on November 14, 2013 as scheduled.</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Definitions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defined terms are used in this Form 10-Q and shall have the meanings indicated below:</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832"/>
        <w:gridCol w:w="937"/>
        <w:gridCol w:w="8436"/>
      </w:tblGrid>
      <w:tr>
        <w:trPr/>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AOCI</w:t>
            </w:r>
          </w:p>
        </w:tc>
        <w:tc>
          <w:tcPr>
            <w:tcW w:w="93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Accumulated other comprehensive income</w:t>
            </w:r>
          </w:p>
        </w:tc>
      </w:tr>
      <w:tr>
        <w:trPr/>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93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Btu</w:t>
            </w:r>
          </w:p>
        </w:tc>
        <w:tc>
          <w:tcPr>
            <w:tcW w:w="93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British thermal unit</w:t>
            </w:r>
          </w:p>
        </w:tc>
      </w:tr>
      <w:tr>
        <w:trPr/>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CAD</w:t>
            </w:r>
          </w:p>
        </w:tc>
        <w:tc>
          <w:tcPr>
            <w:tcW w:w="93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Canadian dollar</w:t>
            </w:r>
          </w:p>
        </w:tc>
      </w:tr>
      <w:tr>
        <w:trPr/>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CME</w:t>
            </w:r>
          </w:p>
        </w:tc>
        <w:tc>
          <w:tcPr>
            <w:tcW w:w="93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Chicago Mercantile Exchange</w:t>
            </w:r>
          </w:p>
        </w:tc>
      </w:tr>
      <w:tr>
        <w:trPr/>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DERs</w:t>
            </w:r>
          </w:p>
        </w:tc>
        <w:tc>
          <w:tcPr>
            <w:tcW w:w="93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rights</w:t>
            </w:r>
          </w:p>
        </w:tc>
      </w:tr>
      <w:tr>
        <w:trPr/>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93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depreciation and amortization</w:t>
            </w:r>
          </w:p>
        </w:tc>
      </w:tr>
      <w:tr>
        <w:trPr/>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93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FERC</w:t>
            </w:r>
          </w:p>
        </w:tc>
        <w:tc>
          <w:tcPr>
            <w:tcW w:w="93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Federal Energy Regulatory Commission</w:t>
            </w:r>
          </w:p>
        </w:tc>
      </w:tr>
      <w:tr>
        <w:trPr/>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GAAP</w:t>
            </w:r>
          </w:p>
        </w:tc>
        <w:tc>
          <w:tcPr>
            <w:tcW w:w="93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Generally accepted accounting principles in the United States</w:t>
            </w:r>
          </w:p>
        </w:tc>
      </w:tr>
      <w:tr>
        <w:trPr/>
        <w:tc>
          <w:tcPr>
            <w:tcW w:w="83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ICE</w:t>
            </w:r>
          </w:p>
        </w:tc>
        <w:tc>
          <w:tcPr>
            <w:tcW w:w="93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IntercontinentalExchange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9" w:name="PB_8_125500_7056"/>
      <w:bookmarkEnd w:id="1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833"/>
        <w:gridCol w:w="936"/>
        <w:gridCol w:w="8436"/>
      </w:tblGrid>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LIBOR</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London Interbank Offered Rate</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LLS</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Light Louisiana Sweet</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Thousand cubic feet</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Master limited partnership</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liquids including ethane, natural gasoline products, propane and butane</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NPNS</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Normal purchases and normal sales</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NYMEX</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New York Mercantile Exchange</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NYSE</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New York Stock Exchange</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Pipeline loss allowance</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PAA Natural Gas Storage, L.P.</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Securities and Exchange Commission</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USD</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United States dollar</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WTI</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West Texas Intermediate</w:t>
            </w:r>
          </w:p>
        </w:tc>
      </w:tr>
      <w:tr>
        <w:trPr/>
        <w:tc>
          <w:tcPr>
            <w:tcW w:w="83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WTS</w:t>
            </w:r>
          </w:p>
        </w:tc>
        <w:tc>
          <w:tcPr>
            <w:tcW w:w="9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84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West Texas Sour</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Basis of Consolidation and Presentation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unaudited condensed consolidated interim financial statements and notes thereto should be read in conjunction with our 2012 Annual Report on Form 10-K.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Certain reclassifications have been made to information from previous years to conform to the current presentation. The condensed consolidated balance sheet data as of December 31, 2012 was derived from audited financial statements, but does not include all disclosures required by GAAP. The results of operations for the three and nine months ended September 30, 2013 should not be taken as indicative of results to be expected for the entire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Subsequent events have been evaluated through the financial statements issuance date and have been included in the following footnotes where applicable.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2Recent Accounting Pronouncements</w:t>
      </w:r>
      <w:bookmarkStart w:id="20" w:name="EcentAccountingPronouncements_133050"/>
      <w:bookmarkEnd w:id="20"/>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Other than as discussed below and in our 2012 Annual Report on Form 10-K, no new accounting pronouncements have become effective or have been issued during the nine months ended September 30, 2013</w:t>
      </w:r>
      <w:r>
        <w:rPr>
          <w:rFonts w:ascii="Times New Roman" w:hAnsi="Times New Roman"/>
        </w:rPr>
        <w:t xml:space="preserve"> </w:t>
      </w:r>
      <w:r>
        <w:rPr>
          <w:rFonts w:ascii="Times New Roman" w:hAnsi="Times New Roman"/>
          <w:sz w:val="17"/>
        </w:rPr>
        <w:t>that are of significance or potential significance to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March 2013, the FASB issued guidance regarding the release of cumulative translation adjustments into net income when a parent either sells a part or all of its investment in a foreign entity or no longer holds a controlling financial interest in a subsidiary or group of assets that is a business within a foreign entity. This guidance becomes effective beginning after December 15, 2013. We will adopt this guidance on January 1, 2014. Our adoption is not expected to have a material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2013, the FASB issued guidance requiring an entity to present either in a single note or parenthetically on the face of the financial statements (i) the amount of significant items reclassified from each component of AOCI and (ii) the income statement line items affected by the reclassification. This guidance became effective for interim and annual periods beginning after December 15, 2012. We adopted this guidance during the first quarter of 2013. During the nine months ended September 30, 2013 and 2012, all reclassifications out of AOCI were related to derivative instruments. Other than requiring additional disclosure, which is included in Note 11, our adoption did not have an impact on our financial position, results of operations or cash flows.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July 2012, the FASB issued guidance intended to simplify the impairment test for indefinite-lived intangible assets other than goodwill by giving entities the option to first assess qualitative factors to determine whether it is more likely than not that an indefinite-lived intangible asset is impaired. The results of the qualitative assessment would be used as a basis in determining whether it is necessary to perform the two-step quantitative impairment testing. An entity can choose to perform the qualitative assessment on none, some or all of its indefinite-lived intangible assets, or may bypass the qualitative assessment and proceed directly to the quantitative impairment test. This guidance is effective for annual and interim impairment tests performed for fiscal years beginning after September 15, 2012, with early adoption permitted in certain circumstances. We adopted this guidance on January 1, 2013. Our adoption did not have a material impact on our financial position, results of operations or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21" w:name="PB_9_125517_5335"/>
      <w:bookmarkEnd w:id="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December 2011, the FASB issued guidance requiring disclosures of both gross and net information about recognized financial instruments and derivative instruments that are either (i) offset in accordance with the specified sections of GAAP or (ii) subject to an enforceable master netting arrangement or similar agreement. In January 2013, the FASB amended and clarified the scope of these disclosures to include only (i) derivative instruments, (ii) repurchase agreements and reverse repurchase agreements and (iii) securities lending transactions. This guidance is effective for annual reporting periods beginning on or after January 1, 2013, and interim periods within those annual periods. We adopted this guidance on January 1, 2013. Other than requiring additional disclosure, which is included in Note 11, our adoption did not have an impact on our financial position,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3Accounts Receivable</w:t>
      </w:r>
      <w:bookmarkStart w:id="22" w:name="AccountsReceivable_133059"/>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accounts receivable are primarily from purchasers and shippers of crude oil and, to a lesser extent, purchasers of crude oil, NGL, natural gas and refined products terminalling and storage services.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To mitigate credit risk related to our accounts receivable, we have in place a rigorous credit review process.  We closely monitor market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parental guarantees or advance cash payments.  At September 30, 2013 and December 31, 2012, we had received approximately $122 million and $173 million, respectively, of advance cash payments from third parties to mitigate credit risk. Furthermore, at September 30, 2013 and December 31, 2012, we had received approximately $452 million and $343 million, respectively, of standby letters of credit to support obligations due from third parties, a portion of which applies to future business. In addition, in an effort to mitigate credit risk, a significant portion of our transactions with counterparties are settled on a net-cash basis.  Further, we enter into netting agreements (contractual agreements that allow us to offset receivables and payables with those counterparties against each other on our balance sheet) for a majority of such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2013 and December 31, 2012, substantially all of our accounts receivable (net of allowance for doubtful accounts) were less than 30 days past their scheduled invoice date.  Our allowance for doubtful accounts receivable totaled approximately $4 million at both September 30, 2013 and December 31, 2012.  Although we consider our allowance for doubtful trade accounts receivable to be adequate, actual amounts could vary significantly from estimated amounts.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4Dispositions</w:t>
      </w:r>
      <w:bookmarkStart w:id="23" w:name="Dispositions_133111"/>
      <w:bookmarkEnd w:id="2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2013, we signed a definitive agreement to sell certain refined products pipeline systems and related assets included in our Transportation segment. At December 31, 2012, these assets were classified as held for sale on our condensed consolidated balance sheet (in Other current assets). On July 1, 2013, a portion of the transaction closed with the sale of certain of the refined products pipeline systems and related assets. The remaining assets were classified as held for sale on our condensed consolidated balance sheet as of September 30, 2013. We expect to close the balance of the transaction during the fourth quarter of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4" w:name="PB_10_125538_5796"/>
      <w:bookmarkEnd w:id="2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5Inventory, Linefill and Base Gas and Long-term Inventory</w:t>
      </w:r>
      <w:bookmarkStart w:id="25" w:name="InventoryLinefillAndBaseGasAndLon_133117"/>
      <w:bookmarkEnd w:id="2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Inventory, linefill and base gas and long-term inventory consisted of the following as of the dates indicated (barrels and natural gas volumes in thousands and carrying value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10"/>
        <w:gridCol w:w="200"/>
        <w:gridCol w:w="767"/>
        <w:gridCol w:w="200"/>
        <w:gridCol w:w="767"/>
        <w:gridCol w:w="200"/>
        <w:gridCol w:w="118"/>
        <w:gridCol w:w="563"/>
        <w:gridCol w:w="200"/>
        <w:gridCol w:w="116"/>
        <w:gridCol w:w="556"/>
        <w:gridCol w:w="200"/>
        <w:gridCol w:w="767"/>
        <w:gridCol w:w="200"/>
        <w:gridCol w:w="767"/>
        <w:gridCol w:w="200"/>
        <w:gridCol w:w="118"/>
        <w:gridCol w:w="563"/>
        <w:gridCol w:w="200"/>
        <w:gridCol w:w="116"/>
        <w:gridCol w:w="557"/>
        <w:gridCol w:w="120"/>
      </w:tblGrid>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3487"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200" w:type="dxa"/>
            <w:tcBorders/>
            <w:shd w:fill="auto" w:val="clear"/>
            <w:vAlign w:val="bottom"/>
          </w:tcPr>
          <w:p>
            <w:pPr>
              <w:pStyle w:val="TableContents"/>
              <w:spacing w:before="0" w:after="0"/>
              <w:ind w:left="0" w:right="0" w:hanging="0"/>
              <w:jc w:val="center"/>
              <w:rPr/>
            </w:pPr>
            <w:r>
              <w:rPr/>
              <w:t> </w:t>
            </w:r>
          </w:p>
        </w:tc>
        <w:tc>
          <w:tcPr>
            <w:tcW w:w="3488" w:type="dxa"/>
            <w:gridSpan w:val="9"/>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20" w:type="dxa"/>
            <w:tcBorders/>
            <w:shd w:fill="auto" w:val="clear"/>
            <w:vAlign w:val="bottom"/>
          </w:tcPr>
          <w:p>
            <w:pPr>
              <w:pStyle w:val="TableContents"/>
              <w:spacing w:before="0" w:after="0"/>
              <w:ind w:left="0" w:right="0" w:hanging="0"/>
              <w:jc w:val="center"/>
              <w:rPr/>
            </w:pPr>
            <w:r>
              <w:rPr/>
              <w:t> </w:t>
            </w:r>
          </w:p>
        </w:tc>
      </w:tr>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shd w:fill="auto" w:val="clear"/>
            <w:vAlign w:val="bottom"/>
          </w:tcPr>
          <w:p>
            <w:pPr>
              <w:pStyle w:val="TableContents"/>
              <w:spacing w:before="0" w:after="0"/>
              <w:ind w:left="0" w:right="0" w:hanging="0"/>
              <w:jc w:val="center"/>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0" w:type="dxa"/>
            <w:tcBorders/>
            <w:shd w:fill="auto" w:val="clear"/>
            <w:vAlign w:val="bottom"/>
          </w:tcPr>
          <w:p>
            <w:pPr>
              <w:pStyle w:val="TableContents"/>
              <w:spacing w:before="0" w:after="0"/>
              <w:ind w:left="0" w:right="0" w:hanging="0"/>
              <w:jc w:val="center"/>
              <w:rPr/>
            </w:pPr>
            <w:r>
              <w:rPr/>
              <w:t> </w:t>
            </w:r>
          </w:p>
        </w:tc>
        <w:tc>
          <w:tcPr>
            <w:tcW w:w="68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r>
          </w:p>
        </w:tc>
        <w:tc>
          <w:tcPr>
            <w:tcW w:w="200" w:type="dxa"/>
            <w:tcBorders/>
            <w:shd w:fill="auto" w:val="clear"/>
            <w:vAlign w:val="bottom"/>
          </w:tcPr>
          <w:p>
            <w:pPr>
              <w:pStyle w:val="TableContents"/>
              <w:spacing w:before="0" w:after="0"/>
              <w:ind w:left="0" w:right="0" w:hanging="0"/>
              <w:jc w:val="center"/>
              <w:rPr/>
            </w:pPr>
            <w:r>
              <w:rPr/>
              <w:t> </w:t>
            </w:r>
          </w:p>
        </w:tc>
        <w:tc>
          <w:tcPr>
            <w:tcW w:w="6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shd w:fill="auto" w:val="clear"/>
            <w:vAlign w:val="bottom"/>
          </w:tcPr>
          <w:p>
            <w:pPr>
              <w:pStyle w:val="TableContents"/>
              <w:spacing w:before="0" w:after="0"/>
              <w:ind w:left="0" w:right="0" w:hanging="0"/>
              <w:jc w:val="center"/>
              <w:rPr/>
            </w:pPr>
            <w:r>
              <w:rPr/>
              <w:t> </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67"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 of</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Carrying</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w:t>
            </w:r>
          </w:p>
        </w:tc>
        <w:tc>
          <w:tcPr>
            <w:tcW w:w="120" w:type="dxa"/>
            <w:tcBorders/>
            <w:shd w:fill="auto" w:val="clear"/>
            <w:vAlign w:val="bottom"/>
          </w:tcPr>
          <w:p>
            <w:pPr>
              <w:pStyle w:val="TableContents"/>
              <w:spacing w:before="0" w:after="0"/>
              <w:ind w:left="0" w:right="0" w:hanging="0"/>
              <w:jc w:val="center"/>
              <w:rPr/>
            </w:pPr>
            <w:r>
              <w:rPr/>
              <w:t> </w:t>
            </w:r>
          </w:p>
        </w:tc>
      </w:tr>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0" w:type="dxa"/>
            <w:tcBorders/>
            <w:shd w:fill="auto" w:val="clear"/>
            <w:vAlign w:val="bottom"/>
          </w:tcPr>
          <w:p>
            <w:pPr>
              <w:pStyle w:val="TableContents"/>
              <w:spacing w:before="0" w:after="0"/>
              <w:ind w:left="0" w:right="0" w:hanging="0"/>
              <w:jc w:val="center"/>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0" w:type="dxa"/>
            <w:tcBorders/>
            <w:shd w:fill="auto" w:val="clear"/>
            <w:vAlign w:val="bottom"/>
          </w:tcPr>
          <w:p>
            <w:pPr>
              <w:pStyle w:val="TableContents"/>
              <w:spacing w:before="0" w:after="0"/>
              <w:ind w:left="0" w:right="0" w:hanging="0"/>
              <w:jc w:val="center"/>
              <w:rPr/>
            </w:pPr>
            <w:r>
              <w:rPr/>
              <w:t> </w:t>
            </w:r>
          </w:p>
        </w:tc>
        <w:tc>
          <w:tcPr>
            <w:tcW w:w="6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0" w:type="dxa"/>
            <w:tcBorders/>
            <w:shd w:fill="auto" w:val="clear"/>
            <w:vAlign w:val="bottom"/>
          </w:tcPr>
          <w:p>
            <w:pPr>
              <w:pStyle w:val="TableContents"/>
              <w:spacing w:before="0" w:after="0"/>
              <w:ind w:left="0" w:right="0" w:hanging="0"/>
              <w:jc w:val="center"/>
              <w:rPr/>
            </w:pPr>
            <w:r>
              <w:rPr/>
              <w:t> </w:t>
            </w:r>
          </w:p>
        </w:tc>
        <w:tc>
          <w:tcPr>
            <w:tcW w:w="76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Measure</w:t>
            </w:r>
          </w:p>
        </w:tc>
        <w:tc>
          <w:tcPr>
            <w:tcW w:w="200" w:type="dxa"/>
            <w:tcBorders/>
            <w:shd w:fill="auto" w:val="clear"/>
            <w:vAlign w:val="bottom"/>
          </w:tcPr>
          <w:p>
            <w:pPr>
              <w:pStyle w:val="TableContents"/>
              <w:spacing w:before="0" w:after="0"/>
              <w:ind w:left="0" w:right="0" w:hanging="0"/>
              <w:jc w:val="center"/>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Value</w:t>
            </w:r>
          </w:p>
        </w:tc>
        <w:tc>
          <w:tcPr>
            <w:tcW w:w="200" w:type="dxa"/>
            <w:tcBorders/>
            <w:shd w:fill="auto" w:val="clear"/>
            <w:vAlign w:val="bottom"/>
          </w:tcPr>
          <w:p>
            <w:pPr>
              <w:pStyle w:val="TableContents"/>
              <w:spacing w:before="0" w:after="0"/>
              <w:ind w:left="0" w:right="0" w:hanging="0"/>
              <w:jc w:val="center"/>
              <w:rPr/>
            </w:pPr>
            <w:r>
              <w:rPr/>
              <w:t> </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Unit </w:t>
            </w:r>
            <w:r>
              <w:rPr>
                <w:b/>
                <w:sz w:val="8"/>
              </w:rPr>
              <w:t>(1)</w:t>
            </w:r>
          </w:p>
        </w:tc>
        <w:tc>
          <w:tcPr>
            <w:tcW w:w="120" w:type="dxa"/>
            <w:tcBorders/>
            <w:shd w:fill="auto" w:val="clear"/>
            <w:vAlign w:val="bottom"/>
          </w:tcPr>
          <w:p>
            <w:pPr>
              <w:pStyle w:val="TableContents"/>
              <w:spacing w:before="0" w:after="0"/>
              <w:ind w:left="0" w:right="0" w:hanging="0"/>
              <w:jc w:val="center"/>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Inventory</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5,624</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95.13</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9,492</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737</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77.64</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13,767</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539</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39.15</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9,472</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29,443</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20,374</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 subtotal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1,198</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1,209</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Linefill and base gas</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10,520</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61.31</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9,919</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583</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58.78</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1,345</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47.58</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1,400</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50.00</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17,615</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15,755</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Mcf</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 subtotal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770</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Long-term inventory</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2,134</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78.26</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1,962</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0" w:type="dxa"/>
            <w:tcBorders/>
            <w:shd w:fill="CCEEFF" w:val="clear"/>
            <w:vAlign w:val="bottom"/>
          </w:tcPr>
          <w:p>
            <w:pPr>
              <w:pStyle w:val="TableContents"/>
              <w:spacing w:before="0" w:after="0"/>
              <w:ind w:left="0" w:right="0" w:hanging="0"/>
              <w:rPr/>
            </w:pPr>
            <w:r>
              <w:rPr/>
              <w:t> </w:t>
            </w:r>
          </w:p>
        </w:tc>
        <w:tc>
          <w:tcPr>
            <w:tcW w:w="1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75.94</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1,161</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43.93</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3,238</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barrels</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0" w:type="dxa"/>
            <w:tcBorders/>
            <w:shd w:fill="auto" w:val="clear"/>
            <w:vAlign w:val="bottom"/>
          </w:tcPr>
          <w:p>
            <w:pPr>
              <w:pStyle w:val="TableContents"/>
              <w:spacing w:before="0" w:after="0"/>
              <w:ind w:left="0" w:right="0" w:hanging="0"/>
              <w:rPr/>
            </w:pPr>
            <w:r>
              <w:rPr/>
              <w:t> </w:t>
            </w:r>
          </w:p>
        </w:tc>
        <w:tc>
          <w:tcPr>
            <w:tcW w:w="1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38.60</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 subtotal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6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2710"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67"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8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27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2,186</w:t>
            </w:r>
          </w:p>
        </w:tc>
        <w:tc>
          <w:tcPr>
            <w:tcW w:w="200"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67"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2,190</w:t>
            </w:r>
          </w:p>
        </w:tc>
        <w:tc>
          <w:tcPr>
            <w:tcW w:w="200"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b/>
          <w:sz w:val="8"/>
        </w:rPr>
        <w:t>(1)</w:t>
      </w:r>
      <w:r>
        <w:rPr>
          <w:rFonts w:ascii="Times New Roman" w:hAnsi="Times New Roman"/>
        </w:rPr>
        <w:t xml:space="preserve">                          </w:t>
      </w:r>
      <w:r>
        <w:rPr>
          <w:rFonts w:ascii="Times New Roman" w:hAnsi="Times New Roman"/>
          <w:sz w:val="17"/>
        </w:rPr>
        <w:t>Price per unit of measure represents a weighted average associated with various grades, qualities and locations.  Accordingly, these prices may not coincide with any published benchmarks for such products.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At the end of each reporting period we assess the carrying value of our inventory and make any adjustments necessary to reduce the carrying value to the applicable net realizable value. We recorded a non-cash charge of approximately $7 million during the three and nine months ended September 30, 2013, primarily related to the writedown of our crude oil inventory due to declines in prices during the period. During the three and nine months ended September 30, 2012, we recorded non-cash charges of approximately $7 million and $128 million, respectively, related to the writedown of our crude oil and NGL inventory due to declines in prices during the period. The recognition of these adjustments in 2013 and 2012, which are a component of Purchases and related costs in our accompanying condensed consolidated statements of operations, was substantially offset by the recognition of gains on derivative instruments being utilized to hedge the future sales of our crude oil and NGL inventory. Substantially all of such gains were recorded to Supply and Logistics segment revenues on our condensed consolidated statements of operations.  See note 11 for discussion of our derivative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6  Goodwill</w:t>
      </w:r>
      <w:bookmarkStart w:id="26" w:name="Goodwill_133124"/>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reflects our goodwill by segment and changes during the period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733"/>
        <w:gridCol w:w="183"/>
        <w:gridCol w:w="280"/>
        <w:gridCol w:w="1235"/>
        <w:gridCol w:w="200"/>
        <w:gridCol w:w="163"/>
        <w:gridCol w:w="911"/>
        <w:gridCol w:w="200"/>
        <w:gridCol w:w="354"/>
        <w:gridCol w:w="1565"/>
        <w:gridCol w:w="200"/>
        <w:gridCol w:w="157"/>
        <w:gridCol w:w="885"/>
        <w:gridCol w:w="139"/>
      </w:tblGrid>
      <w:tr>
        <w:trPr/>
        <w:tc>
          <w:tcPr>
            <w:tcW w:w="3733"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15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00" w:type="dxa"/>
            <w:tcBorders/>
            <w:shd w:fill="auto" w:val="clear"/>
            <w:vAlign w:val="bottom"/>
          </w:tcPr>
          <w:p>
            <w:pPr>
              <w:pStyle w:val="TableContents"/>
              <w:spacing w:before="0" w:after="0"/>
              <w:ind w:left="0" w:right="0" w:hanging="0"/>
              <w:jc w:val="center"/>
              <w:rPr/>
            </w:pPr>
            <w:r>
              <w:rPr/>
              <w:t> </w:t>
            </w:r>
          </w:p>
        </w:tc>
        <w:tc>
          <w:tcPr>
            <w:tcW w:w="10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200" w:type="dxa"/>
            <w:tcBorders/>
            <w:shd w:fill="auto" w:val="clear"/>
            <w:vAlign w:val="bottom"/>
          </w:tcPr>
          <w:p>
            <w:pPr>
              <w:pStyle w:val="TableContents"/>
              <w:spacing w:before="0" w:after="0"/>
              <w:ind w:left="0" w:right="0" w:hanging="0"/>
              <w:jc w:val="center"/>
              <w:rPr/>
            </w:pPr>
            <w:r>
              <w:rPr/>
              <w:t> </w:t>
            </w:r>
          </w:p>
        </w:tc>
        <w:tc>
          <w:tcPr>
            <w:tcW w:w="19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 Logistics</w:t>
            </w:r>
          </w:p>
        </w:tc>
        <w:tc>
          <w:tcPr>
            <w:tcW w:w="200" w:type="dxa"/>
            <w:tcBorders/>
            <w:shd w:fill="auto" w:val="clear"/>
            <w:vAlign w:val="bottom"/>
          </w:tcPr>
          <w:p>
            <w:pPr>
              <w:pStyle w:val="TableContents"/>
              <w:spacing w:before="0" w:after="0"/>
              <w:ind w:left="0" w:right="0" w:hanging="0"/>
              <w:jc w:val="center"/>
              <w:rPr/>
            </w:pPr>
            <w:r>
              <w:rPr/>
              <w:t> </w:t>
            </w:r>
          </w:p>
        </w:tc>
        <w:tc>
          <w:tcPr>
            <w:tcW w:w="10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9" w:type="dxa"/>
            <w:tcBorders/>
            <w:shd w:fill="auto" w:val="clear"/>
            <w:vAlign w:val="bottom"/>
          </w:tcPr>
          <w:p>
            <w:pPr>
              <w:pStyle w:val="TableContents"/>
              <w:spacing w:before="0" w:after="0"/>
              <w:ind w:left="0" w:right="0" w:hanging="0"/>
              <w:jc w:val="center"/>
              <w:rPr/>
            </w:pPr>
            <w:r>
              <w:rPr/>
              <w:t> </w:t>
            </w:r>
          </w:p>
        </w:tc>
      </w:tr>
      <w:tr>
        <w:trPr/>
        <w:tc>
          <w:tcPr>
            <w:tcW w:w="37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183" w:type="dxa"/>
            <w:tcBorders/>
            <w:shd w:fill="CCEEFF" w:val="clear"/>
            <w:vAlign w:val="bottom"/>
          </w:tcPr>
          <w:p>
            <w:pPr>
              <w:pStyle w:val="TableContents"/>
              <w:spacing w:before="0" w:after="0"/>
              <w:ind w:left="0" w:right="0" w:hanging="0"/>
              <w:rPr/>
            </w:pPr>
            <w:r>
              <w:rPr/>
              <w:t> </w:t>
            </w:r>
          </w:p>
        </w:tc>
        <w:tc>
          <w:tcPr>
            <w:tcW w:w="2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897</w:t>
            </w:r>
          </w:p>
        </w:tc>
        <w:tc>
          <w:tcPr>
            <w:tcW w:w="200" w:type="dxa"/>
            <w:tcBorders/>
            <w:shd w:fill="CCEEFF" w:val="clear"/>
            <w:vAlign w:val="bottom"/>
          </w:tcPr>
          <w:p>
            <w:pPr>
              <w:pStyle w:val="TableContents"/>
              <w:spacing w:before="0" w:after="0"/>
              <w:ind w:left="0" w:right="0" w:hanging="0"/>
              <w:rPr/>
            </w:pPr>
            <w:r>
              <w:rPr/>
              <w:t> </w:t>
            </w:r>
          </w:p>
        </w:tc>
        <w:tc>
          <w:tcPr>
            <w:tcW w:w="1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1,171</w:t>
            </w:r>
          </w:p>
        </w:tc>
        <w:tc>
          <w:tcPr>
            <w:tcW w:w="200" w:type="dxa"/>
            <w:tcBorders/>
            <w:shd w:fill="CCEEFF" w:val="clear"/>
            <w:vAlign w:val="bottom"/>
          </w:tcPr>
          <w:p>
            <w:pPr>
              <w:pStyle w:val="TableContents"/>
              <w:spacing w:before="0" w:after="0"/>
              <w:ind w:left="0" w:right="0" w:hanging="0"/>
              <w:rPr/>
            </w:pPr>
            <w:r>
              <w:rPr/>
              <w:t> </w:t>
            </w:r>
          </w:p>
        </w:tc>
        <w:tc>
          <w:tcPr>
            <w:tcW w:w="3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w:t>
            </w:r>
          </w:p>
        </w:tc>
        <w:tc>
          <w:tcPr>
            <w:tcW w:w="200" w:type="dxa"/>
            <w:tcBorders/>
            <w:shd w:fill="CCEEFF" w:val="clear"/>
            <w:vAlign w:val="bottom"/>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39" w:type="dxa"/>
            <w:tcBorders/>
            <w:shd w:fill="CCEEFF" w:val="clear"/>
            <w:vAlign w:val="bottom"/>
          </w:tcPr>
          <w:p>
            <w:pPr>
              <w:pStyle w:val="TableContents"/>
              <w:spacing w:before="0" w:after="0"/>
              <w:ind w:left="0" w:right="0" w:hanging="0"/>
              <w:rPr/>
            </w:pPr>
            <w:r>
              <w:rPr/>
              <w:t> </w:t>
            </w:r>
          </w:p>
        </w:tc>
      </w:tr>
      <w:tr>
        <w:trPr/>
        <w:tc>
          <w:tcPr>
            <w:tcW w:w="37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2013 Goodwill Related Activity:</w:t>
            </w:r>
          </w:p>
        </w:tc>
        <w:tc>
          <w:tcPr>
            <w:tcW w:w="183" w:type="dxa"/>
            <w:tcBorders/>
            <w:shd w:fill="auto" w:val="clear"/>
            <w:vAlign w:val="bottom"/>
          </w:tcPr>
          <w:p>
            <w:pPr>
              <w:pStyle w:val="TableContents"/>
              <w:spacing w:before="0" w:after="0"/>
              <w:ind w:left="0" w:right="0" w:hanging="0"/>
              <w:rPr/>
            </w:pPr>
            <w:r>
              <w:rPr/>
              <w:t> </w:t>
            </w:r>
          </w:p>
        </w:tc>
        <w:tc>
          <w:tcPr>
            <w:tcW w:w="1515"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74"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9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42" w:type="dxa"/>
            <w:gridSpan w:val="2"/>
            <w:tcBorders/>
            <w:shd w:fill="auto" w:val="clear"/>
            <w:vAlign w:val="bottom"/>
          </w:tcPr>
          <w:p>
            <w:pPr>
              <w:pStyle w:val="TableContents"/>
              <w:spacing w:before="0" w:after="0"/>
              <w:ind w:left="0" w:right="0" w:hanging="0"/>
              <w:jc w:val="right"/>
              <w:rPr/>
            </w:pPr>
            <w:r>
              <w:rPr/>
              <w:t> </w:t>
            </w:r>
          </w:p>
        </w:tc>
        <w:tc>
          <w:tcPr>
            <w:tcW w:w="139" w:type="dxa"/>
            <w:tcBorders/>
            <w:shd w:fill="auto" w:val="clear"/>
            <w:vAlign w:val="bottom"/>
          </w:tcPr>
          <w:p>
            <w:pPr>
              <w:pStyle w:val="TableContents"/>
              <w:spacing w:before="0" w:after="0"/>
              <w:ind w:left="0" w:right="0" w:hanging="0"/>
              <w:rPr/>
            </w:pPr>
            <w:r>
              <w:rPr/>
              <w:t> </w:t>
            </w:r>
          </w:p>
        </w:tc>
      </w:tr>
      <w:tr>
        <w:trPr/>
        <w:tc>
          <w:tcPr>
            <w:tcW w:w="37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Acquisitions</w:t>
            </w:r>
          </w:p>
        </w:tc>
        <w:tc>
          <w:tcPr>
            <w:tcW w:w="183" w:type="dxa"/>
            <w:tcBorders/>
            <w:shd w:fill="CCEEFF" w:val="clear"/>
            <w:vAlign w:val="bottom"/>
          </w:tcPr>
          <w:p>
            <w:pPr>
              <w:pStyle w:val="TableContents"/>
              <w:spacing w:before="0" w:after="0"/>
              <w:ind w:left="0" w:right="0" w:hanging="0"/>
              <w:rPr/>
            </w:pPr>
            <w:r>
              <w:rPr/>
              <w:t> </w:t>
            </w:r>
          </w:p>
        </w:tc>
        <w:tc>
          <w:tcPr>
            <w:tcW w:w="15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0" w:type="dxa"/>
            <w:tcBorders/>
            <w:shd w:fill="CCEEFF" w:val="clear"/>
            <w:vAlign w:val="bottom"/>
          </w:tcPr>
          <w:p>
            <w:pPr>
              <w:pStyle w:val="TableContents"/>
              <w:spacing w:before="0" w:after="0"/>
              <w:ind w:left="0" w:right="0" w:hanging="0"/>
              <w:rPr/>
            </w:pPr>
            <w:r>
              <w:rPr/>
              <w:t> </w:t>
            </w:r>
          </w:p>
        </w:tc>
        <w:tc>
          <w:tcPr>
            <w:tcW w:w="107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9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0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9" w:type="dxa"/>
            <w:tcBorders/>
            <w:shd w:fill="CCEEFF" w:val="clear"/>
            <w:vAlign w:val="bottom"/>
          </w:tcPr>
          <w:p>
            <w:pPr>
              <w:pStyle w:val="TableContents"/>
              <w:spacing w:before="0" w:after="0"/>
              <w:ind w:left="0" w:right="0" w:hanging="0"/>
              <w:rPr/>
            </w:pPr>
            <w:r>
              <w:rPr/>
              <w:t> </w:t>
            </w:r>
          </w:p>
        </w:tc>
      </w:tr>
      <w:tr>
        <w:trPr/>
        <w:tc>
          <w:tcPr>
            <w:tcW w:w="37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translation adjustments</w:t>
            </w:r>
          </w:p>
        </w:tc>
        <w:tc>
          <w:tcPr>
            <w:tcW w:w="183" w:type="dxa"/>
            <w:tcBorders/>
            <w:shd w:fill="auto" w:val="clear"/>
            <w:vAlign w:val="bottom"/>
          </w:tcPr>
          <w:p>
            <w:pPr>
              <w:pStyle w:val="TableContents"/>
              <w:spacing w:before="0" w:after="0"/>
              <w:ind w:left="0" w:right="0" w:hanging="0"/>
              <w:rPr/>
            </w:pPr>
            <w:r>
              <w:rPr/>
              <w:t> </w:t>
            </w:r>
          </w:p>
        </w:tc>
        <w:tc>
          <w:tcPr>
            <w:tcW w:w="15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33" w:type="dxa"/>
            <w:tcBorders/>
            <w:shd w:fill="CCEEFF" w:val="clear"/>
            <w:vAlign w:val="bottom"/>
          </w:tcPr>
          <w:p>
            <w:pPr>
              <w:pStyle w:val="TableContents"/>
              <w:spacing w:before="0" w:after="0"/>
              <w:ind w:left="0" w:right="0" w:hanging="0"/>
              <w:rPr/>
            </w:pPr>
            <w:r>
              <w:rPr>
                <w:rFonts w:ascii="Times New Roman" w:hAnsi="Times New Roman"/>
                <w:sz w:val="17"/>
              </w:rPr>
              <w:t xml:space="preserve">Purchase price accounting adjustments and other </w:t>
            </w:r>
            <w:r>
              <w:rPr>
                <w:b/>
                <w:sz w:val="8"/>
              </w:rPr>
              <w:t>(1)</w:t>
            </w:r>
            <w:r>
              <w:rPr/>
              <w:t> </w:t>
            </w:r>
          </w:p>
        </w:tc>
        <w:tc>
          <w:tcPr>
            <w:tcW w:w="183" w:type="dxa"/>
            <w:tcBorders/>
            <w:shd w:fill="CCEEFF" w:val="clear"/>
            <w:vAlign w:val="bottom"/>
          </w:tcPr>
          <w:p>
            <w:pPr>
              <w:pStyle w:val="TableContents"/>
              <w:spacing w:before="0" w:after="0"/>
              <w:ind w:left="0" w:right="0" w:hanging="0"/>
              <w:rPr/>
            </w:pPr>
            <w:r>
              <w:rPr/>
              <w:t> </w:t>
            </w:r>
          </w:p>
        </w:tc>
        <w:tc>
          <w:tcPr>
            <w:tcW w:w="15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9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0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Balance at September 30, 2013</w:t>
            </w:r>
          </w:p>
        </w:tc>
        <w:tc>
          <w:tcPr>
            <w:tcW w:w="183" w:type="dxa"/>
            <w:tcBorders/>
            <w:shd w:fill="auto" w:val="clear"/>
            <w:vAlign w:val="bottom"/>
          </w:tcPr>
          <w:p>
            <w:pPr>
              <w:pStyle w:val="TableContents"/>
              <w:spacing w:before="0" w:after="0"/>
              <w:ind w:left="0" w:right="0" w:hanging="0"/>
              <w:rPr/>
            </w:pPr>
            <w:r>
              <w:rPr/>
              <w:t> </w:t>
            </w:r>
          </w:p>
        </w:tc>
        <w:tc>
          <w:tcPr>
            <w:tcW w:w="2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888</w:t>
            </w:r>
          </w:p>
        </w:tc>
        <w:tc>
          <w:tcPr>
            <w:tcW w:w="200" w:type="dxa"/>
            <w:tcBorders/>
            <w:shd w:fill="auto" w:val="clear"/>
            <w:vAlign w:val="bottom"/>
          </w:tcPr>
          <w:p>
            <w:pPr>
              <w:pStyle w:val="TableContents"/>
              <w:spacing w:before="0" w:after="0"/>
              <w:ind w:left="0" w:right="0" w:hanging="0"/>
              <w:rPr/>
            </w:pPr>
            <w:r>
              <w:rPr/>
              <w:t> </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1,166</w:t>
            </w:r>
          </w:p>
        </w:tc>
        <w:tc>
          <w:tcPr>
            <w:tcW w:w="200" w:type="dxa"/>
            <w:tcBorders/>
            <w:shd w:fill="auto" w:val="clear"/>
            <w:vAlign w:val="bottom"/>
          </w:tcPr>
          <w:p>
            <w:pPr>
              <w:pStyle w:val="TableContents"/>
              <w:spacing w:before="0" w:after="0"/>
              <w:ind w:left="0" w:right="0" w:hanging="0"/>
              <w:rPr/>
            </w:pPr>
            <w:r>
              <w:rPr/>
              <w:t> </w:t>
            </w:r>
          </w:p>
        </w:tc>
        <w:tc>
          <w:tcPr>
            <w:tcW w:w="3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6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200" w:type="dxa"/>
            <w:tcBorders/>
            <w:shd w:fill="auto" w:val="clear"/>
            <w:vAlign w:val="bottom"/>
          </w:tcPr>
          <w:p>
            <w:pPr>
              <w:pStyle w:val="TableContents"/>
              <w:spacing w:before="0" w:after="0"/>
              <w:ind w:left="0" w:right="0" w:hanging="0"/>
              <w:rPr/>
            </w:pPr>
            <w:r>
              <w:rPr/>
              <w:t> </w:t>
            </w:r>
          </w:p>
        </w:tc>
        <w:tc>
          <w:tcPr>
            <w:tcW w:w="15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2,519</w:t>
            </w:r>
          </w:p>
        </w:tc>
        <w:tc>
          <w:tcPr>
            <w:tcW w:w="13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7" w:name="PB_11_130302_3020"/>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b/>
          <w:sz w:val="8"/>
        </w:rPr>
        <w:t>(1)</w:t>
      </w:r>
      <w:r>
        <w:rPr>
          <w:rFonts w:ascii="Times New Roman" w:hAnsi="Times New Roman"/>
        </w:rPr>
        <w:t xml:space="preserve">                          </w:t>
      </w:r>
      <w:r>
        <w:rPr>
          <w:rFonts w:ascii="Times New Roman" w:hAnsi="Times New Roman"/>
          <w:sz w:val="17"/>
        </w:rPr>
        <w:t>Goodwill is recorded at the acquisition date based on a preliminary fair value determination.  This preliminary goodwill balance may be adjusted when the fair value determination is finalized.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completed our annual goodwill impairment test as of June 30 and determined that there was no impairment of goodwill.</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7Debt</w:t>
      </w:r>
      <w:bookmarkStart w:id="28" w:name="Debt_133128"/>
      <w:bookmarkEnd w:id="2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Debt consisted of the following as of the dates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41"/>
        <w:gridCol w:w="209"/>
        <w:gridCol w:w="167"/>
        <w:gridCol w:w="1206"/>
        <w:gridCol w:w="209"/>
        <w:gridCol w:w="162"/>
        <w:gridCol w:w="1189"/>
        <w:gridCol w:w="122"/>
      </w:tblGrid>
      <w:tr>
        <w:trPr/>
        <w:tc>
          <w:tcPr>
            <w:tcW w:w="69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7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9" w:type="dxa"/>
            <w:tcBorders/>
            <w:shd w:fill="auto" w:val="clear"/>
            <w:vAlign w:val="bottom"/>
          </w:tcPr>
          <w:p>
            <w:pPr>
              <w:pStyle w:val="TableContents"/>
              <w:spacing w:before="0" w:after="0"/>
              <w:ind w:left="0" w:right="0" w:hanging="0"/>
              <w:jc w:val="center"/>
              <w:rPr/>
            </w:pPr>
            <w:r>
              <w:rPr/>
              <w:t> </w:t>
            </w:r>
          </w:p>
        </w:tc>
        <w:tc>
          <w:tcPr>
            <w:tcW w:w="135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2" w:type="dxa"/>
            <w:tcBorders/>
            <w:shd w:fill="auto" w:val="clear"/>
            <w:vAlign w:val="bottom"/>
          </w:tcPr>
          <w:p>
            <w:pPr>
              <w:pStyle w:val="TableContents"/>
              <w:spacing w:before="0" w:after="0"/>
              <w:ind w:left="0" w:right="0" w:hanging="0"/>
              <w:jc w:val="center"/>
              <w:rPr/>
            </w:pPr>
            <w:r>
              <w:rPr/>
              <w:t> </w:t>
            </w:r>
          </w:p>
        </w:tc>
      </w:tr>
      <w:tr>
        <w:trPr/>
        <w:tc>
          <w:tcPr>
            <w:tcW w:w="69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9" w:type="dxa"/>
            <w:tcBorders/>
            <w:shd w:fill="auto" w:val="clear"/>
            <w:vAlign w:val="bottom"/>
          </w:tcPr>
          <w:p>
            <w:pPr>
              <w:pStyle w:val="TableContents"/>
              <w:spacing w:before="0" w:after="0"/>
              <w:ind w:left="0" w:right="0" w:hanging="0"/>
              <w:jc w:val="center"/>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2" w:type="dxa"/>
            <w:tcBorders/>
            <w:shd w:fill="auto" w:val="clear"/>
            <w:vAlign w:val="bottom"/>
          </w:tcPr>
          <w:p>
            <w:pPr>
              <w:pStyle w:val="TableContents"/>
              <w:spacing w:before="0" w:after="0"/>
              <w:ind w:left="0" w:right="0" w:hanging="0"/>
              <w:jc w:val="center"/>
              <w:rPr/>
            </w:pPr>
            <w:r>
              <w:rPr/>
              <w:t> </w:t>
            </w:r>
          </w:p>
        </w:tc>
      </w:tr>
      <w:tr>
        <w:trPr/>
        <w:tc>
          <w:tcPr>
            <w:tcW w:w="694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SHORT-TERM DEBT</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tcPr>
          <w:p>
            <w:pPr>
              <w:pStyle w:val="TableContents"/>
              <w:spacing w:before="0" w:after="0"/>
              <w:ind w:left="0" w:right="0" w:hanging="0"/>
              <w:rPr/>
            </w:pPr>
            <w:r>
              <w:rPr>
                <w:rFonts w:ascii="Times New Roman" w:hAnsi="Times New Roman"/>
                <w:sz w:val="17"/>
              </w:rPr>
              <w:t xml:space="preserve">Credit Facilities </w:t>
            </w:r>
            <w:r>
              <w:rPr>
                <w:b/>
                <w:sz w:val="8"/>
              </w:rPr>
              <w:t>(1)</w:t>
            </w:r>
            <w:r>
              <w:rPr>
                <w:sz w:val="17"/>
              </w:rPr>
              <w:t>:</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tcPr>
          <w:p>
            <w:pPr>
              <w:pStyle w:val="TableContents"/>
              <w:spacing w:before="0" w:after="0"/>
              <w:ind w:left="0" w:right="0" w:hanging="0"/>
              <w:rPr/>
            </w:pPr>
            <w:r>
              <w:rPr>
                <w:rFonts w:ascii="Times New Roman" w:hAnsi="Times New Roman"/>
                <w:sz w:val="17"/>
              </w:rPr>
              <w:t xml:space="preserve">PAA senior secured hedged inventory facility, bearing a weighted-average interest rate of 1.6% at December 31, 2012 </w:t>
            </w:r>
            <w:r>
              <w:rPr>
                <w:b/>
                <w:sz w:val="8"/>
              </w:rPr>
              <w:t>(2)</w:t>
            </w:r>
          </w:p>
        </w:tc>
        <w:tc>
          <w:tcPr>
            <w:tcW w:w="209"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665</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tcPr>
          <w:p>
            <w:pPr>
              <w:pStyle w:val="TableContents"/>
              <w:spacing w:before="0" w:after="0"/>
              <w:ind w:left="0" w:right="0" w:hanging="0"/>
              <w:rPr/>
            </w:pPr>
            <w:r>
              <w:rPr>
                <w:rFonts w:ascii="Times New Roman" w:hAnsi="Times New Roman"/>
                <w:sz w:val="17"/>
              </w:rPr>
              <w:t xml:space="preserve">PAA senior unsecured revolving credit facility, bearing a weighted-average interest rate of 2.4% at December 31, 2012 </w:t>
            </w:r>
            <w:r>
              <w:rPr>
                <w:b/>
                <w:sz w:val="8"/>
              </w:rPr>
              <w:t>(2)</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2.0% and 2.1% at September 30, 2013 and December 31, 2012, respectively </w:t>
            </w:r>
            <w:r>
              <w:rPr>
                <w:b/>
                <w:sz w:val="8"/>
              </w:rPr>
              <w:t>(3)</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tcPr>
          <w:p>
            <w:pPr>
              <w:pStyle w:val="TableContents"/>
              <w:spacing w:before="0" w:after="0"/>
              <w:ind w:left="0" w:right="0" w:hanging="0"/>
              <w:rPr/>
            </w:pPr>
            <w:r>
              <w:rPr>
                <w:rFonts w:ascii="Times New Roman" w:hAnsi="Times New Roman"/>
                <w:sz w:val="17"/>
              </w:rPr>
              <w:t xml:space="preserve">Commercial paper notes, bearing a weighted-average interest rate of 0.25% at September 30, 2013 </w:t>
            </w:r>
            <w:r>
              <w:rPr>
                <w:b/>
                <w:sz w:val="8"/>
              </w:rPr>
              <w:t>(2)</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319</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tcPr>
          <w:p>
            <w:pPr>
              <w:pStyle w:val="TableContents"/>
              <w:spacing w:before="0" w:after="0"/>
              <w:ind w:left="0" w:right="0" w:hanging="0"/>
              <w:rPr/>
            </w:pPr>
            <w:r>
              <w:rPr>
                <w:rFonts w:ascii="Times New Roman" w:hAnsi="Times New Roman"/>
                <w:sz w:val="17"/>
              </w:rPr>
              <w:t xml:space="preserve">5.63% senior notes due December 2013 </w:t>
            </w:r>
            <w:r>
              <w:rPr>
                <w:b/>
                <w:sz w:val="8"/>
              </w:rPr>
              <w:t>(4)</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short-term debt </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LONG-TERM DEBT</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tcPr>
          <w:p>
            <w:pPr>
              <w:pStyle w:val="TableContents"/>
              <w:spacing w:before="0" w:after="0"/>
              <w:ind w:left="0" w:right="0" w:hanging="0"/>
              <w:rPr/>
            </w:pPr>
            <w:r>
              <w:rPr>
                <w:rFonts w:ascii="Times New Roman" w:hAnsi="Times New Roman"/>
                <w:sz w:val="17"/>
              </w:rPr>
              <w:t xml:space="preserve">Senior notes, net of unamortized discounts of $15 at both September 30, 2013 and December 31, 2012 </w:t>
            </w:r>
            <w:r>
              <w:rPr>
                <w:b/>
                <w:sz w:val="8"/>
              </w:rPr>
              <w:t>(5)</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6,710</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tcPr>
          <w:p>
            <w:pPr>
              <w:pStyle w:val="TableContents"/>
              <w:spacing w:before="0" w:after="0"/>
              <w:ind w:left="0" w:right="0" w:hanging="0"/>
              <w:rPr/>
            </w:pPr>
            <w:r>
              <w:rPr>
                <w:rFonts w:ascii="Times New Roman" w:hAnsi="Times New Roman"/>
                <w:sz w:val="17"/>
              </w:rPr>
              <w:t xml:space="preserve">Credit Facilities and Other Long-Term Debt </w:t>
            </w:r>
            <w:r>
              <w:rPr>
                <w:b/>
                <w:sz w:val="8"/>
              </w:rPr>
              <w:t>(1)</w:t>
            </w:r>
            <w:r>
              <w:rPr>
                <w:sz w:val="17"/>
              </w:rPr>
              <w:t>:</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tcPr>
          <w:p>
            <w:pPr>
              <w:pStyle w:val="TableContents"/>
              <w:spacing w:before="0" w:after="0"/>
              <w:ind w:left="0" w:right="0" w:hanging="0"/>
              <w:rPr/>
            </w:pPr>
            <w:r>
              <w:rPr>
                <w:rFonts w:ascii="Times New Roman" w:hAnsi="Times New Roman"/>
                <w:sz w:val="17"/>
              </w:rPr>
              <w:t xml:space="preserve">PNG senior unsecured revolving credit facility, bearing a weighted-average interest rate of 2.0% and 2.1% at September 30, 2013 and December 31, 2012, respectively </w:t>
            </w:r>
            <w:r>
              <w:rPr>
                <w:b/>
                <w:sz w:val="8"/>
              </w:rPr>
              <w:t>(3)</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PNG GO Bond term loans, bearing a weighted-average interest rate of 1.5% at both September 30, 2013 and December 31, 2012</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209" w:type="dxa"/>
            <w:tcBorders/>
            <w:shd w:fill="auto"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9" w:type="dxa"/>
            <w:tcBorders/>
            <w:shd w:fill="auto"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2" w:type="dxa"/>
            <w:tcBorders/>
            <w:shd w:fill="auto" w:val="clear"/>
            <w:vAlign w:val="bottom"/>
          </w:tcPr>
          <w:p>
            <w:pPr>
              <w:pStyle w:val="TableContents"/>
              <w:spacing w:before="0" w:after="0"/>
              <w:ind w:left="0" w:right="0" w:hanging="0"/>
              <w:rPr/>
            </w:pPr>
            <w:r>
              <w:rPr/>
              <w:t> </w:t>
            </w:r>
          </w:p>
        </w:tc>
      </w:tr>
      <w:tr>
        <w:trPr/>
        <w:tc>
          <w:tcPr>
            <w:tcW w:w="694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Total long-term debt </w:t>
            </w:r>
          </w:p>
        </w:tc>
        <w:tc>
          <w:tcPr>
            <w:tcW w:w="209" w:type="dxa"/>
            <w:tcBorders/>
            <w:shd w:fill="CCEEFF" w:val="clear"/>
            <w:vAlign w:val="bottom"/>
          </w:tcPr>
          <w:p>
            <w:pPr>
              <w:pStyle w:val="TableContents"/>
              <w:spacing w:before="0" w:after="0"/>
              <w:ind w:left="0" w:right="0" w:hanging="0"/>
              <w:rPr/>
            </w:pPr>
            <w:r>
              <w:rPr/>
              <w:t> </w:t>
            </w:r>
          </w:p>
        </w:tc>
        <w:tc>
          <w:tcPr>
            <w:tcW w:w="13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7,018</w:t>
            </w:r>
          </w:p>
        </w:tc>
        <w:tc>
          <w:tcPr>
            <w:tcW w:w="209" w:type="dxa"/>
            <w:tcBorders/>
            <w:shd w:fill="CCEEFF" w:val="clear"/>
            <w:vAlign w:val="bottom"/>
          </w:tcPr>
          <w:p>
            <w:pPr>
              <w:pStyle w:val="TableContents"/>
              <w:spacing w:before="0" w:after="0"/>
              <w:ind w:left="0" w:right="0" w:hanging="0"/>
              <w:rPr/>
            </w:pPr>
            <w:r>
              <w:rPr/>
              <w:t> </w:t>
            </w:r>
          </w:p>
        </w:tc>
        <w:tc>
          <w:tcPr>
            <w:tcW w:w="135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122" w:type="dxa"/>
            <w:tcBorders/>
            <w:shd w:fill="CCEEFF" w:val="clear"/>
            <w:vAlign w:val="bottom"/>
          </w:tcPr>
          <w:p>
            <w:pPr>
              <w:pStyle w:val="TableContents"/>
              <w:spacing w:before="0" w:after="0"/>
              <w:ind w:left="0" w:right="0" w:hanging="0"/>
              <w:rPr/>
            </w:pPr>
            <w:r>
              <w:rPr/>
              <w:t> </w:t>
            </w:r>
          </w:p>
        </w:tc>
      </w:tr>
      <w:tr>
        <w:trPr/>
        <w:tc>
          <w:tcPr>
            <w:tcW w:w="6941" w:type="dxa"/>
            <w:tcBorders/>
            <w:shd w:fill="auto" w:val="clear"/>
          </w:tcPr>
          <w:p>
            <w:pPr>
              <w:pStyle w:val="TableContents"/>
              <w:spacing w:before="0" w:after="0"/>
              <w:ind w:left="0" w:right="0" w:hanging="0"/>
              <w:rPr/>
            </w:pPr>
            <w:r>
              <w:rPr>
                <w:rFonts w:ascii="Times New Roman" w:hAnsi="Times New Roman"/>
                <w:sz w:val="17"/>
              </w:rPr>
              <w:t xml:space="preserve">Total debt </w:t>
            </w:r>
            <w:r>
              <w:rPr>
                <w:b/>
                <w:sz w:val="8"/>
              </w:rPr>
              <w:t>(2)</w:t>
            </w:r>
            <w:r>
              <w:rPr/>
              <w:t> </w:t>
            </w:r>
            <w:r>
              <w:rPr>
                <w:b/>
                <w:sz w:val="8"/>
              </w:rPr>
              <w:t>(3)</w:t>
            </w:r>
            <w:r>
              <w:rPr/>
              <w:t> </w:t>
            </w:r>
            <w:r>
              <w:rPr>
                <w:b/>
                <w:sz w:val="8"/>
              </w:rPr>
              <w:t>(6)</w:t>
            </w:r>
          </w:p>
        </w:tc>
        <w:tc>
          <w:tcPr>
            <w:tcW w:w="209" w:type="dxa"/>
            <w:tcBorders/>
            <w:shd w:fill="auto" w:val="clear"/>
            <w:vAlign w:val="bottom"/>
          </w:tcPr>
          <w:p>
            <w:pPr>
              <w:pStyle w:val="TableContents"/>
              <w:spacing w:before="0" w:after="0"/>
              <w:ind w:left="0" w:right="0" w:hanging="0"/>
              <w:rPr/>
            </w:pPr>
            <w:r>
              <w:rPr/>
              <w:t> </w:t>
            </w:r>
          </w:p>
        </w:tc>
        <w:tc>
          <w:tcPr>
            <w:tcW w:w="1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7,637</w:t>
            </w:r>
          </w:p>
        </w:tc>
        <w:tc>
          <w:tcPr>
            <w:tcW w:w="209" w:type="dxa"/>
            <w:tcBorders/>
            <w:shd w:fill="auto" w:val="clear"/>
            <w:vAlign w:val="bottom"/>
          </w:tcPr>
          <w:p>
            <w:pPr>
              <w:pStyle w:val="TableContents"/>
              <w:spacing w:before="0" w:after="0"/>
              <w:ind w:left="0" w:right="0" w:hanging="0"/>
              <w:rPr/>
            </w:pPr>
            <w:r>
              <w:rPr/>
              <w:t> </w:t>
            </w:r>
          </w:p>
        </w:tc>
        <w:tc>
          <w:tcPr>
            <w:tcW w:w="1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7,406</w:t>
            </w:r>
          </w:p>
        </w:tc>
        <w:tc>
          <w:tcPr>
            <w:tcW w:w="12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b/>
          <w:sz w:val="8"/>
        </w:rPr>
        <w:t>(1)</w:t>
      </w:r>
      <w:r>
        <w:rPr>
          <w:rFonts w:ascii="Times New Roman" w:hAnsi="Times New Roman"/>
        </w:rPr>
        <w:t xml:space="preserve">                          </w:t>
      </w:r>
      <w:r>
        <w:rPr>
          <w:rFonts w:ascii="Times New Roman" w:hAnsi="Times New Roman"/>
          <w:sz w:val="17"/>
        </w:rPr>
        <w:t>In August 2013, we renewed and extended our principal bank credit facilities. See Credit Facilities below for further discussion.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8"/>
        </w:rPr>
        <w:t>(2)</w:t>
      </w:r>
      <w:r>
        <w:rPr>
          <w:rFonts w:ascii="Times New Roman" w:hAnsi="Times New Roman"/>
        </w:rPr>
        <w:t xml:space="preserve">                          </w:t>
      </w:r>
      <w:r>
        <w:rPr>
          <w:rFonts w:ascii="Times New Roman" w:hAnsi="Times New Roman"/>
          <w:sz w:val="17"/>
        </w:rPr>
        <w:t>We classify as short-term certain borrowings under our commercial paper program, PAA senior unsecured revolving credit facility and PAA senior secured hedged inventory facility. These borrowings are primarily designated as working capital borrowings, must be repaid within one year and are primarily for hedged NGL and crude oil inventory and NYMEX and ICE margin deposits.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8"/>
        </w:rPr>
        <w:t>(3)</w:t>
      </w:r>
      <w:r>
        <w:rPr>
          <w:rFonts w:ascii="Times New Roman" w:hAnsi="Times New Roman"/>
        </w:rPr>
        <w:t xml:space="preserve">                         </w:t>
      </w:r>
      <w:r>
        <w:rPr>
          <w:rFonts w:ascii="Times New Roman" w:hAnsi="Times New Roman"/>
          <w:sz w:val="17"/>
        </w:rPr>
        <w:t>PNG classifies as short-term debt any borrowings under the PNG senior unsecured revolving credit facility that have been designated as working capital borrowings and must be repaid within one year.  Such borrowings are primarily related to a portion of PNGs hedged natural gas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8"/>
        </w:rPr>
        <w:t>(4)</w:t>
      </w:r>
      <w:r>
        <w:rPr>
          <w:rFonts w:ascii="Times New Roman" w:hAnsi="Times New Roman"/>
        </w:rPr>
        <w:t xml:space="preserve">                          </w:t>
      </w:r>
      <w:r>
        <w:rPr>
          <w:rFonts w:ascii="Times New Roman" w:hAnsi="Times New Roman"/>
          <w:sz w:val="17"/>
        </w:rPr>
        <w:t>Our $250 million 5.63% senior notes will mature in December 2013 and are thus classified as short-term at September 30, 2013 and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8"/>
        </w:rPr>
        <w:t>(5)</w:t>
      </w:r>
      <w:r>
        <w:rPr>
          <w:rFonts w:ascii="Times New Roman" w:hAnsi="Times New Roman"/>
        </w:rPr>
        <w:t xml:space="preserve">                          </w:t>
      </w:r>
      <w:r>
        <w:rPr>
          <w:rFonts w:ascii="Times New Roman" w:hAnsi="Times New Roman"/>
          <w:sz w:val="17"/>
        </w:rPr>
        <w:t>In August 2013, we completed the issuance of $700 million, 3.85% senior notes due 2023 at a public offering price of 99.792%. Interest payments are due on April 15 and October 15 of each year, commencing on April 15, 2014.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9" w:name="PB_12_130653_7748"/>
      <w:bookmarkEnd w:id="2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8"/>
        </w:rPr>
        <w:t>(6)</w:t>
      </w:r>
      <w:r>
        <w:rPr>
          <w:rFonts w:ascii="Times New Roman" w:hAnsi="Times New Roman"/>
        </w:rPr>
        <w:t xml:space="preserve">                          </w:t>
      </w:r>
      <w:r>
        <w:rPr>
          <w:rFonts w:ascii="Times New Roman" w:hAnsi="Times New Roman"/>
          <w:sz w:val="17"/>
        </w:rPr>
        <w:t>Our fixed-rate senior notes (including current maturities) had a face value of approximately $7.0 billion and $6.3 billion at September 30, 2013 and December 31, 2012, respectively.  We estimated the aggregate fair value of these notes as of September 30, 2013 and December 31, 2012 to be approximately $7.5 billion and $7.3 billion, respectively.  Our fixed-rate senior notes are traded among institutions, and these trades are routinely published by a reporting service.  Our determination of fair value is based on reported trading activity near quarter end.  We estimate that the carrying value of outstanding borrowings under our credit agreements and commercial paper program approximates fair value as interest rates reflect current market rates.  The fair value estimates for our senior notes and borrowings under our credit agreements and commercial paper program are based upon observable market data and are classified within level 2 of the fair value hierarchy.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Commercial Paper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2013, we established a commercial paper program under which we may issue, from time to time, privately placed, unsecured commercial paper notes for up to a maximum aggregate amount outstanding at any time of $1.5 billion. Such notes are backstopped by the PAA senior unsecured revolving credit facility and the PAA senior secured hedged inventory facility; as such, any borrowings under our commercial paper program reduce the available capacity under these facilities.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Credit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2013, we amended our senior secured hedged inventory facility and senior unsecured revolving credit facility agreements to, among other things, extend the maturity dates of the facilities by two years. The facilities now mature in August 2016 and August 2018, respectively. Also in August 2013, PNG extended the maturity date of its senior unsecured revolving credit facility and GO Bond term loans by one year to August 2017.</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Borrowings and Repayments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Total borrowings under our credit agreements and commercial paper program for the nine months ended September 30, 2013 and 2012 were approximately $12.7 billion and $8.5 billion, respectively. Total repayments under our credit agreements and commercial paper program were approximately $13.2 billion and $7.8 billion for the nine months ended September 30, 2013 and 2012, respectively. The variance in total gross borrowings and repayments is impacted by various business and financial factors including, but not limited to, the timing, average term and method of general partnership borrowing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Letters of Credit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our supply and logistics activities and PNGs natural gas storage and commercial marketing activities, we provide certain suppliers with irrevocable standby letters of credit to secure our obligation for the purchase of crude oil, NGL and natural gas.  Additionally, we issue letters of credit to support insurance programs and construction activities.  At September 30, 2013 and December 31, 2012, we had outstanding letters of credit of approximately $42 million and $24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8Net Income Per Limited Partner Unit</w:t>
      </w:r>
      <w:bookmarkStart w:id="30" w:name="NetIncomePerLimitedPartnerUnit_133135"/>
      <w:bookmarkEnd w:id="3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Basic and diluted net income per limited partner unit is determined pursuant to the two-class method for Master Limited Partnerships as prescribed in the FASB guidance.  The two-class method is an earnings allocation formula that is used to determine earnings to our general partner, common unitholders and participating securities according to distributions pertaining to the current periods net income and participation rights in undistributed earnings.  Under this method, all earnings are allocated to our general partner, common unitholders and participating securities based on their respective rights to receive distributions, regardless of whether those earnings would actually be distributed during a particular period from an economic or practical perspective.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calculates basic and diluted net income per limited partner unit by dividing net income attributable to Plains, after deducting the amount allocated to the general partners interest, incentive distribution rights (IDRs) and participating securities, by the basic and diluted weighted-average number of limited partner units outstanding during the period.  Participating securities include LTIP awards that have vested DERs, which entitle the grantee to a cash payment equal to the cash distribution paid on our outstanding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Diluted net income per limited partner unit is computed based on the weighted average number of units plus the effect of dilutive potential units outstanding during the period using the two-class method.  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See Note 15 to our Consolidated Financial Statements included in Part IV of our 2012 Annual Report on Form 10-K for a complete discussion of our LTIP awards including specific discussion regarding DERs.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31" w:name="PB_13_130711_141"/>
      <w:bookmarkEnd w:id="3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computation of basic and diluted earnings per limited partner unit for the three and nine months ended September 30, 2013 and 2012 (in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10"/>
        <w:gridCol w:w="211"/>
        <w:gridCol w:w="142"/>
        <w:gridCol w:w="910"/>
        <w:gridCol w:w="225"/>
        <w:gridCol w:w="142"/>
        <w:gridCol w:w="911"/>
        <w:gridCol w:w="217"/>
        <w:gridCol w:w="136"/>
        <w:gridCol w:w="923"/>
        <w:gridCol w:w="220"/>
        <w:gridCol w:w="136"/>
        <w:gridCol w:w="891"/>
        <w:gridCol w:w="131"/>
      </w:tblGrid>
      <w:tr>
        <w:trPr/>
        <w:tc>
          <w:tcPr>
            <w:tcW w:w="501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September 30,</w:t>
            </w:r>
          </w:p>
        </w:tc>
        <w:tc>
          <w:tcPr>
            <w:tcW w:w="217" w:type="dxa"/>
            <w:tcBorders/>
            <w:shd w:fill="auto" w:val="clear"/>
            <w:vAlign w:val="bottom"/>
          </w:tcPr>
          <w:p>
            <w:pPr>
              <w:pStyle w:val="TableContents"/>
              <w:spacing w:before="0" w:after="0"/>
              <w:ind w:left="0" w:right="0" w:hanging="0"/>
              <w:jc w:val="center"/>
              <w:rPr/>
            </w:pPr>
            <w:r>
              <w:rPr/>
              <w:t> </w:t>
            </w:r>
          </w:p>
        </w:tc>
        <w:tc>
          <w:tcPr>
            <w:tcW w:w="230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br/>
              <w:t>September 30,</w:t>
            </w:r>
          </w:p>
        </w:tc>
        <w:tc>
          <w:tcPr>
            <w:tcW w:w="131" w:type="dxa"/>
            <w:tcBorders/>
            <w:shd w:fill="auto" w:val="clear"/>
            <w:vAlign w:val="bottom"/>
          </w:tcPr>
          <w:p>
            <w:pPr>
              <w:pStyle w:val="TableContents"/>
              <w:spacing w:before="0" w:after="0"/>
              <w:ind w:left="0" w:right="0" w:hanging="0"/>
              <w:jc w:val="center"/>
              <w:rPr/>
            </w:pPr>
            <w:r>
              <w:rPr/>
              <w:t> </w:t>
            </w:r>
          </w:p>
        </w:tc>
      </w:tr>
      <w:tr>
        <w:trPr/>
        <w:tc>
          <w:tcPr>
            <w:tcW w:w="501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5" w:type="dxa"/>
            <w:tcBorders/>
            <w:shd w:fill="auto" w:val="clear"/>
            <w:vAlign w:val="bottom"/>
          </w:tcPr>
          <w:p>
            <w:pPr>
              <w:pStyle w:val="TableContents"/>
              <w:spacing w:before="0" w:after="0"/>
              <w:ind w:left="0" w:right="0" w:hanging="0"/>
              <w:jc w:val="center"/>
              <w:rPr/>
            </w:pPr>
            <w:r>
              <w:rPr/>
              <w:t> </w:t>
            </w:r>
          </w:p>
        </w:tc>
        <w:tc>
          <w:tcPr>
            <w:tcW w:w="105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7" w:type="dxa"/>
            <w:tcBorders/>
            <w:shd w:fill="auto" w:val="clear"/>
            <w:vAlign w:val="bottom"/>
          </w:tcPr>
          <w:p>
            <w:pPr>
              <w:pStyle w:val="TableContents"/>
              <w:spacing w:before="0" w:after="0"/>
              <w:ind w:left="0" w:right="0" w:hanging="0"/>
              <w:jc w:val="center"/>
              <w:rPr/>
            </w:pPr>
            <w:r>
              <w:rPr/>
              <w:t> </w:t>
            </w:r>
          </w:p>
        </w:tc>
        <w:tc>
          <w:tcPr>
            <w:tcW w:w="10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1" w:type="dxa"/>
            <w:tcBorders/>
            <w:shd w:fill="auto" w:val="clear"/>
            <w:vAlign w:val="bottom"/>
          </w:tcPr>
          <w:p>
            <w:pPr>
              <w:pStyle w:val="TableContents"/>
              <w:spacing w:before="0" w:after="0"/>
              <w:ind w:left="0" w:right="0" w:hanging="0"/>
              <w:jc w:val="center"/>
              <w:rPr/>
            </w:pPr>
            <w:r>
              <w:rPr/>
              <w:t> </w:t>
            </w:r>
          </w:p>
        </w:tc>
      </w:tr>
      <w:tr>
        <w:trPr/>
        <w:tc>
          <w:tcPr>
            <w:tcW w:w="50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5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25"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7"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220"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31" w:type="dxa"/>
            <w:tcBorders/>
            <w:shd w:fill="auto" w:val="clear"/>
            <w:vAlign w:val="bottom"/>
          </w:tcPr>
          <w:p>
            <w:pPr>
              <w:pStyle w:val="TableContents"/>
              <w:spacing w:before="0" w:after="0"/>
              <w:ind w:left="0" w:right="0" w:hanging="0"/>
              <w:rPr/>
            </w:pPr>
            <w:r>
              <w:rPr/>
              <w:t> </w:t>
            </w:r>
          </w:p>
        </w:tc>
      </w:tr>
      <w:tr>
        <w:trPr/>
        <w:tc>
          <w:tcPr>
            <w:tcW w:w="5010" w:type="dxa"/>
            <w:tcBorders/>
            <w:shd w:fill="CCEEFF" w:val="clear"/>
            <w:vAlign w:val="bottom"/>
          </w:tcPr>
          <w:p>
            <w:pPr>
              <w:pStyle w:val="TableContents"/>
              <w:spacing w:before="0" w:after="0"/>
              <w:ind w:left="0" w:right="0" w:hanging="0"/>
              <w:rPr/>
            </w:pPr>
            <w:r>
              <w:rPr>
                <w:rFonts w:ascii="Times New Roman" w:hAnsi="Times New Roman"/>
                <w:sz w:val="17"/>
              </w:rPr>
              <w:t xml:space="preserve">General partners incentive distribution </w:t>
            </w:r>
            <w:r>
              <w:rPr>
                <w:b/>
                <w:sz w:val="8"/>
              </w:rPr>
              <w:t>(1)</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0" w:type="dxa"/>
            <w:tcBorders/>
            <w:shd w:fill="auto" w:val="clear"/>
            <w:vAlign w:val="bottom"/>
          </w:tcPr>
          <w:p>
            <w:pPr>
              <w:pStyle w:val="TableContents"/>
              <w:spacing w:before="0" w:after="0"/>
              <w:ind w:left="0" w:right="0" w:hanging="0"/>
              <w:rPr/>
            </w:pPr>
            <w:r>
              <w:rPr>
                <w:rFonts w:ascii="Times New Roman" w:hAnsi="Times New Roman"/>
                <w:sz w:val="17"/>
              </w:rPr>
              <w:t xml:space="preserve">General partner 2% ownership </w:t>
            </w:r>
            <w:r>
              <w:rPr>
                <w:b/>
                <w:sz w:val="8"/>
              </w:rPr>
              <w:t>(1)</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available to limited partners </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7" w:type="dxa"/>
            <w:tcBorders/>
            <w:shd w:fill="CCEEFF" w:val="clear"/>
            <w:vAlign w:val="bottom"/>
          </w:tcPr>
          <w:p>
            <w:pPr>
              <w:pStyle w:val="TableContents"/>
              <w:spacing w:before="0" w:after="0"/>
              <w:ind w:left="0" w:right="0" w:hanging="0"/>
              <w:rPr/>
            </w:pPr>
            <w:r>
              <w:rPr/>
              <w:t> </w:t>
            </w:r>
          </w:p>
        </w:tc>
        <w:tc>
          <w:tcPr>
            <w:tcW w:w="10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w:t>
            </w:r>
          </w:p>
        </w:tc>
        <w:tc>
          <w:tcPr>
            <w:tcW w:w="220"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131"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bottom"/>
          </w:tcPr>
          <w:p>
            <w:pPr>
              <w:pStyle w:val="TableContents"/>
              <w:spacing w:before="0" w:after="0"/>
              <w:ind w:left="0" w:right="0" w:hanging="0"/>
              <w:rPr/>
            </w:pPr>
            <w:r>
              <w:rPr>
                <w:rFonts w:ascii="Times New Roman" w:hAnsi="Times New Roman"/>
                <w:sz w:val="17"/>
              </w:rPr>
              <w:t xml:space="preserve">Undistributed earnings allocated and distributions to participating securities </w:t>
            </w:r>
            <w:r>
              <w:rPr>
                <w:b/>
                <w:sz w:val="8"/>
              </w:rPr>
              <w:t>(1)</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25"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7"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759</w:t>
            </w:r>
          </w:p>
        </w:tc>
        <w:tc>
          <w:tcPr>
            <w:tcW w:w="220"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131"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5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17" w:type="dxa"/>
            <w:tcBorders/>
            <w:shd w:fill="CCEEFF" w:val="clear"/>
            <w:vAlign w:val="bottom"/>
          </w:tcPr>
          <w:p>
            <w:pPr>
              <w:pStyle w:val="TableContents"/>
              <w:spacing w:before="0" w:after="0"/>
              <w:ind w:left="0" w:right="0" w:hanging="0"/>
              <w:rPr/>
            </w:pPr>
            <w:r>
              <w:rPr/>
              <w:t> </w:t>
            </w:r>
          </w:p>
        </w:tc>
        <w:tc>
          <w:tcPr>
            <w:tcW w:w="10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20"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31"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5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25"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7"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20"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31"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5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1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05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25"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7"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220"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31" w:type="dxa"/>
            <w:tcBorders/>
            <w:shd w:fill="auto" w:val="clear"/>
            <w:vAlign w:val="bottom"/>
          </w:tcPr>
          <w:p>
            <w:pPr>
              <w:pStyle w:val="TableContents"/>
              <w:spacing w:before="0" w:after="0"/>
              <w:ind w:left="0" w:right="0" w:hanging="0"/>
              <w:rPr/>
            </w:pPr>
            <w:r>
              <w:rPr/>
              <w:t> </w:t>
            </w:r>
          </w:p>
        </w:tc>
      </w:tr>
      <w:tr>
        <w:trPr/>
        <w:tc>
          <w:tcPr>
            <w:tcW w:w="5010" w:type="dxa"/>
            <w:tcBorders/>
            <w:shd w:fill="CCEEFF" w:val="clear"/>
            <w:vAlign w:val="bottom"/>
          </w:tcPr>
          <w:p>
            <w:pPr>
              <w:pStyle w:val="TableContents"/>
              <w:spacing w:before="0" w:after="0"/>
              <w:ind w:left="0" w:right="0" w:hanging="0"/>
              <w:rPr/>
            </w:pPr>
            <w:r>
              <w:rPr>
                <w:rFonts w:ascii="Times New Roman" w:hAnsi="Times New Roman"/>
                <w:sz w:val="17"/>
              </w:rPr>
              <w:t xml:space="preserve">General partners incentive distribution </w:t>
            </w:r>
            <w:r>
              <w:rPr>
                <w:b/>
                <w:sz w:val="8"/>
              </w:rPr>
              <w:t>(1)</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0" w:type="dxa"/>
            <w:tcBorders/>
            <w:shd w:fill="auto" w:val="clear"/>
            <w:vAlign w:val="bottom"/>
          </w:tcPr>
          <w:p>
            <w:pPr>
              <w:pStyle w:val="TableContents"/>
              <w:spacing w:before="0" w:after="0"/>
              <w:ind w:left="0" w:right="0" w:hanging="0"/>
              <w:rPr/>
            </w:pPr>
            <w:r>
              <w:rPr>
                <w:rFonts w:ascii="Times New Roman" w:hAnsi="Times New Roman"/>
                <w:sz w:val="17"/>
              </w:rPr>
              <w:t xml:space="preserve">General partner 2% ownership </w:t>
            </w:r>
            <w:r>
              <w:rPr>
                <w:b/>
                <w:sz w:val="8"/>
              </w:rPr>
              <w:t>(1)</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available to limited partners </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7" w:type="dxa"/>
            <w:tcBorders/>
            <w:shd w:fill="CCEEFF" w:val="clear"/>
            <w:vAlign w:val="bottom"/>
          </w:tcPr>
          <w:p>
            <w:pPr>
              <w:pStyle w:val="TableContents"/>
              <w:spacing w:before="0" w:after="0"/>
              <w:ind w:left="0" w:right="0" w:hanging="0"/>
              <w:rPr/>
            </w:pPr>
            <w:r>
              <w:rPr/>
              <w:t> </w:t>
            </w:r>
          </w:p>
        </w:tc>
        <w:tc>
          <w:tcPr>
            <w:tcW w:w="10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w:t>
            </w:r>
          </w:p>
        </w:tc>
        <w:tc>
          <w:tcPr>
            <w:tcW w:w="220"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131"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bottom"/>
          </w:tcPr>
          <w:p>
            <w:pPr>
              <w:pStyle w:val="TableContents"/>
              <w:spacing w:before="0" w:after="0"/>
              <w:ind w:left="0" w:right="0" w:hanging="0"/>
              <w:rPr/>
            </w:pPr>
            <w:r>
              <w:rPr>
                <w:rFonts w:ascii="Times New Roman" w:hAnsi="Times New Roman"/>
                <w:sz w:val="17"/>
              </w:rPr>
              <w:t xml:space="preserve">Undistributed earnings allocated and distributions to participating securities </w:t>
            </w:r>
            <w:r>
              <w:rPr>
                <w:b/>
                <w:sz w:val="8"/>
              </w:rPr>
              <w:t>(1)</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25"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7"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760</w:t>
            </w:r>
          </w:p>
        </w:tc>
        <w:tc>
          <w:tcPr>
            <w:tcW w:w="220"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131"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5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17" w:type="dxa"/>
            <w:tcBorders/>
            <w:shd w:fill="CCEEFF" w:val="clear"/>
            <w:vAlign w:val="bottom"/>
          </w:tcPr>
          <w:p>
            <w:pPr>
              <w:pStyle w:val="TableContents"/>
              <w:spacing w:before="0" w:after="0"/>
              <w:ind w:left="0" w:right="0" w:hanging="0"/>
              <w:rPr/>
            </w:pPr>
            <w:r>
              <w:rPr/>
              <w:t> </w:t>
            </w:r>
          </w:p>
        </w:tc>
        <w:tc>
          <w:tcPr>
            <w:tcW w:w="10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20" w:type="dxa"/>
            <w:tcBorders/>
            <w:shd w:fill="CCEEFF" w:val="clear"/>
            <w:vAlign w:val="bottom"/>
          </w:tcPr>
          <w:p>
            <w:pPr>
              <w:pStyle w:val="TableContents"/>
              <w:spacing w:before="0" w:after="0"/>
              <w:ind w:left="0" w:right="0" w:hanging="0"/>
              <w:rPr/>
            </w:pPr>
            <w:r>
              <w:rPr/>
              <w:t> </w:t>
            </w:r>
          </w:p>
        </w:tc>
        <w:tc>
          <w:tcPr>
            <w:tcW w:w="102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31"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 Weighted average LTIP units</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auto" w:val="clear"/>
            <w:vAlign w:val="bottom"/>
          </w:tcPr>
          <w:p>
            <w:pPr>
              <w:pStyle w:val="TableContents"/>
              <w:spacing w:before="0" w:after="0"/>
              <w:ind w:left="0" w:right="0" w:hanging="0"/>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7" w:type="dxa"/>
            <w:tcBorders/>
            <w:shd w:fill="auto" w:val="clear"/>
            <w:vAlign w:val="bottom"/>
          </w:tcPr>
          <w:p>
            <w:pPr>
              <w:pStyle w:val="TableContents"/>
              <w:spacing w:before="0" w:after="0"/>
              <w:ind w:left="0" w:right="0" w:hanging="0"/>
              <w:rPr/>
            </w:pPr>
            <w:r>
              <w:rPr/>
              <w:t> </w:t>
            </w:r>
          </w:p>
        </w:tc>
        <w:tc>
          <w:tcPr>
            <w:tcW w:w="10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auto" w:val="clear"/>
            <w:vAlign w:val="bottom"/>
          </w:tcPr>
          <w:p>
            <w:pPr>
              <w:pStyle w:val="TableContents"/>
              <w:spacing w:before="0" w:after="0"/>
              <w:ind w:left="0" w:right="0" w:hanging="0"/>
              <w:rPr/>
            </w:pPr>
            <w:r>
              <w:rPr/>
              <w:t> </w:t>
            </w:r>
          </w:p>
        </w:tc>
        <w:tc>
          <w:tcPr>
            <w:tcW w:w="102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1" w:type="dxa"/>
            <w:tcBorders/>
            <w:shd w:fill="auto" w:val="clear"/>
            <w:vAlign w:val="bottom"/>
          </w:tcPr>
          <w:p>
            <w:pPr>
              <w:pStyle w:val="TableContents"/>
              <w:spacing w:before="0" w:after="0"/>
              <w:ind w:left="0" w:right="0" w:hanging="0"/>
              <w:rPr/>
            </w:pPr>
            <w:r>
              <w:rPr/>
              <w:t> </w:t>
            </w:r>
          </w:p>
        </w:tc>
      </w:tr>
      <w:tr>
        <w:trPr/>
        <w:tc>
          <w:tcPr>
            <w:tcW w:w="50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25" w:type="dxa"/>
            <w:tcBorders/>
            <w:shd w:fill="CCEEFF" w:val="clear"/>
            <w:vAlign w:val="bottom"/>
          </w:tcPr>
          <w:p>
            <w:pPr>
              <w:pStyle w:val="TableContents"/>
              <w:spacing w:before="0" w:after="0"/>
              <w:ind w:left="0" w:right="0" w:hanging="0"/>
              <w:rPr/>
            </w:pPr>
            <w:r>
              <w:rPr/>
              <w:t> </w:t>
            </w:r>
          </w:p>
        </w:tc>
        <w:tc>
          <w:tcPr>
            <w:tcW w:w="105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17" w:type="dxa"/>
            <w:tcBorders/>
            <w:shd w:fill="CCEEFF" w:val="clear"/>
            <w:vAlign w:val="bottom"/>
          </w:tcPr>
          <w:p>
            <w:pPr>
              <w:pStyle w:val="TableContents"/>
              <w:spacing w:before="0" w:after="0"/>
              <w:ind w:left="0" w:right="0" w:hanging="0"/>
              <w:rPr/>
            </w:pPr>
            <w:r>
              <w:rPr/>
              <w:t> </w:t>
            </w:r>
          </w:p>
        </w:tc>
        <w:tc>
          <w:tcPr>
            <w:tcW w:w="105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20" w:type="dxa"/>
            <w:tcBorders/>
            <w:shd w:fill="CCEEFF" w:val="clear"/>
            <w:vAlign w:val="bottom"/>
          </w:tcPr>
          <w:p>
            <w:pPr>
              <w:pStyle w:val="TableContents"/>
              <w:spacing w:before="0" w:after="0"/>
              <w:ind w:left="0" w:right="0" w:hanging="0"/>
              <w:rPr/>
            </w:pPr>
            <w:r>
              <w:rPr/>
              <w:t> </w:t>
            </w:r>
          </w:p>
        </w:tc>
        <w:tc>
          <w:tcPr>
            <w:tcW w:w="1027"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31" w:type="dxa"/>
            <w:tcBorders/>
            <w:shd w:fill="CCEEFF" w:val="clear"/>
            <w:vAlign w:val="bottom"/>
          </w:tcPr>
          <w:p>
            <w:pPr>
              <w:pStyle w:val="TableContents"/>
              <w:spacing w:before="0" w:after="0"/>
              <w:ind w:left="0" w:right="0" w:hanging="0"/>
              <w:rPr/>
            </w:pPr>
            <w:r>
              <w:rPr/>
              <w:t> </w:t>
            </w:r>
          </w:p>
        </w:tc>
      </w:tr>
      <w:tr>
        <w:trPr/>
        <w:tc>
          <w:tcPr>
            <w:tcW w:w="501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2"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3"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05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027"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25" w:type="dxa"/>
            <w:tcBorders/>
            <w:shd w:fill="CCEEFF" w:val="clear"/>
            <w:vAlign w:val="bottom"/>
          </w:tcPr>
          <w:p>
            <w:pPr>
              <w:pStyle w:val="TableContents"/>
              <w:spacing w:before="0" w:after="0"/>
              <w:ind w:left="0" w:right="0" w:hanging="0"/>
              <w:rPr/>
            </w:pPr>
            <w:r>
              <w:rPr/>
              <w:t> </w:t>
            </w:r>
          </w:p>
        </w:tc>
        <w:tc>
          <w:tcPr>
            <w:tcW w:w="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7"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20"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b/>
          <w:sz w:val="8"/>
        </w:rPr>
        <w:t>(1)</w:t>
      </w:r>
      <w:r>
        <w:rPr>
          <w:rFonts w:ascii="Times New Roman" w:hAnsi="Times New Roman"/>
        </w:rPr>
        <w:t xml:space="preserve">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terms of our partnership agreement limit the general partners incentive distribution to the amount of available cash, which, as defined in the partnership agreement, is net of reserves deemed appropriate.  As such, IDRs are not allocated undistributed earnings or distributions in excess of earnings in the calculation of net income per limited partner unit.  If, however, undistributed earnings were allocated to our IDRs beyond amounts distributed to them under the terms of the partnership agreement, basic and diluted earnings per limited partner unit as reflected in the table above would be impacted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908"/>
        <w:gridCol w:w="212"/>
        <w:gridCol w:w="236"/>
        <w:gridCol w:w="1080"/>
        <w:gridCol w:w="255"/>
        <w:gridCol w:w="236"/>
        <w:gridCol w:w="1081"/>
        <w:gridCol w:w="212"/>
        <w:gridCol w:w="162"/>
        <w:gridCol w:w="1142"/>
        <w:gridCol w:w="229"/>
        <w:gridCol w:w="162"/>
        <w:gridCol w:w="1144"/>
        <w:gridCol w:w="146"/>
      </w:tblGrid>
      <w:tr>
        <w:trPr/>
        <w:tc>
          <w:tcPr>
            <w:tcW w:w="3908"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8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September 30,</w:t>
            </w:r>
          </w:p>
        </w:tc>
        <w:tc>
          <w:tcPr>
            <w:tcW w:w="212" w:type="dxa"/>
            <w:tcBorders/>
            <w:shd w:fill="auto" w:val="clear"/>
            <w:vAlign w:val="bottom"/>
          </w:tcPr>
          <w:p>
            <w:pPr>
              <w:pStyle w:val="TableContents"/>
              <w:spacing w:before="0" w:after="0"/>
              <w:ind w:left="0" w:right="0" w:hanging="0"/>
              <w:jc w:val="center"/>
              <w:rPr/>
            </w:pPr>
            <w:r>
              <w:rPr/>
              <w:t> </w:t>
            </w:r>
          </w:p>
        </w:tc>
        <w:tc>
          <w:tcPr>
            <w:tcW w:w="283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br/>
              <w:t>September 30,</w:t>
            </w:r>
          </w:p>
        </w:tc>
        <w:tc>
          <w:tcPr>
            <w:tcW w:w="146" w:type="dxa"/>
            <w:tcBorders/>
            <w:shd w:fill="auto" w:val="clear"/>
            <w:vAlign w:val="bottom"/>
          </w:tcPr>
          <w:p>
            <w:pPr>
              <w:pStyle w:val="TableContents"/>
              <w:spacing w:before="0" w:after="0"/>
              <w:ind w:left="0" w:right="0" w:hanging="0"/>
              <w:jc w:val="center"/>
              <w:rPr/>
            </w:pPr>
            <w:r>
              <w:rPr/>
              <w:t> </w:t>
            </w:r>
          </w:p>
        </w:tc>
      </w:tr>
      <w:tr>
        <w:trPr/>
        <w:tc>
          <w:tcPr>
            <w:tcW w:w="3908"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3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55" w:type="dxa"/>
            <w:tcBorders/>
            <w:shd w:fill="auto" w:val="clear"/>
            <w:vAlign w:val="bottom"/>
          </w:tcPr>
          <w:p>
            <w:pPr>
              <w:pStyle w:val="TableContents"/>
              <w:spacing w:before="0" w:after="0"/>
              <w:ind w:left="0" w:right="0" w:hanging="0"/>
              <w:jc w:val="center"/>
              <w:rPr/>
            </w:pPr>
            <w:r>
              <w:rPr/>
              <w:t> </w:t>
            </w:r>
          </w:p>
        </w:tc>
        <w:tc>
          <w:tcPr>
            <w:tcW w:w="131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2" w:type="dxa"/>
            <w:tcBorders/>
            <w:shd w:fill="auto" w:val="clear"/>
            <w:vAlign w:val="bottom"/>
          </w:tcPr>
          <w:p>
            <w:pPr>
              <w:pStyle w:val="TableContents"/>
              <w:spacing w:before="0" w:after="0"/>
              <w:ind w:left="0" w:right="0" w:hanging="0"/>
              <w:jc w:val="center"/>
              <w:rPr/>
            </w:pPr>
            <w:r>
              <w:rPr/>
              <w:t> </w:t>
            </w:r>
          </w:p>
        </w:tc>
        <w:tc>
          <w:tcPr>
            <w:tcW w:w="13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46" w:type="dxa"/>
            <w:tcBorders/>
            <w:shd w:fill="auto" w:val="clear"/>
            <w:vAlign w:val="bottom"/>
          </w:tcPr>
          <w:p>
            <w:pPr>
              <w:pStyle w:val="TableContents"/>
              <w:spacing w:before="0" w:after="0"/>
              <w:ind w:left="0" w:right="0" w:hanging="0"/>
              <w:jc w:val="center"/>
              <w:rPr/>
            </w:pPr>
            <w:r>
              <w:rPr/>
              <w:t> </w:t>
            </w:r>
          </w:p>
        </w:tc>
      </w:tr>
      <w:tr>
        <w:trPr/>
        <w:tc>
          <w:tcPr>
            <w:tcW w:w="39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 impact</w:t>
            </w:r>
          </w:p>
        </w:tc>
        <w:tc>
          <w:tcPr>
            <w:tcW w:w="212" w:type="dxa"/>
            <w:tcBorders/>
            <w:shd w:fill="CCEEFF" w:val="clear"/>
            <w:vAlign w:val="bottom"/>
          </w:tcPr>
          <w:p>
            <w:pPr>
              <w:pStyle w:val="TableContents"/>
              <w:spacing w:before="0" w:after="0"/>
              <w:ind w:left="0" w:right="0" w:hanging="0"/>
              <w:rPr/>
            </w:pPr>
            <w:r>
              <w:rPr/>
              <w:t> </w:t>
            </w:r>
          </w:p>
        </w:tc>
        <w:tc>
          <w:tcPr>
            <w:tcW w:w="2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5" w:type="dxa"/>
            <w:tcBorders/>
            <w:shd w:fill="CCEEFF" w:val="clear"/>
            <w:vAlign w:val="bottom"/>
          </w:tcPr>
          <w:p>
            <w:pPr>
              <w:pStyle w:val="TableContents"/>
              <w:spacing w:before="0" w:after="0"/>
              <w:ind w:left="0" w:right="0" w:hanging="0"/>
              <w:rPr/>
            </w:pPr>
            <w:r>
              <w:rPr/>
              <w:t> </w:t>
            </w:r>
          </w:p>
        </w:tc>
        <w:tc>
          <w:tcPr>
            <w:tcW w:w="2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1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(0.23</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08"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316" w:type="dxa"/>
            <w:gridSpan w:val="2"/>
            <w:tcBorders/>
            <w:shd w:fill="auto" w:val="clear"/>
            <w:vAlign w:val="bottom"/>
          </w:tcPr>
          <w:p>
            <w:pPr>
              <w:pStyle w:val="TableContents"/>
              <w:spacing w:before="0" w:after="0"/>
              <w:ind w:left="0" w:right="0" w:hanging="0"/>
              <w:jc w:val="right"/>
              <w:rPr/>
            </w:pPr>
            <w:r>
              <w:rPr/>
              <w:t> </w:t>
            </w:r>
          </w:p>
        </w:tc>
        <w:tc>
          <w:tcPr>
            <w:tcW w:w="255" w:type="dxa"/>
            <w:tcBorders/>
            <w:shd w:fill="auto" w:val="clear"/>
            <w:vAlign w:val="bottom"/>
          </w:tcPr>
          <w:p>
            <w:pPr>
              <w:pStyle w:val="TableContents"/>
              <w:spacing w:before="0" w:after="0"/>
              <w:ind w:left="0" w:right="0" w:hanging="0"/>
              <w:rPr/>
            </w:pPr>
            <w:r>
              <w:rPr/>
              <w:t> </w:t>
            </w:r>
          </w:p>
        </w:tc>
        <w:tc>
          <w:tcPr>
            <w:tcW w:w="1317"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304"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pPr>
            <w:r>
              <w:rPr/>
              <w:t> </w:t>
            </w:r>
          </w:p>
        </w:tc>
        <w:tc>
          <w:tcPr>
            <w:tcW w:w="146" w:type="dxa"/>
            <w:tcBorders/>
            <w:shd w:fill="auto" w:val="clear"/>
            <w:vAlign w:val="bottom"/>
          </w:tcPr>
          <w:p>
            <w:pPr>
              <w:pStyle w:val="TableContents"/>
              <w:spacing w:before="0" w:after="0"/>
              <w:ind w:left="0" w:right="0" w:hanging="0"/>
              <w:rPr/>
            </w:pPr>
            <w:r>
              <w:rPr/>
              <w:t> </w:t>
            </w:r>
          </w:p>
        </w:tc>
      </w:tr>
      <w:tr>
        <w:trPr/>
        <w:tc>
          <w:tcPr>
            <w:tcW w:w="39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 impact</w:t>
            </w:r>
          </w:p>
        </w:tc>
        <w:tc>
          <w:tcPr>
            <w:tcW w:w="212" w:type="dxa"/>
            <w:tcBorders/>
            <w:shd w:fill="CCEEFF" w:val="clear"/>
            <w:vAlign w:val="bottom"/>
          </w:tcPr>
          <w:p>
            <w:pPr>
              <w:pStyle w:val="TableContents"/>
              <w:spacing w:before="0" w:after="0"/>
              <w:ind w:left="0" w:right="0" w:hanging="0"/>
              <w:rPr/>
            </w:pPr>
            <w:r>
              <w:rPr/>
              <w:t> </w:t>
            </w:r>
          </w:p>
        </w:tc>
        <w:tc>
          <w:tcPr>
            <w:tcW w:w="2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5" w:type="dxa"/>
            <w:tcBorders/>
            <w:shd w:fill="CCEEFF" w:val="clear"/>
            <w:vAlign w:val="bottom"/>
          </w:tcPr>
          <w:p>
            <w:pPr>
              <w:pStyle w:val="TableContents"/>
              <w:spacing w:before="0" w:after="0"/>
              <w:ind w:left="0" w:right="0" w:hanging="0"/>
              <w:rPr/>
            </w:pPr>
            <w:r>
              <w:rPr/>
              <w:t> </w:t>
            </w:r>
          </w:p>
        </w:tc>
        <w:tc>
          <w:tcPr>
            <w:tcW w:w="2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1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(0.23</w:t>
            </w:r>
          </w:p>
        </w:tc>
        <w:tc>
          <w:tcPr>
            <w:tcW w:w="2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14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32" w:name="PB_14_131133_7608"/>
      <w:bookmarkEnd w:id="3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9Partners Capital and Distributions</w:t>
      </w:r>
      <w:bookmarkStart w:id="33" w:name="Note9partnersCapitalAndDistributi_140556"/>
      <w:bookmarkEnd w:id="33"/>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Distributions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details the distributions paid during or pertaining to the first nine months of 2013, net of reductions to the general partners incentive distributions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679"/>
        <w:gridCol w:w="170"/>
        <w:gridCol w:w="2149"/>
        <w:gridCol w:w="170"/>
        <w:gridCol w:w="167"/>
        <w:gridCol w:w="789"/>
        <w:gridCol w:w="170"/>
        <w:gridCol w:w="204"/>
        <w:gridCol w:w="772"/>
        <w:gridCol w:w="197"/>
        <w:gridCol w:w="190"/>
        <w:gridCol w:w="643"/>
        <w:gridCol w:w="169"/>
        <w:gridCol w:w="140"/>
        <w:gridCol w:w="716"/>
        <w:gridCol w:w="170"/>
        <w:gridCol w:w="163"/>
        <w:gridCol w:w="980"/>
        <w:gridCol w:w="567"/>
      </w:tblGrid>
      <w:tr>
        <w:trPr/>
        <w:tc>
          <w:tcPr>
            <w:tcW w:w="1679"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2149" w:type="dxa"/>
            <w:tcBorders/>
            <w:shd w:fill="auto" w:val="clear"/>
            <w:vAlign w:val="bottom"/>
          </w:tcPr>
          <w:p>
            <w:pPr>
              <w:pStyle w:val="TableContents"/>
              <w:spacing w:before="0" w:after="0"/>
              <w:ind w:left="0" w:right="0" w:hanging="0"/>
              <w:jc w:val="center"/>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4157"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 Paid</w:t>
            </w:r>
          </w:p>
        </w:tc>
        <w:tc>
          <w:tcPr>
            <w:tcW w:w="170" w:type="dxa"/>
            <w:tcBorders/>
            <w:shd w:fill="auto" w:val="clear"/>
            <w:vAlign w:val="bottom"/>
          </w:tcPr>
          <w:p>
            <w:pPr>
              <w:pStyle w:val="TableContents"/>
              <w:spacing w:before="0" w:after="0"/>
              <w:ind w:left="0" w:right="0" w:hanging="0"/>
              <w:jc w:val="center"/>
              <w:rPr/>
            </w:pPr>
            <w:r>
              <w:rPr/>
              <w:t> </w:t>
            </w:r>
          </w:p>
        </w:tc>
        <w:tc>
          <w:tcPr>
            <w:tcW w:w="114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Distributions</w:t>
            </w:r>
          </w:p>
        </w:tc>
        <w:tc>
          <w:tcPr>
            <w:tcW w:w="567" w:type="dxa"/>
            <w:tcBorders/>
            <w:shd w:fill="auto" w:val="clear"/>
            <w:vAlign w:val="bottom"/>
          </w:tcPr>
          <w:p>
            <w:pPr>
              <w:pStyle w:val="TableContents"/>
              <w:spacing w:before="0" w:after="0"/>
              <w:ind w:left="0" w:right="0" w:hanging="0"/>
              <w:jc w:val="center"/>
              <w:rPr/>
            </w:pPr>
            <w:r>
              <w:rPr/>
              <w:t> </w:t>
            </w:r>
          </w:p>
        </w:tc>
      </w:tr>
      <w:tr>
        <w:trPr/>
        <w:tc>
          <w:tcPr>
            <w:tcW w:w="1679" w:type="dxa"/>
            <w:tcBorders/>
            <w:shd w:fill="auto" w:val="clear"/>
            <w:vAlign w:val="bottom"/>
          </w:tcPr>
          <w:p>
            <w:pPr>
              <w:pStyle w:val="TableContents"/>
              <w:spacing w:before="0" w:after="0"/>
              <w:ind w:left="0" w:right="0" w:hanging="0"/>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2149" w:type="dxa"/>
            <w:tcBorders/>
            <w:shd w:fill="auto" w:val="clear"/>
            <w:vAlign w:val="bottom"/>
          </w:tcPr>
          <w:p>
            <w:pPr>
              <w:pStyle w:val="TableContents"/>
              <w:spacing w:before="0" w:after="0"/>
              <w:ind w:left="0" w:right="0" w:hanging="0"/>
              <w:jc w:val="center"/>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9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Common</w:t>
            </w:r>
          </w:p>
        </w:tc>
        <w:tc>
          <w:tcPr>
            <w:tcW w:w="170" w:type="dxa"/>
            <w:tcBorders/>
            <w:shd w:fill="auto" w:val="clear"/>
            <w:vAlign w:val="bottom"/>
          </w:tcPr>
          <w:p>
            <w:pPr>
              <w:pStyle w:val="TableContents"/>
              <w:spacing w:before="0" w:after="0"/>
              <w:ind w:left="0" w:right="0" w:hanging="0"/>
              <w:jc w:val="center"/>
              <w:rPr/>
            </w:pPr>
            <w:r>
              <w:rPr/>
              <w:t> </w:t>
            </w:r>
          </w:p>
        </w:tc>
        <w:tc>
          <w:tcPr>
            <w:tcW w:w="2006" w:type="dxa"/>
            <w:gridSpan w:val="5"/>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General Partner</w:t>
            </w:r>
          </w:p>
        </w:tc>
        <w:tc>
          <w:tcPr>
            <w:tcW w:w="16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114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per limited</w:t>
            </w:r>
          </w:p>
        </w:tc>
        <w:tc>
          <w:tcPr>
            <w:tcW w:w="567" w:type="dxa"/>
            <w:tcBorders/>
            <w:shd w:fill="auto" w:val="clear"/>
            <w:vAlign w:val="bottom"/>
          </w:tcPr>
          <w:p>
            <w:pPr>
              <w:pStyle w:val="TableContents"/>
              <w:spacing w:before="0" w:after="0"/>
              <w:ind w:left="0" w:right="0" w:hanging="0"/>
              <w:jc w:val="center"/>
              <w:rPr/>
            </w:pPr>
            <w:r>
              <w:rPr/>
              <w:t> </w:t>
            </w:r>
          </w:p>
        </w:tc>
      </w:tr>
      <w:tr>
        <w:trPr/>
        <w:tc>
          <w:tcPr>
            <w:tcW w:w="167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Date Declared</w:t>
            </w:r>
          </w:p>
        </w:tc>
        <w:tc>
          <w:tcPr>
            <w:tcW w:w="170" w:type="dxa"/>
            <w:tcBorders/>
            <w:shd w:fill="auto" w:val="clear"/>
            <w:vAlign w:val="bottom"/>
          </w:tcPr>
          <w:p>
            <w:pPr>
              <w:pStyle w:val="TableContents"/>
              <w:spacing w:before="0" w:after="0"/>
              <w:ind w:left="0" w:right="0" w:hanging="0"/>
              <w:jc w:val="center"/>
              <w:rPr/>
            </w:pPr>
            <w:r>
              <w:rPr/>
              <w:t> </w:t>
            </w:r>
          </w:p>
        </w:tc>
        <w:tc>
          <w:tcPr>
            <w:tcW w:w="21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Date Paid or To Be Paid</w:t>
            </w:r>
          </w:p>
        </w:tc>
        <w:tc>
          <w:tcPr>
            <w:tcW w:w="170" w:type="dxa"/>
            <w:tcBorders/>
            <w:shd w:fill="auto" w:val="clear"/>
            <w:vAlign w:val="bottom"/>
          </w:tcPr>
          <w:p>
            <w:pPr>
              <w:pStyle w:val="TableContents"/>
              <w:spacing w:before="0" w:after="0"/>
              <w:ind w:left="0" w:right="0" w:hanging="0"/>
              <w:jc w:val="center"/>
              <w:rPr/>
            </w:pPr>
            <w:r>
              <w:rPr/>
              <w:t> </w:t>
            </w:r>
          </w:p>
        </w:tc>
        <w:tc>
          <w:tcPr>
            <w:tcW w:w="9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0" w:type="dxa"/>
            <w:tcBorders/>
            <w:shd w:fill="auto" w:val="clear"/>
            <w:vAlign w:val="bottom"/>
          </w:tcPr>
          <w:p>
            <w:pPr>
              <w:pStyle w:val="TableContents"/>
              <w:spacing w:before="0" w:after="0"/>
              <w:ind w:left="0" w:right="0" w:hanging="0"/>
              <w:jc w:val="center"/>
              <w:rPr/>
            </w:pPr>
            <w:r>
              <w:rPr/>
              <w:t> </w:t>
            </w:r>
          </w:p>
        </w:tc>
        <w:tc>
          <w:tcPr>
            <w:tcW w:w="9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Incentive</w:t>
            </w:r>
          </w:p>
        </w:tc>
        <w:tc>
          <w:tcPr>
            <w:tcW w:w="19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w:t>
            </w:r>
          </w:p>
        </w:tc>
        <w:tc>
          <w:tcPr>
            <w:tcW w:w="169" w:type="dxa"/>
            <w:tcBorders/>
            <w:shd w:fill="auto" w:val="clear"/>
            <w:vAlign w:val="bottom"/>
          </w:tcPr>
          <w:p>
            <w:pPr>
              <w:pStyle w:val="TableContents"/>
              <w:spacing w:before="0" w:after="0"/>
              <w:ind w:left="0" w:right="0" w:hanging="0"/>
              <w:jc w:val="center"/>
              <w:rPr/>
            </w:pPr>
            <w:r>
              <w:rPr/>
              <w:t> </w:t>
            </w:r>
          </w:p>
        </w:tc>
        <w:tc>
          <w:tcPr>
            <w:tcW w:w="8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70" w:type="dxa"/>
            <w:tcBorders/>
            <w:shd w:fill="auto" w:val="clear"/>
            <w:vAlign w:val="bottom"/>
          </w:tcPr>
          <w:p>
            <w:pPr>
              <w:pStyle w:val="TableContents"/>
              <w:spacing w:before="0" w:after="0"/>
              <w:ind w:left="0" w:right="0" w:hanging="0"/>
              <w:jc w:val="center"/>
              <w:rPr/>
            </w:pPr>
            <w:r>
              <w:rPr/>
              <w:t> </w:t>
            </w:r>
          </w:p>
        </w:tc>
        <w:tc>
          <w:tcPr>
            <w:tcW w:w="114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partner unit</w:t>
            </w:r>
          </w:p>
        </w:tc>
        <w:tc>
          <w:tcPr>
            <w:tcW w:w="567" w:type="dxa"/>
            <w:tcBorders/>
            <w:shd w:fill="auto" w:val="clear"/>
            <w:vAlign w:val="bottom"/>
          </w:tcPr>
          <w:p>
            <w:pPr>
              <w:pStyle w:val="TableContents"/>
              <w:spacing w:before="0" w:after="0"/>
              <w:ind w:left="0" w:right="0" w:hanging="0"/>
              <w:jc w:val="center"/>
              <w:rPr/>
            </w:pPr>
            <w:r>
              <w:rPr/>
              <w:t> </w:t>
            </w:r>
          </w:p>
        </w:tc>
      </w:tr>
      <w:tr>
        <w:trPr/>
        <w:tc>
          <w:tcPr>
            <w:tcW w:w="16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October 1, 2013</w:t>
            </w:r>
          </w:p>
        </w:tc>
        <w:tc>
          <w:tcPr>
            <w:tcW w:w="170" w:type="dxa"/>
            <w:tcBorders/>
            <w:shd w:fill="CCEEFF" w:val="clear"/>
            <w:vAlign w:val="bottom"/>
          </w:tcPr>
          <w:p>
            <w:pPr>
              <w:pStyle w:val="TableContents"/>
              <w:spacing w:before="0" w:after="0"/>
              <w:ind w:left="0" w:right="0" w:hanging="0"/>
              <w:rPr/>
            </w:pPr>
            <w:r>
              <w:rPr/>
              <w:t> </w:t>
            </w:r>
          </w:p>
        </w:tc>
        <w:tc>
          <w:tcPr>
            <w:tcW w:w="2149" w:type="dxa"/>
            <w:tcBorders/>
            <w:shd w:fill="CCEEFF" w:val="clear"/>
            <w:vAlign w:val="bottom"/>
          </w:tcPr>
          <w:p>
            <w:pPr>
              <w:pStyle w:val="TableContents"/>
              <w:spacing w:before="0" w:after="0"/>
              <w:ind w:left="0" w:right="0" w:hanging="0"/>
              <w:rPr/>
            </w:pPr>
            <w:r>
              <w:rPr>
                <w:rFonts w:ascii="Times New Roman" w:hAnsi="Times New Roman"/>
                <w:sz w:val="17"/>
              </w:rPr>
              <w:t xml:space="preserve">November 14, 2013 </w:t>
            </w:r>
            <w:r>
              <w:rPr>
                <w:sz w:val="11"/>
              </w:rPr>
              <w:t>(1)</w:t>
            </w:r>
          </w:p>
        </w:tc>
        <w:tc>
          <w:tcPr>
            <w:tcW w:w="170"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170"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97"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9"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170"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0.6000</w:t>
            </w:r>
          </w:p>
        </w:tc>
        <w:tc>
          <w:tcPr>
            <w:tcW w:w="567" w:type="dxa"/>
            <w:tcBorders/>
            <w:shd w:fill="CCEEFF" w:val="clear"/>
            <w:vAlign w:val="bottom"/>
          </w:tcPr>
          <w:p>
            <w:pPr>
              <w:pStyle w:val="TableContents"/>
              <w:spacing w:before="0" w:after="0"/>
              <w:ind w:left="0" w:right="0" w:hanging="0"/>
              <w:rPr/>
            </w:pPr>
            <w:r>
              <w:rPr/>
              <w:t> </w:t>
            </w:r>
          </w:p>
        </w:tc>
      </w:tr>
      <w:tr>
        <w:trPr/>
        <w:tc>
          <w:tcPr>
            <w:tcW w:w="16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July 8, 2013</w:t>
            </w:r>
          </w:p>
        </w:tc>
        <w:tc>
          <w:tcPr>
            <w:tcW w:w="170" w:type="dxa"/>
            <w:tcBorders/>
            <w:shd w:fill="auto" w:val="clear"/>
            <w:vAlign w:val="bottom"/>
          </w:tcPr>
          <w:p>
            <w:pPr>
              <w:pStyle w:val="TableContents"/>
              <w:spacing w:before="0" w:after="0"/>
              <w:ind w:left="0" w:right="0" w:hanging="0"/>
              <w:rPr/>
            </w:pPr>
            <w:r>
              <w:rPr/>
              <w:t> </w:t>
            </w:r>
          </w:p>
        </w:tc>
        <w:tc>
          <w:tcPr>
            <w:tcW w:w="21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August 14, 2013</w:t>
            </w:r>
          </w:p>
        </w:tc>
        <w:tc>
          <w:tcPr>
            <w:tcW w:w="170"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201</w:t>
            </w:r>
          </w:p>
        </w:tc>
        <w:tc>
          <w:tcPr>
            <w:tcW w:w="170"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7"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9"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70" w:type="dxa"/>
            <w:tcBorders/>
            <w:shd w:fill="auto" w:val="clear"/>
            <w:vAlign w:val="bottom"/>
          </w:tcPr>
          <w:p>
            <w:pPr>
              <w:pStyle w:val="TableContents"/>
              <w:spacing w:before="0" w:after="0"/>
              <w:ind w:left="0" w:right="0" w:hanging="0"/>
              <w:rPr/>
            </w:pPr>
            <w:r>
              <w:rPr/>
              <w:t> </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0.5875</w:t>
            </w:r>
          </w:p>
        </w:tc>
        <w:tc>
          <w:tcPr>
            <w:tcW w:w="567" w:type="dxa"/>
            <w:tcBorders/>
            <w:shd w:fill="auto" w:val="clear"/>
            <w:vAlign w:val="bottom"/>
          </w:tcPr>
          <w:p>
            <w:pPr>
              <w:pStyle w:val="TableContents"/>
              <w:spacing w:before="0" w:after="0"/>
              <w:ind w:left="0" w:right="0" w:hanging="0"/>
              <w:rPr/>
            </w:pPr>
            <w:r>
              <w:rPr/>
              <w:t> </w:t>
            </w:r>
          </w:p>
        </w:tc>
      </w:tr>
      <w:tr>
        <w:trPr/>
        <w:tc>
          <w:tcPr>
            <w:tcW w:w="16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April 8, 2013</w:t>
            </w:r>
          </w:p>
        </w:tc>
        <w:tc>
          <w:tcPr>
            <w:tcW w:w="170" w:type="dxa"/>
            <w:tcBorders/>
            <w:shd w:fill="CCEEFF" w:val="clear"/>
            <w:vAlign w:val="bottom"/>
          </w:tcPr>
          <w:p>
            <w:pPr>
              <w:pStyle w:val="TableContents"/>
              <w:spacing w:before="0" w:after="0"/>
              <w:ind w:left="0" w:right="0" w:hanging="0"/>
              <w:rPr/>
            </w:pPr>
            <w:r>
              <w:rPr/>
              <w:t> </w:t>
            </w:r>
          </w:p>
        </w:tc>
        <w:tc>
          <w:tcPr>
            <w:tcW w:w="21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May 15, 2013</w:t>
            </w:r>
          </w:p>
        </w:tc>
        <w:tc>
          <w:tcPr>
            <w:tcW w:w="170"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70"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197"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9"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170"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0.5750</w:t>
            </w:r>
          </w:p>
        </w:tc>
        <w:tc>
          <w:tcPr>
            <w:tcW w:w="567" w:type="dxa"/>
            <w:tcBorders/>
            <w:shd w:fill="CCEEFF" w:val="clear"/>
            <w:vAlign w:val="bottom"/>
          </w:tcPr>
          <w:p>
            <w:pPr>
              <w:pStyle w:val="TableContents"/>
              <w:spacing w:before="0" w:after="0"/>
              <w:ind w:left="0" w:right="0" w:hanging="0"/>
              <w:rPr/>
            </w:pPr>
            <w:r>
              <w:rPr/>
              <w:t> </w:t>
            </w:r>
          </w:p>
        </w:tc>
      </w:tr>
      <w:tr>
        <w:trPr/>
        <w:tc>
          <w:tcPr>
            <w:tcW w:w="16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January 7, 2013</w:t>
            </w:r>
          </w:p>
        </w:tc>
        <w:tc>
          <w:tcPr>
            <w:tcW w:w="170" w:type="dxa"/>
            <w:tcBorders/>
            <w:shd w:fill="auto" w:val="clear"/>
            <w:vAlign w:val="bottom"/>
          </w:tcPr>
          <w:p>
            <w:pPr>
              <w:pStyle w:val="TableContents"/>
              <w:spacing w:before="0" w:after="0"/>
              <w:ind w:left="0" w:right="0" w:hanging="0"/>
              <w:rPr/>
            </w:pPr>
            <w:r>
              <w:rPr/>
              <w:t> </w:t>
            </w:r>
          </w:p>
        </w:tc>
        <w:tc>
          <w:tcPr>
            <w:tcW w:w="21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February 14, 2013</w:t>
            </w:r>
          </w:p>
        </w:tc>
        <w:tc>
          <w:tcPr>
            <w:tcW w:w="170"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70"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97"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9"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70" w:type="dxa"/>
            <w:tcBorders/>
            <w:shd w:fill="auto" w:val="clear"/>
            <w:vAlign w:val="bottom"/>
          </w:tcPr>
          <w:p>
            <w:pPr>
              <w:pStyle w:val="TableContents"/>
              <w:spacing w:before="0" w:after="0"/>
              <w:ind w:left="0" w:right="0" w:hanging="0"/>
              <w:rPr/>
            </w:pPr>
            <w:r>
              <w:rPr/>
              <w:t> </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0.5625</w:t>
            </w:r>
          </w:p>
        </w:tc>
        <w:tc>
          <w:tcPr>
            <w:tcW w:w="56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Payable to unitholders of record at the close of business on November 1, 2013, for the period July 1, 2013 through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PAA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May 2013, we entered into an additional equity distribution agreement with several financial institutions pursuant to which we may offer and sell, through our sales agents, common units representing limited partner interests having an aggregate offering price of up to $750 million. During the nine months ended September 30, 2013, we issued an aggregate of approximately 7.2 million common units under our continuous offering program, generating net proceeds of approximately $400 million, including our general partners proportionate capital contribution, net of approximately $4 million of commissions to our sales agents.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LTIP Vesting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settlement of vested LTIP awards (both liability-classified and equity-classified), we issued approximately 0.5 million common units during the first nine months of 2013, net of units tendered by employees for tax withholding obligations.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Noncontrolling Interests in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2013, noncontrolling interests in subsidiaries consisted of (i) an approximate 37% interest in PNG and (ii) a 25% interest in SLC Pipeline LLC.</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March 18, 2013, PNG entered into an equity distribution agreement with a financial institution pursuant to which PNG may offer and sell, through its sales agent, common units representing limited partner interests having an aggregate offering price of up to $75 million. During the first nine months of 2013, PNG issued an aggregate of approximately 1.9 million common units under this agreement, generating net proceeds of approximately $40 million.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a result of PNGs common unit issuances under its continuous offering program, we recorded an increase in noncontrolling interest of approximately $32 million and an increase to our partners capital of approximately $8 million. These increases represent the portion of the proceeds attributable to the respective ownership interests in PNG, adjusted for the impact of the dilution of our ownership interest.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34" w:name="PB_15_131119_7056"/>
      <w:bookmarkEnd w:id="3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the impact upon net income attributable to Plains giving effect to the changes in our ownership interest in PNG, which is recognized in partners capital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3399"/>
        <w:gridCol w:w="181"/>
        <w:gridCol w:w="217"/>
        <w:gridCol w:w="1164"/>
        <w:gridCol w:w="220"/>
        <w:gridCol w:w="217"/>
        <w:gridCol w:w="1165"/>
        <w:gridCol w:w="181"/>
        <w:gridCol w:w="191"/>
        <w:gridCol w:w="1246"/>
        <w:gridCol w:w="206"/>
        <w:gridCol w:w="190"/>
        <w:gridCol w:w="1099"/>
        <w:gridCol w:w="120"/>
      </w:tblGrid>
      <w:tr>
        <w:trPr/>
        <w:tc>
          <w:tcPr>
            <w:tcW w:w="339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298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Three Months Ended</w:t>
            </w:r>
          </w:p>
        </w:tc>
        <w:tc>
          <w:tcPr>
            <w:tcW w:w="181" w:type="dxa"/>
            <w:tcBorders/>
            <w:shd w:fill="auto" w:val="clear"/>
            <w:vAlign w:val="bottom"/>
          </w:tcPr>
          <w:p>
            <w:pPr>
              <w:pStyle w:val="TableContents"/>
              <w:spacing w:before="0" w:after="0"/>
              <w:ind w:left="0" w:right="0" w:hanging="0"/>
              <w:jc w:val="center"/>
              <w:rPr/>
            </w:pPr>
            <w:r>
              <w:rPr/>
              <w:t> </w:t>
            </w:r>
          </w:p>
        </w:tc>
        <w:tc>
          <w:tcPr>
            <w:tcW w:w="293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For the Nine Months Ended</w:t>
            </w:r>
          </w:p>
        </w:tc>
        <w:tc>
          <w:tcPr>
            <w:tcW w:w="120" w:type="dxa"/>
            <w:tcBorders/>
            <w:shd w:fill="auto" w:val="clear"/>
            <w:vAlign w:val="bottom"/>
          </w:tcPr>
          <w:p>
            <w:pPr>
              <w:pStyle w:val="TableContents"/>
              <w:spacing w:before="0" w:after="0"/>
              <w:ind w:left="0" w:right="0" w:hanging="0"/>
              <w:jc w:val="center"/>
              <w:rPr/>
            </w:pPr>
            <w:r>
              <w:rPr/>
              <w:t> </w:t>
            </w:r>
          </w:p>
        </w:tc>
      </w:tr>
      <w:tr>
        <w:trPr/>
        <w:tc>
          <w:tcPr>
            <w:tcW w:w="339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298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81" w:type="dxa"/>
            <w:tcBorders/>
            <w:shd w:fill="auto" w:val="clear"/>
            <w:vAlign w:val="bottom"/>
          </w:tcPr>
          <w:p>
            <w:pPr>
              <w:pStyle w:val="TableContents"/>
              <w:spacing w:before="0" w:after="0"/>
              <w:ind w:left="0" w:right="0" w:hanging="0"/>
              <w:jc w:val="center"/>
              <w:rPr/>
            </w:pPr>
            <w:r>
              <w:rPr/>
              <w:t> </w:t>
            </w:r>
          </w:p>
        </w:tc>
        <w:tc>
          <w:tcPr>
            <w:tcW w:w="293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0" w:type="dxa"/>
            <w:tcBorders/>
            <w:shd w:fill="auto" w:val="clear"/>
            <w:vAlign w:val="bottom"/>
          </w:tcPr>
          <w:p>
            <w:pPr>
              <w:pStyle w:val="TableContents"/>
              <w:spacing w:before="0" w:after="0"/>
              <w:ind w:left="0" w:right="0" w:hanging="0"/>
              <w:jc w:val="center"/>
              <w:rPr/>
            </w:pPr>
            <w:r>
              <w:rPr/>
              <w:t> </w:t>
            </w:r>
          </w:p>
        </w:tc>
      </w:tr>
      <w:tr>
        <w:trPr/>
        <w:tc>
          <w:tcPr>
            <w:tcW w:w="3399" w:type="dxa"/>
            <w:tcBorders/>
            <w:shd w:fill="auto" w:val="clear"/>
            <w:vAlign w:val="bottom"/>
          </w:tcPr>
          <w:p>
            <w:pPr>
              <w:pStyle w:val="TableContents"/>
              <w:spacing w:before="0" w:after="0"/>
              <w:ind w:left="0" w:right="0" w:hanging="0"/>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138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81" w:type="dxa"/>
            <w:tcBorders/>
            <w:shd w:fill="auto" w:val="clear"/>
            <w:vAlign w:val="bottom"/>
          </w:tcPr>
          <w:p>
            <w:pPr>
              <w:pStyle w:val="TableContents"/>
              <w:spacing w:before="0" w:after="0"/>
              <w:ind w:left="0" w:right="0" w:hanging="0"/>
              <w:jc w:val="center"/>
              <w:rPr/>
            </w:pPr>
            <w:r>
              <w:rPr/>
              <w:t> </w:t>
            </w:r>
          </w:p>
        </w:tc>
        <w:tc>
          <w:tcPr>
            <w:tcW w:w="143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8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0" w:type="dxa"/>
            <w:tcBorders/>
            <w:shd w:fill="auto" w:val="clear"/>
            <w:vAlign w:val="bottom"/>
          </w:tcPr>
          <w:p>
            <w:pPr>
              <w:pStyle w:val="TableContents"/>
              <w:spacing w:before="0" w:after="0"/>
              <w:ind w:left="0" w:right="0" w:hanging="0"/>
              <w:jc w:val="center"/>
              <w:rPr/>
            </w:pPr>
            <w:r>
              <w:rPr/>
              <w:t> </w:t>
            </w:r>
          </w:p>
        </w:tc>
      </w:tr>
      <w:tr>
        <w:trPr/>
        <w:tc>
          <w:tcPr>
            <w:tcW w:w="33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81"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20"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81" w:type="dxa"/>
            <w:tcBorders/>
            <w:shd w:fill="CCEEFF" w:val="clear"/>
            <w:vAlign w:val="bottom"/>
          </w:tcPr>
          <w:p>
            <w:pPr>
              <w:pStyle w:val="TableContents"/>
              <w:spacing w:before="0" w:after="0"/>
              <w:ind w:left="0" w:right="0" w:hanging="0"/>
              <w:rPr/>
            </w:pPr>
            <w:r>
              <w:rPr/>
              <w:t> </w:t>
            </w:r>
          </w:p>
        </w:tc>
        <w:tc>
          <w:tcPr>
            <w:tcW w:w="19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206"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20" w:type="dxa"/>
            <w:tcBorders/>
            <w:shd w:fill="CCEEFF" w:val="clear"/>
            <w:vAlign w:val="bottom"/>
          </w:tcPr>
          <w:p>
            <w:pPr>
              <w:pStyle w:val="TableContents"/>
              <w:spacing w:before="0" w:after="0"/>
              <w:ind w:left="0" w:right="0" w:hanging="0"/>
              <w:rPr/>
            </w:pPr>
            <w:r>
              <w:rPr/>
              <w:t> </w:t>
            </w:r>
          </w:p>
        </w:tc>
      </w:tr>
      <w:tr>
        <w:trPr/>
        <w:tc>
          <w:tcPr>
            <w:tcW w:w="33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Transfers to the noncontrolling interests:</w:t>
            </w:r>
          </w:p>
        </w:tc>
        <w:tc>
          <w:tcPr>
            <w:tcW w:w="181" w:type="dxa"/>
            <w:tcBorders/>
            <w:shd w:fill="auto" w:val="clear"/>
            <w:vAlign w:val="bottom"/>
          </w:tcPr>
          <w:p>
            <w:pPr>
              <w:pStyle w:val="TableContents"/>
              <w:spacing w:before="0" w:after="0"/>
              <w:ind w:left="0" w:right="0" w:hanging="0"/>
              <w:rPr/>
            </w:pPr>
            <w:r>
              <w:rPr/>
              <w:t> </w:t>
            </w:r>
          </w:p>
        </w:tc>
        <w:tc>
          <w:tcPr>
            <w:tcW w:w="1381"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1437"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289"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33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Increase in capital from sale of PNG units</w:t>
            </w:r>
          </w:p>
        </w:tc>
        <w:tc>
          <w:tcPr>
            <w:tcW w:w="181" w:type="dxa"/>
            <w:tcBorders/>
            <w:shd w:fill="CCEEFF" w:val="clear"/>
            <w:vAlign w:val="bottom"/>
          </w:tcPr>
          <w:p>
            <w:pPr>
              <w:pStyle w:val="TableContents"/>
              <w:spacing w:before="0" w:after="0"/>
              <w:ind w:left="0" w:right="0" w:hanging="0"/>
              <w:rPr/>
            </w:pPr>
            <w:r>
              <w:rPr/>
              <w:t> </w:t>
            </w:r>
          </w:p>
        </w:tc>
        <w:tc>
          <w:tcPr>
            <w:tcW w:w="13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CCEEFF"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143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6" w:type="dxa"/>
            <w:tcBorders/>
            <w:shd w:fill="CCEEFF" w:val="clear"/>
            <w:vAlign w:val="bottom"/>
          </w:tcPr>
          <w:p>
            <w:pPr>
              <w:pStyle w:val="TableContents"/>
              <w:spacing w:before="0" w:after="0"/>
              <w:ind w:left="0" w:right="0" w:hanging="0"/>
              <w:rPr/>
            </w:pPr>
            <w:r>
              <w:rPr/>
              <w:t> </w:t>
            </w:r>
          </w:p>
        </w:tc>
        <w:tc>
          <w:tcPr>
            <w:tcW w:w="128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CCEEFF" w:val="clear"/>
            <w:vAlign w:val="bottom"/>
          </w:tcPr>
          <w:p>
            <w:pPr>
              <w:pStyle w:val="TableContents"/>
              <w:spacing w:before="0" w:after="0"/>
              <w:ind w:left="0" w:right="0" w:hanging="0"/>
              <w:rPr/>
            </w:pPr>
            <w:r>
              <w:rPr/>
              <w:t> </w:t>
            </w:r>
          </w:p>
        </w:tc>
      </w:tr>
      <w:tr>
        <w:trPr/>
        <w:tc>
          <w:tcPr>
            <w:tcW w:w="33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from net income attributable to Plains and net transfers to the noncontrolling interests</w:t>
            </w:r>
          </w:p>
        </w:tc>
        <w:tc>
          <w:tcPr>
            <w:tcW w:w="181" w:type="dxa"/>
            <w:tcBorders/>
            <w:shd w:fill="auto" w:val="clear"/>
            <w:vAlign w:val="bottom"/>
          </w:tcPr>
          <w:p>
            <w:pPr>
              <w:pStyle w:val="TableContents"/>
              <w:spacing w:before="0" w:after="0"/>
              <w:ind w:left="0" w:right="0" w:hanging="0"/>
              <w:rPr/>
            </w:pPr>
            <w:r>
              <w:rPr/>
              <w:t> </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20" w:type="dxa"/>
            <w:tcBorders/>
            <w:shd w:fill="auto" w:val="clear"/>
            <w:vAlign w:val="bottom"/>
          </w:tcPr>
          <w:p>
            <w:pPr>
              <w:pStyle w:val="TableContents"/>
              <w:spacing w:before="0" w:after="0"/>
              <w:ind w:left="0" w:right="0" w:hanging="0"/>
              <w:rPr/>
            </w:pPr>
            <w:r>
              <w:rPr/>
              <w:t> </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81" w:type="dxa"/>
            <w:tcBorders/>
            <w:shd w:fill="auto" w:val="clear"/>
            <w:vAlign w:val="bottom"/>
          </w:tcPr>
          <w:p>
            <w:pPr>
              <w:pStyle w:val="TableContents"/>
              <w:spacing w:before="0" w:after="0"/>
              <w:ind w:left="0" w:right="0" w:hanging="0"/>
              <w:rPr/>
            </w:pPr>
            <w:r>
              <w:rPr/>
              <w:t> </w:t>
            </w:r>
          </w:p>
        </w:tc>
        <w:tc>
          <w:tcPr>
            <w:tcW w:w="19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1,060</w:t>
            </w:r>
          </w:p>
        </w:tc>
        <w:tc>
          <w:tcPr>
            <w:tcW w:w="206" w:type="dxa"/>
            <w:tcBorders/>
            <w:shd w:fill="auto" w:val="clear"/>
            <w:vAlign w:val="bottom"/>
          </w:tcPr>
          <w:p>
            <w:pPr>
              <w:pStyle w:val="TableContents"/>
              <w:spacing w:before="0" w:after="0"/>
              <w:ind w:left="0" w:right="0" w:hanging="0"/>
              <w:rPr/>
            </w:pPr>
            <w:r>
              <w:rPr/>
              <w:t> </w:t>
            </w:r>
          </w:p>
        </w:tc>
        <w:tc>
          <w:tcPr>
            <w:tcW w:w="19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2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Noncontrolling Interests Rollforward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reflects the changes in the noncontrolling interests in partners capital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6633"/>
        <w:gridCol w:w="205"/>
        <w:gridCol w:w="148"/>
        <w:gridCol w:w="1155"/>
        <w:gridCol w:w="223"/>
        <w:gridCol w:w="148"/>
        <w:gridCol w:w="1157"/>
        <w:gridCol w:w="127"/>
      </w:tblGrid>
      <w:tr>
        <w:trPr/>
        <w:tc>
          <w:tcPr>
            <w:tcW w:w="6633"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83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7" w:type="dxa"/>
            <w:tcBorders/>
            <w:shd w:fill="auto" w:val="clear"/>
            <w:vAlign w:val="bottom"/>
          </w:tcPr>
          <w:p>
            <w:pPr>
              <w:pStyle w:val="TableContents"/>
              <w:spacing w:before="0" w:after="0"/>
              <w:ind w:left="0" w:right="0" w:hanging="0"/>
              <w:jc w:val="center"/>
              <w:rPr/>
            </w:pPr>
            <w:r>
              <w:rPr/>
              <w:t> </w:t>
            </w:r>
          </w:p>
        </w:tc>
      </w:tr>
      <w:tr>
        <w:trPr/>
        <w:tc>
          <w:tcPr>
            <w:tcW w:w="6633"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83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7" w:type="dxa"/>
            <w:tcBorders/>
            <w:shd w:fill="auto" w:val="clear"/>
            <w:vAlign w:val="bottom"/>
          </w:tcPr>
          <w:p>
            <w:pPr>
              <w:pStyle w:val="TableContents"/>
              <w:spacing w:before="0" w:after="0"/>
              <w:ind w:left="0" w:right="0" w:hanging="0"/>
              <w:jc w:val="center"/>
              <w:rPr/>
            </w:pPr>
            <w:r>
              <w:rPr/>
              <w:t> </w:t>
            </w:r>
          </w:p>
        </w:tc>
      </w:tr>
      <w:tr>
        <w:trPr/>
        <w:tc>
          <w:tcPr>
            <w:tcW w:w="6633"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3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3" w:type="dxa"/>
            <w:tcBorders/>
            <w:shd w:fill="auto" w:val="clear"/>
            <w:vAlign w:val="bottom"/>
          </w:tcPr>
          <w:p>
            <w:pPr>
              <w:pStyle w:val="TableContents"/>
              <w:spacing w:before="0" w:after="0"/>
              <w:ind w:left="0" w:right="0" w:hanging="0"/>
              <w:jc w:val="center"/>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7" w:type="dxa"/>
            <w:tcBorders/>
            <w:shd w:fill="auto" w:val="clear"/>
            <w:vAlign w:val="bottom"/>
          </w:tcPr>
          <w:p>
            <w:pPr>
              <w:pStyle w:val="TableContents"/>
              <w:spacing w:before="0" w:after="0"/>
              <w:ind w:left="0" w:right="0" w:hanging="0"/>
              <w:jc w:val="center"/>
              <w:rPr/>
            </w:pPr>
            <w:r>
              <w:rPr/>
              <w:t> </w:t>
            </w:r>
          </w:p>
        </w:tc>
      </w:tr>
      <w:tr>
        <w:trPr/>
        <w:tc>
          <w:tcPr>
            <w:tcW w:w="66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05"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223"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27" w:type="dxa"/>
            <w:tcBorders/>
            <w:shd w:fill="CCEEFF" w:val="clear"/>
            <w:vAlign w:val="bottom"/>
          </w:tcPr>
          <w:p>
            <w:pPr>
              <w:pStyle w:val="TableContents"/>
              <w:spacing w:before="0" w:after="0"/>
              <w:ind w:left="0" w:right="0" w:hanging="0"/>
              <w:rPr/>
            </w:pPr>
            <w:r>
              <w:rPr/>
              <w:t> </w:t>
            </w:r>
          </w:p>
        </w:tc>
      </w:tr>
      <w:tr>
        <w:trPr/>
        <w:tc>
          <w:tcPr>
            <w:tcW w:w="66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05"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23"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7" w:type="dxa"/>
            <w:tcBorders/>
            <w:shd w:fill="auto" w:val="clear"/>
            <w:vAlign w:val="bottom"/>
          </w:tcPr>
          <w:p>
            <w:pPr>
              <w:pStyle w:val="TableContents"/>
              <w:spacing w:before="0" w:after="0"/>
              <w:ind w:left="0" w:right="0" w:hanging="0"/>
              <w:rPr/>
            </w:pPr>
            <w:r>
              <w:rPr/>
              <w:t> </w:t>
            </w:r>
          </w:p>
        </w:tc>
      </w:tr>
      <w:tr>
        <w:trPr/>
        <w:tc>
          <w:tcPr>
            <w:tcW w:w="66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Distributions to noncontrolling interests</w:t>
            </w:r>
          </w:p>
        </w:tc>
        <w:tc>
          <w:tcPr>
            <w:tcW w:w="205"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205"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3"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7" w:type="dxa"/>
            <w:tcBorders/>
            <w:shd w:fill="auto" w:val="clear"/>
            <w:vAlign w:val="bottom"/>
          </w:tcPr>
          <w:p>
            <w:pPr>
              <w:pStyle w:val="TableContents"/>
              <w:spacing w:before="0" w:after="0"/>
              <w:ind w:left="0" w:right="0" w:hanging="0"/>
              <w:rPr/>
            </w:pPr>
            <w:r>
              <w:rPr/>
              <w:t> </w:t>
            </w:r>
          </w:p>
        </w:tc>
      </w:tr>
      <w:tr>
        <w:trPr/>
        <w:tc>
          <w:tcPr>
            <w:tcW w:w="66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 equivalent right payments</w:t>
            </w:r>
          </w:p>
        </w:tc>
        <w:tc>
          <w:tcPr>
            <w:tcW w:w="205"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Issuance of PNG common units</w:t>
            </w:r>
          </w:p>
        </w:tc>
        <w:tc>
          <w:tcPr>
            <w:tcW w:w="205"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3"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7" w:type="dxa"/>
            <w:tcBorders/>
            <w:shd w:fill="auto" w:val="clear"/>
            <w:vAlign w:val="bottom"/>
          </w:tcPr>
          <w:p>
            <w:pPr>
              <w:pStyle w:val="TableContents"/>
              <w:spacing w:before="0" w:after="0"/>
              <w:ind w:left="0" w:right="0" w:hanging="0"/>
              <w:rPr/>
            </w:pPr>
            <w:r>
              <w:rPr/>
              <w:t> </w:t>
            </w:r>
          </w:p>
        </w:tc>
      </w:tr>
      <w:tr>
        <w:trPr/>
        <w:tc>
          <w:tcPr>
            <w:tcW w:w="66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205" w:type="dxa"/>
            <w:tcBorders/>
            <w:shd w:fill="CCEEFF" w:val="clear"/>
            <w:vAlign w:val="bottom"/>
          </w:tcPr>
          <w:p>
            <w:pPr>
              <w:pStyle w:val="TableContents"/>
              <w:spacing w:before="0" w:after="0"/>
              <w:ind w:left="0" w:right="0" w:hanging="0"/>
              <w:rPr/>
            </w:pPr>
            <w:r>
              <w:rPr/>
              <w:t> </w:t>
            </w:r>
          </w:p>
        </w:tc>
        <w:tc>
          <w:tcPr>
            <w:tcW w:w="1303"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66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adjustments</w:t>
            </w:r>
          </w:p>
        </w:tc>
        <w:tc>
          <w:tcPr>
            <w:tcW w:w="205"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3"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deferred loss on cash flow hedges</w:t>
            </w:r>
          </w:p>
        </w:tc>
        <w:tc>
          <w:tcPr>
            <w:tcW w:w="205" w:type="dxa"/>
            <w:tcBorders/>
            <w:shd w:fill="CCEEFF" w:val="clear"/>
            <w:vAlign w:val="bottom"/>
          </w:tcPr>
          <w:p>
            <w:pPr>
              <w:pStyle w:val="TableContents"/>
              <w:spacing w:before="0" w:after="0"/>
              <w:ind w:left="0" w:right="0" w:hanging="0"/>
              <w:rPr/>
            </w:pPr>
            <w:r>
              <w:rPr/>
              <w:t> </w:t>
            </w:r>
          </w:p>
        </w:tc>
        <w:tc>
          <w:tcPr>
            <w:tcW w:w="13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Ending balance</w:t>
            </w:r>
          </w:p>
        </w:tc>
        <w:tc>
          <w:tcPr>
            <w:tcW w:w="205"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534</w:t>
            </w:r>
          </w:p>
        </w:tc>
        <w:tc>
          <w:tcPr>
            <w:tcW w:w="223" w:type="dxa"/>
            <w:tcBorders/>
            <w:shd w:fill="auto" w:val="clear"/>
            <w:vAlign w:val="bottom"/>
          </w:tcPr>
          <w:p>
            <w:pPr>
              <w:pStyle w:val="TableContents"/>
              <w:spacing w:before="0" w:after="0"/>
              <w:ind w:left="0" w:right="0" w:hanging="0"/>
              <w:rPr/>
            </w:pPr>
            <w:r>
              <w:rPr/>
              <w:t> </w:t>
            </w:r>
          </w:p>
        </w:tc>
        <w:tc>
          <w:tcPr>
            <w:tcW w:w="14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12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10Equity-Indexed Compensation Plans</w:t>
      </w:r>
      <w:bookmarkStart w:id="35" w:name="Note10equityindexedCompensationPl_140603"/>
      <w:bookmarkEnd w:id="3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refer to the PAA and PNG LTIP Plans, Special PAA Awards and Class B Units of Plains AAP, L.P. collectively as our Equity-indexed compensation plans. For additional discussion of our equity-indexed compensation plans and awards, see Note 15 to our Consolidated Financial Statements included in Part IV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Class B Units of Plains AAP, L.P.</w:t>
      </w:r>
      <w:r>
        <w:rPr>
          <w:rFonts w:ascii="Times New Roman" w:hAnsi="Times New Roman"/>
        </w:rPr>
        <w:t xml:space="preserve"> </w:t>
      </w:r>
      <w:r>
        <w:rPr>
          <w:rFonts w:ascii="Times New Roman" w:hAnsi="Times New Roman"/>
          <w:sz w:val="17"/>
        </w:rPr>
        <w:t>The following table contains a summary of Class B Units of Plains AAP, L.P.:</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36"/>
        <w:gridCol w:w="151"/>
        <w:gridCol w:w="1722"/>
        <w:gridCol w:w="170"/>
        <w:gridCol w:w="1336"/>
        <w:gridCol w:w="151"/>
        <w:gridCol w:w="1653"/>
        <w:gridCol w:w="151"/>
        <w:gridCol w:w="562"/>
        <w:gridCol w:w="1663"/>
        <w:gridCol w:w="110"/>
      </w:tblGrid>
      <w:tr>
        <w:trPr/>
        <w:tc>
          <w:tcPr>
            <w:tcW w:w="2536"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1722" w:type="dxa"/>
            <w:tcBorders/>
            <w:shd w:fill="auto" w:val="clear"/>
            <w:vAlign w:val="bottom"/>
          </w:tcPr>
          <w:p>
            <w:pPr>
              <w:pStyle w:val="TableContents"/>
              <w:spacing w:before="0" w:after="0"/>
              <w:ind w:left="0" w:right="0" w:hanging="0"/>
              <w:jc w:val="center"/>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1336" w:type="dxa"/>
            <w:tcBorders/>
            <w:shd w:fill="auto" w:val="clear"/>
            <w:vAlign w:val="bottom"/>
          </w:tcPr>
          <w:p>
            <w:pPr>
              <w:pStyle w:val="TableContents"/>
              <w:spacing w:before="0" w:after="0"/>
              <w:ind w:left="0" w:right="0" w:hanging="0"/>
              <w:jc w:val="center"/>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1653" w:type="dxa"/>
            <w:tcBorders/>
            <w:shd w:fill="auto" w:val="clear"/>
            <w:vAlign w:val="bottom"/>
          </w:tcPr>
          <w:p>
            <w:pPr>
              <w:pStyle w:val="TableContents"/>
              <w:spacing w:before="0" w:after="0"/>
              <w:ind w:left="0" w:right="0" w:hanging="0"/>
              <w:jc w:val="center"/>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222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Grant Date</w:t>
            </w:r>
          </w:p>
        </w:tc>
        <w:tc>
          <w:tcPr>
            <w:tcW w:w="110" w:type="dxa"/>
            <w:tcBorders/>
            <w:shd w:fill="auto" w:val="clear"/>
            <w:vAlign w:val="bottom"/>
          </w:tcPr>
          <w:p>
            <w:pPr>
              <w:pStyle w:val="TableContents"/>
              <w:spacing w:before="0" w:after="0"/>
              <w:ind w:left="0" w:right="0" w:hanging="0"/>
              <w:jc w:val="center"/>
              <w:rPr/>
            </w:pPr>
            <w:r>
              <w:rPr/>
              <w:t> </w:t>
            </w:r>
          </w:p>
        </w:tc>
      </w:tr>
      <w:tr>
        <w:trPr/>
        <w:tc>
          <w:tcPr>
            <w:tcW w:w="2536"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1722" w:type="dxa"/>
            <w:tcBorders/>
            <w:shd w:fill="auto" w:val="clear"/>
            <w:vAlign w:val="bottom"/>
          </w:tcPr>
          <w:p>
            <w:pPr>
              <w:pStyle w:val="TableContents"/>
              <w:spacing w:before="0" w:after="0"/>
              <w:ind w:left="0" w:right="0" w:hanging="0"/>
              <w:jc w:val="center"/>
              <w:rPr/>
            </w:pPr>
            <w:r>
              <w:rPr/>
              <w:t> </w:t>
            </w:r>
          </w:p>
        </w:tc>
        <w:tc>
          <w:tcPr>
            <w:tcW w:w="170" w:type="dxa"/>
            <w:tcBorders/>
            <w:shd w:fill="auto" w:val="clear"/>
            <w:vAlign w:val="bottom"/>
          </w:tcPr>
          <w:p>
            <w:pPr>
              <w:pStyle w:val="TableContents"/>
              <w:spacing w:before="0" w:after="0"/>
              <w:ind w:left="0" w:right="0" w:hanging="0"/>
              <w:jc w:val="center"/>
              <w:rPr/>
            </w:pPr>
            <w:r>
              <w:rPr/>
              <w:t> </w:t>
            </w:r>
          </w:p>
        </w:tc>
        <w:tc>
          <w:tcPr>
            <w:tcW w:w="1336" w:type="dxa"/>
            <w:tcBorders/>
            <w:shd w:fill="auto" w:val="clear"/>
            <w:vAlign w:val="bottom"/>
          </w:tcPr>
          <w:p>
            <w:pPr>
              <w:pStyle w:val="TableContents"/>
              <w:spacing w:before="0" w:after="0"/>
              <w:ind w:left="0" w:right="0" w:hanging="0"/>
              <w:jc w:val="center"/>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1653" w:type="dxa"/>
            <w:tcBorders/>
            <w:shd w:fill="auto" w:val="clear"/>
            <w:vAlign w:val="bottom"/>
          </w:tcPr>
          <w:p>
            <w:pPr>
              <w:pStyle w:val="TableContents"/>
              <w:spacing w:before="0" w:after="0"/>
              <w:ind w:left="0" w:right="0" w:hanging="0"/>
              <w:jc w:val="center"/>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222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of Outstanding</w:t>
            </w:r>
          </w:p>
        </w:tc>
        <w:tc>
          <w:tcPr>
            <w:tcW w:w="110" w:type="dxa"/>
            <w:tcBorders/>
            <w:shd w:fill="auto" w:val="clear"/>
            <w:vAlign w:val="bottom"/>
          </w:tcPr>
          <w:p>
            <w:pPr>
              <w:pStyle w:val="TableContents"/>
              <w:spacing w:before="0" w:after="0"/>
              <w:ind w:left="0" w:right="0" w:hanging="0"/>
              <w:jc w:val="center"/>
              <w:rPr/>
            </w:pPr>
            <w:r>
              <w:rPr/>
              <w:t> </w:t>
            </w:r>
          </w:p>
        </w:tc>
      </w:tr>
      <w:tr>
        <w:trPr/>
        <w:tc>
          <w:tcPr>
            <w:tcW w:w="2536"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1722"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Reserved for Future</w:t>
            </w:r>
          </w:p>
        </w:tc>
        <w:tc>
          <w:tcPr>
            <w:tcW w:w="170" w:type="dxa"/>
            <w:tcBorders/>
            <w:shd w:fill="auto" w:val="clear"/>
            <w:vAlign w:val="bottom"/>
          </w:tcPr>
          <w:p>
            <w:pPr>
              <w:pStyle w:val="TableContents"/>
              <w:spacing w:before="0" w:after="0"/>
              <w:ind w:left="0" w:right="0" w:hanging="0"/>
              <w:jc w:val="center"/>
              <w:rPr/>
            </w:pPr>
            <w:r>
              <w:rPr/>
              <w:t> </w:t>
            </w:r>
          </w:p>
        </w:tc>
        <w:tc>
          <w:tcPr>
            <w:tcW w:w="1336" w:type="dxa"/>
            <w:tcBorders/>
            <w:shd w:fill="auto" w:val="clear"/>
            <w:vAlign w:val="bottom"/>
          </w:tcPr>
          <w:p>
            <w:pPr>
              <w:pStyle w:val="TableContents"/>
              <w:spacing w:before="0" w:after="0"/>
              <w:ind w:left="0" w:right="0" w:hanging="0"/>
              <w:jc w:val="center"/>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165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Outstanding Units</w:t>
            </w:r>
          </w:p>
        </w:tc>
        <w:tc>
          <w:tcPr>
            <w:tcW w:w="151" w:type="dxa"/>
            <w:tcBorders/>
            <w:shd w:fill="auto" w:val="clear"/>
            <w:vAlign w:val="bottom"/>
          </w:tcPr>
          <w:p>
            <w:pPr>
              <w:pStyle w:val="TableContents"/>
              <w:spacing w:before="0" w:after="0"/>
              <w:ind w:left="0" w:right="0" w:hanging="0"/>
              <w:jc w:val="center"/>
              <w:rPr/>
            </w:pPr>
            <w:r>
              <w:rPr/>
              <w:t> </w:t>
            </w:r>
          </w:p>
        </w:tc>
        <w:tc>
          <w:tcPr>
            <w:tcW w:w="2225" w:type="dxa"/>
            <w:gridSpan w:val="2"/>
            <w:tcBorders/>
            <w:shd w:fill="auto" w:val="clear"/>
            <w:vAlign w:val="bottom"/>
          </w:tcPr>
          <w:p>
            <w:pPr>
              <w:pStyle w:val="TableContents"/>
              <w:spacing w:before="0" w:after="0"/>
              <w:ind w:left="0" w:right="0" w:hanging="0"/>
              <w:jc w:val="center"/>
              <w:rPr/>
            </w:pPr>
            <w:r>
              <w:rPr>
                <w:rFonts w:ascii="Times New Roman" w:hAnsi="Times New Roman"/>
                <w:b/>
                <w:sz w:val="13"/>
              </w:rPr>
              <w:t>Class B Units </w:t>
            </w:r>
            <w:r>
              <w:rPr>
                <w:b/>
                <w:sz w:val="11"/>
              </w:rPr>
              <w:t>(2)</w:t>
            </w:r>
          </w:p>
        </w:tc>
        <w:tc>
          <w:tcPr>
            <w:tcW w:w="110" w:type="dxa"/>
            <w:tcBorders/>
            <w:shd w:fill="auto" w:val="clear"/>
            <w:vAlign w:val="bottom"/>
          </w:tcPr>
          <w:p>
            <w:pPr>
              <w:pStyle w:val="TableContents"/>
              <w:spacing w:before="0" w:after="0"/>
              <w:ind w:left="0" w:right="0" w:hanging="0"/>
              <w:jc w:val="center"/>
              <w:rPr/>
            </w:pPr>
            <w:r>
              <w:rPr/>
              <w:t> </w:t>
            </w:r>
          </w:p>
        </w:tc>
      </w:tr>
      <w:tr>
        <w:trPr/>
        <w:tc>
          <w:tcPr>
            <w:tcW w:w="2536" w:type="dxa"/>
            <w:tcBorders/>
            <w:shd w:fill="auto" w:val="clear"/>
            <w:vAlign w:val="bottom"/>
          </w:tcPr>
          <w:p>
            <w:pPr>
              <w:pStyle w:val="TableContents"/>
              <w:spacing w:before="0" w:after="0"/>
              <w:ind w:left="0" w:right="0" w:hanging="0"/>
              <w:rPr/>
            </w:pPr>
            <w:r>
              <w:rPr/>
              <w:t> </w:t>
            </w:r>
          </w:p>
        </w:tc>
        <w:tc>
          <w:tcPr>
            <w:tcW w:w="151" w:type="dxa"/>
            <w:tcBorders/>
            <w:shd w:fill="auto" w:val="clear"/>
            <w:vAlign w:val="bottom"/>
          </w:tcPr>
          <w:p>
            <w:pPr>
              <w:pStyle w:val="TableContents"/>
              <w:spacing w:before="0" w:after="0"/>
              <w:ind w:left="0" w:right="0" w:hanging="0"/>
              <w:jc w:val="center"/>
              <w:rPr/>
            </w:pPr>
            <w:r>
              <w:rPr/>
              <w:t> </w:t>
            </w:r>
          </w:p>
        </w:tc>
        <w:tc>
          <w:tcPr>
            <w:tcW w:w="1722"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Grants </w:t>
            </w:r>
            <w:r>
              <w:rPr>
                <w:b/>
                <w:sz w:val="8"/>
              </w:rPr>
              <w:t>(1)</w:t>
            </w:r>
          </w:p>
        </w:tc>
        <w:tc>
          <w:tcPr>
            <w:tcW w:w="170" w:type="dxa"/>
            <w:tcBorders/>
            <w:shd w:fill="auto" w:val="clear"/>
            <w:vAlign w:val="bottom"/>
          </w:tcPr>
          <w:p>
            <w:pPr>
              <w:pStyle w:val="TableContents"/>
              <w:spacing w:before="0" w:after="0"/>
              <w:ind w:left="0" w:right="0" w:hanging="0"/>
              <w:jc w:val="center"/>
              <w:rPr/>
            </w:pPr>
            <w:r>
              <w:rPr/>
              <w:t> </w:t>
            </w:r>
          </w:p>
        </w:tc>
        <w:tc>
          <w:tcPr>
            <w:tcW w:w="1336"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Outstanding </w:t>
            </w:r>
            <w:r>
              <w:rPr>
                <w:b/>
                <w:sz w:val="8"/>
              </w:rPr>
              <w:t>(1)</w:t>
            </w:r>
          </w:p>
        </w:tc>
        <w:tc>
          <w:tcPr>
            <w:tcW w:w="151" w:type="dxa"/>
            <w:tcBorders/>
            <w:shd w:fill="auto" w:val="clear"/>
            <w:vAlign w:val="bottom"/>
          </w:tcPr>
          <w:p>
            <w:pPr>
              <w:pStyle w:val="TableContents"/>
              <w:spacing w:before="0" w:after="0"/>
              <w:ind w:left="0" w:right="0" w:hanging="0"/>
              <w:jc w:val="center"/>
              <w:rPr/>
            </w:pPr>
            <w:r>
              <w:rPr/>
              <w:t> </w:t>
            </w:r>
          </w:p>
        </w:tc>
        <w:tc>
          <w:tcPr>
            <w:tcW w:w="1653"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Earned </w:t>
            </w:r>
            <w:r>
              <w:rPr>
                <w:b/>
                <w:sz w:val="8"/>
              </w:rPr>
              <w:t>(1)</w:t>
            </w:r>
          </w:p>
        </w:tc>
        <w:tc>
          <w:tcPr>
            <w:tcW w:w="151" w:type="dxa"/>
            <w:tcBorders/>
            <w:shd w:fill="auto" w:val="clear"/>
            <w:vAlign w:val="bottom"/>
          </w:tcPr>
          <w:p>
            <w:pPr>
              <w:pStyle w:val="TableContents"/>
              <w:spacing w:before="0" w:after="0"/>
              <w:ind w:left="0" w:right="0" w:hanging="0"/>
              <w:jc w:val="center"/>
              <w:rPr/>
            </w:pPr>
            <w:r>
              <w:rPr/>
              <w:t> </w:t>
            </w:r>
          </w:p>
        </w:tc>
        <w:tc>
          <w:tcPr>
            <w:tcW w:w="22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0" w:type="dxa"/>
            <w:tcBorders/>
            <w:shd w:fill="auto" w:val="clear"/>
            <w:vAlign w:val="bottom"/>
          </w:tcPr>
          <w:p>
            <w:pPr>
              <w:pStyle w:val="TableContents"/>
              <w:spacing w:before="0" w:after="0"/>
              <w:ind w:left="0" w:right="0" w:hanging="0"/>
              <w:jc w:val="center"/>
              <w:rPr/>
            </w:pPr>
            <w:r>
              <w:rPr/>
              <w:t> </w:t>
            </w:r>
          </w:p>
        </w:tc>
      </w:tr>
      <w:tr>
        <w:trPr/>
        <w:tc>
          <w:tcPr>
            <w:tcW w:w="25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2012</w:t>
            </w:r>
          </w:p>
        </w:tc>
        <w:tc>
          <w:tcPr>
            <w:tcW w:w="151" w:type="dxa"/>
            <w:tcBorders/>
            <w:shd w:fill="CCEEFF" w:val="clear"/>
            <w:vAlign w:val="bottom"/>
          </w:tcPr>
          <w:p>
            <w:pPr>
              <w:pStyle w:val="TableContents"/>
              <w:spacing w:before="0" w:after="0"/>
              <w:ind w:left="0" w:right="0" w:hanging="0"/>
              <w:rPr/>
            </w:pPr>
            <w:r>
              <w:rPr/>
              <w:t> </w:t>
            </w:r>
          </w:p>
        </w:tc>
        <w:tc>
          <w:tcPr>
            <w:tcW w:w="17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17,875</w:t>
            </w:r>
          </w:p>
        </w:tc>
        <w:tc>
          <w:tcPr>
            <w:tcW w:w="170" w:type="dxa"/>
            <w:tcBorders/>
            <w:shd w:fill="CCEEFF" w:val="clear"/>
            <w:vAlign w:val="bottom"/>
          </w:tcPr>
          <w:p>
            <w:pPr>
              <w:pStyle w:val="TableContents"/>
              <w:spacing w:before="0" w:after="0"/>
              <w:ind w:left="0" w:right="0" w:hanging="0"/>
              <w:rPr/>
            </w:pPr>
            <w:r>
              <w:rPr/>
              <w:t> </w:t>
            </w:r>
          </w:p>
        </w:tc>
        <w:tc>
          <w:tcPr>
            <w:tcW w:w="13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182,125</w:t>
            </w:r>
          </w:p>
        </w:tc>
        <w:tc>
          <w:tcPr>
            <w:tcW w:w="151" w:type="dxa"/>
            <w:tcBorders/>
            <w:shd w:fill="CCEEFF" w:val="clear"/>
            <w:vAlign w:val="bottom"/>
          </w:tcPr>
          <w:p>
            <w:pPr>
              <w:pStyle w:val="TableContents"/>
              <w:spacing w:before="0" w:after="0"/>
              <w:ind w:left="0" w:right="0" w:hanging="0"/>
              <w:rPr/>
            </w:pPr>
            <w:r>
              <w:rPr/>
              <w:t> </w:t>
            </w:r>
          </w:p>
        </w:tc>
        <w:tc>
          <w:tcPr>
            <w:tcW w:w="16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130,250</w:t>
            </w:r>
          </w:p>
        </w:tc>
        <w:tc>
          <w:tcPr>
            <w:tcW w:w="151" w:type="dxa"/>
            <w:tcBorders/>
            <w:shd w:fill="CCEEFF" w:val="clear"/>
            <w:vAlign w:val="bottom"/>
          </w:tcPr>
          <w:p>
            <w:pPr>
              <w:pStyle w:val="TableContents"/>
              <w:spacing w:before="0" w:after="0"/>
              <w:ind w:left="0" w:right="0" w:hanging="0"/>
              <w:rPr/>
            </w:pPr>
            <w:r>
              <w:rPr/>
              <w:t> </w:t>
            </w:r>
          </w:p>
        </w:tc>
        <w:tc>
          <w:tcPr>
            <w:tcW w:w="5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110" w:type="dxa"/>
            <w:tcBorders/>
            <w:shd w:fill="CCEEFF" w:val="clear"/>
            <w:vAlign w:val="bottom"/>
          </w:tcPr>
          <w:p>
            <w:pPr>
              <w:pStyle w:val="TableContents"/>
              <w:spacing w:before="0" w:after="0"/>
              <w:ind w:left="0" w:right="0" w:hanging="0"/>
              <w:rPr/>
            </w:pPr>
            <w:r>
              <w:rPr/>
              <w:t> </w:t>
            </w:r>
          </w:p>
        </w:tc>
      </w:tr>
      <w:tr>
        <w:trPr/>
        <w:tc>
          <w:tcPr>
            <w:tcW w:w="2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Granted</w:t>
            </w:r>
          </w:p>
        </w:tc>
        <w:tc>
          <w:tcPr>
            <w:tcW w:w="151" w:type="dxa"/>
            <w:tcBorders/>
            <w:shd w:fill="auto" w:val="clear"/>
            <w:vAlign w:val="bottom"/>
          </w:tcPr>
          <w:p>
            <w:pPr>
              <w:pStyle w:val="TableContents"/>
              <w:spacing w:before="0" w:after="0"/>
              <w:ind w:left="0" w:right="0" w:hanging="0"/>
              <w:rPr/>
            </w:pPr>
            <w:r>
              <w:rPr/>
              <w:t> </w:t>
            </w:r>
          </w:p>
        </w:tc>
        <w:tc>
          <w:tcPr>
            <w:tcW w:w="1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w:t>
            </w:r>
          </w:p>
        </w:tc>
        <w:tc>
          <w:tcPr>
            <w:tcW w:w="1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w:t>
            </w:r>
          </w:p>
        </w:tc>
        <w:tc>
          <w:tcPr>
            <w:tcW w:w="151" w:type="dxa"/>
            <w:tcBorders/>
            <w:shd w:fill="auto" w:val="clear"/>
            <w:vAlign w:val="bottom"/>
          </w:tcPr>
          <w:p>
            <w:pPr>
              <w:pStyle w:val="TableContents"/>
              <w:spacing w:before="0" w:after="0"/>
              <w:ind w:left="0" w:right="0" w:hanging="0"/>
              <w:rPr/>
            </w:pPr>
            <w:r>
              <w:rPr/>
              <w:t> </w:t>
            </w:r>
          </w:p>
        </w:tc>
        <w:tc>
          <w:tcPr>
            <w:tcW w:w="16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1" w:type="dxa"/>
            <w:tcBorders/>
            <w:shd w:fill="auto" w:val="clear"/>
            <w:vAlign w:val="bottom"/>
          </w:tcPr>
          <w:p>
            <w:pPr>
              <w:pStyle w:val="TableContents"/>
              <w:spacing w:before="0" w:after="0"/>
              <w:ind w:left="0" w:right="0" w:hanging="0"/>
              <w:rPr/>
            </w:pPr>
            <w:r>
              <w:rPr/>
              <w:t> </w:t>
            </w:r>
          </w:p>
        </w:tc>
        <w:tc>
          <w:tcPr>
            <w:tcW w:w="2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0" w:type="dxa"/>
            <w:tcBorders/>
            <w:shd w:fill="auto" w:val="clear"/>
            <w:vAlign w:val="bottom"/>
          </w:tcPr>
          <w:p>
            <w:pPr>
              <w:pStyle w:val="TableContents"/>
              <w:spacing w:before="0" w:after="0"/>
              <w:ind w:left="0" w:right="0" w:hanging="0"/>
              <w:rPr/>
            </w:pPr>
            <w:r>
              <w:rPr/>
              <w:t> </w:t>
            </w:r>
          </w:p>
        </w:tc>
      </w:tr>
      <w:tr>
        <w:trPr/>
        <w:tc>
          <w:tcPr>
            <w:tcW w:w="253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Earned</w:t>
            </w:r>
          </w:p>
        </w:tc>
        <w:tc>
          <w:tcPr>
            <w:tcW w:w="151" w:type="dxa"/>
            <w:tcBorders/>
            <w:shd w:fill="CCEEFF" w:val="clear"/>
            <w:vAlign w:val="bottom"/>
          </w:tcPr>
          <w:p>
            <w:pPr>
              <w:pStyle w:val="TableContents"/>
              <w:spacing w:before="0" w:after="0"/>
              <w:ind w:left="0" w:right="0" w:hanging="0"/>
              <w:rPr/>
            </w:pPr>
            <w:r>
              <w:rPr/>
              <w:t> </w:t>
            </w:r>
          </w:p>
        </w:tc>
        <w:tc>
          <w:tcPr>
            <w:tcW w:w="172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70" w:type="dxa"/>
            <w:tcBorders/>
            <w:shd w:fill="CCEEFF" w:val="clear"/>
            <w:vAlign w:val="bottom"/>
          </w:tcPr>
          <w:p>
            <w:pPr>
              <w:pStyle w:val="TableContents"/>
              <w:spacing w:before="0" w:after="0"/>
              <w:ind w:left="0" w:right="0" w:hanging="0"/>
              <w:rPr/>
            </w:pPr>
            <w:r>
              <w:rPr/>
              <w:t> </w:t>
            </w:r>
          </w:p>
        </w:tc>
        <w:tc>
          <w:tcPr>
            <w:tcW w:w="133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51" w:type="dxa"/>
            <w:tcBorders/>
            <w:shd w:fill="CCEEFF" w:val="clear"/>
            <w:vAlign w:val="bottom"/>
          </w:tcPr>
          <w:p>
            <w:pPr>
              <w:pStyle w:val="TableContents"/>
              <w:spacing w:before="0" w:after="0"/>
              <w:ind w:left="0" w:right="0" w:hanging="0"/>
              <w:rPr/>
            </w:pPr>
            <w:r>
              <w:rPr/>
              <w:t> </w:t>
            </w:r>
          </w:p>
        </w:tc>
        <w:tc>
          <w:tcPr>
            <w:tcW w:w="165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50,125</w:t>
            </w:r>
          </w:p>
        </w:tc>
        <w:tc>
          <w:tcPr>
            <w:tcW w:w="151" w:type="dxa"/>
            <w:tcBorders/>
            <w:shd w:fill="CCEEFF" w:val="clear"/>
            <w:vAlign w:val="bottom"/>
          </w:tcPr>
          <w:p>
            <w:pPr>
              <w:pStyle w:val="TableContents"/>
              <w:spacing w:before="0" w:after="0"/>
              <w:ind w:left="0" w:right="0" w:hanging="0"/>
              <w:rPr/>
            </w:pPr>
            <w:r>
              <w:rPr/>
              <w:t> </w:t>
            </w:r>
          </w:p>
        </w:tc>
        <w:tc>
          <w:tcPr>
            <w:tcW w:w="22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10" w:type="dxa"/>
            <w:tcBorders/>
            <w:shd w:fill="CCEEFF" w:val="clear"/>
            <w:vAlign w:val="bottom"/>
          </w:tcPr>
          <w:p>
            <w:pPr>
              <w:pStyle w:val="TableContents"/>
              <w:spacing w:before="0" w:after="0"/>
              <w:ind w:left="0" w:right="0" w:hanging="0"/>
              <w:rPr/>
            </w:pPr>
            <w:r>
              <w:rPr/>
              <w:t> </w:t>
            </w:r>
          </w:p>
        </w:tc>
      </w:tr>
      <w:tr>
        <w:trPr/>
        <w:tc>
          <w:tcPr>
            <w:tcW w:w="2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at September 30, 2013</w:t>
            </w:r>
          </w:p>
        </w:tc>
        <w:tc>
          <w:tcPr>
            <w:tcW w:w="151" w:type="dxa"/>
            <w:tcBorders/>
            <w:shd w:fill="auto" w:val="clear"/>
            <w:vAlign w:val="bottom"/>
          </w:tcPr>
          <w:p>
            <w:pPr>
              <w:pStyle w:val="TableContents"/>
              <w:spacing w:before="0" w:after="0"/>
              <w:ind w:left="0" w:right="0" w:hanging="0"/>
              <w:rPr/>
            </w:pPr>
            <w:r>
              <w:rPr/>
              <w:t> </w:t>
            </w:r>
          </w:p>
        </w:tc>
        <w:tc>
          <w:tcPr>
            <w:tcW w:w="172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13,375</w:t>
            </w:r>
          </w:p>
        </w:tc>
        <w:tc>
          <w:tcPr>
            <w:tcW w:w="170" w:type="dxa"/>
            <w:tcBorders/>
            <w:shd w:fill="auto" w:val="clear"/>
            <w:vAlign w:val="bottom"/>
          </w:tcPr>
          <w:p>
            <w:pPr>
              <w:pStyle w:val="TableContents"/>
              <w:spacing w:before="0" w:after="0"/>
              <w:ind w:left="0" w:right="0" w:hanging="0"/>
              <w:rPr/>
            </w:pPr>
            <w:r>
              <w:rPr/>
              <w:t> </w:t>
            </w:r>
          </w:p>
        </w:tc>
        <w:tc>
          <w:tcPr>
            <w:tcW w:w="13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186,625</w:t>
            </w:r>
          </w:p>
        </w:tc>
        <w:tc>
          <w:tcPr>
            <w:tcW w:w="151" w:type="dxa"/>
            <w:tcBorders/>
            <w:shd w:fill="auto" w:val="clear"/>
            <w:vAlign w:val="bottom"/>
          </w:tcPr>
          <w:p>
            <w:pPr>
              <w:pStyle w:val="TableContents"/>
              <w:spacing w:before="0" w:after="0"/>
              <w:ind w:left="0" w:right="0" w:hanging="0"/>
              <w:rPr/>
            </w:pPr>
            <w:r>
              <w:rPr/>
              <w:t> </w:t>
            </w:r>
          </w:p>
        </w:tc>
        <w:tc>
          <w:tcPr>
            <w:tcW w:w="16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180,375</w:t>
            </w:r>
          </w:p>
        </w:tc>
        <w:tc>
          <w:tcPr>
            <w:tcW w:w="151" w:type="dxa"/>
            <w:tcBorders/>
            <w:shd w:fill="auto" w:val="clear"/>
            <w:vAlign w:val="bottom"/>
          </w:tcPr>
          <w:p>
            <w:pPr>
              <w:pStyle w:val="TableContents"/>
              <w:spacing w:before="0" w:after="0"/>
              <w:ind w:left="0" w:right="0" w:hanging="0"/>
              <w:rPr/>
            </w:pPr>
            <w:r>
              <w:rPr/>
              <w:t> </w:t>
            </w:r>
          </w:p>
        </w:tc>
        <w:tc>
          <w:tcPr>
            <w:tcW w:w="5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1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 connection with the initial public offering of PAGP and the recapitalization of Plains AAP, L.P. on October 21, 2013, the number of Class B Units of Plains AAP, L.P. was adjusted; as such, as of such date, the number of Class B Units of Plains AAP, L.P. reserved for future grants, outstanding and earned following this adjustment was 3,483,102 units, 48,642,833 units and 47,013,803 units, respectively.</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Of the grant date fair value, approximately $4 million was recognized as expense during the nine months ended September 30, 2013.</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Special PAA Awards.</w:t>
      </w:r>
      <w:r>
        <w:rPr>
          <w:rFonts w:ascii="Times New Roman" w:hAnsi="Times New Roman"/>
        </w:rPr>
        <w:t xml:space="preserve"> </w:t>
      </w:r>
      <w:r>
        <w:rPr>
          <w:rFonts w:ascii="Times New Roman" w:hAnsi="Times New Roman"/>
          <w:sz w:val="17"/>
        </w:rPr>
        <w:t>In February 2013, we granted 143,000 Special PAA Awards to certain members of PNGs management.  These awards are denominated in PAA common units and will vest 50% on PAAs August 2018 distribution date and 50% on PAAs August 2019 distribution date provided that PNGs annualized distribution averages at least $1.48 and $1.43 per unit, respectively, for the twelve months prior to each vesting date. DERs associated with these awards will vest on the date that we pay an annualized distribution of $2.40 per unit, provided that PNGs quarterly distribution remains at least $1.43 (annualized) per unit. Any unvested Special PAA Awards that remain outstanding on December 31, 2020 will be forfeited.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36" w:name="PB_16_134239_7056"/>
      <w:bookmarkEnd w:id="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PAA and PNG LTIP Awards.</w:t>
      </w:r>
      <w:r>
        <w:rPr>
          <w:rFonts w:ascii="Times New Roman" w:hAnsi="Times New Roman"/>
        </w:rPr>
        <w:t xml:space="preserve"> </w:t>
      </w:r>
      <w:r>
        <w:rPr>
          <w:rFonts w:ascii="Times New Roman" w:hAnsi="Times New Roman"/>
          <w:sz w:val="17"/>
        </w:rPr>
        <w:t>Our equity compensation activity for LTIP awards denominated in PAA and PNG units is summarized in the following table (units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672"/>
        <w:gridCol w:w="175"/>
        <w:gridCol w:w="1204"/>
        <w:gridCol w:w="201"/>
        <w:gridCol w:w="309"/>
        <w:gridCol w:w="1852"/>
        <w:gridCol w:w="175"/>
        <w:gridCol w:w="1162"/>
        <w:gridCol w:w="175"/>
        <w:gridCol w:w="310"/>
        <w:gridCol w:w="1849"/>
        <w:gridCol w:w="121"/>
      </w:tblGrid>
      <w:tr>
        <w:trPr/>
        <w:tc>
          <w:tcPr>
            <w:tcW w:w="2672"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356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PAA Units </w:t>
            </w:r>
            <w:r>
              <w:rPr>
                <w:b/>
                <w:sz w:val="11"/>
              </w:rPr>
              <w:t>(1)</w:t>
            </w:r>
            <w:r>
              <w:rPr/>
              <w:t> </w:t>
            </w:r>
            <w:r>
              <w:rPr>
                <w:b/>
                <w:sz w:val="11"/>
              </w:rPr>
              <w:t>(2)</w:t>
            </w:r>
            <w:r>
              <w:rPr/>
              <w:t> </w:t>
            </w:r>
            <w:r>
              <w:rPr>
                <w:b/>
                <w:sz w:val="11"/>
              </w:rPr>
              <w:t>(3)</w:t>
            </w:r>
          </w:p>
        </w:tc>
        <w:tc>
          <w:tcPr>
            <w:tcW w:w="175" w:type="dxa"/>
            <w:tcBorders/>
            <w:shd w:fill="auto" w:val="clear"/>
            <w:vAlign w:val="bottom"/>
          </w:tcPr>
          <w:p>
            <w:pPr>
              <w:pStyle w:val="TableContents"/>
              <w:spacing w:before="0" w:after="0"/>
              <w:ind w:left="0" w:right="0" w:hanging="0"/>
              <w:jc w:val="center"/>
              <w:rPr/>
            </w:pPr>
            <w:r>
              <w:rPr/>
              <w:t> </w:t>
            </w:r>
          </w:p>
        </w:tc>
        <w:tc>
          <w:tcPr>
            <w:tcW w:w="349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PNG Units </w:t>
            </w:r>
            <w:r>
              <w:rPr>
                <w:b/>
                <w:sz w:val="11"/>
              </w:rPr>
              <w:t>(4)</w:t>
            </w:r>
          </w:p>
        </w:tc>
        <w:tc>
          <w:tcPr>
            <w:tcW w:w="121" w:type="dxa"/>
            <w:tcBorders/>
            <w:shd w:fill="auto" w:val="clear"/>
            <w:vAlign w:val="bottom"/>
          </w:tcPr>
          <w:p>
            <w:pPr>
              <w:pStyle w:val="TableContents"/>
              <w:spacing w:before="0" w:after="0"/>
              <w:ind w:left="0" w:right="0" w:hanging="0"/>
              <w:jc w:val="center"/>
              <w:rPr/>
            </w:pPr>
            <w:r>
              <w:rPr/>
              <w:t> </w:t>
            </w:r>
          </w:p>
        </w:tc>
      </w:tr>
      <w:tr>
        <w:trPr/>
        <w:tc>
          <w:tcPr>
            <w:tcW w:w="2672"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20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20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16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75" w:type="dxa"/>
            <w:tcBorders/>
            <w:shd w:fill="auto" w:val="clear"/>
            <w:vAlign w:val="bottom"/>
          </w:tcPr>
          <w:p>
            <w:pPr>
              <w:pStyle w:val="TableContents"/>
              <w:spacing w:before="0" w:after="0"/>
              <w:ind w:left="0" w:right="0" w:hanging="0"/>
              <w:jc w:val="center"/>
              <w:rPr/>
            </w:pPr>
            <w:r>
              <w:rPr/>
              <w:t> </w:t>
            </w:r>
          </w:p>
        </w:tc>
        <w:tc>
          <w:tcPr>
            <w:tcW w:w="116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Units</w:t>
            </w:r>
          </w:p>
        </w:tc>
        <w:tc>
          <w:tcPr>
            <w:tcW w:w="17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1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Weighted Average Grant</w:t>
              <w:br/>
              <w:t>Date</w:t>
              <w:br/>
              <w:t>Fair Value per Unit</w:t>
            </w:r>
          </w:p>
        </w:tc>
        <w:tc>
          <w:tcPr>
            <w:tcW w:w="121" w:type="dxa"/>
            <w:tcBorders/>
            <w:shd w:fill="auto" w:val="clear"/>
            <w:vAlign w:val="bottom"/>
          </w:tcPr>
          <w:p>
            <w:pPr>
              <w:pStyle w:val="TableContents"/>
              <w:spacing w:before="0" w:after="0"/>
              <w:ind w:left="0" w:right="0" w:hanging="0"/>
              <w:jc w:val="center"/>
              <w:rPr/>
            </w:pPr>
            <w:r>
              <w:rPr/>
              <w:t> </w:t>
            </w:r>
          </w:p>
        </w:tc>
      </w:tr>
      <w:tr>
        <w:trPr/>
        <w:tc>
          <w:tcPr>
            <w:tcW w:w="267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Outstanding at December 31, 2012</w:t>
            </w:r>
          </w:p>
        </w:tc>
        <w:tc>
          <w:tcPr>
            <w:tcW w:w="175" w:type="dxa"/>
            <w:tcBorders/>
            <w:shd w:fill="CCEEFF" w:val="clear"/>
            <w:vAlign w:val="bottom"/>
          </w:tcPr>
          <w:p>
            <w:pPr>
              <w:pStyle w:val="TableContents"/>
              <w:spacing w:before="0" w:after="0"/>
              <w:ind w:left="0" w:right="0" w:hanging="0"/>
              <w:rPr/>
            </w:pPr>
            <w:r>
              <w:rPr/>
              <w:t> </w:t>
            </w:r>
          </w:p>
        </w:tc>
        <w:tc>
          <w:tcPr>
            <w:tcW w:w="12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1"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25.55</w:t>
            </w:r>
          </w:p>
        </w:tc>
        <w:tc>
          <w:tcPr>
            <w:tcW w:w="175" w:type="dxa"/>
            <w:tcBorders/>
            <w:shd w:fill="CCEEFF" w:val="clear"/>
            <w:vAlign w:val="bottom"/>
          </w:tcPr>
          <w:p>
            <w:pPr>
              <w:pStyle w:val="TableContents"/>
              <w:spacing w:before="0" w:after="0"/>
              <w:ind w:left="0" w:right="0" w:hanging="0"/>
              <w:rPr/>
            </w:pPr>
            <w:r>
              <w:rPr/>
              <w:t> </w:t>
            </w:r>
          </w:p>
        </w:tc>
        <w:tc>
          <w:tcPr>
            <w:tcW w:w="11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w:t>
            </w:r>
          </w:p>
        </w:tc>
        <w:tc>
          <w:tcPr>
            <w:tcW w:w="175" w:type="dxa"/>
            <w:tcBorders/>
            <w:shd w:fill="CCEEFF" w:val="clear"/>
            <w:vAlign w:val="bottom"/>
          </w:tcPr>
          <w:p>
            <w:pPr>
              <w:pStyle w:val="TableContents"/>
              <w:spacing w:before="0" w:after="0"/>
              <w:ind w:left="0" w:right="0" w:hanging="0"/>
              <w:rPr/>
            </w:pPr>
            <w:r>
              <w:rPr/>
              <w:t> </w:t>
            </w:r>
          </w:p>
        </w:tc>
        <w:tc>
          <w:tcPr>
            <w:tcW w:w="3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17.49</w:t>
            </w:r>
          </w:p>
        </w:tc>
        <w:tc>
          <w:tcPr>
            <w:tcW w:w="121" w:type="dxa"/>
            <w:tcBorders/>
            <w:shd w:fill="CCEEFF" w:val="clear"/>
            <w:vAlign w:val="bottom"/>
          </w:tcPr>
          <w:p>
            <w:pPr>
              <w:pStyle w:val="TableContents"/>
              <w:spacing w:before="0" w:after="0"/>
              <w:ind w:left="0" w:right="0" w:hanging="0"/>
              <w:rPr/>
            </w:pPr>
            <w:r>
              <w:rPr/>
              <w:t> </w:t>
            </w:r>
          </w:p>
        </w:tc>
      </w:tr>
      <w:tr>
        <w:trPr/>
        <w:tc>
          <w:tcPr>
            <w:tcW w:w="26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Granted </w:t>
            </w:r>
          </w:p>
        </w:tc>
        <w:tc>
          <w:tcPr>
            <w:tcW w:w="175" w:type="dxa"/>
            <w:tcBorders/>
            <w:shd w:fill="auto" w:val="clear"/>
            <w:vAlign w:val="bottom"/>
          </w:tcPr>
          <w:p>
            <w:pPr>
              <w:pStyle w:val="TableContents"/>
              <w:spacing w:before="0" w:after="0"/>
              <w:ind w:left="0" w:right="0" w:hanging="0"/>
              <w:rPr/>
            </w:pPr>
            <w:r>
              <w:rPr/>
              <w:t> </w:t>
            </w:r>
          </w:p>
        </w:tc>
        <w:tc>
          <w:tcPr>
            <w:tcW w:w="120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1" w:type="dxa"/>
            <w:tcBorders/>
            <w:shd w:fill="auto" w:val="clear"/>
            <w:vAlign w:val="bottom"/>
          </w:tcPr>
          <w:p>
            <w:pPr>
              <w:pStyle w:val="TableContents"/>
              <w:spacing w:before="0" w:after="0"/>
              <w:ind w:left="0" w:right="0" w:hanging="0"/>
              <w:rPr/>
            </w:pPr>
            <w:r>
              <w:rPr/>
              <w:t> </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47.60</w:t>
            </w:r>
          </w:p>
        </w:tc>
        <w:tc>
          <w:tcPr>
            <w:tcW w:w="175" w:type="dxa"/>
            <w:tcBorders/>
            <w:shd w:fill="auto" w:val="clear"/>
            <w:vAlign w:val="bottom"/>
          </w:tcPr>
          <w:p>
            <w:pPr>
              <w:pStyle w:val="TableContents"/>
              <w:spacing w:before="0" w:after="0"/>
              <w:ind w:left="0" w:right="0" w:hanging="0"/>
              <w:rPr/>
            </w:pPr>
            <w:r>
              <w:rPr/>
              <w:t> </w:t>
            </w:r>
          </w:p>
        </w:tc>
        <w:tc>
          <w:tcPr>
            <w:tcW w:w="116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175" w:type="dxa"/>
            <w:tcBorders/>
            <w:shd w:fill="auto" w:val="clear"/>
            <w:vAlign w:val="bottom"/>
          </w:tcPr>
          <w:p>
            <w:pPr>
              <w:pStyle w:val="TableContents"/>
              <w:spacing w:before="0" w:after="0"/>
              <w:ind w:left="0" w:right="0" w:hanging="0"/>
              <w:rPr/>
            </w:pPr>
            <w:r>
              <w:rPr/>
              <w:t> </w:t>
            </w:r>
          </w:p>
        </w:tc>
        <w:tc>
          <w:tcPr>
            <w:tcW w:w="3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17.51</w:t>
            </w:r>
          </w:p>
        </w:tc>
        <w:tc>
          <w:tcPr>
            <w:tcW w:w="121" w:type="dxa"/>
            <w:tcBorders/>
            <w:shd w:fill="auto" w:val="clear"/>
            <w:vAlign w:val="bottom"/>
          </w:tcPr>
          <w:p>
            <w:pPr>
              <w:pStyle w:val="TableContents"/>
              <w:spacing w:before="0" w:after="0"/>
              <w:ind w:left="0" w:right="0" w:hanging="0"/>
              <w:rPr/>
            </w:pPr>
            <w:r>
              <w:rPr/>
              <w:t> </w:t>
            </w:r>
          </w:p>
        </w:tc>
      </w:tr>
      <w:tr>
        <w:trPr/>
        <w:tc>
          <w:tcPr>
            <w:tcW w:w="267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Vested</w:t>
            </w:r>
          </w:p>
        </w:tc>
        <w:tc>
          <w:tcPr>
            <w:tcW w:w="175" w:type="dxa"/>
            <w:tcBorders/>
            <w:shd w:fill="CCEEFF" w:val="clear"/>
            <w:vAlign w:val="bottom"/>
          </w:tcPr>
          <w:p>
            <w:pPr>
              <w:pStyle w:val="TableContents"/>
              <w:spacing w:before="0" w:after="0"/>
              <w:ind w:left="0" w:right="0" w:hanging="0"/>
              <w:rPr/>
            </w:pPr>
            <w:r>
              <w:rPr/>
              <w:t> </w:t>
            </w:r>
          </w:p>
        </w:tc>
        <w:tc>
          <w:tcPr>
            <w:tcW w:w="120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24.82</w:t>
            </w:r>
          </w:p>
        </w:tc>
        <w:tc>
          <w:tcPr>
            <w:tcW w:w="175" w:type="dxa"/>
            <w:tcBorders/>
            <w:shd w:fill="CCEEFF" w:val="clear"/>
            <w:vAlign w:val="bottom"/>
          </w:tcPr>
          <w:p>
            <w:pPr>
              <w:pStyle w:val="TableContents"/>
              <w:spacing w:before="0" w:after="0"/>
              <w:ind w:left="0" w:right="0" w:hanging="0"/>
              <w:rPr/>
            </w:pPr>
            <w:r>
              <w:rPr/>
              <w:t> </w:t>
            </w:r>
          </w:p>
        </w:tc>
        <w:tc>
          <w:tcPr>
            <w:tcW w:w="11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CCEEFF" w:val="clear"/>
            <w:vAlign w:val="bottom"/>
          </w:tcPr>
          <w:p>
            <w:pPr>
              <w:pStyle w:val="TableContents"/>
              <w:spacing w:before="0" w:after="0"/>
              <w:ind w:left="0" w:right="0" w:hanging="0"/>
              <w:rPr/>
            </w:pPr>
            <w:r>
              <w:rPr/>
              <w:t> </w:t>
            </w:r>
          </w:p>
        </w:tc>
        <w:tc>
          <w:tcPr>
            <w:tcW w:w="3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18.88</w:t>
            </w:r>
          </w:p>
        </w:tc>
        <w:tc>
          <w:tcPr>
            <w:tcW w:w="121" w:type="dxa"/>
            <w:tcBorders/>
            <w:shd w:fill="CCEEFF" w:val="clear"/>
            <w:vAlign w:val="bottom"/>
          </w:tcPr>
          <w:p>
            <w:pPr>
              <w:pStyle w:val="TableContents"/>
              <w:spacing w:before="0" w:after="0"/>
              <w:ind w:left="0" w:right="0" w:hanging="0"/>
              <w:rPr/>
            </w:pPr>
            <w:r>
              <w:rPr/>
              <w:t> </w:t>
            </w:r>
          </w:p>
        </w:tc>
      </w:tr>
      <w:tr>
        <w:trPr/>
        <w:tc>
          <w:tcPr>
            <w:tcW w:w="267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Cancelled or forfeited</w:t>
            </w:r>
          </w:p>
        </w:tc>
        <w:tc>
          <w:tcPr>
            <w:tcW w:w="175" w:type="dxa"/>
            <w:tcBorders/>
            <w:shd w:fill="auto" w:val="clear"/>
            <w:vAlign w:val="bottom"/>
          </w:tcPr>
          <w:p>
            <w:pPr>
              <w:pStyle w:val="TableContents"/>
              <w:spacing w:before="0" w:after="0"/>
              <w:ind w:left="0" w:right="0" w:hanging="0"/>
              <w:rPr/>
            </w:pPr>
            <w:r>
              <w:rPr/>
              <w:t> </w:t>
            </w:r>
          </w:p>
        </w:tc>
        <w:tc>
          <w:tcPr>
            <w:tcW w:w="120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36.32</w:t>
            </w:r>
          </w:p>
        </w:tc>
        <w:tc>
          <w:tcPr>
            <w:tcW w:w="175" w:type="dxa"/>
            <w:tcBorders/>
            <w:shd w:fill="auto" w:val="clear"/>
            <w:vAlign w:val="bottom"/>
          </w:tcPr>
          <w:p>
            <w:pPr>
              <w:pStyle w:val="TableContents"/>
              <w:spacing w:before="0" w:after="0"/>
              <w:ind w:left="0" w:right="0" w:hanging="0"/>
              <w:rPr/>
            </w:pPr>
            <w:r>
              <w:rPr/>
              <w:t> </w:t>
            </w:r>
          </w:p>
        </w:tc>
        <w:tc>
          <w:tcPr>
            <w:tcW w:w="116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5" w:type="dxa"/>
            <w:tcBorders/>
            <w:shd w:fill="auto" w:val="clear"/>
            <w:vAlign w:val="bottom"/>
          </w:tcPr>
          <w:p>
            <w:pPr>
              <w:pStyle w:val="TableContents"/>
              <w:spacing w:before="0" w:after="0"/>
              <w:ind w:left="0" w:right="0" w:hanging="0"/>
              <w:rPr/>
            </w:pPr>
            <w:r>
              <w:rPr/>
              <w:t> </w:t>
            </w:r>
          </w:p>
        </w:tc>
        <w:tc>
          <w:tcPr>
            <w:tcW w:w="3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13.33</w:t>
            </w:r>
          </w:p>
        </w:tc>
        <w:tc>
          <w:tcPr>
            <w:tcW w:w="121" w:type="dxa"/>
            <w:tcBorders/>
            <w:shd w:fill="auto" w:val="clear"/>
            <w:vAlign w:val="bottom"/>
          </w:tcPr>
          <w:p>
            <w:pPr>
              <w:pStyle w:val="TableContents"/>
              <w:spacing w:before="0" w:after="0"/>
              <w:ind w:left="0" w:right="0" w:hanging="0"/>
              <w:rPr/>
            </w:pPr>
            <w:r>
              <w:rPr/>
              <w:t> </w:t>
            </w:r>
          </w:p>
        </w:tc>
      </w:tr>
      <w:tr>
        <w:trPr/>
        <w:tc>
          <w:tcPr>
            <w:tcW w:w="267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Outstanding at September 30, 2013</w:t>
            </w:r>
          </w:p>
        </w:tc>
        <w:tc>
          <w:tcPr>
            <w:tcW w:w="175" w:type="dxa"/>
            <w:tcBorders/>
            <w:shd w:fill="CCEEFF" w:val="clear"/>
            <w:vAlign w:val="bottom"/>
          </w:tcPr>
          <w:p>
            <w:pPr>
              <w:pStyle w:val="TableContents"/>
              <w:spacing w:before="0" w:after="0"/>
              <w:ind w:left="0" w:right="0" w:hanging="0"/>
              <w:rPr/>
            </w:pPr>
            <w:r>
              <w:rPr/>
              <w:t> </w:t>
            </w:r>
          </w:p>
        </w:tc>
        <w:tc>
          <w:tcPr>
            <w:tcW w:w="120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01" w:type="dxa"/>
            <w:tcBorders/>
            <w:shd w:fill="CCEEFF" w:val="clear"/>
            <w:vAlign w:val="bottom"/>
          </w:tcPr>
          <w:p>
            <w:pPr>
              <w:pStyle w:val="TableContents"/>
              <w:spacing w:before="0" w:after="0"/>
              <w:ind w:left="0" w:right="0" w:hanging="0"/>
              <w:rPr/>
            </w:pPr>
            <w:r>
              <w:rPr/>
              <w:t> </w:t>
            </w:r>
          </w:p>
        </w:tc>
        <w:tc>
          <w:tcPr>
            <w:tcW w:w="3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36.74</w:t>
            </w:r>
          </w:p>
        </w:tc>
        <w:tc>
          <w:tcPr>
            <w:tcW w:w="175" w:type="dxa"/>
            <w:tcBorders/>
            <w:shd w:fill="CCEEFF" w:val="clear"/>
            <w:vAlign w:val="bottom"/>
          </w:tcPr>
          <w:p>
            <w:pPr>
              <w:pStyle w:val="TableContents"/>
              <w:spacing w:before="0" w:after="0"/>
              <w:ind w:left="0" w:right="0" w:hanging="0"/>
              <w:rPr/>
            </w:pPr>
            <w:r>
              <w:rPr/>
              <w:t> </w:t>
            </w:r>
          </w:p>
        </w:tc>
        <w:tc>
          <w:tcPr>
            <w:tcW w:w="116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5" w:type="dxa"/>
            <w:tcBorders/>
            <w:shd w:fill="CCEEFF" w:val="clear"/>
            <w:vAlign w:val="bottom"/>
          </w:tcPr>
          <w:p>
            <w:pPr>
              <w:pStyle w:val="TableContents"/>
              <w:spacing w:before="0" w:after="0"/>
              <w:ind w:left="0" w:right="0" w:hanging="0"/>
              <w:rPr/>
            </w:pPr>
            <w:r>
              <w:rPr/>
              <w:t> </w:t>
            </w:r>
          </w:p>
        </w:tc>
        <w:tc>
          <w:tcPr>
            <w:tcW w:w="3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17.55</w:t>
            </w:r>
          </w:p>
        </w:tc>
        <w:tc>
          <w:tcPr>
            <w:tcW w:w="12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Amounts do not include Class B Units of Plains AAP, L.P.</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Amounts include Special PAA Awards.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Approximately 0.5 million PAA common units were issued, net of approximately 0.3 million units withheld for taxes, for PAA units that vested during the nine months ended September 30, 2013. The remaining 1.0 million PAA units that vested were settled in cash.</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Less than 0.1 million PNG units vested and less than 0.1 million units were forfeited during the nine months ended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February 2013, we granted 2.4 million equity-classified phantom unit awards and 1.5 million liability-classified phantom unit awards under our PAA LTIPs.  Substantially all of the equity-classified awards vest as follows: (i) one-third will vest upon the later of the August 2016 distribution date and the date we pay an annualized quarterly distribution of at least $2.35 per common unit, (ii) one-third will vest upon the later of the August 2017 distribution date and the date we pay an annualized quarterly distribution of at least $2.50 per common unit, and (iii) one-third will vest upon the later of the August 2018 distribution date and the date we pay an annualized quarterly distribution of at least $2.65 per unit.  Any of these equity-classified awards and associated DERs that have not vested as of the August 2019 distribution date will be forfeited.  Substantially all of the liability-classified awards are expected to vest on dates ranging from the August 2015 distribution date to the August 2018 distribution date and vest dependent on PAA paying annualized quarterly distributions ranging from $2.30 per common unit to $2.65 per common unit. Certain of these phantom unit awards include DERs that will vest in one-third increments upon achieving distributions of $2.35, $2.50 and $2.65 per common unit, without regard to the minimum service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Other Equity-Indexed Compensation Information.  </w:t>
      </w:r>
      <w:r>
        <w:rPr>
          <w:rFonts w:ascii="Times New Roman" w:hAnsi="Times New Roman"/>
          <w:sz w:val="17"/>
        </w:rPr>
        <w:t>The table below summarizes the expense recognized and the value of vesting (settled both in units and cash) related to our equity-indexed compensation plans and includes both liability-classified and equity-classified awards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50"/>
        <w:gridCol w:w="205"/>
        <w:gridCol w:w="203"/>
        <w:gridCol w:w="1070"/>
        <w:gridCol w:w="235"/>
        <w:gridCol w:w="203"/>
        <w:gridCol w:w="1071"/>
        <w:gridCol w:w="205"/>
        <w:gridCol w:w="196"/>
        <w:gridCol w:w="1057"/>
        <w:gridCol w:w="231"/>
        <w:gridCol w:w="196"/>
        <w:gridCol w:w="1057"/>
        <w:gridCol w:w="126"/>
      </w:tblGrid>
      <w:tr>
        <w:trPr/>
        <w:tc>
          <w:tcPr>
            <w:tcW w:w="415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78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5" w:type="dxa"/>
            <w:tcBorders/>
            <w:shd w:fill="auto" w:val="clear"/>
            <w:vAlign w:val="bottom"/>
          </w:tcPr>
          <w:p>
            <w:pPr>
              <w:pStyle w:val="TableContents"/>
              <w:spacing w:before="0" w:after="0"/>
              <w:ind w:left="0" w:right="0" w:hanging="0"/>
              <w:jc w:val="center"/>
              <w:rPr/>
            </w:pPr>
            <w:r>
              <w:rPr/>
              <w:t> </w:t>
            </w:r>
          </w:p>
        </w:tc>
        <w:tc>
          <w:tcPr>
            <w:tcW w:w="27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6" w:type="dxa"/>
            <w:tcBorders/>
            <w:shd w:fill="auto" w:val="clear"/>
            <w:vAlign w:val="bottom"/>
          </w:tcPr>
          <w:p>
            <w:pPr>
              <w:pStyle w:val="TableContents"/>
              <w:spacing w:before="0" w:after="0"/>
              <w:ind w:left="0" w:right="0" w:hanging="0"/>
              <w:jc w:val="center"/>
              <w:rPr/>
            </w:pPr>
            <w:r>
              <w:rPr/>
              <w:t> </w:t>
            </w:r>
          </w:p>
        </w:tc>
      </w:tr>
      <w:tr>
        <w:trPr/>
        <w:tc>
          <w:tcPr>
            <w:tcW w:w="415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78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5" w:type="dxa"/>
            <w:tcBorders/>
            <w:shd w:fill="auto" w:val="clear"/>
            <w:vAlign w:val="bottom"/>
          </w:tcPr>
          <w:p>
            <w:pPr>
              <w:pStyle w:val="TableContents"/>
              <w:spacing w:before="0" w:after="0"/>
              <w:ind w:left="0" w:right="0" w:hanging="0"/>
              <w:jc w:val="center"/>
              <w:rPr/>
            </w:pPr>
            <w:r>
              <w:rPr/>
              <w:t> </w:t>
            </w:r>
          </w:p>
        </w:tc>
        <w:tc>
          <w:tcPr>
            <w:tcW w:w="273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6" w:type="dxa"/>
            <w:tcBorders/>
            <w:shd w:fill="auto" w:val="clear"/>
            <w:vAlign w:val="bottom"/>
          </w:tcPr>
          <w:p>
            <w:pPr>
              <w:pStyle w:val="TableContents"/>
              <w:spacing w:before="0" w:after="0"/>
              <w:ind w:left="0" w:right="0" w:hanging="0"/>
              <w:jc w:val="center"/>
              <w:rPr/>
            </w:pPr>
            <w:r>
              <w:rPr/>
              <w:t> </w:t>
            </w:r>
          </w:p>
        </w:tc>
      </w:tr>
      <w:tr>
        <w:trPr/>
        <w:tc>
          <w:tcPr>
            <w:tcW w:w="4150"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2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7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5" w:type="dxa"/>
            <w:tcBorders/>
            <w:shd w:fill="auto" w:val="clear"/>
            <w:vAlign w:val="bottom"/>
          </w:tcPr>
          <w:p>
            <w:pPr>
              <w:pStyle w:val="TableContents"/>
              <w:spacing w:before="0" w:after="0"/>
              <w:ind w:left="0" w:right="0" w:hanging="0"/>
              <w:jc w:val="center"/>
              <w:rPr/>
            </w:pPr>
            <w:r>
              <w:rPr/>
              <w:t> </w:t>
            </w:r>
          </w:p>
        </w:tc>
        <w:tc>
          <w:tcPr>
            <w:tcW w:w="125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6" w:type="dxa"/>
            <w:tcBorders/>
            <w:shd w:fill="auto" w:val="clear"/>
            <w:vAlign w:val="bottom"/>
          </w:tcPr>
          <w:p>
            <w:pPr>
              <w:pStyle w:val="TableContents"/>
              <w:spacing w:before="0" w:after="0"/>
              <w:ind w:left="0" w:right="0" w:hanging="0"/>
              <w:jc w:val="center"/>
              <w:rPr/>
            </w:pPr>
            <w:r>
              <w:rPr/>
              <w:t> </w:t>
            </w:r>
          </w:p>
        </w:tc>
      </w:tr>
      <w:tr>
        <w:trPr/>
        <w:tc>
          <w:tcPr>
            <w:tcW w:w="4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205"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5"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5"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31"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26" w:type="dxa"/>
            <w:tcBorders/>
            <w:shd w:fill="CCEEFF" w:val="clear"/>
            <w:vAlign w:val="bottom"/>
          </w:tcPr>
          <w:p>
            <w:pPr>
              <w:pStyle w:val="TableContents"/>
              <w:spacing w:before="0" w:after="0"/>
              <w:ind w:left="0" w:right="0" w:hanging="0"/>
              <w:rPr/>
            </w:pPr>
            <w:r>
              <w:rPr/>
              <w:t> </w:t>
            </w:r>
          </w:p>
        </w:tc>
      </w:tr>
      <w:tr>
        <w:trPr/>
        <w:tc>
          <w:tcPr>
            <w:tcW w:w="4150" w:type="dxa"/>
            <w:tcBorders/>
            <w:shd w:fill="auto" w:val="clear"/>
            <w:vAlign w:val="bottom"/>
          </w:tcPr>
          <w:p>
            <w:pPr>
              <w:pStyle w:val="TableContents"/>
              <w:spacing w:before="0" w:after="0"/>
              <w:ind w:left="0" w:right="0" w:hanging="0"/>
              <w:rPr/>
            </w:pPr>
            <w:r>
              <w:rPr>
                <w:rFonts w:ascii="Times New Roman" w:hAnsi="Times New Roman"/>
                <w:sz w:val="17"/>
              </w:rPr>
              <w:t xml:space="preserve">LTIP unit-settled vestings </w:t>
            </w:r>
            <w:r>
              <w:rPr>
                <w:sz w:val="11"/>
              </w:rPr>
              <w:t>(1)</w:t>
            </w:r>
          </w:p>
        </w:tc>
        <w:tc>
          <w:tcPr>
            <w:tcW w:w="205"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5"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5"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31"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26" w:type="dxa"/>
            <w:tcBorders/>
            <w:shd w:fill="auto" w:val="clear"/>
            <w:vAlign w:val="bottom"/>
          </w:tcPr>
          <w:p>
            <w:pPr>
              <w:pStyle w:val="TableContents"/>
              <w:spacing w:before="0" w:after="0"/>
              <w:ind w:left="0" w:right="0" w:hanging="0"/>
              <w:rPr/>
            </w:pPr>
            <w:r>
              <w:rPr/>
              <w:t> </w:t>
            </w:r>
          </w:p>
        </w:tc>
      </w:tr>
      <w:tr>
        <w:trPr/>
        <w:tc>
          <w:tcPr>
            <w:tcW w:w="4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LTIP cash-settled vestings</w:t>
            </w:r>
          </w:p>
        </w:tc>
        <w:tc>
          <w:tcPr>
            <w:tcW w:w="205"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5" w:type="dxa"/>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5"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31"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26" w:type="dxa"/>
            <w:tcBorders/>
            <w:shd w:fill="CCEEFF" w:val="clear"/>
            <w:vAlign w:val="bottom"/>
          </w:tcPr>
          <w:p>
            <w:pPr>
              <w:pStyle w:val="TableContents"/>
              <w:spacing w:before="0" w:after="0"/>
              <w:ind w:left="0" w:right="0" w:hanging="0"/>
              <w:rPr/>
            </w:pPr>
            <w:r>
              <w:rPr/>
              <w:t> </w:t>
            </w:r>
          </w:p>
        </w:tc>
      </w:tr>
      <w:tr>
        <w:trPr/>
        <w:tc>
          <w:tcPr>
            <w:tcW w:w="4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 cash payments</w:t>
            </w:r>
          </w:p>
        </w:tc>
        <w:tc>
          <w:tcPr>
            <w:tcW w:w="205"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35"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5"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1"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For the nine months ended September 30, 2012, less than $1 million relates to unit-settled vestings that were settled with PNG common units.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37" w:name="PB_17_134744_5335"/>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11Derivatives and Risk Management Activities</w:t>
      </w:r>
      <w:bookmarkStart w:id="38" w:name="Note11derivativesAndRiskManagemen_140608"/>
      <w:bookmarkEnd w:id="38"/>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core business activities contain certain commodity price-related risks that we manage in various ways, including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Commodity Purchases and Sales</w:t>
      </w:r>
      <w:r>
        <w:rPr>
          <w:rFonts w:ascii="Times New Roman" w:hAnsi="Times New Roman"/>
        </w:rPr>
        <w:t xml:space="preserve"> </w:t>
      </w:r>
      <w:r>
        <w:rPr>
          <w:rFonts w:ascii="Times New Roman" w:hAnsi="Times New Roman"/>
          <w:sz w:val="17"/>
        </w:rPr>
        <w:t> In the normal course of our operations, we purchase and sell commodities.  We use derivatives to manage the associated risks and to optimize profits.  As of September 30, 2013, net derivative positions related to these activities included: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316,500 barrels per day net long position (total of 9.8 million barrels) associated with our crude oil purchases, which was unwound ratably during October 2013 to match monthly average pricing.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short spread position averaging approximately 32,800 barrels per day (total of 13.0 million barrels), which hedges a portion of our anticipated crude oil lease gathering purchases through December 2014.  These derivatives are time spreads consisting of offsetting purchases and sales between two different months.  Our use of these derivatives does not expose us to outright price risk.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13,700 barrels per day (total of 1.7 million barrels) of crude oil grade spread positions through January 2014, which hedge anticipated purchases and sales of crude oil.  These derivatives are grade spreads between WTI and various other grades of crude oil including WTS, LLS and Brent. Our use of these derivatives does not expose us to outright price risk.</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An average of 2,500 barrels per day (total of 1.4 million barrels) of butane/WTI spread positions, which hedge specific butane sales contracts that are priced as a percentage of WTI through March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net long position of approximately 1.3 Bcf through April 2016 related to anticipated base gas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short position of approximately 29.4 Bcf through January 2014 related to anticipated sales of natural gas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 short position of approximately 10.7 million barrels through March 2015 related to the anticipated sales of our crude oil, NGL and refined products inventory.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Storage Capacity Utilization  </w:t>
      </w:r>
      <w:r>
        <w:rPr>
          <w:rFonts w:ascii="Times New Roman" w:hAnsi="Times New Roman"/>
          <w:sz w:val="17"/>
        </w:rPr>
        <w:t>We own a significant amount of crude oil, NGL and refined products storage capacity 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in a backwardated market structure. As of September 30, 2013, we used derivatives to manage the risk of not utilizing approximately 2.2 million barrels per month of storage capacity through December 2013. These positions involve no outright price exposure, but instead enable us to profitably use the capacity to store hedged crude oil.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39" w:name="PB_18_134809_5796"/>
      <w:bookmarkEnd w:id="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Pipeline Loss Allowance Oil</w:t>
      </w:r>
      <w:r>
        <w:rPr>
          <w:rFonts w:ascii="Times New Roman" w:hAnsi="Times New Roman"/>
        </w:rPr>
        <w:t xml:space="preserve"> </w:t>
      </w:r>
      <w:r>
        <w:rPr>
          <w:rFonts w:ascii="Times New Roman" w:hAnsi="Times New Roman"/>
          <w:sz w:val="17"/>
        </w:rPr>
        <w:t> As is common in the pipeline transportation industry, our tariffs incorporate a loss allowance factor that is intended to offset losses due to evaporation, measurement and other losses in transit.  We utilize derivative instruments to hedge a portion of the anticipated sales of the allowance oil that is to be collected under our tariffs.  As of September 30, 2013, our PLA hedges included a net short position for an average of approximately 1,700 barrels per day (total of 1.4 million barrels) through December 2015 and a long call option position of approximately 0.6 million barrels through December 2015.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Natural Gas Processing/NGL Fractionation</w:t>
      </w:r>
      <w:r>
        <w:rPr>
          <w:rFonts w:ascii="Times New Roman" w:hAnsi="Times New Roman"/>
        </w:rPr>
        <w:t xml:space="preserve"> </w:t>
      </w:r>
      <w:r>
        <w:rPr>
          <w:rFonts w:ascii="Times New Roman" w:hAnsi="Times New Roman"/>
          <w:sz w:val="17"/>
        </w:rPr>
        <w:t> As part of our supply and logistics activities, we purchase natural gas for processing and NGL mix for fractionation, and we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September 30, 2013, we had a long natural gas position of approximately 16.3 Bcf through March 2015, a short propane position of approximately 2.9 million barrels through March 2015, a short butane position of approximately 0.9 million barrels through March 2015 and a short WTI position of approximately 0.3 million barrels through March 2015. In addition, we had a long power position of 0.5 million megawatt hours which hedges a portion of our power supply requirements at our natural gas processing and fractionation plants through December 2015.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of our commodity derivatives that qualify for hedge accounting are designated as cash flow hedges.  We have determined that substantially all of our physical purchase and sale agreements qualify for the NPNS exclusion.  Physical commodity contracts that meet the definition of a derivative but are ineligible, or not designated, for the NPNS scope exception are recorded on the balance sheet at fair value, with changes in fair value recognized in earnings.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interest rate derivatives to hedge interest rate risk associated with anticipated debt issuances and outstanding debt instruments.  The derivative instruments we use to manage this risk consist primarily of interest rate swaps and treasury locks.  As of September 30, 2013, AOCI includes deferred losses of approximately $76 million that relate to open and terminated interest rate derivatives that were designated for hedge accounting.  The terminated interest rate derivatives were cash-settled in connection with the issuance or refinancing of debt agreements.  The deferred loss related to these instruments is being amortized to interest expense over the terms of the hedged debt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entered into forward starting interest rate swaps to hedge the underlying benchmark interest rate related to forecasted debt issuances through 2015.  The following table summarizes the terms of our forward starting interest rate swaps as of September 30, 2013 (notional amounts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529"/>
        <w:gridCol w:w="176"/>
        <w:gridCol w:w="1859"/>
        <w:gridCol w:w="176"/>
        <w:gridCol w:w="149"/>
        <w:gridCol w:w="786"/>
        <w:gridCol w:w="176"/>
        <w:gridCol w:w="1573"/>
        <w:gridCol w:w="176"/>
        <w:gridCol w:w="1181"/>
        <w:gridCol w:w="225"/>
        <w:gridCol w:w="1087"/>
        <w:gridCol w:w="112"/>
      </w:tblGrid>
      <w:tr>
        <w:trPr/>
        <w:tc>
          <w:tcPr>
            <w:tcW w:w="2529"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Hedged Transaction</w:t>
            </w:r>
          </w:p>
        </w:tc>
        <w:tc>
          <w:tcPr>
            <w:tcW w:w="176" w:type="dxa"/>
            <w:tcBorders/>
            <w:shd w:fill="auto" w:val="clear"/>
            <w:tcMar>
              <w:bottom w:w="0" w:type="dxa"/>
            </w:tcMar>
            <w:vAlign w:val="bottom"/>
          </w:tcPr>
          <w:p>
            <w:pPr>
              <w:pStyle w:val="TableContents"/>
              <w:spacing w:before="0" w:after="0"/>
              <w:ind w:left="0" w:right="0" w:hanging="0"/>
              <w:jc w:val="center"/>
              <w:rPr/>
            </w:pPr>
            <w:r>
              <w:rPr/>
              <w:t> </w:t>
            </w:r>
          </w:p>
        </w:tc>
        <w:tc>
          <w:tcPr>
            <w:tcW w:w="185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Types of</w:t>
              <w:br/>
              <w:t>Derivatives Employed</w:t>
            </w:r>
          </w:p>
        </w:tc>
        <w:tc>
          <w:tcPr>
            <w:tcW w:w="176" w:type="dxa"/>
            <w:tcBorders/>
            <w:shd w:fill="auto" w:val="clear"/>
            <w:tcMar>
              <w:bottom w:w="0" w:type="dxa"/>
            </w:tcMar>
            <w:vAlign w:val="bottom"/>
          </w:tcPr>
          <w:p>
            <w:pPr>
              <w:pStyle w:val="TableContents"/>
              <w:spacing w:before="0" w:after="0"/>
              <w:ind w:left="0" w:right="0" w:hanging="0"/>
              <w:jc w:val="center"/>
              <w:rPr/>
            </w:pPr>
            <w:r>
              <w:rPr/>
              <w:t> </w:t>
            </w:r>
          </w:p>
        </w:tc>
        <w:tc>
          <w:tcPr>
            <w:tcW w:w="935"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br/>
              <w:t>Amount</w:t>
            </w:r>
          </w:p>
        </w:tc>
        <w:tc>
          <w:tcPr>
            <w:tcW w:w="176" w:type="dxa"/>
            <w:tcBorders/>
            <w:shd w:fill="auto" w:val="clear"/>
            <w:tcMar>
              <w:bottom w:w="0" w:type="dxa"/>
            </w:tcMar>
            <w:vAlign w:val="bottom"/>
          </w:tcPr>
          <w:p>
            <w:pPr>
              <w:pStyle w:val="TableContents"/>
              <w:spacing w:before="0" w:after="0"/>
              <w:ind w:left="0" w:right="0" w:hanging="0"/>
              <w:jc w:val="center"/>
              <w:rPr/>
            </w:pPr>
            <w:r>
              <w:rPr/>
              <w:t> </w:t>
            </w:r>
          </w:p>
        </w:tc>
        <w:tc>
          <w:tcPr>
            <w:tcW w:w="157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Expected</w:t>
              <w:br/>
              <w:t>Termination Date</w:t>
            </w:r>
          </w:p>
        </w:tc>
        <w:tc>
          <w:tcPr>
            <w:tcW w:w="176" w:type="dxa"/>
            <w:tcBorders/>
            <w:shd w:fill="auto" w:val="clear"/>
            <w:tcMar>
              <w:bottom w:w="0" w:type="dxa"/>
            </w:tcMar>
            <w:vAlign w:val="bottom"/>
          </w:tcPr>
          <w:p>
            <w:pPr>
              <w:pStyle w:val="TableContents"/>
              <w:spacing w:before="0" w:after="0"/>
              <w:ind w:left="0" w:right="0" w:hanging="0"/>
              <w:jc w:val="center"/>
              <w:rPr/>
            </w:pPr>
            <w:r>
              <w:rPr/>
              <w:t> </w:t>
            </w:r>
          </w:p>
        </w:tc>
        <w:tc>
          <w:tcPr>
            <w:tcW w:w="1181"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Fixed</w:t>
              <w:br/>
              <w:t>Rate</w:t>
            </w:r>
          </w:p>
        </w:tc>
        <w:tc>
          <w:tcPr>
            <w:tcW w:w="225" w:type="dxa"/>
            <w:tcBorders/>
            <w:shd w:fill="auto" w:val="clear"/>
            <w:tcMar>
              <w:bottom w:w="0" w:type="dxa"/>
            </w:tcMar>
            <w:vAlign w:val="bottom"/>
          </w:tcPr>
          <w:p>
            <w:pPr>
              <w:pStyle w:val="TableContents"/>
              <w:spacing w:before="0" w:after="0"/>
              <w:ind w:left="0" w:right="0" w:hanging="0"/>
              <w:jc w:val="center"/>
              <w:rPr/>
            </w:pPr>
            <w:r>
              <w:rPr/>
              <w:t> </w:t>
            </w:r>
          </w:p>
        </w:tc>
        <w:tc>
          <w:tcPr>
            <w:tcW w:w="108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br/>
              <w:t>Treatment</w:t>
            </w:r>
          </w:p>
        </w:tc>
        <w:tc>
          <w:tcPr>
            <w:tcW w:w="112" w:type="dxa"/>
            <w:tcBorders/>
            <w:shd w:fill="auto" w:val="clear"/>
            <w:tcMar>
              <w:bottom w:w="0" w:type="dxa"/>
            </w:tcMar>
            <w:vAlign w:val="bottom"/>
          </w:tcPr>
          <w:p>
            <w:pPr>
              <w:pStyle w:val="TableContents"/>
              <w:spacing w:before="0" w:after="0"/>
              <w:ind w:left="0" w:right="0" w:hanging="0"/>
              <w:jc w:val="center"/>
              <w:rPr/>
            </w:pPr>
            <w:r>
              <w:rPr/>
              <w:t> </w:t>
            </w:r>
          </w:p>
        </w:tc>
      </w:tr>
      <w:tr>
        <w:trPr/>
        <w:tc>
          <w:tcPr>
            <w:tcW w:w="252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Anticipated debt offering</w:t>
            </w:r>
          </w:p>
        </w:tc>
        <w:tc>
          <w:tcPr>
            <w:tcW w:w="176" w:type="dxa"/>
            <w:tcBorders/>
            <w:shd w:fill="CCEEFF" w:val="clear"/>
            <w:tcMar>
              <w:bottom w:w="0" w:type="dxa"/>
            </w:tcMar>
            <w:vAlign w:val="bottom"/>
          </w:tcPr>
          <w:p>
            <w:pPr>
              <w:pStyle w:val="TableContents"/>
              <w:spacing w:before="0" w:after="0"/>
              <w:ind w:left="0" w:right="0" w:hanging="0"/>
              <w:rPr/>
            </w:pPr>
            <w:r>
              <w:rPr/>
              <w:t> </w:t>
            </w:r>
          </w:p>
        </w:tc>
        <w:tc>
          <w:tcPr>
            <w:tcW w:w="185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10 forward starting swaps (30-year)</w:t>
            </w:r>
          </w:p>
        </w:tc>
        <w:tc>
          <w:tcPr>
            <w:tcW w:w="176" w:type="dxa"/>
            <w:tcBorders/>
            <w:shd w:fill="CCEEFF" w:val="clear"/>
            <w:tcMar>
              <w:bottom w:w="0" w:type="dxa"/>
            </w:tcMar>
            <w:vAlign w:val="bottom"/>
          </w:tcPr>
          <w:p>
            <w:pPr>
              <w:pStyle w:val="TableContents"/>
              <w:spacing w:before="0" w:after="0"/>
              <w:ind w:left="0" w:right="0" w:hanging="0"/>
              <w:rPr/>
            </w:pPr>
            <w:r>
              <w:rPr/>
              <w:t> </w:t>
            </w:r>
          </w:p>
        </w:tc>
        <w:tc>
          <w:tcPr>
            <w:tcW w:w="1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tcBorders>
              <w:top w:val="single" w:sz="8" w:space="0" w:color="000000"/>
            </w:tcBorders>
            <w:shd w:fill="CCEEFF"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76" w:type="dxa"/>
            <w:tcBorders/>
            <w:shd w:fill="CCEEFF" w:val="clear"/>
            <w:tcMar>
              <w:bottom w:w="0" w:type="dxa"/>
            </w:tcMar>
            <w:vAlign w:val="bottom"/>
          </w:tcPr>
          <w:p>
            <w:pPr>
              <w:pStyle w:val="TableContents"/>
              <w:spacing w:before="0" w:after="0"/>
              <w:ind w:left="0" w:right="0" w:hanging="0"/>
              <w:rPr/>
            </w:pPr>
            <w:r>
              <w:rPr/>
              <w:t> </w:t>
            </w:r>
          </w:p>
        </w:tc>
        <w:tc>
          <w:tcPr>
            <w:tcW w:w="157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6/15/2015</w:t>
            </w:r>
          </w:p>
        </w:tc>
        <w:tc>
          <w:tcPr>
            <w:tcW w:w="176" w:type="dxa"/>
            <w:tcBorders/>
            <w:shd w:fill="CCEEFF" w:val="clear"/>
            <w:tcMar>
              <w:bottom w:w="0" w:type="dxa"/>
            </w:tcMar>
            <w:vAlign w:val="bottom"/>
          </w:tcPr>
          <w:p>
            <w:pPr>
              <w:pStyle w:val="TableContents"/>
              <w:spacing w:before="0" w:after="0"/>
              <w:ind w:left="0" w:right="0" w:hanging="0"/>
              <w:rPr/>
            </w:pPr>
            <w:r>
              <w:rPr/>
              <w:t> </w:t>
            </w:r>
          </w:p>
        </w:tc>
        <w:tc>
          <w:tcPr>
            <w:tcW w:w="1181"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2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7"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12" w:type="dxa"/>
            <w:tcBorders/>
            <w:shd w:fill="CCEEFF" w:val="clear"/>
            <w:tcMar>
              <w:bottom w:w="0" w:type="dxa"/>
            </w:tcMar>
            <w:vAlign w:val="bottom"/>
          </w:tcPr>
          <w:p>
            <w:pPr>
              <w:pStyle w:val="TableContents"/>
              <w:spacing w:before="0" w:after="0"/>
              <w:ind w:left="0" w:right="0" w:hanging="0"/>
              <w:rPr/>
            </w:pPr>
            <w:r>
              <w:rPr/>
              <w:t> </w:t>
            </w:r>
          </w:p>
        </w:tc>
      </w:tr>
      <w:tr>
        <w:trPr/>
        <w:tc>
          <w:tcPr>
            <w:tcW w:w="2529" w:type="dxa"/>
            <w:tcBorders/>
            <w:shd w:fill="auto" w:val="clear"/>
            <w:tcMar>
              <w:bottom w:w="0" w:type="dxa"/>
            </w:tcMar>
            <w:vAlign w:val="center"/>
          </w:tcPr>
          <w:p>
            <w:pPr>
              <w:pStyle w:val="TableContents"/>
              <w:spacing w:before="0" w:after="283"/>
              <w:rPr>
                <w:sz w:val="4"/>
                <w:szCs w:val="4"/>
              </w:rPr>
            </w:pPr>
            <w:r>
              <w:rPr>
                <w:sz w:val="4"/>
                <w:szCs w:val="4"/>
              </w:rPr>
            </w:r>
          </w:p>
        </w:tc>
        <w:tc>
          <w:tcPr>
            <w:tcW w:w="176" w:type="dxa"/>
            <w:tcBorders/>
            <w:shd w:fill="auto" w:val="clear"/>
            <w:tcMar>
              <w:bottom w:w="0" w:type="dxa"/>
            </w:tcMar>
            <w:vAlign w:val="center"/>
          </w:tcPr>
          <w:p>
            <w:pPr>
              <w:pStyle w:val="TableContents"/>
              <w:spacing w:before="0" w:after="283"/>
              <w:rPr>
                <w:sz w:val="4"/>
                <w:szCs w:val="4"/>
              </w:rPr>
            </w:pPr>
            <w:r>
              <w:rPr>
                <w:sz w:val="4"/>
                <w:szCs w:val="4"/>
              </w:rPr>
            </w:r>
          </w:p>
        </w:tc>
        <w:tc>
          <w:tcPr>
            <w:tcW w:w="1859" w:type="dxa"/>
            <w:tcBorders/>
            <w:shd w:fill="auto" w:val="clear"/>
            <w:tcMar>
              <w:bottom w:w="0" w:type="dxa"/>
            </w:tcMar>
            <w:vAlign w:val="center"/>
          </w:tcPr>
          <w:p>
            <w:pPr>
              <w:pStyle w:val="TableContents"/>
              <w:spacing w:before="0" w:after="283"/>
              <w:rPr>
                <w:sz w:val="4"/>
                <w:szCs w:val="4"/>
              </w:rPr>
            </w:pPr>
            <w:r>
              <w:rPr>
                <w:sz w:val="4"/>
                <w:szCs w:val="4"/>
              </w:rPr>
            </w:r>
          </w:p>
        </w:tc>
        <w:tc>
          <w:tcPr>
            <w:tcW w:w="176" w:type="dxa"/>
            <w:tcBorders/>
            <w:shd w:fill="auto" w:val="clear"/>
            <w:tcMar>
              <w:bottom w:w="0" w:type="dxa"/>
            </w:tcMar>
            <w:vAlign w:val="center"/>
          </w:tcPr>
          <w:p>
            <w:pPr>
              <w:pStyle w:val="TableContents"/>
              <w:spacing w:before="0" w:after="283"/>
              <w:rPr>
                <w:sz w:val="4"/>
                <w:szCs w:val="4"/>
              </w:rPr>
            </w:pPr>
            <w:r>
              <w:rPr>
                <w:sz w:val="4"/>
                <w:szCs w:val="4"/>
              </w:rPr>
            </w:r>
          </w:p>
        </w:tc>
        <w:tc>
          <w:tcPr>
            <w:tcW w:w="149" w:type="dxa"/>
            <w:tcBorders/>
            <w:shd w:fill="auto" w:val="clear"/>
            <w:tcMar>
              <w:bottom w:w="0" w:type="dxa"/>
            </w:tcMar>
            <w:vAlign w:val="center"/>
          </w:tcPr>
          <w:p>
            <w:pPr>
              <w:pStyle w:val="TableContents"/>
              <w:spacing w:before="0" w:after="283"/>
              <w:rPr>
                <w:sz w:val="4"/>
                <w:szCs w:val="4"/>
              </w:rPr>
            </w:pPr>
            <w:r>
              <w:rPr>
                <w:sz w:val="4"/>
                <w:szCs w:val="4"/>
              </w:rPr>
            </w:r>
          </w:p>
        </w:tc>
        <w:tc>
          <w:tcPr>
            <w:tcW w:w="786" w:type="dxa"/>
            <w:tcBorders/>
            <w:shd w:fill="auto" w:val="clear"/>
            <w:tcMar>
              <w:bottom w:w="0" w:type="dxa"/>
            </w:tcMar>
            <w:vAlign w:val="center"/>
          </w:tcPr>
          <w:p>
            <w:pPr>
              <w:pStyle w:val="TableContents"/>
              <w:spacing w:before="0" w:after="283"/>
              <w:rPr>
                <w:sz w:val="4"/>
                <w:szCs w:val="4"/>
              </w:rPr>
            </w:pPr>
            <w:r>
              <w:rPr>
                <w:sz w:val="4"/>
                <w:szCs w:val="4"/>
              </w:rPr>
            </w:r>
          </w:p>
        </w:tc>
        <w:tc>
          <w:tcPr>
            <w:tcW w:w="176" w:type="dxa"/>
            <w:tcBorders/>
            <w:shd w:fill="auto" w:val="clear"/>
            <w:tcMar>
              <w:bottom w:w="0" w:type="dxa"/>
            </w:tcMar>
            <w:vAlign w:val="center"/>
          </w:tcPr>
          <w:p>
            <w:pPr>
              <w:pStyle w:val="TableContents"/>
              <w:spacing w:before="0" w:after="283"/>
              <w:rPr>
                <w:sz w:val="4"/>
                <w:szCs w:val="4"/>
              </w:rPr>
            </w:pPr>
            <w:r>
              <w:rPr>
                <w:sz w:val="4"/>
                <w:szCs w:val="4"/>
              </w:rPr>
            </w:r>
          </w:p>
        </w:tc>
        <w:tc>
          <w:tcPr>
            <w:tcW w:w="1573" w:type="dxa"/>
            <w:tcBorders/>
            <w:shd w:fill="auto" w:val="clear"/>
            <w:tcMar>
              <w:bottom w:w="0" w:type="dxa"/>
            </w:tcMar>
            <w:vAlign w:val="center"/>
          </w:tcPr>
          <w:p>
            <w:pPr>
              <w:pStyle w:val="TableContents"/>
              <w:spacing w:before="0" w:after="283"/>
              <w:rPr>
                <w:sz w:val="4"/>
                <w:szCs w:val="4"/>
              </w:rPr>
            </w:pPr>
            <w:r>
              <w:rPr>
                <w:sz w:val="4"/>
                <w:szCs w:val="4"/>
              </w:rPr>
            </w:r>
          </w:p>
        </w:tc>
        <w:tc>
          <w:tcPr>
            <w:tcW w:w="176" w:type="dxa"/>
            <w:tcBorders/>
            <w:shd w:fill="auto" w:val="clear"/>
            <w:tcMar>
              <w:bottom w:w="0" w:type="dxa"/>
            </w:tcMar>
            <w:vAlign w:val="center"/>
          </w:tcPr>
          <w:p>
            <w:pPr>
              <w:pStyle w:val="TableContents"/>
              <w:spacing w:before="0" w:after="283"/>
              <w:rPr>
                <w:sz w:val="4"/>
                <w:szCs w:val="4"/>
              </w:rPr>
            </w:pPr>
            <w:r>
              <w:rPr>
                <w:sz w:val="4"/>
                <w:szCs w:val="4"/>
              </w:rPr>
            </w:r>
          </w:p>
        </w:tc>
        <w:tc>
          <w:tcPr>
            <w:tcW w:w="1181" w:type="dxa"/>
            <w:tcBorders/>
            <w:shd w:fill="auto" w:val="clear"/>
            <w:tcMar>
              <w:bottom w:w="0" w:type="dxa"/>
            </w:tcMar>
            <w:vAlign w:val="center"/>
          </w:tcPr>
          <w:p>
            <w:pPr>
              <w:pStyle w:val="TableContents"/>
              <w:spacing w:before="0" w:after="283"/>
              <w:rPr>
                <w:sz w:val="4"/>
                <w:szCs w:val="4"/>
              </w:rPr>
            </w:pPr>
            <w:r>
              <w:rPr>
                <w:sz w:val="4"/>
                <w:szCs w:val="4"/>
              </w:rPr>
            </w:r>
          </w:p>
        </w:tc>
        <w:tc>
          <w:tcPr>
            <w:tcW w:w="225" w:type="dxa"/>
            <w:tcBorders/>
            <w:shd w:fill="auto" w:val="clear"/>
            <w:tcMar>
              <w:bottom w:w="0" w:type="dxa"/>
            </w:tcMar>
            <w:vAlign w:val="center"/>
          </w:tcPr>
          <w:p>
            <w:pPr>
              <w:pStyle w:val="TableContents"/>
              <w:spacing w:before="0" w:after="283"/>
              <w:rPr>
                <w:sz w:val="4"/>
                <w:szCs w:val="4"/>
              </w:rPr>
            </w:pPr>
            <w:r>
              <w:rPr>
                <w:sz w:val="4"/>
                <w:szCs w:val="4"/>
              </w:rPr>
            </w:r>
          </w:p>
        </w:tc>
        <w:tc>
          <w:tcPr>
            <w:tcW w:w="1087" w:type="dxa"/>
            <w:tcBorders/>
            <w:shd w:fill="auto" w:val="clear"/>
            <w:tcMar>
              <w:bottom w:w="0" w:type="dxa"/>
            </w:tcMar>
            <w:vAlign w:val="center"/>
          </w:tcPr>
          <w:p>
            <w:pPr>
              <w:pStyle w:val="TableContents"/>
              <w:spacing w:before="0" w:after="283"/>
              <w:rPr>
                <w:sz w:val="4"/>
                <w:szCs w:val="4"/>
              </w:rPr>
            </w:pPr>
            <w:r>
              <w:rPr>
                <w:sz w:val="4"/>
                <w:szCs w:val="4"/>
              </w:rPr>
            </w:r>
          </w:p>
        </w:tc>
        <w:tc>
          <w:tcPr>
            <w:tcW w:w="112"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Concurrent with our August 2013 senior notes issuance, we terminated five thirty-year forward starting swaps. We received cash proceeds of approximately $11 million, of which a gain of approximately $8 million was deferred in AOCI and a gain of approximately $3 million was recognized in interest expense attributable to the ineffective portion, in connection with the termination of these swaps.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June 2011 and August 2011, PNG entered into three interest rate swaps to fix the interest rate on a portion of PNGs outstanding debt. The following table summarizes the terms of these swaps (notional amount in millions):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2193"/>
        <w:gridCol w:w="171"/>
        <w:gridCol w:w="1830"/>
        <w:gridCol w:w="171"/>
        <w:gridCol w:w="149"/>
        <w:gridCol w:w="769"/>
        <w:gridCol w:w="171"/>
        <w:gridCol w:w="1579"/>
        <w:gridCol w:w="171"/>
        <w:gridCol w:w="1603"/>
        <w:gridCol w:w="221"/>
        <w:gridCol w:w="1068"/>
        <w:gridCol w:w="109"/>
      </w:tblGrid>
      <w:tr>
        <w:trPr/>
        <w:tc>
          <w:tcPr>
            <w:tcW w:w="2193"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Hedged Transaction</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83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and Types of</w:t>
              <w:br/>
              <w:t>Derivatives Employed</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918"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Notional</w:t>
              <w:br/>
              <w:t>Amount</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57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Termination Dates</w:t>
            </w:r>
          </w:p>
        </w:tc>
        <w:tc>
          <w:tcPr>
            <w:tcW w:w="171" w:type="dxa"/>
            <w:tcBorders/>
            <w:shd w:fill="auto" w:val="clear"/>
            <w:tcMar>
              <w:bottom w:w="0" w:type="dxa"/>
            </w:tcMar>
            <w:vAlign w:val="bottom"/>
          </w:tcPr>
          <w:p>
            <w:pPr>
              <w:pStyle w:val="TableContents"/>
              <w:spacing w:before="0" w:after="0"/>
              <w:ind w:left="0" w:right="0" w:hanging="0"/>
              <w:jc w:val="center"/>
              <w:rPr/>
            </w:pPr>
            <w:r>
              <w:rPr/>
              <w:t> </w:t>
            </w:r>
          </w:p>
        </w:tc>
        <w:tc>
          <w:tcPr>
            <w:tcW w:w="1603"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Fixed Rate</w:t>
            </w:r>
          </w:p>
        </w:tc>
        <w:tc>
          <w:tcPr>
            <w:tcW w:w="221" w:type="dxa"/>
            <w:tcBorders/>
            <w:shd w:fill="auto" w:val="clear"/>
            <w:tcMar>
              <w:bottom w:w="0" w:type="dxa"/>
            </w:tcMar>
            <w:vAlign w:val="bottom"/>
          </w:tcPr>
          <w:p>
            <w:pPr>
              <w:pStyle w:val="TableContents"/>
              <w:spacing w:before="0" w:after="0"/>
              <w:ind w:left="0" w:right="0" w:hanging="0"/>
              <w:jc w:val="center"/>
              <w:rPr/>
            </w:pPr>
            <w:r>
              <w:rPr/>
              <w:t> </w:t>
            </w:r>
          </w:p>
        </w:tc>
        <w:tc>
          <w:tcPr>
            <w:tcW w:w="106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Accounting</w:t>
              <w:br/>
              <w:t>Treatment</w:t>
            </w:r>
          </w:p>
        </w:tc>
        <w:tc>
          <w:tcPr>
            <w:tcW w:w="109" w:type="dxa"/>
            <w:tcBorders/>
            <w:shd w:fill="auto" w:val="clear"/>
            <w:tcMar>
              <w:bottom w:w="0" w:type="dxa"/>
            </w:tcMar>
            <w:vAlign w:val="bottom"/>
          </w:tcPr>
          <w:p>
            <w:pPr>
              <w:pStyle w:val="TableContents"/>
              <w:spacing w:before="0" w:after="0"/>
              <w:ind w:left="0" w:right="0" w:hanging="0"/>
              <w:jc w:val="center"/>
              <w:rPr/>
            </w:pPr>
            <w:r>
              <w:rPr/>
              <w:t> </w:t>
            </w:r>
          </w:p>
        </w:tc>
      </w:tr>
      <w:tr>
        <w:trPr/>
        <w:tc>
          <w:tcPr>
            <w:tcW w:w="2193"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Floating interest rate payments associated with PNG outstanding debt</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830"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3 floating-to-fixed swaps</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9" w:type="dxa"/>
            <w:tcBorders>
              <w:top w:val="single" w:sz="8" w:space="0" w:color="000000"/>
            </w:tcBorders>
            <w:shd w:fill="CCEEFF"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579"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6/6/2014</w:t>
              <w:br/>
              <w:t>8/3/2014</w:t>
            </w:r>
          </w:p>
        </w:tc>
        <w:tc>
          <w:tcPr>
            <w:tcW w:w="171" w:type="dxa"/>
            <w:tcBorders/>
            <w:shd w:fill="CCEEFF" w:val="clear"/>
            <w:tcMar>
              <w:bottom w:w="0" w:type="dxa"/>
            </w:tcMar>
            <w:vAlign w:val="bottom"/>
          </w:tcPr>
          <w:p>
            <w:pPr>
              <w:pStyle w:val="TableContents"/>
              <w:spacing w:before="0" w:after="0"/>
              <w:ind w:left="0" w:right="0" w:hanging="0"/>
              <w:rPr/>
            </w:pPr>
            <w:r>
              <w:rPr/>
              <w:t> </w:t>
            </w:r>
          </w:p>
        </w:tc>
        <w:tc>
          <w:tcPr>
            <w:tcW w:w="1603" w:type="dxa"/>
            <w:tcBorders/>
            <w:shd w:fill="CCEEFF"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0.95</w:t>
            </w:r>
          </w:p>
        </w:tc>
        <w:tc>
          <w:tcPr>
            <w:tcW w:w="221"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Cash flow hedge</w:t>
            </w:r>
          </w:p>
        </w:tc>
        <w:tc>
          <w:tcPr>
            <w:tcW w:w="109" w:type="dxa"/>
            <w:tcBorders/>
            <w:shd w:fill="CCEEFF" w:val="clear"/>
            <w:tcMar>
              <w:bottom w:w="0" w:type="dxa"/>
            </w:tcMar>
            <w:vAlign w:val="bottom"/>
          </w:tcPr>
          <w:p>
            <w:pPr>
              <w:pStyle w:val="TableContents"/>
              <w:spacing w:before="0" w:after="0"/>
              <w:ind w:left="0" w:right="0" w:hanging="0"/>
              <w:rPr/>
            </w:pPr>
            <w:r>
              <w:rPr/>
              <w:t> </w:t>
            </w:r>
          </w:p>
        </w:tc>
      </w:tr>
      <w:tr>
        <w:trPr/>
        <w:tc>
          <w:tcPr>
            <w:tcW w:w="2193"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830"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49" w:type="dxa"/>
            <w:tcBorders/>
            <w:shd w:fill="auto" w:val="clear"/>
            <w:tcMar>
              <w:bottom w:w="0" w:type="dxa"/>
            </w:tcMar>
            <w:vAlign w:val="center"/>
          </w:tcPr>
          <w:p>
            <w:pPr>
              <w:pStyle w:val="TableContents"/>
              <w:spacing w:before="0" w:after="283"/>
              <w:rPr>
                <w:sz w:val="4"/>
                <w:szCs w:val="4"/>
              </w:rPr>
            </w:pPr>
            <w:r>
              <w:rPr>
                <w:sz w:val="4"/>
                <w:szCs w:val="4"/>
              </w:rPr>
            </w:r>
          </w:p>
        </w:tc>
        <w:tc>
          <w:tcPr>
            <w:tcW w:w="769"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579" w:type="dxa"/>
            <w:tcBorders/>
            <w:shd w:fill="auto" w:val="clear"/>
            <w:tcMar>
              <w:bottom w:w="0" w:type="dxa"/>
            </w:tcMar>
            <w:vAlign w:val="center"/>
          </w:tcPr>
          <w:p>
            <w:pPr>
              <w:pStyle w:val="TableContents"/>
              <w:spacing w:before="0" w:after="283"/>
              <w:rPr>
                <w:sz w:val="4"/>
                <w:szCs w:val="4"/>
              </w:rPr>
            </w:pPr>
            <w:r>
              <w:rPr>
                <w:sz w:val="4"/>
                <w:szCs w:val="4"/>
              </w:rPr>
            </w:r>
          </w:p>
        </w:tc>
        <w:tc>
          <w:tcPr>
            <w:tcW w:w="171" w:type="dxa"/>
            <w:tcBorders/>
            <w:shd w:fill="auto" w:val="clear"/>
            <w:tcMar>
              <w:bottom w:w="0" w:type="dxa"/>
            </w:tcMar>
            <w:vAlign w:val="center"/>
          </w:tcPr>
          <w:p>
            <w:pPr>
              <w:pStyle w:val="TableContents"/>
              <w:spacing w:before="0" w:after="283"/>
              <w:rPr>
                <w:sz w:val="4"/>
                <w:szCs w:val="4"/>
              </w:rPr>
            </w:pPr>
            <w:r>
              <w:rPr>
                <w:sz w:val="4"/>
                <w:szCs w:val="4"/>
              </w:rPr>
            </w:r>
          </w:p>
        </w:tc>
        <w:tc>
          <w:tcPr>
            <w:tcW w:w="1603" w:type="dxa"/>
            <w:tcBorders/>
            <w:shd w:fill="auto" w:val="clear"/>
            <w:tcMar>
              <w:bottom w:w="0" w:type="dxa"/>
            </w:tcMar>
            <w:vAlign w:val="center"/>
          </w:tcPr>
          <w:p>
            <w:pPr>
              <w:pStyle w:val="TableContents"/>
              <w:spacing w:before="0" w:after="283"/>
              <w:rPr>
                <w:sz w:val="4"/>
                <w:szCs w:val="4"/>
              </w:rPr>
            </w:pPr>
            <w:r>
              <w:rPr>
                <w:sz w:val="4"/>
                <w:szCs w:val="4"/>
              </w:rPr>
            </w:r>
          </w:p>
        </w:tc>
        <w:tc>
          <w:tcPr>
            <w:tcW w:w="221" w:type="dxa"/>
            <w:tcBorders/>
            <w:shd w:fill="auto" w:val="clear"/>
            <w:tcMar>
              <w:bottom w:w="0" w:type="dxa"/>
            </w:tcMar>
            <w:vAlign w:val="center"/>
          </w:tcPr>
          <w:p>
            <w:pPr>
              <w:pStyle w:val="TableContents"/>
              <w:spacing w:before="0" w:after="283"/>
              <w:rPr>
                <w:sz w:val="4"/>
                <w:szCs w:val="4"/>
              </w:rPr>
            </w:pPr>
            <w:r>
              <w:rPr>
                <w:sz w:val="4"/>
                <w:szCs w:val="4"/>
              </w:rPr>
            </w:r>
          </w:p>
        </w:tc>
        <w:tc>
          <w:tcPr>
            <w:tcW w:w="1068" w:type="dxa"/>
            <w:tcBorders/>
            <w:shd w:fill="auto" w:val="clear"/>
            <w:tcMar>
              <w:bottom w:w="0" w:type="dxa"/>
            </w:tcMar>
            <w:vAlign w:val="center"/>
          </w:tcPr>
          <w:p>
            <w:pPr>
              <w:pStyle w:val="TableContents"/>
              <w:spacing w:before="0" w:after="283"/>
              <w:rPr>
                <w:sz w:val="4"/>
                <w:szCs w:val="4"/>
              </w:rPr>
            </w:pPr>
            <w:r>
              <w:rPr>
                <w:sz w:val="4"/>
                <w:szCs w:val="4"/>
              </w:rPr>
            </w:r>
          </w:p>
        </w:tc>
        <w:tc>
          <w:tcPr>
            <w:tcW w:w="109"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40" w:name="PB_19_135204_2897"/>
      <w:bookmarkEnd w:id="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Currency Exchange Rate Risk Hedging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Because a significant portion of our Canadian business is conducted in CAD and, at times, a portion of our debt is denominated in CAD, we use foreign currency derivatives to minimize the risks of unfavorable changes in exchange rates.  These instruments include foreign currency exchange contracts and forwards.  As of September 30, 2013, AOCI includes net deferred gains of approximately $1 million that relate to foreign currency derivatives that were designated for hedge accounting.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2013, our outstanding foreign currency derivatives include derivatives we use to (i) hedge CAD-denominated interest payments on CAD-denominated intercompany notes, (ii) hedge currency exchange risk associated with USD-denominated commodity purchases and sales in Canada and (iii) hedge currency exchange risk created by the use of USD-denominated commodity derivatives to hedge commodity price risk associated with CAD-denominated commodity purchases and sales.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open forward exchange contracts as of September 30, 2013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67"/>
        <w:gridCol w:w="211"/>
        <w:gridCol w:w="1268"/>
        <w:gridCol w:w="211"/>
        <w:gridCol w:w="110"/>
        <w:gridCol w:w="1055"/>
        <w:gridCol w:w="211"/>
        <w:gridCol w:w="110"/>
        <w:gridCol w:w="1055"/>
        <w:gridCol w:w="211"/>
        <w:gridCol w:w="2084"/>
        <w:gridCol w:w="112"/>
      </w:tblGrid>
      <w:tr>
        <w:trPr/>
        <w:tc>
          <w:tcPr>
            <w:tcW w:w="356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68"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USD</w:t>
            </w:r>
          </w:p>
        </w:tc>
        <w:tc>
          <w:tcPr>
            <w:tcW w:w="211" w:type="dxa"/>
            <w:tcBorders/>
            <w:shd w:fill="auto" w:val="clear"/>
            <w:vAlign w:val="bottom"/>
          </w:tcPr>
          <w:p>
            <w:pPr>
              <w:pStyle w:val="TableContents"/>
              <w:spacing w:before="0" w:after="0"/>
              <w:ind w:left="0" w:right="0" w:hanging="0"/>
              <w:jc w:val="center"/>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CAD</w:t>
            </w:r>
          </w:p>
        </w:tc>
        <w:tc>
          <w:tcPr>
            <w:tcW w:w="211" w:type="dxa"/>
            <w:tcBorders/>
            <w:shd w:fill="auto" w:val="clear"/>
            <w:vAlign w:val="bottom"/>
          </w:tcPr>
          <w:p>
            <w:pPr>
              <w:pStyle w:val="TableContents"/>
              <w:spacing w:before="0" w:after="0"/>
              <w:ind w:left="0" w:right="0" w:hanging="0"/>
              <w:jc w:val="center"/>
              <w:rPr/>
            </w:pPr>
            <w:r>
              <w:rPr/>
              <w:t> </w:t>
            </w:r>
          </w:p>
        </w:tc>
        <w:tc>
          <w:tcPr>
            <w:tcW w:w="208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 Exchange Rate USD</w:t>
              <w:br/>
              <w:t>to CAD</w:t>
            </w:r>
          </w:p>
        </w:tc>
        <w:tc>
          <w:tcPr>
            <w:tcW w:w="112" w:type="dxa"/>
            <w:tcBorders/>
            <w:shd w:fill="auto" w:val="clear"/>
            <w:vAlign w:val="bottom"/>
          </w:tcPr>
          <w:p>
            <w:pPr>
              <w:pStyle w:val="TableContents"/>
              <w:spacing w:before="0" w:after="0"/>
              <w:ind w:left="0" w:right="0" w:hanging="0"/>
              <w:jc w:val="center"/>
              <w:rPr/>
            </w:pPr>
            <w:r>
              <w:rPr/>
              <w:t> </w:t>
            </w:r>
          </w:p>
        </w:tc>
      </w:tr>
      <w:tr>
        <w:trPr/>
        <w:tc>
          <w:tcPr>
            <w:tcW w:w="356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Forward exchange contracts that exchange CAD for USD:</w:t>
            </w:r>
          </w:p>
        </w:tc>
        <w:tc>
          <w:tcPr>
            <w:tcW w:w="211"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2084" w:type="dxa"/>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2013</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1" w:type="dxa"/>
            <w:tcBorders/>
            <w:shd w:fill="auto" w:val="clear"/>
            <w:vAlign w:val="bottom"/>
          </w:tcPr>
          <w:p>
            <w:pPr>
              <w:pStyle w:val="TableContents"/>
              <w:spacing w:before="0" w:after="0"/>
              <w:ind w:left="0" w:right="0" w:hanging="0"/>
              <w:rPr/>
            </w:pPr>
            <w:r>
              <w:rPr/>
              <w:t> </w:t>
            </w:r>
          </w:p>
        </w:tc>
        <w:tc>
          <w:tcPr>
            <w:tcW w:w="20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2"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2014</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11" w:type="dxa"/>
            <w:tcBorders/>
            <w:shd w:fill="CCEEFF" w:val="clear"/>
            <w:vAlign w:val="bottom"/>
          </w:tcPr>
          <w:p>
            <w:pPr>
              <w:pStyle w:val="TableContents"/>
              <w:spacing w:before="0" w:after="0"/>
              <w:ind w:left="0" w:right="0" w:hanging="0"/>
              <w:rPr/>
            </w:pPr>
            <w:r>
              <w:rPr/>
              <w:t> </w:t>
            </w:r>
          </w:p>
        </w:tc>
        <w:tc>
          <w:tcPr>
            <w:tcW w:w="20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2" w:type="dxa"/>
            <w:tcBorders/>
            <w:shd w:fill="CCEEFF" w:val="clear"/>
            <w:vAlign w:val="bottom"/>
          </w:tcPr>
          <w:p>
            <w:pPr>
              <w:pStyle w:val="TableContents"/>
              <w:spacing w:before="0" w:after="0"/>
              <w:ind w:left="0" w:right="0" w:hanging="0"/>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2015</w:t>
            </w:r>
          </w:p>
        </w:tc>
        <w:tc>
          <w:tcPr>
            <w:tcW w:w="211"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pPr>
            <w:r>
              <w:rPr/>
              <w:t> </w:t>
            </w:r>
          </w:p>
        </w:tc>
        <w:tc>
          <w:tcPr>
            <w:tcW w:w="20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$1.04</w:t>
            </w:r>
          </w:p>
        </w:tc>
        <w:tc>
          <w:tcPr>
            <w:tcW w:w="112"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pPr>
            <w:r>
              <w:rPr/>
              <w:t> </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396</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w:t>
            </w:r>
          </w:p>
        </w:tc>
        <w:tc>
          <w:tcPr>
            <w:tcW w:w="211" w:type="dxa"/>
            <w:tcBorders/>
            <w:shd w:fill="CCEEFF" w:val="clear"/>
            <w:vAlign w:val="bottom"/>
          </w:tcPr>
          <w:p>
            <w:pPr>
              <w:pStyle w:val="TableContents"/>
              <w:spacing w:before="0" w:after="0"/>
              <w:ind w:left="0" w:right="0" w:hanging="0"/>
              <w:rPr/>
            </w:pPr>
            <w:r>
              <w:rPr/>
              <w:t> </w:t>
            </w:r>
          </w:p>
        </w:tc>
        <w:tc>
          <w:tcPr>
            <w:tcW w:w="20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2" w:type="dxa"/>
            <w:tcBorders/>
            <w:shd w:fill="CCEEFF" w:val="clear"/>
            <w:vAlign w:val="bottom"/>
          </w:tcPr>
          <w:p>
            <w:pPr>
              <w:pStyle w:val="TableContents"/>
              <w:spacing w:before="0" w:after="0"/>
              <w:ind w:left="0" w:right="0" w:hanging="0"/>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rPr/>
            </w:pPr>
            <w:r>
              <w:rPr/>
              <w:t> </w:t>
            </w:r>
          </w:p>
        </w:tc>
        <w:tc>
          <w:tcPr>
            <w:tcW w:w="116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6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2084"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Forward exchange contracts that exchange USD for CAD:</w:t>
            </w:r>
          </w:p>
        </w:tc>
        <w:tc>
          <w:tcPr>
            <w:tcW w:w="211"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pPr>
            <w:r>
              <w:rPr/>
              <w:t> </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2084" w:type="dxa"/>
            <w:tcBorders/>
            <w:shd w:fill="CCEEFF" w:val="clear"/>
            <w:vAlign w:val="bottom"/>
          </w:tcPr>
          <w:p>
            <w:pPr>
              <w:pStyle w:val="TableContents"/>
              <w:spacing w:before="0" w:after="0"/>
              <w:ind w:left="0" w:right="0" w:hanging="0"/>
              <w:jc w:val="center"/>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2013</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211" w:type="dxa"/>
            <w:tcBorders/>
            <w:shd w:fill="auto" w:val="clear"/>
            <w:vAlign w:val="bottom"/>
          </w:tcPr>
          <w:p>
            <w:pPr>
              <w:pStyle w:val="TableContents"/>
              <w:spacing w:before="0" w:after="0"/>
              <w:ind w:left="0" w:right="0" w:hanging="0"/>
              <w:rPr/>
            </w:pPr>
            <w:r>
              <w:rPr/>
              <w:t> </w:t>
            </w:r>
          </w:p>
        </w:tc>
        <w:tc>
          <w:tcPr>
            <w:tcW w:w="20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2"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2014</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11" w:type="dxa"/>
            <w:tcBorders/>
            <w:shd w:fill="CCEEFF" w:val="clear"/>
            <w:vAlign w:val="bottom"/>
          </w:tcPr>
          <w:p>
            <w:pPr>
              <w:pStyle w:val="TableContents"/>
              <w:spacing w:before="0" w:after="0"/>
              <w:ind w:left="0" w:right="0" w:hanging="0"/>
              <w:rPr/>
            </w:pPr>
            <w:r>
              <w:rPr/>
              <w:t> </w:t>
            </w:r>
          </w:p>
        </w:tc>
        <w:tc>
          <w:tcPr>
            <w:tcW w:w="20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$1.04</w:t>
            </w:r>
          </w:p>
        </w:tc>
        <w:tc>
          <w:tcPr>
            <w:tcW w:w="112" w:type="dxa"/>
            <w:tcBorders/>
            <w:shd w:fill="CCEEFF" w:val="clear"/>
            <w:vAlign w:val="bottom"/>
          </w:tcPr>
          <w:p>
            <w:pPr>
              <w:pStyle w:val="TableContents"/>
              <w:spacing w:before="0" w:after="0"/>
              <w:ind w:left="0" w:right="0" w:hanging="0"/>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2015</w:t>
            </w:r>
          </w:p>
        </w:tc>
        <w:tc>
          <w:tcPr>
            <w:tcW w:w="211"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pPr>
            <w:r>
              <w:rPr/>
              <w:t> </w:t>
            </w:r>
          </w:p>
        </w:tc>
        <w:tc>
          <w:tcPr>
            <w:tcW w:w="2084"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$1.06</w:t>
            </w:r>
          </w:p>
        </w:tc>
        <w:tc>
          <w:tcPr>
            <w:tcW w:w="112"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pPr>
            <w:r>
              <w:rPr/>
              <w:t> </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211" w:type="dxa"/>
            <w:tcBorders/>
            <w:shd w:fill="CCEEFF" w:val="clear"/>
            <w:vAlign w:val="bottom"/>
          </w:tcPr>
          <w:p>
            <w:pPr>
              <w:pStyle w:val="TableContents"/>
              <w:spacing w:before="0" w:after="0"/>
              <w:ind w:left="0" w:right="0" w:hanging="0"/>
              <w:rPr/>
            </w:pPr>
            <w:r>
              <w:rPr/>
              <w:t> </w:t>
            </w:r>
          </w:p>
        </w:tc>
        <w:tc>
          <w:tcPr>
            <w:tcW w:w="2084"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$1.00 - $1.03</w:t>
            </w:r>
          </w:p>
        </w:tc>
        <w:tc>
          <w:tcPr>
            <w:tcW w:w="112" w:type="dxa"/>
            <w:tcBorders/>
            <w:shd w:fill="CCEEFF" w:val="clear"/>
            <w:vAlign w:val="bottom"/>
          </w:tcPr>
          <w:p>
            <w:pPr>
              <w:pStyle w:val="TableContents"/>
              <w:spacing w:before="0" w:after="0"/>
              <w:ind w:left="0" w:right="0" w:hanging="0"/>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pPr>
            <w:r>
              <w:rPr/>
              <w:t> </w:t>
            </w:r>
          </w:p>
        </w:tc>
        <w:tc>
          <w:tcPr>
            <w:tcW w:w="211" w:type="dxa"/>
            <w:tcBorders/>
            <w:shd w:fill="auto" w:val="clear"/>
            <w:vAlign w:val="bottom"/>
          </w:tcPr>
          <w:p>
            <w:pPr>
              <w:pStyle w:val="TableContents"/>
              <w:spacing w:before="0" w:after="0"/>
              <w:ind w:left="0" w:right="0" w:hanging="0"/>
              <w:rPr/>
            </w:pPr>
            <w:r>
              <w:rPr/>
              <w:t> </w:t>
            </w:r>
          </w:p>
        </w:tc>
        <w:tc>
          <w:tcPr>
            <w:tcW w:w="116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165"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2084"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position by currency:</w:t>
            </w:r>
          </w:p>
        </w:tc>
        <w:tc>
          <w:tcPr>
            <w:tcW w:w="211"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pPr>
            <w:r>
              <w:rPr/>
              <w:t> </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2084" w:type="dxa"/>
            <w:tcBorders/>
            <w:shd w:fill="CCEEFF" w:val="clear"/>
            <w:vAlign w:val="bottom"/>
          </w:tcPr>
          <w:p>
            <w:pPr>
              <w:pStyle w:val="TableContents"/>
              <w:spacing w:before="0" w:after="0"/>
              <w:ind w:left="0" w:right="0" w:hanging="0"/>
              <w:jc w:val="center"/>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2013</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auto" w:val="clear"/>
            <w:vAlign w:val="bottom"/>
          </w:tcPr>
          <w:p>
            <w:pPr>
              <w:pStyle w:val="TableContents"/>
              <w:spacing w:before="0" w:after="0"/>
              <w:ind w:left="0" w:right="0" w:hanging="0"/>
              <w:rPr/>
            </w:pPr>
            <w:r>
              <w:rPr/>
              <w:t> </w:t>
            </w:r>
          </w:p>
        </w:tc>
        <w:tc>
          <w:tcPr>
            <w:tcW w:w="2084"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2014</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2084" w:type="dxa"/>
            <w:tcBorders/>
            <w:shd w:fill="CCEEFF" w:val="clear"/>
            <w:vAlign w:val="bottom"/>
          </w:tcPr>
          <w:p>
            <w:pPr>
              <w:pStyle w:val="TableContents"/>
              <w:spacing w:before="0" w:after="0"/>
              <w:ind w:left="0" w:right="0" w:hanging="0"/>
              <w:jc w:val="center"/>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356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6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2015</w:t>
            </w:r>
          </w:p>
        </w:tc>
        <w:tc>
          <w:tcPr>
            <w:tcW w:w="211"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2084"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356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68" w:type="dxa"/>
            <w:tcBorders/>
            <w:shd w:fill="CCEEFF" w:val="clear"/>
            <w:vAlign w:val="bottom"/>
          </w:tcPr>
          <w:p>
            <w:pPr>
              <w:pStyle w:val="TableContents"/>
              <w:spacing w:before="0" w:after="0"/>
              <w:ind w:left="0" w:right="0" w:hanging="0"/>
              <w:jc w:val="center"/>
              <w:rPr/>
            </w:pPr>
            <w:r>
              <w:rPr/>
              <w:t> </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CCEEFF" w:val="clear"/>
            <w:vAlign w:val="bottom"/>
          </w:tcPr>
          <w:p>
            <w:pPr>
              <w:pStyle w:val="TableContents"/>
              <w:spacing w:before="0" w:after="0"/>
              <w:ind w:left="0" w:right="0" w:hanging="0"/>
              <w:rPr/>
            </w:pPr>
            <w:r>
              <w:rPr/>
              <w:t> </w:t>
            </w:r>
          </w:p>
        </w:tc>
        <w:tc>
          <w:tcPr>
            <w:tcW w:w="2084" w:type="dxa"/>
            <w:tcBorders/>
            <w:shd w:fill="CCEEFF" w:val="clear"/>
            <w:vAlign w:val="bottom"/>
          </w:tcPr>
          <w:p>
            <w:pPr>
              <w:pStyle w:val="TableContents"/>
              <w:spacing w:before="0" w:after="0"/>
              <w:ind w:left="0" w:right="0" w:hanging="0"/>
              <w:jc w:val="center"/>
              <w:rPr/>
            </w:pPr>
            <w:r>
              <w:rPr/>
              <w:t> </w:t>
            </w:r>
          </w:p>
        </w:tc>
        <w:tc>
          <w:tcPr>
            <w:tcW w:w="11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Summary of Financial Impact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reflected as cash flows from operating activities in our condensed consolidated statements of cash flows.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41" w:name="PB_20_140258_7748"/>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 summary of the impact of our derivative activities recognized in earnings for the three and nine months ended September 30, 2013 and 2012 is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34"/>
        <w:gridCol w:w="139"/>
        <w:gridCol w:w="217"/>
        <w:gridCol w:w="725"/>
        <w:gridCol w:w="214"/>
        <w:gridCol w:w="273"/>
        <w:gridCol w:w="597"/>
        <w:gridCol w:w="167"/>
        <w:gridCol w:w="221"/>
        <w:gridCol w:w="687"/>
        <w:gridCol w:w="193"/>
        <w:gridCol w:w="187"/>
        <w:gridCol w:w="531"/>
        <w:gridCol w:w="111"/>
        <w:gridCol w:w="95"/>
        <w:gridCol w:w="217"/>
        <w:gridCol w:w="725"/>
        <w:gridCol w:w="214"/>
        <w:gridCol w:w="273"/>
        <w:gridCol w:w="597"/>
        <w:gridCol w:w="163"/>
        <w:gridCol w:w="186"/>
        <w:gridCol w:w="722"/>
        <w:gridCol w:w="187"/>
        <w:gridCol w:w="178"/>
        <w:gridCol w:w="521"/>
        <w:gridCol w:w="131"/>
      </w:tblGrid>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jc w:val="center"/>
              <w:rPr/>
            </w:pPr>
            <w:r>
              <w:rPr/>
              <w:t> </w:t>
            </w:r>
          </w:p>
        </w:tc>
        <w:tc>
          <w:tcPr>
            <w:tcW w:w="401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2013</w:t>
            </w:r>
          </w:p>
        </w:tc>
        <w:tc>
          <w:tcPr>
            <w:tcW w:w="206" w:type="dxa"/>
            <w:gridSpan w:val="2"/>
            <w:tcBorders/>
            <w:shd w:fill="auto" w:val="clear"/>
            <w:vAlign w:val="bottom"/>
          </w:tcPr>
          <w:p>
            <w:pPr>
              <w:pStyle w:val="TableContents"/>
              <w:spacing w:before="0" w:after="0"/>
              <w:ind w:left="0" w:right="0" w:hanging="0"/>
              <w:jc w:val="center"/>
              <w:rPr/>
            </w:pPr>
            <w:r>
              <w:rPr/>
              <w:t> </w:t>
            </w:r>
          </w:p>
        </w:tc>
        <w:tc>
          <w:tcPr>
            <w:tcW w:w="3983"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 September 30, 2012</w:t>
            </w:r>
          </w:p>
        </w:tc>
        <w:tc>
          <w:tcPr>
            <w:tcW w:w="131" w:type="dxa"/>
            <w:tcBorders/>
            <w:shd w:fill="auto" w:val="clear"/>
            <w:vAlign w:val="bottom"/>
          </w:tcPr>
          <w:p>
            <w:pPr>
              <w:pStyle w:val="TableContents"/>
              <w:spacing w:before="0" w:after="0"/>
              <w:ind w:left="0" w:right="0" w:hanging="0"/>
              <w:jc w:val="center"/>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jc w:val="center"/>
              <w:rPr/>
            </w:pPr>
            <w:r>
              <w:rPr/>
              <w:t> </w:t>
            </w:r>
          </w:p>
        </w:tc>
        <w:tc>
          <w:tcPr>
            <w:tcW w:w="202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6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8" w:type="dxa"/>
            <w:gridSpan w:val="2"/>
            <w:tcBorders/>
            <w:shd w:fill="auto" w:val="clear"/>
            <w:vAlign w:val="bottom"/>
          </w:tcPr>
          <w:p>
            <w:pPr>
              <w:pStyle w:val="TableContents"/>
              <w:spacing w:before="0" w:after="0"/>
              <w:ind w:left="0" w:right="0" w:hanging="0"/>
              <w:jc w:val="center"/>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718" w:type="dxa"/>
            <w:gridSpan w:val="2"/>
            <w:tcBorders/>
            <w:shd w:fill="auto" w:val="clear"/>
            <w:vAlign w:val="bottom"/>
          </w:tcPr>
          <w:p>
            <w:pPr>
              <w:pStyle w:val="TableContents"/>
              <w:spacing w:before="0" w:after="0"/>
              <w:ind w:left="0" w:right="0" w:hanging="0"/>
              <w:jc w:val="center"/>
              <w:rPr/>
            </w:pPr>
            <w:r>
              <w:rPr/>
              <w:t> </w:t>
            </w:r>
          </w:p>
        </w:tc>
        <w:tc>
          <w:tcPr>
            <w:tcW w:w="206" w:type="dxa"/>
            <w:gridSpan w:val="2"/>
            <w:tcBorders/>
            <w:shd w:fill="auto" w:val="clear"/>
            <w:vAlign w:val="bottom"/>
          </w:tcPr>
          <w:p>
            <w:pPr>
              <w:pStyle w:val="TableContents"/>
              <w:spacing w:before="0" w:after="0"/>
              <w:ind w:left="0" w:right="0" w:hanging="0"/>
              <w:jc w:val="center"/>
              <w:rPr/>
            </w:pPr>
            <w:r>
              <w:rPr/>
              <w:t> </w:t>
            </w:r>
          </w:p>
        </w:tc>
        <w:tc>
          <w:tcPr>
            <w:tcW w:w="202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6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9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1" w:type="dxa"/>
            <w:tcBorders/>
            <w:shd w:fill="auto" w:val="clear"/>
            <w:vAlign w:val="bottom"/>
          </w:tcPr>
          <w:p>
            <w:pPr>
              <w:pStyle w:val="TableContents"/>
              <w:spacing w:before="0" w:after="0"/>
              <w:ind w:left="0" w:right="0" w:hanging="0"/>
              <w:jc w:val="center"/>
              <w:rPr/>
            </w:pPr>
            <w:r>
              <w:rPr/>
              <w:t> </w:t>
            </w:r>
          </w:p>
        </w:tc>
      </w:tr>
      <w:tr>
        <w:trPr/>
        <w:tc>
          <w:tcPr>
            <w:tcW w:w="173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39" w:type="dxa"/>
            <w:tcBorders/>
            <w:shd w:fill="auto" w:val="clear"/>
            <w:vAlign w:val="bottom"/>
          </w:tcPr>
          <w:p>
            <w:pPr>
              <w:pStyle w:val="TableContents"/>
              <w:spacing w:before="0" w:after="0"/>
              <w:ind w:left="0" w:right="0" w:hanging="0"/>
              <w:jc w:val="center"/>
              <w:rPr/>
            </w:pPr>
            <w:r>
              <w:rPr/>
              <w:t> </w:t>
            </w:r>
          </w:p>
        </w:tc>
        <w:tc>
          <w:tcPr>
            <w:tcW w:w="9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11"/>
              </w:rPr>
              <w:t>(1)</w:t>
            </w:r>
          </w:p>
        </w:tc>
        <w:tc>
          <w:tcPr>
            <w:tcW w:w="214" w:type="dxa"/>
            <w:tcBorders/>
            <w:shd w:fill="auto" w:val="clear"/>
            <w:vAlign w:val="bottom"/>
          </w:tcPr>
          <w:p>
            <w:pPr>
              <w:pStyle w:val="TableContents"/>
              <w:spacing w:before="0" w:after="0"/>
              <w:ind w:left="0" w:right="0" w:hanging="0"/>
              <w:jc w:val="center"/>
              <w:rPr/>
            </w:pPr>
            <w:r>
              <w:rPr/>
              <w:t> </w:t>
            </w:r>
          </w:p>
        </w:tc>
        <w:tc>
          <w:tcPr>
            <w:tcW w:w="8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67" w:type="dxa"/>
            <w:tcBorders/>
            <w:shd w:fill="auto" w:val="clear"/>
            <w:vAlign w:val="bottom"/>
          </w:tcPr>
          <w:p>
            <w:pPr>
              <w:pStyle w:val="TableContents"/>
              <w:spacing w:before="0" w:after="0"/>
              <w:ind w:left="0" w:right="0" w:hanging="0"/>
              <w:jc w:val="center"/>
              <w:rPr/>
            </w:pPr>
            <w:r>
              <w:rPr/>
              <w:t> </w:t>
            </w:r>
          </w:p>
        </w:tc>
        <w:tc>
          <w:tcPr>
            <w:tcW w:w="9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br/>
              <w:t>Not</w:t>
              <w:br/>
              <w:t>Designated</w:t>
              <w:br/>
              <w:t>as a</w:t>
              <w:br/>
              <w:t>Hedge</w:t>
            </w:r>
          </w:p>
        </w:tc>
        <w:tc>
          <w:tcPr>
            <w:tcW w:w="193" w:type="dxa"/>
            <w:tcBorders/>
            <w:shd w:fill="auto" w:val="clear"/>
            <w:vAlign w:val="bottom"/>
          </w:tcPr>
          <w:p>
            <w:pPr>
              <w:pStyle w:val="TableContents"/>
              <w:spacing w:before="0" w:after="0"/>
              <w:ind w:left="0" w:right="0" w:hanging="0"/>
              <w:jc w:val="center"/>
              <w:rPr/>
            </w:pPr>
            <w:r>
              <w:rPr/>
              <w:t> </w:t>
            </w:r>
          </w:p>
        </w:tc>
        <w:tc>
          <w:tcPr>
            <w:tcW w:w="7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06" w:type="dxa"/>
            <w:gridSpan w:val="2"/>
            <w:tcBorders/>
            <w:shd w:fill="auto" w:val="clear"/>
            <w:vAlign w:val="bottom"/>
          </w:tcPr>
          <w:p>
            <w:pPr>
              <w:pStyle w:val="TableContents"/>
              <w:spacing w:before="0" w:after="0"/>
              <w:ind w:left="0" w:right="0" w:hanging="0"/>
              <w:jc w:val="center"/>
              <w:rPr/>
            </w:pPr>
            <w:r>
              <w:rPr/>
              <w:t> </w:t>
            </w:r>
          </w:p>
        </w:tc>
        <w:tc>
          <w:tcPr>
            <w:tcW w:w="9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11"/>
              </w:rPr>
              <w:t>(1)</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63" w:type="dxa"/>
            <w:tcBorders/>
            <w:shd w:fill="auto" w:val="clear"/>
            <w:vAlign w:val="bottom"/>
          </w:tcPr>
          <w:p>
            <w:pPr>
              <w:pStyle w:val="TableContents"/>
              <w:spacing w:before="0" w:after="0"/>
              <w:ind w:left="0" w:right="0" w:hanging="0"/>
              <w:jc w:val="center"/>
              <w:rPr/>
            </w:pPr>
            <w:r>
              <w:rPr/>
              <w:t> </w:t>
            </w:r>
          </w:p>
        </w:tc>
        <w:tc>
          <w:tcPr>
            <w:tcW w:w="9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br/>
              <w:t>Not</w:t>
              <w:br/>
              <w:t>Designated</w:t>
              <w:br/>
              <w:t>as a</w:t>
              <w:br/>
              <w:t>Hedge</w:t>
            </w:r>
          </w:p>
        </w:tc>
        <w:tc>
          <w:tcPr>
            <w:tcW w:w="187" w:type="dxa"/>
            <w:tcBorders/>
            <w:shd w:fill="auto" w:val="clear"/>
            <w:vAlign w:val="bottom"/>
          </w:tcPr>
          <w:p>
            <w:pPr>
              <w:pStyle w:val="TableContents"/>
              <w:spacing w:before="0" w:after="0"/>
              <w:ind w:left="0" w:right="0" w:hanging="0"/>
              <w:jc w:val="center"/>
              <w:rPr/>
            </w:pPr>
            <w:r>
              <w:rPr/>
              <w:t> </w:t>
            </w:r>
          </w:p>
        </w:tc>
        <w:tc>
          <w:tcPr>
            <w:tcW w:w="6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1" w:type="dxa"/>
            <w:tcBorders/>
            <w:shd w:fill="auto" w:val="clear"/>
            <w:vAlign w:val="bottom"/>
          </w:tcPr>
          <w:p>
            <w:pPr>
              <w:pStyle w:val="TableContents"/>
              <w:spacing w:before="0" w:after="0"/>
              <w:ind w:left="0" w:right="0" w:hanging="0"/>
              <w:jc w:val="center"/>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jc w:val="center"/>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39"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14" w:type="dxa"/>
            <w:tcBorders/>
            <w:shd w:fill="CCEEFF" w:val="clear"/>
            <w:vAlign w:val="bottom"/>
          </w:tcPr>
          <w:p>
            <w:pPr>
              <w:pStyle w:val="TableContents"/>
              <w:spacing w:before="0" w:after="0"/>
              <w:ind w:left="0" w:right="0" w:hanging="0"/>
              <w:rPr/>
            </w:pPr>
            <w:r>
              <w:rPr/>
              <w:t> </w:t>
            </w:r>
          </w:p>
        </w:tc>
        <w:tc>
          <w:tcPr>
            <w:tcW w:w="2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4" w:type="dxa"/>
            <w:tcBorders/>
            <w:shd w:fill="CCEEFF" w:val="clear"/>
            <w:vAlign w:val="bottom"/>
          </w:tcPr>
          <w:p>
            <w:pPr>
              <w:pStyle w:val="TableContents"/>
              <w:spacing w:before="0" w:after="0"/>
              <w:ind w:left="0" w:right="0" w:hanging="0"/>
              <w:rPr/>
            </w:pPr>
            <w:r>
              <w:rPr/>
              <w:t> </w:t>
            </w:r>
          </w:p>
        </w:tc>
        <w:tc>
          <w:tcPr>
            <w:tcW w:w="2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39" w:type="dxa"/>
            <w:tcBorders/>
            <w:shd w:fill="CCEEFF" w:val="clear"/>
            <w:vAlign w:val="bottom"/>
          </w:tcPr>
          <w:p>
            <w:pPr>
              <w:pStyle w:val="TableContents"/>
              <w:spacing w:before="0" w:after="0"/>
              <w:ind w:left="0" w:right="0" w:hanging="0"/>
              <w:rPr/>
            </w:pPr>
            <w:r>
              <w:rPr/>
              <w:t> </w:t>
            </w:r>
          </w:p>
        </w:tc>
        <w:tc>
          <w:tcPr>
            <w:tcW w:w="9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7" w:type="dxa"/>
            <w:tcBorders/>
            <w:shd w:fill="CCEEFF" w:val="clear"/>
            <w:vAlign w:val="bottom"/>
          </w:tcPr>
          <w:p>
            <w:pPr>
              <w:pStyle w:val="TableContents"/>
              <w:spacing w:before="0" w:after="0"/>
              <w:ind w:left="0" w:right="0" w:hanging="0"/>
              <w:rPr/>
            </w:pPr>
            <w:r>
              <w:rPr/>
              <w:t> </w:t>
            </w:r>
          </w:p>
        </w:tc>
        <w:tc>
          <w:tcPr>
            <w:tcW w:w="9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71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94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pPr>
            <w:r>
              <w:rPr/>
              <w:t> </w:t>
            </w:r>
          </w:p>
        </w:tc>
        <w:tc>
          <w:tcPr>
            <w:tcW w:w="8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pPr>
            <w:r>
              <w:rPr/>
              <w:t> </w:t>
            </w:r>
          </w:p>
        </w:tc>
        <w:tc>
          <w:tcPr>
            <w:tcW w:w="9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7" w:type="dxa"/>
            <w:tcBorders/>
            <w:shd w:fill="CCEEFF" w:val="clear"/>
            <w:vAlign w:val="bottom"/>
          </w:tcPr>
          <w:p>
            <w:pPr>
              <w:pStyle w:val="TableContents"/>
              <w:spacing w:before="0" w:after="0"/>
              <w:ind w:left="0" w:right="0" w:hanging="0"/>
              <w:rPr/>
            </w:pPr>
            <w:r>
              <w:rPr/>
              <w:t> </w:t>
            </w:r>
          </w:p>
        </w:tc>
        <w:tc>
          <w:tcPr>
            <w:tcW w:w="6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1" w:type="dxa"/>
            <w:tcBorders/>
            <w:shd w:fill="CCEEFF" w:val="clear"/>
            <w:vAlign w:val="bottom"/>
          </w:tcPr>
          <w:p>
            <w:pPr>
              <w:pStyle w:val="TableContents"/>
              <w:spacing w:before="0" w:after="0"/>
              <w:ind w:left="0" w:right="0" w:hanging="0"/>
              <w:rPr/>
            </w:pPr>
            <w:r>
              <w:rPr/>
              <w:t> </w:t>
            </w:r>
          </w:p>
        </w:tc>
      </w:tr>
      <w:tr>
        <w:trPr/>
        <w:tc>
          <w:tcPr>
            <w:tcW w:w="1734"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7"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718" w:type="dxa"/>
            <w:gridSpan w:val="2"/>
            <w:tcBorders/>
            <w:shd w:fill="auto" w:val="clear"/>
            <w:vAlign w:val="bottom"/>
          </w:tcPr>
          <w:p>
            <w:pPr>
              <w:pStyle w:val="TableContents"/>
              <w:spacing w:before="0" w:after="0"/>
              <w:ind w:left="0" w:right="0" w:hanging="0"/>
              <w:jc w:val="right"/>
              <w:rPr/>
            </w:pPr>
            <w:r>
              <w:rPr/>
              <w:t> </w:t>
            </w:r>
          </w:p>
        </w:tc>
        <w:tc>
          <w:tcPr>
            <w:tcW w:w="11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5" w:type="dxa"/>
            <w:tcBorders/>
            <w:shd w:fill="auto" w:val="clear"/>
            <w:vAlign w:val="bottom"/>
          </w:tcPr>
          <w:p>
            <w:pPr>
              <w:pStyle w:val="TableContents"/>
              <w:spacing w:before="0" w:after="0"/>
              <w:ind w:left="0" w:right="0" w:hanging="0"/>
              <w:rPr/>
            </w:pPr>
            <w:r>
              <w:rPr/>
              <w:t> </w:t>
            </w:r>
          </w:p>
        </w:tc>
        <w:tc>
          <w:tcPr>
            <w:tcW w:w="942"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7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c>
          <w:tcPr>
            <w:tcW w:w="908" w:type="dxa"/>
            <w:gridSpan w:val="2"/>
            <w:tcBorders/>
            <w:shd w:fill="auto" w:val="clear"/>
            <w:vAlign w:val="bottom"/>
          </w:tcPr>
          <w:p>
            <w:pPr>
              <w:pStyle w:val="TableContents"/>
              <w:spacing w:before="0" w:after="0"/>
              <w:ind w:left="0" w:right="0" w:hanging="0"/>
              <w:jc w:val="right"/>
              <w:rPr/>
            </w:pPr>
            <w:r>
              <w:rPr/>
              <w:t> </w:t>
            </w:r>
          </w:p>
        </w:tc>
        <w:tc>
          <w:tcPr>
            <w:tcW w:w="187" w:type="dxa"/>
            <w:tcBorders/>
            <w:shd w:fill="auto" w:val="clear"/>
            <w:vAlign w:val="bottom"/>
          </w:tcPr>
          <w:p>
            <w:pPr>
              <w:pStyle w:val="TableContents"/>
              <w:spacing w:before="0" w:after="0"/>
              <w:ind w:left="0" w:right="0" w:hanging="0"/>
              <w:rPr/>
            </w:pPr>
            <w:r>
              <w:rPr/>
              <w:t> </w:t>
            </w:r>
          </w:p>
        </w:tc>
        <w:tc>
          <w:tcPr>
            <w:tcW w:w="699"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173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139" w:type="dxa"/>
            <w:tcBorders/>
            <w:shd w:fill="CCEEFF" w:val="clear"/>
            <w:vAlign w:val="bottom"/>
          </w:tcPr>
          <w:p>
            <w:pPr>
              <w:pStyle w:val="TableContents"/>
              <w:spacing w:before="0" w:after="0"/>
              <w:ind w:left="0" w:right="0" w:hanging="0"/>
              <w:rPr/>
            </w:pPr>
            <w:r>
              <w:rPr/>
              <w:t> </w:t>
            </w:r>
          </w:p>
        </w:tc>
        <w:tc>
          <w:tcPr>
            <w:tcW w:w="2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106</w:t>
            </w:r>
          </w:p>
        </w:tc>
        <w:tc>
          <w:tcPr>
            <w:tcW w:w="214" w:type="dxa"/>
            <w:tcBorders/>
            <w:shd w:fill="CCEEFF" w:val="clear"/>
            <w:vAlign w:val="bottom"/>
          </w:tcPr>
          <w:p>
            <w:pPr>
              <w:pStyle w:val="TableContents"/>
              <w:spacing w:before="0" w:after="0"/>
              <w:ind w:left="0" w:right="0" w:hanging="0"/>
              <w:rPr/>
            </w:pPr>
            <w:r>
              <w:rPr/>
              <w:t> </w:t>
            </w:r>
          </w:p>
        </w:tc>
        <w:tc>
          <w:tcPr>
            <w:tcW w:w="27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w:t>
            </w:r>
          </w:p>
        </w:tc>
        <w:tc>
          <w:tcPr>
            <w:tcW w:w="167" w:type="dxa"/>
            <w:tcBorders/>
            <w:shd w:fill="CCEEFF" w:val="clear"/>
            <w:vAlign w:val="bottom"/>
          </w:tcPr>
          <w:p>
            <w:pPr>
              <w:pStyle w:val="TableContents"/>
              <w:spacing w:before="0" w:after="0"/>
              <w:ind w:left="0" w:right="0" w:hanging="0"/>
              <w:rPr/>
            </w:pPr>
            <w:r>
              <w:rPr/>
              <w:t> </w:t>
            </w:r>
          </w:p>
        </w:tc>
        <w:tc>
          <w:tcPr>
            <w:tcW w:w="2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8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(89</w:t>
            </w:r>
          </w:p>
        </w:tc>
        <w:tc>
          <w:tcPr>
            <w:tcW w:w="1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8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3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20</w:t>
            </w:r>
          </w:p>
        </w:tc>
        <w:tc>
          <w:tcPr>
            <w:tcW w:w="11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5" w:type="dxa"/>
            <w:tcBorders/>
            <w:shd w:fill="CCEEFF" w:val="clear"/>
            <w:vAlign w:val="bottom"/>
          </w:tcPr>
          <w:p>
            <w:pPr>
              <w:pStyle w:val="TableContents"/>
              <w:spacing w:before="0" w:after="0"/>
              <w:ind w:left="0" w:right="0" w:hanging="0"/>
              <w:rPr/>
            </w:pPr>
            <w:r>
              <w:rPr/>
              <w:t> </w:t>
            </w:r>
          </w:p>
        </w:tc>
        <w:tc>
          <w:tcPr>
            <w:tcW w:w="21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123</w:t>
            </w:r>
          </w:p>
        </w:tc>
        <w:tc>
          <w:tcPr>
            <w:tcW w:w="214" w:type="dxa"/>
            <w:tcBorders/>
            <w:shd w:fill="CCEEFF" w:val="clear"/>
            <w:vAlign w:val="bottom"/>
          </w:tcPr>
          <w:p>
            <w:pPr>
              <w:pStyle w:val="TableContents"/>
              <w:spacing w:before="0" w:after="0"/>
              <w:ind w:left="0" w:right="0" w:hanging="0"/>
              <w:rPr/>
            </w:pPr>
            <w:r>
              <w:rPr/>
              <w:t> </w:t>
            </w:r>
          </w:p>
        </w:tc>
        <w:tc>
          <w:tcPr>
            <w:tcW w:w="27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9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w:t>
            </w:r>
          </w:p>
        </w:tc>
        <w:tc>
          <w:tcPr>
            <w:tcW w:w="163" w:type="dxa"/>
            <w:tcBorders/>
            <w:shd w:fill="CCEEFF" w:val="clear"/>
            <w:vAlign w:val="bottom"/>
          </w:tcPr>
          <w:p>
            <w:pPr>
              <w:pStyle w:val="TableContents"/>
              <w:spacing w:before="0" w:after="0"/>
              <w:ind w:left="0" w:right="0" w:hanging="0"/>
              <w:rPr/>
            </w:pPr>
            <w:r>
              <w:rPr/>
              <w:t> </w:t>
            </w:r>
          </w:p>
        </w:tc>
        <w:tc>
          <w:tcPr>
            <w:tcW w:w="1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(94</w:t>
            </w:r>
          </w:p>
        </w:tc>
        <w:tc>
          <w:tcPr>
            <w:tcW w:w="18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7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42" w:name="PB_21_140307_141"/>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00"/>
        <w:gridCol w:w="135"/>
        <w:gridCol w:w="216"/>
        <w:gridCol w:w="716"/>
        <w:gridCol w:w="211"/>
        <w:gridCol w:w="274"/>
        <w:gridCol w:w="586"/>
        <w:gridCol w:w="156"/>
        <w:gridCol w:w="220"/>
        <w:gridCol w:w="678"/>
        <w:gridCol w:w="181"/>
        <w:gridCol w:w="174"/>
        <w:gridCol w:w="609"/>
        <w:gridCol w:w="110"/>
        <w:gridCol w:w="92"/>
        <w:gridCol w:w="213"/>
        <w:gridCol w:w="707"/>
        <w:gridCol w:w="209"/>
        <w:gridCol w:w="261"/>
        <w:gridCol w:w="598"/>
        <w:gridCol w:w="184"/>
        <w:gridCol w:w="254"/>
        <w:gridCol w:w="643"/>
        <w:gridCol w:w="158"/>
        <w:gridCol w:w="178"/>
        <w:gridCol w:w="617"/>
        <w:gridCol w:w="125"/>
      </w:tblGrid>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jc w:val="center"/>
              <w:rPr/>
            </w:pPr>
            <w:r>
              <w:rPr/>
              <w:t> </w:t>
            </w:r>
          </w:p>
        </w:tc>
        <w:tc>
          <w:tcPr>
            <w:tcW w:w="4021"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2013</w:t>
            </w:r>
          </w:p>
        </w:tc>
        <w:tc>
          <w:tcPr>
            <w:tcW w:w="202" w:type="dxa"/>
            <w:gridSpan w:val="2"/>
            <w:tcBorders/>
            <w:shd w:fill="auto" w:val="clear"/>
            <w:vAlign w:val="bottom"/>
          </w:tcPr>
          <w:p>
            <w:pPr>
              <w:pStyle w:val="TableContents"/>
              <w:spacing w:before="0" w:after="0"/>
              <w:ind w:left="0" w:right="0" w:hanging="0"/>
              <w:jc w:val="center"/>
              <w:rPr/>
            </w:pPr>
            <w:r>
              <w:rPr/>
              <w:t> </w:t>
            </w:r>
          </w:p>
        </w:tc>
        <w:tc>
          <w:tcPr>
            <w:tcW w:w="402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 September 30, 2012</w:t>
            </w:r>
          </w:p>
        </w:tc>
        <w:tc>
          <w:tcPr>
            <w:tcW w:w="125" w:type="dxa"/>
            <w:tcBorders/>
            <w:shd w:fill="auto" w:val="clear"/>
            <w:vAlign w:val="bottom"/>
          </w:tcPr>
          <w:p>
            <w:pPr>
              <w:pStyle w:val="TableContents"/>
              <w:spacing w:before="0" w:after="0"/>
              <w:ind w:left="0" w:right="0" w:hanging="0"/>
              <w:jc w:val="center"/>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jc w:val="center"/>
              <w:rPr/>
            </w:pPr>
            <w:r>
              <w:rPr/>
              <w:t> </w:t>
            </w:r>
          </w:p>
        </w:tc>
        <w:tc>
          <w:tcPr>
            <w:tcW w:w="200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5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8" w:type="dxa"/>
            <w:gridSpan w:val="2"/>
            <w:tcBorders/>
            <w:shd w:fill="auto" w:val="clear"/>
            <w:vAlign w:val="bottom"/>
          </w:tcPr>
          <w:p>
            <w:pPr>
              <w:pStyle w:val="TableContents"/>
              <w:spacing w:before="0" w:after="0"/>
              <w:ind w:left="0" w:right="0" w:hanging="0"/>
              <w:jc w:val="center"/>
              <w:rPr/>
            </w:pPr>
            <w:r>
              <w:rPr/>
              <w:t> </w:t>
            </w:r>
          </w:p>
        </w:tc>
        <w:tc>
          <w:tcPr>
            <w:tcW w:w="181" w:type="dxa"/>
            <w:tcBorders/>
            <w:shd w:fill="auto" w:val="clear"/>
            <w:vAlign w:val="bottom"/>
          </w:tcPr>
          <w:p>
            <w:pPr>
              <w:pStyle w:val="TableContents"/>
              <w:spacing w:before="0" w:after="0"/>
              <w:ind w:left="0" w:right="0" w:hanging="0"/>
              <w:jc w:val="center"/>
              <w:rPr/>
            </w:pPr>
            <w:r>
              <w:rPr/>
              <w:t> </w:t>
            </w:r>
          </w:p>
        </w:tc>
        <w:tc>
          <w:tcPr>
            <w:tcW w:w="783" w:type="dxa"/>
            <w:gridSpan w:val="2"/>
            <w:tcBorders/>
            <w:shd w:fill="auto" w:val="clear"/>
            <w:vAlign w:val="bottom"/>
          </w:tcPr>
          <w:p>
            <w:pPr>
              <w:pStyle w:val="TableContents"/>
              <w:spacing w:before="0" w:after="0"/>
              <w:ind w:left="0" w:right="0" w:hanging="0"/>
              <w:jc w:val="center"/>
              <w:rPr/>
            </w:pPr>
            <w:r>
              <w:rPr/>
              <w:t> </w:t>
            </w:r>
          </w:p>
        </w:tc>
        <w:tc>
          <w:tcPr>
            <w:tcW w:w="202" w:type="dxa"/>
            <w:gridSpan w:val="2"/>
            <w:tcBorders/>
            <w:shd w:fill="auto" w:val="clear"/>
            <w:vAlign w:val="bottom"/>
          </w:tcPr>
          <w:p>
            <w:pPr>
              <w:pStyle w:val="TableContents"/>
              <w:spacing w:before="0" w:after="0"/>
              <w:ind w:left="0" w:right="0" w:hanging="0"/>
              <w:jc w:val="center"/>
              <w:rPr/>
            </w:pPr>
            <w:r>
              <w:rPr/>
              <w:t> </w:t>
            </w:r>
          </w:p>
        </w:tc>
        <w:tc>
          <w:tcPr>
            <w:tcW w:w="19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 in Hedging</w:t>
              <w:br/>
              <w:t>Relationships</w:t>
            </w:r>
          </w:p>
        </w:tc>
        <w:tc>
          <w:tcPr>
            <w:tcW w:w="18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0"/>
              <w:ind w:left="0" w:right="0" w:hanging="0"/>
              <w:jc w:val="center"/>
              <w:rPr/>
            </w:pPr>
            <w:r>
              <w:rPr/>
              <w:t> </w:t>
            </w:r>
          </w:p>
        </w:tc>
      </w:tr>
      <w:tr>
        <w:trPr/>
        <w:tc>
          <w:tcPr>
            <w:tcW w:w="170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Location of gain/(loss)</w:t>
            </w:r>
          </w:p>
        </w:tc>
        <w:tc>
          <w:tcPr>
            <w:tcW w:w="135" w:type="dxa"/>
            <w:tcBorders/>
            <w:shd w:fill="auto" w:val="clear"/>
            <w:vAlign w:val="bottom"/>
          </w:tcPr>
          <w:p>
            <w:pPr>
              <w:pStyle w:val="TableContents"/>
              <w:spacing w:before="0" w:after="0"/>
              <w:ind w:left="0" w:right="0" w:hanging="0"/>
              <w:jc w:val="center"/>
              <w:rPr/>
            </w:pPr>
            <w:r>
              <w:rPr/>
              <w:t> </w:t>
            </w:r>
          </w:p>
        </w:tc>
        <w:tc>
          <w:tcPr>
            <w:tcW w:w="9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8"/>
              </w:rPr>
              <w:t>(1)</w:t>
            </w:r>
          </w:p>
        </w:tc>
        <w:tc>
          <w:tcPr>
            <w:tcW w:w="211" w:type="dxa"/>
            <w:tcBorders/>
            <w:shd w:fill="auto" w:val="clear"/>
            <w:vAlign w:val="bottom"/>
          </w:tcPr>
          <w:p>
            <w:pPr>
              <w:pStyle w:val="TableContents"/>
              <w:spacing w:before="0" w:after="0"/>
              <w:ind w:left="0" w:right="0" w:hanging="0"/>
              <w:jc w:val="center"/>
              <w:rPr/>
            </w:pPr>
            <w:r>
              <w:rPr/>
              <w:t> </w:t>
            </w:r>
          </w:p>
        </w:tc>
        <w:tc>
          <w:tcPr>
            <w:tcW w:w="86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56" w:type="dxa"/>
            <w:tcBorders/>
            <w:shd w:fill="auto" w:val="clear"/>
            <w:vAlign w:val="bottom"/>
          </w:tcPr>
          <w:p>
            <w:pPr>
              <w:pStyle w:val="TableContents"/>
              <w:spacing w:before="0" w:after="0"/>
              <w:ind w:left="0" w:right="0" w:hanging="0"/>
              <w:jc w:val="center"/>
              <w:rPr/>
            </w:pPr>
            <w:r>
              <w:rPr/>
              <w:t> </w:t>
            </w:r>
          </w:p>
        </w:tc>
        <w:tc>
          <w:tcPr>
            <w:tcW w:w="8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br/>
              <w:t>Not</w:t>
              <w:br/>
              <w:t>Designated</w:t>
              <w:br/>
              <w:t>as a</w:t>
              <w:br/>
              <w:t>Hedge</w:t>
            </w:r>
          </w:p>
        </w:tc>
        <w:tc>
          <w:tcPr>
            <w:tcW w:w="181" w:type="dxa"/>
            <w:tcBorders/>
            <w:shd w:fill="auto" w:val="clear"/>
            <w:vAlign w:val="bottom"/>
          </w:tcPr>
          <w:p>
            <w:pPr>
              <w:pStyle w:val="TableContents"/>
              <w:spacing w:before="0" w:after="0"/>
              <w:ind w:left="0" w:right="0" w:hanging="0"/>
              <w:jc w:val="center"/>
              <w:rPr/>
            </w:pPr>
            <w:r>
              <w:rPr/>
              <w:t> </w:t>
            </w:r>
          </w:p>
        </w:tc>
        <w:tc>
          <w:tcPr>
            <w:tcW w:w="7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202" w:type="dxa"/>
            <w:gridSpan w:val="2"/>
            <w:tcBorders/>
            <w:shd w:fill="auto" w:val="clear"/>
            <w:vAlign w:val="bottom"/>
          </w:tcPr>
          <w:p>
            <w:pPr>
              <w:pStyle w:val="TableContents"/>
              <w:spacing w:before="0" w:after="0"/>
              <w:ind w:left="0" w:right="0" w:hanging="0"/>
              <w:jc w:val="center"/>
              <w:rPr/>
            </w:pPr>
            <w:r>
              <w:rPr/>
              <w:t> </w:t>
            </w:r>
          </w:p>
        </w:tc>
        <w:tc>
          <w:tcPr>
            <w:tcW w:w="9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Gain/(loss)</w:t>
              <w:br/>
              <w:t>reclassified</w:t>
              <w:br/>
              <w:t>from</w:t>
              <w:br/>
              <w:t>AOCI into</w:t>
              <w:br/>
              <w:t>income </w:t>
            </w:r>
            <w:r>
              <w:rPr>
                <w:b/>
                <w:sz w:val="8"/>
              </w:rPr>
              <w:t>(1)</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Other</w:t>
              <w:br/>
              <w:t>gain/(loss)</w:t>
              <w:br/>
              <w:t>recognized</w:t>
              <w:br/>
              <w:t>in income</w:t>
            </w:r>
          </w:p>
        </w:tc>
        <w:tc>
          <w:tcPr>
            <w:tcW w:w="184" w:type="dxa"/>
            <w:tcBorders/>
            <w:shd w:fill="auto" w:val="clear"/>
            <w:vAlign w:val="bottom"/>
          </w:tcPr>
          <w:p>
            <w:pPr>
              <w:pStyle w:val="TableContents"/>
              <w:spacing w:before="0" w:after="0"/>
              <w:ind w:left="0" w:right="0" w:hanging="0"/>
              <w:jc w:val="center"/>
              <w:rPr/>
            </w:pPr>
            <w:r>
              <w:rPr/>
              <w:t> </w:t>
            </w:r>
          </w:p>
        </w:tc>
        <w:tc>
          <w:tcPr>
            <w:tcW w:w="89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Derivatives</w:t>
              <w:br/>
              <w:t>Not</w:t>
              <w:br/>
              <w:t>Designated</w:t>
              <w:br/>
              <w:t>as a</w:t>
              <w:br/>
              <w:t>Hedge</w:t>
            </w:r>
          </w:p>
        </w:tc>
        <w:tc>
          <w:tcPr>
            <w:tcW w:w="158" w:type="dxa"/>
            <w:tcBorders/>
            <w:shd w:fill="auto" w:val="clear"/>
            <w:vAlign w:val="bottom"/>
          </w:tcPr>
          <w:p>
            <w:pPr>
              <w:pStyle w:val="TableContents"/>
              <w:spacing w:before="0" w:after="0"/>
              <w:ind w:left="0" w:right="0" w:hanging="0"/>
              <w:jc w:val="center"/>
              <w:rPr/>
            </w:pPr>
            <w:r>
              <w:rPr/>
              <w:t> </w:t>
            </w:r>
          </w:p>
        </w:tc>
        <w:tc>
          <w:tcPr>
            <w:tcW w:w="7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5" w:type="dxa"/>
            <w:tcBorders/>
            <w:shd w:fill="auto" w:val="clear"/>
            <w:vAlign w:val="bottom"/>
          </w:tcPr>
          <w:p>
            <w:pPr>
              <w:pStyle w:val="TableContents"/>
              <w:spacing w:before="0" w:after="0"/>
              <w:ind w:left="0" w:right="0" w:hanging="0"/>
              <w:jc w:val="center"/>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Commodity Derivatives</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pPr>
            <w:r>
              <w:rPr/>
              <w:t> </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jc w:val="center"/>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35"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1" w:type="dxa"/>
            <w:tcBorders/>
            <w:shd w:fill="CCEEFF" w:val="clear"/>
            <w:vAlign w:val="bottom"/>
          </w:tcPr>
          <w:p>
            <w:pPr>
              <w:pStyle w:val="TableContents"/>
              <w:spacing w:before="0" w:after="0"/>
              <w:ind w:left="0" w:right="0" w:hanging="0"/>
              <w:rPr/>
            </w:pPr>
            <w:r>
              <w:rPr/>
              <w:t> </w:t>
            </w:r>
          </w:p>
        </w:tc>
        <w:tc>
          <w:tcPr>
            <w:tcW w:w="2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209"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2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58" w:type="dxa"/>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revenues</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Interest Rate Derivatives</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pPr>
            <w:r>
              <w:rPr/>
              <w:t> </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Foreign Currency Derivatives</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pPr>
            <w:r>
              <w:rPr/>
              <w:t> </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pPr>
            <w:r>
              <w:rPr/>
              <w:t> </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pPr>
            <w:r>
              <w:rPr/>
              <w:t> </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revenues</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35" w:type="dxa"/>
            <w:tcBorders/>
            <w:shd w:fill="CCEEFF" w:val="clear"/>
            <w:vAlign w:val="bottom"/>
          </w:tcPr>
          <w:p>
            <w:pPr>
              <w:pStyle w:val="TableContents"/>
              <w:spacing w:before="0" w:after="0"/>
              <w:ind w:left="0" w:right="0" w:hanging="0"/>
              <w:rPr/>
            </w:pPr>
            <w:r>
              <w:rPr/>
              <w:t> </w:t>
            </w:r>
          </w:p>
        </w:tc>
        <w:tc>
          <w:tcPr>
            <w:tcW w:w="9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shd w:fill="CCEEFF" w:val="clear"/>
            <w:vAlign w:val="bottom"/>
          </w:tcPr>
          <w:p>
            <w:pPr>
              <w:pStyle w:val="TableContents"/>
              <w:spacing w:before="0" w:after="0"/>
              <w:ind w:left="0" w:right="0" w:hanging="0"/>
              <w:rPr/>
            </w:pPr>
            <w:r>
              <w:rPr/>
              <w:t> </w:t>
            </w:r>
          </w:p>
        </w:tc>
        <w:tc>
          <w:tcPr>
            <w:tcW w:w="8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1" w:type="dxa"/>
            <w:tcBorders/>
            <w:shd w:fill="CCEEFF" w:val="clear"/>
            <w:vAlign w:val="bottom"/>
          </w:tcPr>
          <w:p>
            <w:pPr>
              <w:pStyle w:val="TableContents"/>
              <w:spacing w:before="0" w:after="0"/>
              <w:ind w:left="0" w:right="0" w:hanging="0"/>
              <w:rPr/>
            </w:pPr>
            <w:r>
              <w:rPr/>
              <w:t> </w:t>
            </w:r>
          </w:p>
        </w:tc>
        <w:tc>
          <w:tcPr>
            <w:tcW w:w="7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9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9"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4" w:type="dxa"/>
            <w:tcBorders/>
            <w:shd w:fill="CCEEFF" w:val="clear"/>
            <w:vAlign w:val="bottom"/>
          </w:tcPr>
          <w:p>
            <w:pPr>
              <w:pStyle w:val="TableContents"/>
              <w:spacing w:before="0" w:after="0"/>
              <w:ind w:left="0" w:right="0" w:hanging="0"/>
              <w:rPr/>
            </w:pPr>
            <w:r>
              <w:rPr/>
              <w:t> </w:t>
            </w:r>
          </w:p>
        </w:tc>
        <w:tc>
          <w:tcPr>
            <w:tcW w:w="8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8" w:type="dxa"/>
            <w:tcBorders/>
            <w:shd w:fill="CCEEFF" w:val="clear"/>
            <w:vAlign w:val="bottom"/>
          </w:tcPr>
          <w:p>
            <w:pPr>
              <w:pStyle w:val="TableContents"/>
              <w:spacing w:before="0" w:after="0"/>
              <w:ind w:left="0" w:right="0" w:hanging="0"/>
              <w:rPr/>
            </w:pPr>
            <w:r>
              <w:rPr/>
              <w:t> </w:t>
            </w:r>
          </w:p>
        </w:tc>
        <w:tc>
          <w:tcPr>
            <w:tcW w:w="7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5" w:type="dxa"/>
            <w:tcBorders/>
            <w:shd w:fill="CCEEFF" w:val="clear"/>
            <w:vAlign w:val="bottom"/>
          </w:tcPr>
          <w:p>
            <w:pPr>
              <w:pStyle w:val="TableContents"/>
              <w:spacing w:before="0" w:after="0"/>
              <w:ind w:left="0" w:right="0" w:hanging="0"/>
              <w:rPr/>
            </w:pPr>
            <w:r>
              <w:rPr/>
              <w:t> </w:t>
            </w:r>
          </w:p>
        </w:tc>
      </w:tr>
      <w:tr>
        <w:trPr/>
        <w:tc>
          <w:tcPr>
            <w:tcW w:w="1700"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pPr>
            <w:r>
              <w:rPr/>
              <w:t> </w:t>
            </w:r>
          </w:p>
        </w:tc>
        <w:tc>
          <w:tcPr>
            <w:tcW w:w="932"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156"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181" w:type="dxa"/>
            <w:tcBorders/>
            <w:shd w:fill="auto" w:val="clear"/>
            <w:vAlign w:val="bottom"/>
          </w:tcPr>
          <w:p>
            <w:pPr>
              <w:pStyle w:val="TableContents"/>
              <w:spacing w:before="0" w:after="0"/>
              <w:ind w:left="0" w:right="0" w:hanging="0"/>
              <w:rPr/>
            </w:pPr>
            <w:r>
              <w:rPr/>
              <w:t> </w:t>
            </w:r>
          </w:p>
        </w:tc>
        <w:tc>
          <w:tcPr>
            <w:tcW w:w="783" w:type="dxa"/>
            <w:gridSpan w:val="2"/>
            <w:tcBorders/>
            <w:shd w:fill="auto" w:val="clear"/>
            <w:vAlign w:val="bottom"/>
          </w:tcPr>
          <w:p>
            <w:pPr>
              <w:pStyle w:val="TableContents"/>
              <w:spacing w:before="0" w:after="0"/>
              <w:ind w:left="0" w:right="0" w:hanging="0"/>
              <w:jc w:val="right"/>
              <w:rPr/>
            </w:pPr>
            <w:r>
              <w:rPr/>
              <w:t> </w:t>
            </w:r>
          </w:p>
        </w:tc>
        <w:tc>
          <w:tcPr>
            <w:tcW w:w="110"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92" w:type="dxa"/>
            <w:tcBorders/>
            <w:shd w:fill="auto" w:val="clear"/>
            <w:vAlign w:val="bottom"/>
          </w:tcPr>
          <w:p>
            <w:pPr>
              <w:pStyle w:val="TableContents"/>
              <w:spacing w:before="0" w:after="0"/>
              <w:ind w:left="0" w:right="0" w:hanging="0"/>
              <w:rPr/>
            </w:pPr>
            <w:r>
              <w:rPr/>
              <w:t> </w:t>
            </w:r>
          </w:p>
        </w:tc>
        <w:tc>
          <w:tcPr>
            <w:tcW w:w="920"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84" w:type="dxa"/>
            <w:tcBorders/>
            <w:shd w:fill="auto" w:val="clear"/>
            <w:vAlign w:val="bottom"/>
          </w:tcPr>
          <w:p>
            <w:pPr>
              <w:pStyle w:val="TableContents"/>
              <w:spacing w:before="0" w:after="0"/>
              <w:ind w:left="0" w:right="0" w:hanging="0"/>
              <w:rPr/>
            </w:pPr>
            <w:r>
              <w:rPr/>
              <w:t> </w:t>
            </w:r>
          </w:p>
        </w:tc>
        <w:tc>
          <w:tcPr>
            <w:tcW w:w="897" w:type="dxa"/>
            <w:gridSpan w:val="2"/>
            <w:tcBorders/>
            <w:shd w:fill="auto" w:val="clear"/>
            <w:vAlign w:val="bottom"/>
          </w:tcPr>
          <w:p>
            <w:pPr>
              <w:pStyle w:val="TableContents"/>
              <w:spacing w:before="0" w:after="0"/>
              <w:ind w:left="0" w:right="0" w:hanging="0"/>
              <w:jc w:val="right"/>
              <w:rPr/>
            </w:pPr>
            <w:r>
              <w:rPr/>
              <w:t> </w:t>
            </w:r>
          </w:p>
        </w:tc>
        <w:tc>
          <w:tcPr>
            <w:tcW w:w="158"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jc w:val="right"/>
              <w:rPr/>
            </w:pPr>
            <w:r>
              <w:rPr/>
              <w:t> </w:t>
            </w:r>
          </w:p>
        </w:tc>
        <w:tc>
          <w:tcPr>
            <w:tcW w:w="125" w:type="dxa"/>
            <w:tcBorders/>
            <w:shd w:fill="auto" w:val="clear"/>
            <w:vAlign w:val="bottom"/>
          </w:tcPr>
          <w:p>
            <w:pPr>
              <w:pStyle w:val="TableContents"/>
              <w:spacing w:before="0" w:after="0"/>
              <w:ind w:left="0" w:right="0" w:hanging="0"/>
              <w:rPr/>
            </w:pPr>
            <w:r>
              <w:rPr/>
              <w:t> </w:t>
            </w:r>
          </w:p>
        </w:tc>
      </w:tr>
      <w:tr>
        <w:trPr/>
        <w:tc>
          <w:tcPr>
            <w:tcW w:w="170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Total Gain/(Loss) on Derivatives Recognized in Net Income</w:t>
            </w:r>
          </w:p>
        </w:tc>
        <w:tc>
          <w:tcPr>
            <w:tcW w:w="135" w:type="dxa"/>
            <w:tcBorders/>
            <w:shd w:fill="CCEEFF" w:val="clear"/>
            <w:vAlign w:val="bottom"/>
          </w:tcPr>
          <w:p>
            <w:pPr>
              <w:pStyle w:val="TableContents"/>
              <w:spacing w:before="0" w:after="0"/>
              <w:ind w:left="0" w:right="0" w:hanging="0"/>
              <w:rPr/>
            </w:pPr>
            <w:r>
              <w:rPr/>
              <w:t> </w:t>
            </w:r>
          </w:p>
        </w:tc>
        <w:tc>
          <w:tcPr>
            <w:tcW w:w="2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124</w:t>
            </w:r>
          </w:p>
        </w:tc>
        <w:tc>
          <w:tcPr>
            <w:tcW w:w="211" w:type="dxa"/>
            <w:tcBorders/>
            <w:shd w:fill="CCEEFF" w:val="clear"/>
            <w:vAlign w:val="bottom"/>
          </w:tcPr>
          <w:p>
            <w:pPr>
              <w:pStyle w:val="TableContents"/>
              <w:spacing w:before="0" w:after="0"/>
              <w:ind w:left="0" w:right="0" w:hanging="0"/>
              <w:rPr/>
            </w:pPr>
            <w:r>
              <w:rPr/>
              <w:t> </w:t>
            </w:r>
          </w:p>
        </w:tc>
        <w:tc>
          <w:tcPr>
            <w:tcW w:w="2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8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w:t>
            </w:r>
          </w:p>
        </w:tc>
        <w:tc>
          <w:tcPr>
            <w:tcW w:w="156" w:type="dxa"/>
            <w:tcBorders/>
            <w:shd w:fill="CCEEFF" w:val="clear"/>
            <w:vAlign w:val="bottom"/>
          </w:tcPr>
          <w:p>
            <w:pPr>
              <w:pStyle w:val="TableContents"/>
              <w:spacing w:before="0" w:after="0"/>
              <w:ind w:left="0" w:right="0" w:hanging="0"/>
              <w:rPr/>
            </w:pPr>
            <w:r>
              <w:rPr/>
              <w:t> </w:t>
            </w:r>
          </w:p>
        </w:tc>
        <w:tc>
          <w:tcPr>
            <w:tcW w:w="22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7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(27</w:t>
            </w:r>
          </w:p>
        </w:tc>
        <w:tc>
          <w:tcPr>
            <w:tcW w:w="18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100</w:t>
            </w:r>
          </w:p>
        </w:tc>
        <w:tc>
          <w:tcPr>
            <w:tcW w:w="110"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92"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120</w:t>
            </w:r>
          </w:p>
        </w:tc>
        <w:tc>
          <w:tcPr>
            <w:tcW w:w="209" w:type="dxa"/>
            <w:tcBorders/>
            <w:shd w:fill="CCEEFF" w:val="clear"/>
            <w:vAlign w:val="bottom"/>
          </w:tcPr>
          <w:p>
            <w:pPr>
              <w:pStyle w:val="TableContents"/>
              <w:spacing w:before="0" w:after="0"/>
              <w:ind w:left="0" w:right="0" w:hanging="0"/>
              <w:rPr/>
            </w:pPr>
            <w:r>
              <w:rPr/>
              <w:t> </w:t>
            </w:r>
          </w:p>
        </w:tc>
        <w:tc>
          <w:tcPr>
            <w:tcW w:w="26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59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w:t>
            </w:r>
          </w:p>
        </w:tc>
        <w:tc>
          <w:tcPr>
            <w:tcW w:w="18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2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4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65</w:t>
            </w:r>
          </w:p>
        </w:tc>
        <w:tc>
          <w:tcPr>
            <w:tcW w:w="158" w:type="dxa"/>
            <w:tcBorders/>
            <w:shd w:fill="CCEEFF" w:val="clear"/>
            <w:vAlign w:val="bottom"/>
          </w:tcPr>
          <w:p>
            <w:pPr>
              <w:pStyle w:val="TableContents"/>
              <w:spacing w:before="0" w:after="0"/>
              <w:ind w:left="0" w:right="0" w:hanging="0"/>
              <w:rPr/>
            </w:pPr>
            <w:r>
              <w:rPr/>
              <w:t> </w:t>
            </w:r>
          </w:p>
        </w:tc>
        <w:tc>
          <w:tcPr>
            <w:tcW w:w="17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1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183</w:t>
            </w:r>
          </w:p>
        </w:tc>
        <w:tc>
          <w:tcPr>
            <w:tcW w:w="12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During the three months ended September 30, 2013, we reclassified losses of approximately $2 million from AOCI to Facilities segment revenues as a result of anticipated hedged transactions that are probable of not occurring. During the nine months ended September 30, 2013, we reclassified gains of approximately $3 million and losses of approximately $1 million from AOCI to Supply and Logistics segment revenues and Facilities segment revenues, respectively, as a result of anticipated hedged transactions that are probable of not occurring. All of our hedged transactions were deemed probable of occurring during the three and nine months ended September 30,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43" w:name="PB_22_140334_7608"/>
      <w:bookmarkEnd w:id="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September 30, 2013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778"/>
        <w:gridCol w:w="187"/>
        <w:gridCol w:w="2040"/>
        <w:gridCol w:w="187"/>
        <w:gridCol w:w="231"/>
        <w:gridCol w:w="799"/>
        <w:gridCol w:w="114"/>
        <w:gridCol w:w="114"/>
        <w:gridCol w:w="2040"/>
        <w:gridCol w:w="187"/>
        <w:gridCol w:w="179"/>
        <w:gridCol w:w="851"/>
        <w:gridCol w:w="498"/>
      </w:tblGrid>
      <w:tr>
        <w:trPr/>
        <w:tc>
          <w:tcPr>
            <w:tcW w:w="277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325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228" w:type="dxa"/>
            <w:gridSpan w:val="2"/>
            <w:tcBorders/>
            <w:shd w:fill="auto" w:val="clear"/>
            <w:vAlign w:val="bottom"/>
          </w:tcPr>
          <w:p>
            <w:pPr>
              <w:pStyle w:val="TableContents"/>
              <w:spacing w:before="0" w:after="0"/>
              <w:ind w:left="0" w:right="0" w:hanging="0"/>
              <w:jc w:val="center"/>
              <w:rPr/>
            </w:pPr>
            <w:r>
              <w:rPr/>
              <w:t> </w:t>
            </w:r>
          </w:p>
        </w:tc>
        <w:tc>
          <w:tcPr>
            <w:tcW w:w="3257"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498" w:type="dxa"/>
            <w:tcBorders/>
            <w:shd w:fill="auto" w:val="clear"/>
            <w:vAlign w:val="bottom"/>
          </w:tcPr>
          <w:p>
            <w:pPr>
              <w:pStyle w:val="TableContents"/>
              <w:spacing w:before="0" w:after="0"/>
              <w:ind w:left="0" w:right="0" w:hanging="0"/>
              <w:jc w:val="center"/>
              <w:rPr/>
            </w:pPr>
            <w:r>
              <w:rPr/>
              <w:t> </w:t>
            </w:r>
          </w:p>
        </w:tc>
      </w:tr>
      <w:tr>
        <w:trPr/>
        <w:tc>
          <w:tcPr>
            <w:tcW w:w="277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2040"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87" w:type="dxa"/>
            <w:tcBorders/>
            <w:shd w:fill="auto" w:val="clear"/>
            <w:vAlign w:val="bottom"/>
          </w:tcPr>
          <w:p>
            <w:pPr>
              <w:pStyle w:val="TableContents"/>
              <w:spacing w:before="0" w:after="0"/>
              <w:ind w:left="0" w:right="0" w:hanging="0"/>
              <w:jc w:val="center"/>
              <w:rPr/>
            </w:pPr>
            <w:r>
              <w:rPr/>
              <w:t> </w:t>
            </w:r>
          </w:p>
        </w:tc>
        <w:tc>
          <w:tcPr>
            <w:tcW w:w="103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28" w:type="dxa"/>
            <w:gridSpan w:val="2"/>
            <w:tcBorders/>
            <w:shd w:fill="auto" w:val="clear"/>
            <w:vAlign w:val="bottom"/>
          </w:tcPr>
          <w:p>
            <w:pPr>
              <w:pStyle w:val="TableContents"/>
              <w:spacing w:before="0" w:after="0"/>
              <w:ind w:left="0" w:right="0" w:hanging="0"/>
              <w:jc w:val="center"/>
              <w:rPr/>
            </w:pPr>
            <w:r>
              <w:rPr/>
              <w:t> </w:t>
            </w:r>
          </w:p>
        </w:tc>
        <w:tc>
          <w:tcPr>
            <w:tcW w:w="2040"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8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3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498" w:type="dxa"/>
            <w:tcBorders/>
            <w:shd w:fill="auto" w:val="clear"/>
            <w:vAlign w:val="bottom"/>
          </w:tcPr>
          <w:p>
            <w:pPr>
              <w:pStyle w:val="TableContents"/>
              <w:spacing w:before="0" w:after="0"/>
              <w:ind w:left="0" w:right="0" w:hanging="0"/>
              <w:jc w:val="center"/>
              <w:rPr/>
            </w:pPr>
            <w:r>
              <w:rPr/>
              <w:t> </w:t>
            </w:r>
          </w:p>
        </w:tc>
      </w:tr>
      <w:tr>
        <w:trPr/>
        <w:tc>
          <w:tcPr>
            <w:tcW w:w="277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jc w:val="center"/>
              <w:rPr/>
            </w:pPr>
            <w:r>
              <w:rPr/>
              <w:t> </w:t>
            </w:r>
          </w:p>
        </w:tc>
        <w:tc>
          <w:tcPr>
            <w:tcW w:w="204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87" w:type="dxa"/>
            <w:tcBorders/>
            <w:shd w:fill="auto" w:val="clear"/>
            <w:vAlign w:val="bottom"/>
          </w:tcPr>
          <w:p>
            <w:pPr>
              <w:pStyle w:val="TableContents"/>
              <w:spacing w:before="0" w:after="0"/>
              <w:ind w:left="0" w:right="0" w:hanging="0"/>
              <w:jc w:val="center"/>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28" w:type="dxa"/>
            <w:gridSpan w:val="2"/>
            <w:tcBorders/>
            <w:shd w:fill="auto" w:val="clear"/>
            <w:vAlign w:val="bottom"/>
          </w:tcPr>
          <w:p>
            <w:pPr>
              <w:pStyle w:val="TableContents"/>
              <w:spacing w:before="0" w:after="0"/>
              <w:ind w:left="0" w:right="0" w:hanging="0"/>
              <w:jc w:val="center"/>
              <w:rPr/>
            </w:pPr>
            <w:r>
              <w:rPr/>
              <w:t> </w:t>
            </w:r>
          </w:p>
        </w:tc>
        <w:tc>
          <w:tcPr>
            <w:tcW w:w="204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87" w:type="dxa"/>
            <w:tcBorders/>
            <w:shd w:fill="auto" w:val="clear"/>
            <w:vAlign w:val="bottom"/>
          </w:tcPr>
          <w:p>
            <w:pPr>
              <w:pStyle w:val="TableContents"/>
              <w:spacing w:before="0" w:after="0"/>
              <w:ind w:left="0" w:right="0" w:hanging="0"/>
              <w:jc w:val="center"/>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498" w:type="dxa"/>
            <w:tcBorders/>
            <w:shd w:fill="auto" w:val="clear"/>
            <w:vAlign w:val="bottom"/>
          </w:tcPr>
          <w:p>
            <w:pPr>
              <w:pStyle w:val="TableContents"/>
              <w:spacing w:before="0" w:after="0"/>
              <w:ind w:left="0" w:right="0" w:hanging="0"/>
              <w:jc w:val="center"/>
              <w:rPr/>
            </w:pPr>
            <w:r>
              <w:rPr/>
              <w:t> </w:t>
            </w:r>
          </w:p>
        </w:tc>
      </w:tr>
      <w:tr>
        <w:trPr/>
        <w:tc>
          <w:tcPr>
            <w:tcW w:w="277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7"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7" w:type="dxa"/>
            <w:tcBorders/>
            <w:shd w:fill="auto" w:val="clear"/>
            <w:vAlign w:val="bottom"/>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sz w:val="17"/>
              </w:rPr>
            </w:pPr>
            <w:r>
              <w:rPr>
                <w:sz w:val="17"/>
              </w:rPr>
              <w:t>Other long-term assets</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2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pPr>
            <w:r>
              <w:rPr/>
              <w:t> </w:t>
            </w:r>
          </w:p>
        </w:tc>
        <w:tc>
          <w:tcPr>
            <w:tcW w:w="498" w:type="dxa"/>
            <w:tcBorders/>
            <w:shd w:fill="auto" w:val="clear"/>
            <w:vAlign w:val="bottom"/>
          </w:tcPr>
          <w:p>
            <w:pPr>
              <w:pStyle w:val="TableContents"/>
              <w:spacing w:before="0" w:after="0"/>
              <w:ind w:left="0" w:right="0" w:hanging="0"/>
              <w:rPr/>
            </w:pPr>
            <w:r>
              <w:rPr/>
              <w:t> </w:t>
            </w:r>
          </w:p>
        </w:tc>
      </w:tr>
      <w:tr>
        <w:trPr/>
        <w:tc>
          <w:tcPr>
            <w:tcW w:w="27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7" w:type="dxa"/>
            <w:tcBorders/>
            <w:shd w:fill="CCEEFF" w:val="clear"/>
            <w:vAlign w:val="bottom"/>
          </w:tcPr>
          <w:p>
            <w:pPr>
              <w:pStyle w:val="TableContents"/>
              <w:spacing w:before="0" w:after="0"/>
              <w:ind w:left="0" w:right="0" w:hanging="0"/>
              <w:rPr/>
            </w:pPr>
            <w:r>
              <w:rPr/>
              <w:t> </w:t>
            </w:r>
          </w:p>
        </w:tc>
        <w:tc>
          <w:tcPr>
            <w:tcW w:w="2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7"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sz w:val="17"/>
              </w:rPr>
            </w:pPr>
            <w:r>
              <w:rPr>
                <w:sz w:val="17"/>
              </w:rPr>
              <w:t>Other long-term assets</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sz w:val="17"/>
              </w:rPr>
            </w:pPr>
            <w:r>
              <w:rPr>
                <w:sz w:val="17"/>
              </w:rPr>
              <w:t>Other current liabilities</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87" w:type="dxa"/>
            <w:tcBorders/>
            <w:shd w:fill="auto" w:val="clear"/>
            <w:vAlign w:val="bottom"/>
          </w:tcPr>
          <w:p>
            <w:pPr>
              <w:pStyle w:val="TableContents"/>
              <w:spacing w:before="0" w:after="0"/>
              <w:ind w:left="0" w:right="0" w:hanging="0"/>
              <w:rPr/>
            </w:pPr>
            <w:r>
              <w:rPr/>
              <w:t> </w:t>
            </w:r>
          </w:p>
        </w:tc>
        <w:tc>
          <w:tcPr>
            <w:tcW w:w="103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23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17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78" w:type="dxa"/>
            <w:tcBorders/>
            <w:shd w:fill="CCEEFF" w:val="clear"/>
            <w:vAlign w:val="bottom"/>
          </w:tcPr>
          <w:p>
            <w:pPr>
              <w:pStyle w:val="TableContents"/>
              <w:spacing w:before="0" w:after="0"/>
              <w:ind w:left="0" w:right="0" w:hanging="0"/>
              <w:jc w:val="right"/>
              <w:rPr/>
            </w:pPr>
            <w:r>
              <w:rPr/>
              <w:t> </w:t>
            </w:r>
          </w:p>
        </w:tc>
        <w:tc>
          <w:tcPr>
            <w:tcW w:w="187"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040" w:type="dxa"/>
            <w:tcBorders/>
            <w:shd w:fill="CCEEFF" w:val="clear"/>
            <w:vAlign w:val="bottom"/>
          </w:tcPr>
          <w:p>
            <w:pPr>
              <w:pStyle w:val="TableContents"/>
              <w:spacing w:before="0" w:after="0"/>
              <w:ind w:left="0" w:right="0" w:hanging="0"/>
              <w:rPr/>
            </w:pPr>
            <w:r>
              <w:rPr/>
              <w:t> </w:t>
            </w:r>
          </w:p>
        </w:tc>
        <w:tc>
          <w:tcPr>
            <w:tcW w:w="187" w:type="dxa"/>
            <w:tcBorders/>
            <w:shd w:fill="CCEEFF" w:val="clear"/>
            <w:vAlign w:val="bottom"/>
          </w:tcPr>
          <w:p>
            <w:pPr>
              <w:pStyle w:val="TableContents"/>
              <w:spacing w:before="0" w:after="0"/>
              <w:ind w:left="0" w:right="0" w:hanging="0"/>
              <w:rPr/>
            </w:pPr>
            <w:r>
              <w:rPr/>
              <w:t> </w:t>
            </w:r>
          </w:p>
        </w:tc>
        <w:tc>
          <w:tcPr>
            <w:tcW w:w="1030" w:type="dxa"/>
            <w:gridSpan w:val="2"/>
            <w:tcBorders/>
            <w:shd w:fill="CCEEFF" w:val="clear"/>
            <w:vAlign w:val="bottom"/>
          </w:tcPr>
          <w:p>
            <w:pPr>
              <w:pStyle w:val="TableContents"/>
              <w:spacing w:before="0" w:after="0"/>
              <w:ind w:left="0" w:right="0" w:hanging="0"/>
              <w:jc w:val="right"/>
              <w:rPr/>
            </w:pPr>
            <w:r>
              <w:rPr/>
              <w:t> </w:t>
            </w:r>
          </w:p>
        </w:tc>
        <w:tc>
          <w:tcPr>
            <w:tcW w:w="498" w:type="dxa"/>
            <w:tcBorders/>
            <w:shd w:fill="CCEEFF" w:val="clear"/>
            <w:vAlign w:val="bottom"/>
          </w:tcPr>
          <w:p>
            <w:pPr>
              <w:pStyle w:val="TableContents"/>
              <w:spacing w:before="0" w:after="0"/>
              <w:ind w:left="0" w:right="0" w:hanging="0"/>
              <w:rPr/>
            </w:pPr>
            <w:r>
              <w:rPr/>
              <w:t> </w:t>
            </w:r>
          </w:p>
        </w:tc>
      </w:tr>
      <w:tr>
        <w:trPr/>
        <w:tc>
          <w:tcPr>
            <w:tcW w:w="27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87"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23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040" w:type="dxa"/>
            <w:tcBorders/>
            <w:shd w:fill="auto" w:val="clear"/>
            <w:vAlign w:val="bottom"/>
          </w:tcPr>
          <w:p>
            <w:pPr>
              <w:pStyle w:val="TableContents"/>
              <w:spacing w:before="0" w:after="0"/>
              <w:ind w:left="0" w:right="0" w:hanging="0"/>
              <w:rPr/>
            </w:pPr>
            <w:r>
              <w:rPr/>
              <w:t> </w:t>
            </w:r>
          </w:p>
        </w:tc>
        <w:tc>
          <w:tcPr>
            <w:tcW w:w="187" w:type="dxa"/>
            <w:tcBorders/>
            <w:shd w:fill="auto" w:val="clear"/>
            <w:vAlign w:val="bottom"/>
          </w:tcPr>
          <w:p>
            <w:pPr>
              <w:pStyle w:val="TableContents"/>
              <w:spacing w:before="0" w:after="0"/>
              <w:ind w:left="0" w:right="0" w:hanging="0"/>
              <w:rPr/>
            </w:pPr>
            <w:r>
              <w:rPr/>
              <w:t> </w:t>
            </w:r>
          </w:p>
        </w:tc>
        <w:tc>
          <w:tcPr>
            <w:tcW w:w="17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derivative assets and liabilities on our condensed consolidated balance sheet on a gross basis as of December 31,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14"/>
        <w:gridCol w:w="196"/>
        <w:gridCol w:w="2106"/>
        <w:gridCol w:w="196"/>
        <w:gridCol w:w="180"/>
        <w:gridCol w:w="834"/>
        <w:gridCol w:w="114"/>
        <w:gridCol w:w="114"/>
        <w:gridCol w:w="2106"/>
        <w:gridCol w:w="196"/>
        <w:gridCol w:w="167"/>
        <w:gridCol w:w="846"/>
        <w:gridCol w:w="136"/>
      </w:tblGrid>
      <w:tr>
        <w:trPr/>
        <w:tc>
          <w:tcPr>
            <w:tcW w:w="3014"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331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Derivatives</w:t>
            </w:r>
          </w:p>
        </w:tc>
        <w:tc>
          <w:tcPr>
            <w:tcW w:w="228" w:type="dxa"/>
            <w:gridSpan w:val="2"/>
            <w:tcBorders/>
            <w:shd w:fill="auto" w:val="clear"/>
            <w:vAlign w:val="bottom"/>
          </w:tcPr>
          <w:p>
            <w:pPr>
              <w:pStyle w:val="TableContents"/>
              <w:spacing w:before="0" w:after="0"/>
              <w:ind w:left="0" w:right="0" w:hanging="0"/>
              <w:jc w:val="center"/>
              <w:rPr/>
            </w:pPr>
            <w:r>
              <w:rPr/>
              <w:t> </w:t>
            </w:r>
          </w:p>
        </w:tc>
        <w:tc>
          <w:tcPr>
            <w:tcW w:w="331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Derivatives</w:t>
            </w:r>
          </w:p>
        </w:tc>
        <w:tc>
          <w:tcPr>
            <w:tcW w:w="136" w:type="dxa"/>
            <w:tcBorders/>
            <w:shd w:fill="auto" w:val="clear"/>
            <w:vAlign w:val="bottom"/>
          </w:tcPr>
          <w:p>
            <w:pPr>
              <w:pStyle w:val="TableContents"/>
              <w:spacing w:before="0" w:after="0"/>
              <w:ind w:left="0" w:right="0" w:hanging="0"/>
              <w:jc w:val="center"/>
              <w:rPr/>
            </w:pPr>
            <w:r>
              <w:rPr/>
              <w:t> </w:t>
            </w:r>
          </w:p>
        </w:tc>
      </w:tr>
      <w:tr>
        <w:trPr/>
        <w:tc>
          <w:tcPr>
            <w:tcW w:w="3014"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2106"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6" w:type="dxa"/>
            <w:tcBorders/>
            <w:shd w:fill="auto" w:val="clear"/>
            <w:vAlign w:val="bottom"/>
          </w:tcPr>
          <w:p>
            <w:pPr>
              <w:pStyle w:val="TableContents"/>
              <w:spacing w:before="0" w:after="0"/>
              <w:ind w:left="0" w:right="0" w:hanging="0"/>
              <w:jc w:val="center"/>
              <w:rPr/>
            </w:pPr>
            <w:r>
              <w:rPr/>
              <w:t> </w:t>
            </w:r>
          </w:p>
        </w:tc>
        <w:tc>
          <w:tcPr>
            <w:tcW w:w="101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28" w:type="dxa"/>
            <w:gridSpan w:val="2"/>
            <w:tcBorders/>
            <w:shd w:fill="auto" w:val="clear"/>
            <w:vAlign w:val="bottom"/>
          </w:tcPr>
          <w:p>
            <w:pPr>
              <w:pStyle w:val="TableContents"/>
              <w:spacing w:before="0" w:after="0"/>
              <w:ind w:left="0" w:right="0" w:hanging="0"/>
              <w:jc w:val="center"/>
              <w:rPr/>
            </w:pPr>
            <w:r>
              <w:rPr/>
              <w:t> </w:t>
            </w:r>
          </w:p>
        </w:tc>
        <w:tc>
          <w:tcPr>
            <w:tcW w:w="2106"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Balance Sheet</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1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6" w:type="dxa"/>
            <w:tcBorders/>
            <w:shd w:fill="auto" w:val="clear"/>
            <w:vAlign w:val="bottom"/>
          </w:tcPr>
          <w:p>
            <w:pPr>
              <w:pStyle w:val="TableContents"/>
              <w:spacing w:before="0" w:after="0"/>
              <w:ind w:left="0" w:right="0" w:hanging="0"/>
              <w:jc w:val="center"/>
              <w:rPr/>
            </w:pPr>
            <w:r>
              <w:rPr/>
              <w:t> </w:t>
            </w:r>
          </w:p>
        </w:tc>
      </w:tr>
      <w:tr>
        <w:trPr/>
        <w:tc>
          <w:tcPr>
            <w:tcW w:w="3014"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210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6" w:type="dxa"/>
            <w:tcBorders/>
            <w:shd w:fill="auto" w:val="clear"/>
            <w:vAlign w:val="bottom"/>
          </w:tcPr>
          <w:p>
            <w:pPr>
              <w:pStyle w:val="TableContents"/>
              <w:spacing w:before="0" w:after="0"/>
              <w:ind w:left="0" w:right="0" w:hanging="0"/>
              <w:jc w:val="center"/>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28" w:type="dxa"/>
            <w:gridSpan w:val="2"/>
            <w:tcBorders/>
            <w:shd w:fill="auto" w:val="clear"/>
            <w:vAlign w:val="bottom"/>
          </w:tcPr>
          <w:p>
            <w:pPr>
              <w:pStyle w:val="TableContents"/>
              <w:spacing w:before="0" w:after="0"/>
              <w:ind w:left="0" w:right="0" w:hanging="0"/>
              <w:jc w:val="center"/>
              <w:rPr/>
            </w:pPr>
            <w:r>
              <w:rPr/>
              <w:t> </w:t>
            </w:r>
          </w:p>
        </w:tc>
        <w:tc>
          <w:tcPr>
            <w:tcW w:w="210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Location</w:t>
            </w:r>
          </w:p>
        </w:tc>
        <w:tc>
          <w:tcPr>
            <w:tcW w:w="196" w:type="dxa"/>
            <w:tcBorders/>
            <w:shd w:fill="auto" w:val="clear"/>
            <w:vAlign w:val="bottom"/>
          </w:tcPr>
          <w:p>
            <w:pPr>
              <w:pStyle w:val="TableContents"/>
              <w:spacing w:before="0" w:after="0"/>
              <w:ind w:left="0" w:right="0" w:hanging="0"/>
              <w:jc w:val="center"/>
              <w:rPr/>
            </w:pPr>
            <w:r>
              <w:rPr/>
              <w:t> </w:t>
            </w:r>
          </w:p>
        </w:tc>
        <w:tc>
          <w:tcPr>
            <w:tcW w:w="10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136" w:type="dxa"/>
            <w:tcBorders/>
            <w:shd w:fill="auto" w:val="clear"/>
            <w:vAlign w:val="bottom"/>
          </w:tcPr>
          <w:p>
            <w:pPr>
              <w:pStyle w:val="TableContents"/>
              <w:spacing w:before="0" w:after="0"/>
              <w:ind w:left="0" w:right="0" w:hanging="0"/>
              <w:jc w:val="center"/>
              <w:rPr/>
            </w:pPr>
            <w:r>
              <w:rPr/>
              <w:t> </w:t>
            </w:r>
          </w:p>
        </w:tc>
      </w:tr>
      <w:tr>
        <w:trPr/>
        <w:tc>
          <w:tcPr>
            <w:tcW w:w="301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designated as hedging instruments:</w:t>
            </w:r>
          </w:p>
        </w:tc>
        <w:tc>
          <w:tcPr>
            <w:tcW w:w="196"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1013"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30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6"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6"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6"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4"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sz w:val="17"/>
              </w:rPr>
            </w:pPr>
            <w:r>
              <w:rPr>
                <w:sz w:val="17"/>
              </w:rPr>
              <w:t>Other long-term assets</w:t>
            </w:r>
          </w:p>
        </w:tc>
        <w:tc>
          <w:tcPr>
            <w:tcW w:w="196"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6" w:type="dxa"/>
            <w:tcBorders/>
            <w:shd w:fill="CCEEFF" w:val="clear"/>
            <w:vAlign w:val="bottom"/>
          </w:tcPr>
          <w:p>
            <w:pPr>
              <w:pStyle w:val="TableContents"/>
              <w:spacing w:before="0" w:after="0"/>
              <w:ind w:left="0" w:right="0" w:hanging="0"/>
              <w:rPr/>
            </w:pPr>
            <w:r>
              <w:rPr/>
              <w:t> </w:t>
            </w:r>
          </w:p>
        </w:tc>
        <w:tc>
          <w:tcPr>
            <w:tcW w:w="10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96"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6" w:type="dxa"/>
            <w:tcBorders/>
            <w:shd w:fill="auto" w:val="clear"/>
            <w:vAlign w:val="bottom"/>
          </w:tcPr>
          <w:p>
            <w:pPr>
              <w:pStyle w:val="TableContents"/>
              <w:spacing w:before="0" w:after="0"/>
              <w:ind w:left="0" w:right="0" w:hanging="0"/>
              <w:rPr/>
            </w:pPr>
            <w:r>
              <w:rPr/>
              <w:t> </w:t>
            </w:r>
          </w:p>
        </w:tc>
        <w:tc>
          <w:tcPr>
            <w:tcW w:w="10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4" w:type="dxa"/>
            <w:tcBorders/>
            <w:shd w:fill="CCEEFF" w:val="clear"/>
            <w:vAlign w:val="bottom"/>
          </w:tcPr>
          <w:p>
            <w:pPr>
              <w:pStyle w:val="TableContents"/>
              <w:spacing w:before="0" w:after="0"/>
              <w:ind w:left="0" w:right="0" w:hanging="0"/>
              <w:jc w:val="right"/>
              <w:rPr/>
            </w:pPr>
            <w:r>
              <w:rPr/>
              <w:t> </w:t>
            </w:r>
          </w:p>
        </w:tc>
        <w:tc>
          <w:tcPr>
            <w:tcW w:w="196"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101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10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30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designated as hedging instruments</w:t>
            </w:r>
          </w:p>
        </w:tc>
        <w:tc>
          <w:tcPr>
            <w:tcW w:w="196"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16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4"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1013" w:type="dxa"/>
            <w:gridSpan w:val="2"/>
            <w:tcBorders/>
            <w:shd w:fill="CCEEFF" w:val="clear"/>
            <w:vAlign w:val="bottom"/>
          </w:tcPr>
          <w:p>
            <w:pPr>
              <w:pStyle w:val="TableContents"/>
              <w:spacing w:before="0" w:after="0"/>
              <w:ind w:left="0" w:right="0" w:hanging="0"/>
              <w:jc w:val="right"/>
              <w:rPr/>
            </w:pPr>
            <w:r>
              <w:rPr/>
              <w:t> </w:t>
            </w:r>
          </w:p>
        </w:tc>
        <w:tc>
          <w:tcPr>
            <w:tcW w:w="136" w:type="dxa"/>
            <w:tcBorders/>
            <w:shd w:fill="CCEEFF" w:val="clear"/>
            <w:vAlign w:val="bottom"/>
          </w:tcPr>
          <w:p>
            <w:pPr>
              <w:pStyle w:val="TableContents"/>
              <w:spacing w:before="0" w:after="0"/>
              <w:ind w:left="0" w:right="0" w:hanging="0"/>
              <w:rPr/>
            </w:pPr>
            <w:r>
              <w:rPr/>
              <w:t> </w:t>
            </w:r>
          </w:p>
        </w:tc>
      </w:tr>
      <w:tr>
        <w:trPr/>
        <w:tc>
          <w:tcPr>
            <w:tcW w:w="3014"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Derivatives not designated as hedging instruments:</w:t>
            </w:r>
          </w:p>
        </w:tc>
        <w:tc>
          <w:tcPr>
            <w:tcW w:w="196"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pPr>
            <w:r>
              <w:rPr/>
              <w:t> </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1013" w:type="dxa"/>
            <w:gridSpan w:val="2"/>
            <w:tcBorders/>
            <w:shd w:fill="auto" w:val="cle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30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96"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6"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6"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4"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sz w:val="17"/>
              </w:rPr>
            </w:pPr>
            <w:r>
              <w:rPr>
                <w:sz w:val="17"/>
              </w:rPr>
              <w:t>Other long-term assets</w:t>
            </w:r>
          </w:p>
        </w:tc>
        <w:tc>
          <w:tcPr>
            <w:tcW w:w="196" w:type="dxa"/>
            <w:tcBorders/>
            <w:shd w:fill="auto" w:val="clear"/>
            <w:vAlign w:val="bottom"/>
          </w:tcPr>
          <w:p>
            <w:pPr>
              <w:pStyle w:val="TableContents"/>
              <w:spacing w:before="0" w:after="0"/>
              <w:ind w:left="0" w:right="0" w:hanging="0"/>
              <w:rPr/>
            </w:pPr>
            <w:r>
              <w:rPr/>
              <w:t> </w:t>
            </w:r>
          </w:p>
        </w:tc>
        <w:tc>
          <w:tcPr>
            <w:tcW w:w="10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96" w:type="dxa"/>
            <w:tcBorders/>
            <w:shd w:fill="auto" w:val="clear"/>
            <w:vAlign w:val="bottom"/>
          </w:tcPr>
          <w:p>
            <w:pPr>
              <w:pStyle w:val="TableContents"/>
              <w:spacing w:before="0" w:after="0"/>
              <w:ind w:left="0" w:right="0" w:hanging="0"/>
              <w:rPr/>
            </w:pPr>
            <w:r>
              <w:rPr/>
              <w:t> </w:t>
            </w:r>
          </w:p>
        </w:tc>
        <w:tc>
          <w:tcPr>
            <w:tcW w:w="10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4"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sz w:val="17"/>
              </w:rPr>
            </w:pPr>
            <w:r>
              <w:rPr>
                <w:sz w:val="17"/>
              </w:rPr>
              <w:t>Other current liabilities</w:t>
            </w:r>
          </w:p>
        </w:tc>
        <w:tc>
          <w:tcPr>
            <w:tcW w:w="196" w:type="dxa"/>
            <w:tcBorders/>
            <w:shd w:fill="CCEEFF" w:val="clear"/>
            <w:vAlign w:val="bottom"/>
          </w:tcPr>
          <w:p>
            <w:pPr>
              <w:pStyle w:val="TableContents"/>
              <w:spacing w:before="0" w:after="0"/>
              <w:ind w:left="0" w:right="0" w:hanging="0"/>
              <w:rPr/>
            </w:pPr>
            <w:r>
              <w:rPr/>
              <w:t> </w:t>
            </w:r>
          </w:p>
        </w:tc>
        <w:tc>
          <w:tcPr>
            <w:tcW w:w="10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6" w:type="dxa"/>
            <w:tcBorders/>
            <w:shd w:fill="CCEEFF" w:val="clear"/>
            <w:vAlign w:val="bottom"/>
          </w:tcPr>
          <w:p>
            <w:pPr>
              <w:pStyle w:val="TableContents"/>
              <w:spacing w:before="0" w:after="0"/>
              <w:ind w:left="0" w:right="0" w:hanging="0"/>
              <w:rPr/>
            </w:pPr>
            <w:r>
              <w:rPr/>
              <w:t> </w:t>
            </w:r>
          </w:p>
        </w:tc>
        <w:tc>
          <w:tcPr>
            <w:tcW w:w="10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4"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sz w:val="17"/>
              </w:rPr>
            </w:pPr>
            <w:r>
              <w:rPr>
                <w:sz w:val="17"/>
              </w:rPr>
              <w:t>Other long-term liabilities</w:t>
            </w:r>
          </w:p>
        </w:tc>
        <w:tc>
          <w:tcPr>
            <w:tcW w:w="196" w:type="dxa"/>
            <w:tcBorders/>
            <w:shd w:fill="auto" w:val="clear"/>
            <w:vAlign w:val="bottom"/>
          </w:tcPr>
          <w:p>
            <w:pPr>
              <w:pStyle w:val="TableContents"/>
              <w:spacing w:before="0" w:after="0"/>
              <w:ind w:left="0" w:right="0" w:hanging="0"/>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96" w:type="dxa"/>
            <w:tcBorders/>
            <w:shd w:fill="auto" w:val="clear"/>
            <w:vAlign w:val="bottom"/>
          </w:tcPr>
          <w:p>
            <w:pPr>
              <w:pStyle w:val="TableContents"/>
              <w:spacing w:before="0" w:after="0"/>
              <w:ind w:left="0" w:right="0" w:hanging="0"/>
              <w:rPr/>
            </w:pPr>
            <w:r>
              <w:rPr/>
              <w:t> </w:t>
            </w:r>
          </w:p>
        </w:tc>
        <w:tc>
          <w:tcPr>
            <w:tcW w:w="10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 not designated as hedging instruments</w:t>
            </w:r>
          </w:p>
        </w:tc>
        <w:tc>
          <w:tcPr>
            <w:tcW w:w="196"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14" w:type="dxa"/>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1014" w:type="dxa"/>
            <w:gridSpan w:val="2"/>
            <w:tcBorders>
              <w:top w:val="double" w:sz="6" w:space="0" w:color="000000"/>
            </w:tcBorders>
            <w:shd w:fill="auto" w:val="clear"/>
            <w:tcMar>
              <w:top w:w="28" w:type="dxa"/>
            </w:tcMar>
            <w:vAlign w:val="bottom"/>
          </w:tcPr>
          <w:p>
            <w:pPr>
              <w:pStyle w:val="TableContents"/>
              <w:spacing w:before="0" w:after="0"/>
              <w:ind w:left="0" w:right="0" w:hanging="0"/>
              <w:jc w:val="right"/>
              <w:rPr/>
            </w:pPr>
            <w:r>
              <w:rPr/>
              <w:t> </w:t>
            </w:r>
          </w:p>
        </w:tc>
        <w:tc>
          <w:tcPr>
            <w:tcW w:w="114" w:type="dxa"/>
            <w:tcBorders>
              <w:right w:val="double" w:sz="6" w:space="0" w:color="000000"/>
            </w:tcBorders>
            <w:shd w:fill="auto" w:val="clear"/>
            <w:tcMar>
              <w:right w:w="28" w:type="dxa"/>
            </w:tcM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2106"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1013" w:type="dxa"/>
            <w:gridSpan w:val="2"/>
            <w:tcBorders>
              <w:top w:val="double" w:sz="6" w:space="0" w:color="000000"/>
            </w:tcBorders>
            <w:shd w:fill="auto" w:val="clear"/>
            <w:tcMar>
              <w:top w:w="28" w:type="dxa"/>
            </w:tcMar>
            <w:vAlign w:val="bottom"/>
          </w:tcPr>
          <w:p>
            <w:pPr>
              <w:pStyle w:val="TableContents"/>
              <w:spacing w:before="0" w:after="0"/>
              <w:ind w:left="0" w:right="0" w:hanging="0"/>
              <w:jc w:val="right"/>
              <w:rPr/>
            </w:pPr>
            <w:r>
              <w:rPr/>
              <w:t> </w:t>
            </w:r>
          </w:p>
        </w:tc>
        <w:tc>
          <w:tcPr>
            <w:tcW w:w="136" w:type="dxa"/>
            <w:tcBorders/>
            <w:shd w:fill="auto" w:val="clear"/>
            <w:vAlign w:val="bottom"/>
          </w:tcPr>
          <w:p>
            <w:pPr>
              <w:pStyle w:val="TableContents"/>
              <w:spacing w:before="0" w:after="0"/>
              <w:ind w:left="0" w:right="0" w:hanging="0"/>
              <w:rPr/>
            </w:pPr>
            <w:r>
              <w:rPr/>
              <w:t> </w:t>
            </w:r>
          </w:p>
        </w:tc>
      </w:tr>
      <w:tr>
        <w:trPr/>
        <w:tc>
          <w:tcPr>
            <w:tcW w:w="30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derivatives</w:t>
            </w:r>
          </w:p>
        </w:tc>
        <w:tc>
          <w:tcPr>
            <w:tcW w:w="196"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14" w:type="dxa"/>
            <w:tcBorders>
              <w:right w:val="double" w:sz="6" w:space="0" w:color="000000"/>
            </w:tcBorders>
            <w:shd w:fill="CCEEFF" w:val="clear"/>
            <w:tcMar>
              <w:right w:w="28" w:type="dxa"/>
            </w:tcM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2106"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44" w:name="PB_23_131557_7056"/>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September 30, 2013, we had a net broker receivable of approximately $164 million (consisting of initial margin of $96 million increased by $68 million of variation margin that had been posted by us).  As of December 31, 2012, we had a net broker receivable of approximately $41 million (consisting of initial margin of $69 million reduced by $28 million of variation margin that had been returned to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information about derivatives and financial assets and liabilities that are subject to offsetting, including enforceable master netting arrangements at September 30, 2013 and December 31, 2012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329"/>
        <w:gridCol w:w="173"/>
        <w:gridCol w:w="256"/>
        <w:gridCol w:w="1152"/>
        <w:gridCol w:w="204"/>
        <w:gridCol w:w="271"/>
        <w:gridCol w:w="1309"/>
        <w:gridCol w:w="189"/>
        <w:gridCol w:w="256"/>
        <w:gridCol w:w="1151"/>
        <w:gridCol w:w="201"/>
        <w:gridCol w:w="271"/>
        <w:gridCol w:w="1309"/>
        <w:gridCol w:w="134"/>
      </w:tblGrid>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319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189" w:type="dxa"/>
            <w:tcBorders/>
            <w:shd w:fill="auto" w:val="clear"/>
            <w:vAlign w:val="bottom"/>
          </w:tcPr>
          <w:p>
            <w:pPr>
              <w:pStyle w:val="TableContents"/>
              <w:spacing w:before="0" w:after="0"/>
              <w:ind w:left="0" w:right="0" w:hanging="0"/>
              <w:jc w:val="center"/>
              <w:rPr/>
            </w:pPr>
            <w:r>
              <w:rPr/>
              <w:t> </w:t>
            </w:r>
          </w:p>
        </w:tc>
        <w:tc>
          <w:tcPr>
            <w:tcW w:w="31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34" w:type="dxa"/>
            <w:tcBorders/>
            <w:shd w:fill="auto" w:val="clear"/>
            <w:vAlign w:val="bottom"/>
          </w:tcPr>
          <w:p>
            <w:pPr>
              <w:pStyle w:val="TableContents"/>
              <w:spacing w:before="0" w:after="0"/>
              <w:ind w:left="0" w:right="0" w:hanging="0"/>
              <w:jc w:val="center"/>
              <w:rPr/>
            </w:pPr>
            <w:r>
              <w:rPr/>
              <w:t> </w:t>
            </w:r>
          </w:p>
        </w:tc>
      </w:tr>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4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8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189" w:type="dxa"/>
            <w:tcBorders/>
            <w:shd w:fill="auto" w:val="clear"/>
            <w:vAlign w:val="bottom"/>
          </w:tcPr>
          <w:p>
            <w:pPr>
              <w:pStyle w:val="TableContents"/>
              <w:spacing w:before="0" w:after="0"/>
              <w:ind w:left="0" w:right="0" w:hanging="0"/>
              <w:jc w:val="center"/>
              <w:rPr/>
            </w:pPr>
            <w:r>
              <w:rPr/>
              <w:t> </w:t>
            </w:r>
          </w:p>
        </w:tc>
        <w:tc>
          <w:tcPr>
            <w:tcW w:w="140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20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80"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Derivative</w:t>
            </w:r>
          </w:p>
        </w:tc>
        <w:tc>
          <w:tcPr>
            <w:tcW w:w="134" w:type="dxa"/>
            <w:tcBorders/>
            <w:shd w:fill="auto" w:val="clear"/>
            <w:vAlign w:val="bottom"/>
          </w:tcPr>
          <w:p>
            <w:pPr>
              <w:pStyle w:val="TableContents"/>
              <w:spacing w:before="0" w:after="0"/>
              <w:ind w:left="0" w:right="0" w:hanging="0"/>
              <w:jc w:val="center"/>
              <w:rPr/>
            </w:pPr>
            <w:r>
              <w:rPr/>
              <w:t> </w:t>
            </w:r>
          </w:p>
        </w:tc>
      </w:tr>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Positions</w:t>
            </w:r>
          </w:p>
        </w:tc>
        <w:tc>
          <w:tcPr>
            <w:tcW w:w="204" w:type="dxa"/>
            <w:tcBorders/>
            <w:shd w:fill="auto" w:val="clear"/>
            <w:vAlign w:val="bottom"/>
          </w:tcPr>
          <w:p>
            <w:pPr>
              <w:pStyle w:val="TableContents"/>
              <w:spacing w:before="0" w:after="0"/>
              <w:ind w:left="0" w:right="0" w:hanging="0"/>
              <w:jc w:val="center"/>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Positions</w:t>
            </w:r>
          </w:p>
        </w:tc>
        <w:tc>
          <w:tcPr>
            <w:tcW w:w="189" w:type="dxa"/>
            <w:tcBorders/>
            <w:shd w:fill="auto" w:val="clear"/>
            <w:vAlign w:val="bottom"/>
          </w:tcPr>
          <w:p>
            <w:pPr>
              <w:pStyle w:val="TableContents"/>
              <w:spacing w:before="0" w:after="0"/>
              <w:ind w:left="0" w:right="0" w:hanging="0"/>
              <w:jc w:val="center"/>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 Positions</w:t>
            </w:r>
          </w:p>
        </w:tc>
        <w:tc>
          <w:tcPr>
            <w:tcW w:w="201" w:type="dxa"/>
            <w:tcBorders/>
            <w:shd w:fill="auto" w:val="clear"/>
            <w:vAlign w:val="bottom"/>
          </w:tcPr>
          <w:p>
            <w:pPr>
              <w:pStyle w:val="TableContents"/>
              <w:spacing w:before="0" w:after="0"/>
              <w:ind w:left="0" w:right="0" w:hanging="0"/>
              <w:jc w:val="center"/>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Liability Positions</w:t>
            </w:r>
          </w:p>
        </w:tc>
        <w:tc>
          <w:tcPr>
            <w:tcW w:w="134" w:type="dxa"/>
            <w:tcBorders/>
            <w:shd w:fill="auto" w:val="clear"/>
            <w:vAlign w:val="bottom"/>
          </w:tcPr>
          <w:p>
            <w:pPr>
              <w:pStyle w:val="TableContents"/>
              <w:spacing w:before="0" w:after="0"/>
              <w:ind w:left="0" w:right="0" w:hanging="0"/>
              <w:jc w:val="center"/>
              <w:rPr/>
            </w:pPr>
            <w:r>
              <w:rPr/>
              <w:t> </w:t>
            </w:r>
          </w:p>
        </w:tc>
      </w:tr>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rPr/>
            </w:pPr>
            <w:r>
              <w:rPr/>
              <w:t> </w:t>
            </w:r>
          </w:p>
        </w:tc>
        <w:tc>
          <w:tcPr>
            <w:tcW w:w="140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pPr>
            <w:r>
              <w:rPr/>
              <w:t> </w:t>
            </w:r>
          </w:p>
        </w:tc>
        <w:tc>
          <w:tcPr>
            <w:tcW w:w="201"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3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Netting Adjustments:</w:t>
            </w:r>
          </w:p>
        </w:tc>
        <w:tc>
          <w:tcPr>
            <w:tcW w:w="173"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pPr>
            <w:r>
              <w:rPr/>
              <w:t> </w:t>
            </w:r>
          </w:p>
        </w:tc>
        <w:tc>
          <w:tcPr>
            <w:tcW w:w="201"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3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Gross position - asset/(liability)</w:t>
            </w:r>
          </w:p>
        </w:tc>
        <w:tc>
          <w:tcPr>
            <w:tcW w:w="173" w:type="dxa"/>
            <w:tcBorders/>
            <w:shd w:fill="auto" w:val="clear"/>
            <w:vAlign w:val="bottom"/>
          </w:tcPr>
          <w:p>
            <w:pPr>
              <w:pStyle w:val="TableContents"/>
              <w:spacing w:before="0" w:after="0"/>
              <w:ind w:left="0" w:right="0" w:hanging="0"/>
              <w:rPr/>
            </w:pPr>
            <w:r>
              <w:rPr/>
              <w:t> </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04"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01"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Netting adjustment</w:t>
            </w:r>
          </w:p>
        </w:tc>
        <w:tc>
          <w:tcPr>
            <w:tcW w:w="173"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9"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134" w:type="dxa"/>
            <w:tcBorders/>
            <w:shd w:fill="CCEEFF" w:val="clear"/>
            <w:vAlign w:val="bottom"/>
          </w:tcPr>
          <w:p>
            <w:pPr>
              <w:pStyle w:val="TableContents"/>
              <w:spacing w:before="0" w:after="0"/>
              <w:ind w:left="0" w:right="0" w:hanging="0"/>
              <w:rPr/>
            </w:pPr>
            <w:r>
              <w:rPr/>
              <w:t> </w:t>
            </w:r>
          </w:p>
        </w:tc>
      </w:tr>
      <w:tr>
        <w:trPr/>
        <w:tc>
          <w:tcPr>
            <w:tcW w:w="3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collateral paid</w:t>
            </w:r>
          </w:p>
        </w:tc>
        <w:tc>
          <w:tcPr>
            <w:tcW w:w="173" w:type="dxa"/>
            <w:tcBorders/>
            <w:shd w:fill="auto" w:val="clear"/>
            <w:vAlign w:val="bottom"/>
          </w:tcPr>
          <w:p>
            <w:pPr>
              <w:pStyle w:val="TableContents"/>
              <w:spacing w:before="0" w:after="0"/>
              <w:ind w:left="0" w:right="0" w:hanging="0"/>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04" w:type="dxa"/>
            <w:tcBorders/>
            <w:shd w:fill="auto" w:val="clear"/>
            <w:vAlign w:val="bottom"/>
          </w:tcPr>
          <w:p>
            <w:pPr>
              <w:pStyle w:val="TableContents"/>
              <w:spacing w:before="0" w:after="0"/>
              <w:ind w:left="0" w:right="0" w:hanging="0"/>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40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1" w:type="dxa"/>
            <w:tcBorders/>
            <w:shd w:fill="auto" w:val="clear"/>
            <w:vAlign w:val="bottom"/>
          </w:tcPr>
          <w:p>
            <w:pPr>
              <w:pStyle w:val="TableContents"/>
              <w:spacing w:before="0" w:after="0"/>
              <w:ind w:left="0" w:right="0" w:hanging="0"/>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auto" w:val="clear"/>
            <w:vAlign w:val="bottom"/>
          </w:tcPr>
          <w:p>
            <w:pPr>
              <w:pStyle w:val="TableContents"/>
              <w:spacing w:before="0" w:after="0"/>
              <w:ind w:left="0" w:right="0" w:hanging="0"/>
              <w:rPr/>
            </w:pPr>
            <w:r>
              <w:rPr/>
              <w:t> </w:t>
            </w:r>
          </w:p>
        </w:tc>
      </w:tr>
      <w:tr>
        <w:trPr/>
        <w:tc>
          <w:tcPr>
            <w:tcW w:w="3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position - asset/(liability)</w:t>
            </w:r>
          </w:p>
        </w:tc>
        <w:tc>
          <w:tcPr>
            <w:tcW w:w="173" w:type="dxa"/>
            <w:tcBorders/>
            <w:shd w:fill="CCEEFF" w:val="clear"/>
            <w:vAlign w:val="bottom"/>
          </w:tcPr>
          <w:p>
            <w:pPr>
              <w:pStyle w:val="TableContents"/>
              <w:spacing w:before="0" w:after="0"/>
              <w:ind w:left="0" w:right="0" w:hanging="0"/>
              <w:rPr/>
            </w:pPr>
            <w:r>
              <w:rPr/>
              <w:t> </w:t>
            </w:r>
          </w:p>
        </w:tc>
        <w:tc>
          <w:tcPr>
            <w:tcW w:w="2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4" w:type="dxa"/>
            <w:tcBorders/>
            <w:shd w:fill="CCEEFF" w:val="clear"/>
            <w:vAlign w:val="bottom"/>
          </w:tcPr>
          <w:p>
            <w:pPr>
              <w:pStyle w:val="TableContents"/>
              <w:spacing w:before="0" w:after="0"/>
              <w:ind w:left="0" w:right="0" w:hanging="0"/>
              <w:rPr/>
            </w:pPr>
            <w:r>
              <w:rPr/>
              <w:t> </w:t>
            </w:r>
          </w:p>
        </w:tc>
        <w:tc>
          <w:tcPr>
            <w:tcW w:w="27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1" w:type="dxa"/>
            <w:tcBorders/>
            <w:shd w:fill="CCEEFF" w:val="clear"/>
            <w:vAlign w:val="bottom"/>
          </w:tcPr>
          <w:p>
            <w:pPr>
              <w:pStyle w:val="TableContents"/>
              <w:spacing w:before="0" w:after="0"/>
              <w:ind w:left="0" w:right="0" w:hanging="0"/>
              <w:rPr/>
            </w:pPr>
            <w:r>
              <w:rPr/>
              <w:t> </w:t>
            </w:r>
          </w:p>
        </w:tc>
        <w:tc>
          <w:tcPr>
            <w:tcW w:w="27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rPr/>
            </w:pPr>
            <w:r>
              <w:rPr/>
              <w:t> </w:t>
            </w:r>
          </w:p>
        </w:tc>
        <w:tc>
          <w:tcPr>
            <w:tcW w:w="1408"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407" w:type="dxa"/>
            <w:gridSpan w:val="2"/>
            <w:tcBorders/>
            <w:shd w:fill="auto" w:val="clear"/>
            <w:vAlign w:val="bottom"/>
          </w:tcPr>
          <w:p>
            <w:pPr>
              <w:pStyle w:val="TableContents"/>
              <w:spacing w:before="0" w:after="0"/>
              <w:ind w:left="0" w:right="0" w:hanging="0"/>
              <w:jc w:val="right"/>
              <w:rPr/>
            </w:pPr>
            <w:r>
              <w:rPr/>
              <w:t> </w:t>
            </w:r>
          </w:p>
        </w:tc>
        <w:tc>
          <w:tcPr>
            <w:tcW w:w="201"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r>
      <w:tr>
        <w:trPr/>
        <w:tc>
          <w:tcPr>
            <w:tcW w:w="332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Balance Sheet Location After Netting Adjustments:</w:t>
            </w:r>
          </w:p>
        </w:tc>
        <w:tc>
          <w:tcPr>
            <w:tcW w:w="173"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pPr>
            <w:r>
              <w:rPr/>
              <w:t> </w:t>
            </w:r>
          </w:p>
        </w:tc>
        <w:tc>
          <w:tcPr>
            <w:tcW w:w="201"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r>
      <w:tr>
        <w:trPr/>
        <w:tc>
          <w:tcPr>
            <w:tcW w:w="3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73" w:type="dxa"/>
            <w:tcBorders/>
            <w:shd w:fill="auto" w:val="clear"/>
            <w:vAlign w:val="bottom"/>
          </w:tcPr>
          <w:p>
            <w:pPr>
              <w:pStyle w:val="TableContents"/>
              <w:spacing w:before="0" w:after="0"/>
              <w:ind w:left="0" w:right="0" w:hanging="0"/>
              <w:rPr/>
            </w:pPr>
            <w:r>
              <w:rPr/>
              <w:t> </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04"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2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01" w:type="dxa"/>
            <w:tcBorders/>
            <w:shd w:fill="auto" w:val="clear"/>
            <w:vAlign w:val="bottom"/>
          </w:tcPr>
          <w:p>
            <w:pPr>
              <w:pStyle w:val="TableContents"/>
              <w:spacing w:before="0" w:after="0"/>
              <w:ind w:left="0" w:right="0" w:hanging="0"/>
              <w:rPr/>
            </w:pPr>
            <w:r>
              <w:rPr/>
              <w:t> </w:t>
            </w:r>
          </w:p>
        </w:tc>
        <w:tc>
          <w:tcPr>
            <w:tcW w:w="2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auto" w:val="clear"/>
            <w:vAlign w:val="bottom"/>
          </w:tcPr>
          <w:p>
            <w:pPr>
              <w:pStyle w:val="TableContents"/>
              <w:spacing w:before="0" w:after="0"/>
              <w:ind w:left="0" w:right="0" w:hanging="0"/>
              <w:rPr/>
            </w:pPr>
            <w:r>
              <w:rPr/>
              <w:t> </w:t>
            </w:r>
          </w:p>
        </w:tc>
      </w:tr>
      <w:tr>
        <w:trPr/>
        <w:tc>
          <w:tcPr>
            <w:tcW w:w="3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173" w:type="dxa"/>
            <w:tcBorders/>
            <w:shd w:fill="CCEEFF" w:val="clear"/>
            <w:vAlign w:val="bottom"/>
          </w:tcPr>
          <w:p>
            <w:pPr>
              <w:pStyle w:val="TableContents"/>
              <w:spacing w:before="0" w:after="0"/>
              <w:ind w:left="0" w:right="0" w:hanging="0"/>
              <w:rPr/>
            </w:pPr>
            <w:r>
              <w:rPr/>
              <w:t> </w:t>
            </w:r>
          </w:p>
        </w:tc>
        <w:tc>
          <w:tcPr>
            <w:tcW w:w="14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4"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40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1" w:type="dxa"/>
            <w:tcBorders/>
            <w:shd w:fill="CCEEFF" w:val="clear"/>
            <w:vAlign w:val="bottom"/>
          </w:tcPr>
          <w:p>
            <w:pPr>
              <w:pStyle w:val="TableContents"/>
              <w:spacing w:before="0" w:after="0"/>
              <w:ind w:left="0" w:right="0" w:hanging="0"/>
              <w:rPr/>
            </w:pPr>
            <w:r>
              <w:rPr/>
              <w:t> </w:t>
            </w:r>
          </w:p>
        </w:tc>
        <w:tc>
          <w:tcPr>
            <w:tcW w:w="15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CCEEFF" w:val="clear"/>
            <w:vAlign w:val="bottom"/>
          </w:tcPr>
          <w:p>
            <w:pPr>
              <w:pStyle w:val="TableContents"/>
              <w:spacing w:before="0" w:after="0"/>
              <w:ind w:left="0" w:right="0" w:hanging="0"/>
              <w:rPr/>
            </w:pPr>
            <w:r>
              <w:rPr/>
              <w:t> </w:t>
            </w:r>
          </w:p>
        </w:tc>
      </w:tr>
      <w:tr>
        <w:trPr/>
        <w:tc>
          <w:tcPr>
            <w:tcW w:w="33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73" w:type="dxa"/>
            <w:tcBorders/>
            <w:shd w:fill="auto" w:val="clear"/>
            <w:vAlign w:val="bottom"/>
          </w:tcPr>
          <w:p>
            <w:pPr>
              <w:pStyle w:val="TableContents"/>
              <w:spacing w:before="0" w:after="0"/>
              <w:ind w:left="0" w:right="0" w:hanging="0"/>
              <w:rPr/>
            </w:pPr>
            <w:r>
              <w:rPr/>
              <w:t> </w:t>
            </w:r>
          </w:p>
        </w:tc>
        <w:tc>
          <w:tcPr>
            <w:tcW w:w="14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1" w:type="dxa"/>
            <w:tcBorders/>
            <w:shd w:fill="auto" w:val="clear"/>
            <w:vAlign w:val="bottom"/>
          </w:tcPr>
          <w:p>
            <w:pPr>
              <w:pStyle w:val="TableContents"/>
              <w:spacing w:before="0" w:after="0"/>
              <w:ind w:left="0" w:right="0" w:hanging="0"/>
              <w:rPr/>
            </w:pPr>
            <w:r>
              <w:rPr/>
              <w:t> </w:t>
            </w:r>
          </w:p>
        </w:tc>
        <w:tc>
          <w:tcPr>
            <w:tcW w:w="15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173" w:type="dxa"/>
            <w:tcBorders/>
            <w:shd w:fill="CCEEFF" w:val="clear"/>
            <w:vAlign w:val="bottom"/>
          </w:tcPr>
          <w:p>
            <w:pPr>
              <w:pStyle w:val="TableContents"/>
              <w:spacing w:before="0" w:after="0"/>
              <w:ind w:left="0" w:right="0" w:hanging="0"/>
              <w:rPr/>
            </w:pPr>
            <w:r>
              <w:rPr/>
              <w:t> </w:t>
            </w:r>
          </w:p>
        </w:tc>
        <w:tc>
          <w:tcPr>
            <w:tcW w:w="140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5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0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1" w:type="dxa"/>
            <w:tcBorders/>
            <w:shd w:fill="CCEEFF" w:val="clear"/>
            <w:vAlign w:val="bottom"/>
          </w:tcPr>
          <w:p>
            <w:pPr>
              <w:pStyle w:val="TableContents"/>
              <w:spacing w:before="0" w:after="0"/>
              <w:ind w:left="0" w:right="0" w:hanging="0"/>
              <w:rPr/>
            </w:pPr>
            <w:r>
              <w:rPr/>
              <w:t> </w:t>
            </w:r>
          </w:p>
        </w:tc>
        <w:tc>
          <w:tcPr>
            <w:tcW w:w="15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329"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rPr/>
            </w:pPr>
            <w:r>
              <w:rPr/>
              <w:t> </w:t>
            </w:r>
          </w:p>
        </w:tc>
        <w:tc>
          <w:tcPr>
            <w:tcW w:w="256" w:type="dxa"/>
            <w:tcBorders>
              <w:bottom w:val="double" w:sz="6" w:space="0" w:color="000000"/>
            </w:tcBorders>
            <w:shd w:fill="auto" w:val="clear"/>
            <w:tcMar>
              <w:bottom w:w="28" w:type="dxa"/>
            </w:tcMar>
            <w:vAlign w:val="bottom"/>
          </w:tcPr>
          <w:p>
            <w:pPr>
              <w:pStyle w:val="TableContents"/>
              <w:spacing w:before="0" w:after="0"/>
              <w:ind w:left="0" w:right="0" w:hanging="0"/>
              <w:rPr>
                <w:sz w:val="17"/>
              </w:rPr>
            </w:pPr>
            <w:r>
              <w:rPr>
                <w:sz w:val="17"/>
              </w:rPr>
              <w:t>$</w:t>
            </w:r>
          </w:p>
        </w:tc>
        <w:tc>
          <w:tcPr>
            <w:tcW w:w="11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4" w:type="dxa"/>
            <w:tcBorders/>
            <w:shd w:fill="auto" w:val="clear"/>
            <w:vAlign w:val="bottom"/>
          </w:tcPr>
          <w:p>
            <w:pPr>
              <w:pStyle w:val="TableContents"/>
              <w:spacing w:before="0" w:after="0"/>
              <w:ind w:left="0" w:right="0" w:hanging="0"/>
              <w:rPr/>
            </w:pPr>
            <w:r>
              <w:rPr/>
              <w:t> </w:t>
            </w:r>
          </w:p>
        </w:tc>
        <w:tc>
          <w:tcPr>
            <w:tcW w:w="2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5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01" w:type="dxa"/>
            <w:tcBorders/>
            <w:shd w:fill="auto" w:val="clear"/>
            <w:vAlign w:val="bottom"/>
          </w:tcPr>
          <w:p>
            <w:pPr>
              <w:pStyle w:val="TableContents"/>
              <w:spacing w:before="0" w:after="0"/>
              <w:ind w:left="0" w:right="0" w:hanging="0"/>
              <w:rPr/>
            </w:pPr>
            <w:r>
              <w:rPr/>
              <w:t> </w:t>
            </w:r>
          </w:p>
        </w:tc>
        <w:tc>
          <w:tcPr>
            <w:tcW w:w="2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2013, there was a net loss of approximately $104 million deferred in AOCI including tax effects.  The deferred net loss recorded in AOCI is expected to be reclassified to future earnings contemporaneously with (i) the earnings recognition of the underlying hedged commodity transaction, (ii) interest expense accruals associated with underlying debt instruments or (iii) the recognition of a foreign currency gain or loss upon the remeasurement of certain CAD-denominated intercompany balances.  Of the total net loss deferred in AOCI at September 30, 2013, we expect to reclassify a net loss of approximately $28 million to earnings in the next twelve months.  The remaining deferred loss of approximately $76 million is expected to be reclassified to earnings through 2045. A portion of these amounts are based on market prices as of September 30, 2013; thus, actual amounts to be reclassified will differ and could vary materially as a result of changes in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net deferred gain/(loss), including tax effects, recognized in AOCI for derivatives during the three and nine months ended September 30, 2013 and 2012 are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068"/>
        <w:gridCol w:w="209"/>
        <w:gridCol w:w="202"/>
        <w:gridCol w:w="1084"/>
        <w:gridCol w:w="237"/>
        <w:gridCol w:w="202"/>
        <w:gridCol w:w="1085"/>
        <w:gridCol w:w="209"/>
        <w:gridCol w:w="182"/>
        <w:gridCol w:w="1127"/>
        <w:gridCol w:w="226"/>
        <w:gridCol w:w="182"/>
        <w:gridCol w:w="1049"/>
        <w:gridCol w:w="143"/>
      </w:tblGrid>
      <w:tr>
        <w:trPr/>
        <w:tc>
          <w:tcPr>
            <w:tcW w:w="406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81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9" w:type="dxa"/>
            <w:tcBorders/>
            <w:shd w:fill="auto" w:val="clear"/>
            <w:vAlign w:val="bottom"/>
          </w:tcPr>
          <w:p>
            <w:pPr>
              <w:pStyle w:val="TableContents"/>
              <w:spacing w:before="0" w:after="0"/>
              <w:ind w:left="0" w:right="0" w:hanging="0"/>
              <w:jc w:val="center"/>
              <w:rPr/>
            </w:pPr>
            <w:r>
              <w:rPr/>
              <w:t> </w:t>
            </w:r>
          </w:p>
        </w:tc>
        <w:tc>
          <w:tcPr>
            <w:tcW w:w="276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43" w:type="dxa"/>
            <w:tcBorders/>
            <w:shd w:fill="auto" w:val="clear"/>
            <w:vAlign w:val="bottom"/>
          </w:tcPr>
          <w:p>
            <w:pPr>
              <w:pStyle w:val="TableContents"/>
              <w:spacing w:before="0" w:after="0"/>
              <w:ind w:left="0" w:right="0" w:hanging="0"/>
              <w:jc w:val="center"/>
              <w:rPr/>
            </w:pPr>
            <w:r>
              <w:rPr/>
              <w:t> </w:t>
            </w:r>
          </w:p>
        </w:tc>
      </w:tr>
      <w:tr>
        <w:trPr/>
        <w:tc>
          <w:tcPr>
            <w:tcW w:w="406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81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9" w:type="dxa"/>
            <w:tcBorders/>
            <w:shd w:fill="auto" w:val="clear"/>
            <w:vAlign w:val="bottom"/>
          </w:tcPr>
          <w:p>
            <w:pPr>
              <w:pStyle w:val="TableContents"/>
              <w:spacing w:before="0" w:after="0"/>
              <w:ind w:left="0" w:right="0" w:hanging="0"/>
              <w:jc w:val="center"/>
              <w:rPr/>
            </w:pPr>
            <w:r>
              <w:rPr/>
              <w:t> </w:t>
            </w:r>
          </w:p>
        </w:tc>
        <w:tc>
          <w:tcPr>
            <w:tcW w:w="276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43" w:type="dxa"/>
            <w:tcBorders/>
            <w:shd w:fill="auto" w:val="clear"/>
            <w:vAlign w:val="bottom"/>
          </w:tcPr>
          <w:p>
            <w:pPr>
              <w:pStyle w:val="TableContents"/>
              <w:spacing w:before="0" w:after="0"/>
              <w:ind w:left="0" w:right="0" w:hanging="0"/>
              <w:jc w:val="center"/>
              <w:rPr/>
            </w:pPr>
            <w:r>
              <w:rPr/>
              <w:t> </w:t>
            </w:r>
          </w:p>
        </w:tc>
      </w:tr>
      <w:tr>
        <w:trPr/>
        <w:tc>
          <w:tcPr>
            <w:tcW w:w="4068"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7" w:type="dxa"/>
            <w:tcBorders/>
            <w:shd w:fill="auto" w:val="clear"/>
            <w:vAlign w:val="bottom"/>
          </w:tcPr>
          <w:p>
            <w:pPr>
              <w:pStyle w:val="TableContents"/>
              <w:spacing w:before="0" w:after="0"/>
              <w:ind w:left="0" w:right="0" w:hanging="0"/>
              <w:jc w:val="center"/>
              <w:rPr/>
            </w:pPr>
            <w:r>
              <w:rPr/>
              <w:t> </w:t>
            </w:r>
          </w:p>
        </w:tc>
        <w:tc>
          <w:tcPr>
            <w:tcW w:w="128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9" w:type="dxa"/>
            <w:tcBorders/>
            <w:shd w:fill="auto" w:val="clear"/>
            <w:vAlign w:val="bottom"/>
          </w:tcPr>
          <w:p>
            <w:pPr>
              <w:pStyle w:val="TableContents"/>
              <w:spacing w:before="0" w:after="0"/>
              <w:ind w:left="0" w:right="0" w:hanging="0"/>
              <w:jc w:val="center"/>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3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43" w:type="dxa"/>
            <w:tcBorders/>
            <w:shd w:fill="auto" w:val="clear"/>
            <w:vAlign w:val="bottom"/>
          </w:tcPr>
          <w:p>
            <w:pPr>
              <w:pStyle w:val="TableContents"/>
              <w:spacing w:before="0" w:after="0"/>
              <w:ind w:left="0" w:right="0" w:hanging="0"/>
              <w:jc w:val="center"/>
              <w:rPr/>
            </w:pPr>
            <w:r>
              <w:rPr/>
              <w:t> </w:t>
            </w:r>
          </w:p>
        </w:tc>
      </w:tr>
      <w:tr>
        <w:trPr/>
        <w:tc>
          <w:tcPr>
            <w:tcW w:w="40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 net</w:t>
            </w:r>
          </w:p>
        </w:tc>
        <w:tc>
          <w:tcPr>
            <w:tcW w:w="209"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37" w:type="dxa"/>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9"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26"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43" w:type="dxa"/>
            <w:tcBorders/>
            <w:shd w:fill="CCEEFF" w:val="clear"/>
            <w:vAlign w:val="bottom"/>
          </w:tcPr>
          <w:p>
            <w:pPr>
              <w:pStyle w:val="TableContents"/>
              <w:spacing w:before="0" w:after="0"/>
              <w:ind w:left="0" w:right="0" w:hanging="0"/>
              <w:rPr/>
            </w:pPr>
            <w:r>
              <w:rPr/>
              <w:t> </w:t>
            </w:r>
          </w:p>
        </w:tc>
      </w:tr>
      <w:tr>
        <w:trPr/>
        <w:tc>
          <w:tcPr>
            <w:tcW w:w="40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 net</w:t>
            </w:r>
          </w:p>
        </w:tc>
        <w:tc>
          <w:tcPr>
            <w:tcW w:w="209" w:type="dxa"/>
            <w:tcBorders/>
            <w:shd w:fill="auto" w:val="clear"/>
            <w:vAlign w:val="bottom"/>
          </w:tcPr>
          <w:p>
            <w:pPr>
              <w:pStyle w:val="TableContents"/>
              <w:spacing w:before="0" w:after="0"/>
              <w:ind w:left="0" w:right="0" w:hanging="0"/>
              <w:rPr/>
            </w:pPr>
            <w:r>
              <w:rPr/>
              <w:t> </w:t>
            </w:r>
          </w:p>
        </w:tc>
        <w:tc>
          <w:tcPr>
            <w:tcW w:w="128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7" w:type="dxa"/>
            <w:tcBorders/>
            <w:shd w:fill="auto" w:val="clear"/>
            <w:vAlign w:val="bottom"/>
          </w:tcPr>
          <w:p>
            <w:pPr>
              <w:pStyle w:val="TableContents"/>
              <w:spacing w:before="0" w:after="0"/>
              <w:ind w:left="0" w:right="0" w:hanging="0"/>
              <w:rPr/>
            </w:pPr>
            <w:r>
              <w:rPr/>
              <w:t> </w:t>
            </w:r>
          </w:p>
        </w:tc>
        <w:tc>
          <w:tcPr>
            <w:tcW w:w="12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9" w:type="dxa"/>
            <w:tcBorders/>
            <w:shd w:fill="auto" w:val="clear"/>
            <w:vAlign w:val="bottom"/>
          </w:tcPr>
          <w:p>
            <w:pPr>
              <w:pStyle w:val="TableContents"/>
              <w:spacing w:before="0" w:after="0"/>
              <w:ind w:left="0" w:right="0" w:hanging="0"/>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26" w:type="dxa"/>
            <w:tcBorders/>
            <w:shd w:fill="auto" w:val="clear"/>
            <w:vAlign w:val="bottom"/>
          </w:tcPr>
          <w:p>
            <w:pPr>
              <w:pStyle w:val="TableContents"/>
              <w:spacing w:before="0" w:after="0"/>
              <w:ind w:left="0" w:right="0" w:hanging="0"/>
              <w:rPr/>
            </w:pPr>
            <w:r>
              <w:rPr/>
              <w:t> </w:t>
            </w:r>
          </w:p>
        </w:tc>
        <w:tc>
          <w:tcPr>
            <w:tcW w:w="123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9" w:type="dxa"/>
            <w:tcBorders/>
            <w:shd w:fill="CCEEFF" w:val="clear"/>
            <w:vAlign w:val="bottom"/>
          </w:tcPr>
          <w:p>
            <w:pPr>
              <w:pStyle w:val="TableContents"/>
              <w:spacing w:before="0" w:after="0"/>
              <w:ind w:left="0" w:right="0" w:hanging="0"/>
              <w:rPr/>
            </w:pPr>
            <w:r>
              <w:rPr/>
              <w:t> </w:t>
            </w:r>
          </w:p>
        </w:tc>
        <w:tc>
          <w:tcPr>
            <w:tcW w:w="20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37" w:type="dxa"/>
            <w:tcBorders/>
            <w:shd w:fill="CCEEFF" w:val="clear"/>
            <w:vAlign w:val="bottom"/>
          </w:tcPr>
          <w:p>
            <w:pPr>
              <w:pStyle w:val="TableContents"/>
              <w:spacing w:before="0" w:after="0"/>
              <w:ind w:left="0" w:right="0" w:hanging="0"/>
              <w:rPr/>
            </w:pPr>
            <w:r>
              <w:rPr/>
              <w:t> </w:t>
            </w:r>
          </w:p>
        </w:tc>
        <w:tc>
          <w:tcPr>
            <w:tcW w:w="20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9" w:type="dxa"/>
            <w:tcBorders/>
            <w:shd w:fill="CCEEFF" w:val="clear"/>
            <w:vAlign w:val="bottom"/>
          </w:tcPr>
          <w:p>
            <w:pPr>
              <w:pStyle w:val="TableContents"/>
              <w:spacing w:before="0" w:after="0"/>
              <w:ind w:left="0" w:right="0" w:hanging="0"/>
              <w:rPr/>
            </w:pPr>
            <w:r>
              <w:rPr/>
              <w:t> </w:t>
            </w:r>
          </w:p>
        </w:tc>
        <w:tc>
          <w:tcPr>
            <w:tcW w:w="1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26" w:type="dxa"/>
            <w:tcBorders/>
            <w:shd w:fill="CCEEFF" w:val="clear"/>
            <w:vAlign w:val="bottom"/>
          </w:tcPr>
          <w:p>
            <w:pPr>
              <w:pStyle w:val="TableContents"/>
              <w:spacing w:before="0" w:after="0"/>
              <w:ind w:left="0" w:right="0" w:hanging="0"/>
              <w:rPr/>
            </w:pPr>
            <w:r>
              <w:rPr/>
              <w:t> </w:t>
            </w:r>
          </w:p>
        </w:tc>
        <w:tc>
          <w:tcPr>
            <w:tcW w:w="1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4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2013 and December 31, 2012,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45" w:name="PB_24_131912_5335"/>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Recurring Fair Value Measurements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Derivative Financial Assets and Liabilities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by level within the fair value hierarchy our financial assets and liabilities that were accounted for at fair value on a recurring basis as of September 30, 2013 and December 31, 2012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2763"/>
        <w:gridCol w:w="147"/>
        <w:gridCol w:w="163"/>
        <w:gridCol w:w="519"/>
        <w:gridCol w:w="182"/>
        <w:gridCol w:w="163"/>
        <w:gridCol w:w="519"/>
        <w:gridCol w:w="182"/>
        <w:gridCol w:w="188"/>
        <w:gridCol w:w="468"/>
        <w:gridCol w:w="182"/>
        <w:gridCol w:w="163"/>
        <w:gridCol w:w="523"/>
        <w:gridCol w:w="112"/>
        <w:gridCol w:w="97"/>
        <w:gridCol w:w="228"/>
        <w:gridCol w:w="430"/>
        <w:gridCol w:w="178"/>
        <w:gridCol w:w="193"/>
        <w:gridCol w:w="513"/>
        <w:gridCol w:w="204"/>
        <w:gridCol w:w="228"/>
        <w:gridCol w:w="430"/>
        <w:gridCol w:w="178"/>
        <w:gridCol w:w="193"/>
        <w:gridCol w:w="517"/>
        <w:gridCol w:w="133"/>
      </w:tblGrid>
      <w:tr>
        <w:trPr/>
        <w:tc>
          <w:tcPr>
            <w:tcW w:w="2763"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jc w:val="center"/>
              <w:rPr/>
            </w:pPr>
            <w:r>
              <w:rPr/>
              <w:t> </w:t>
            </w:r>
          </w:p>
        </w:tc>
        <w:tc>
          <w:tcPr>
            <w:tcW w:w="325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September 30, 2013</w:t>
            </w:r>
          </w:p>
        </w:tc>
        <w:tc>
          <w:tcPr>
            <w:tcW w:w="112" w:type="dxa"/>
            <w:tcBorders>
              <w:right w:val="double" w:sz="4" w:space="0" w:color="000000"/>
            </w:tcBorders>
            <w:shd w:fill="auto" w:val="clear"/>
            <w:tcMar>
              <w:right w:w="28" w:type="dxa"/>
            </w:tcMar>
            <w:vAlign w:val="bottom"/>
          </w:tcPr>
          <w:p>
            <w:pPr>
              <w:pStyle w:val="TableContents"/>
              <w:spacing w:before="0" w:after="0"/>
              <w:ind w:left="0" w:right="0" w:hanging="0"/>
              <w:jc w:val="center"/>
              <w:rPr/>
            </w:pPr>
            <w:r>
              <w:rPr/>
              <w:t> </w:t>
            </w:r>
          </w:p>
        </w:tc>
        <w:tc>
          <w:tcPr>
            <w:tcW w:w="97" w:type="dxa"/>
            <w:tcBorders/>
            <w:shd w:fill="auto" w:val="clear"/>
            <w:vAlign w:val="bottom"/>
          </w:tcPr>
          <w:p>
            <w:pPr>
              <w:pStyle w:val="TableContents"/>
              <w:spacing w:before="0" w:after="0"/>
              <w:ind w:left="0" w:right="0" w:hanging="0"/>
              <w:jc w:val="center"/>
              <w:rPr/>
            </w:pPr>
            <w:r>
              <w:rPr/>
              <w:t> </w:t>
            </w:r>
          </w:p>
        </w:tc>
        <w:tc>
          <w:tcPr>
            <w:tcW w:w="329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 as of December 31, 2012</w:t>
            </w:r>
          </w:p>
        </w:tc>
        <w:tc>
          <w:tcPr>
            <w:tcW w:w="133" w:type="dxa"/>
            <w:tcBorders/>
            <w:shd w:fill="auto" w:val="clear"/>
            <w:vAlign w:val="bottom"/>
          </w:tcPr>
          <w:p>
            <w:pPr>
              <w:pStyle w:val="TableContents"/>
              <w:spacing w:before="0" w:after="0"/>
              <w:ind w:left="0" w:right="0" w:hanging="0"/>
              <w:jc w:val="center"/>
              <w:rPr/>
            </w:pPr>
            <w:r>
              <w:rPr/>
              <w:t> </w:t>
            </w:r>
          </w:p>
        </w:tc>
      </w:tr>
      <w:tr>
        <w:trPr/>
        <w:tc>
          <w:tcPr>
            <w:tcW w:w="2763"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Recurring Fair Value Measures </w:t>
            </w:r>
            <w:r>
              <w:rPr>
                <w:b/>
                <w:sz w:val="8"/>
              </w:rPr>
              <w:t>(1)</w:t>
            </w:r>
          </w:p>
        </w:tc>
        <w:tc>
          <w:tcPr>
            <w:tcW w:w="147" w:type="dxa"/>
            <w:tcBorders/>
            <w:shd w:fill="auto" w:val="clear"/>
            <w:vAlign w:val="bottom"/>
          </w:tcPr>
          <w:p>
            <w:pPr>
              <w:pStyle w:val="TableContents"/>
              <w:spacing w:before="0" w:after="0"/>
              <w:ind w:left="0" w:right="0" w:hanging="0"/>
              <w:jc w:val="center"/>
              <w:rPr/>
            </w:pPr>
            <w:r>
              <w:rPr/>
              <w:t> </w:t>
            </w:r>
          </w:p>
        </w:tc>
        <w:tc>
          <w:tcPr>
            <w:tcW w:w="6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1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8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8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12" w:type="dxa"/>
            <w:tcBorders>
              <w:right w:val="double" w:sz="4" w:space="0" w:color="000000"/>
            </w:tcBorders>
            <w:shd w:fill="auto" w:val="clear"/>
            <w:tcMar>
              <w:right w:w="28" w:type="dxa"/>
            </w:tcMar>
            <w:vAlign w:val="bottom"/>
          </w:tcPr>
          <w:p>
            <w:pPr>
              <w:pStyle w:val="TableContents"/>
              <w:spacing w:before="0" w:after="0"/>
              <w:ind w:left="0" w:right="0" w:hanging="0"/>
              <w:jc w:val="center"/>
              <w:rPr/>
            </w:pPr>
            <w:r>
              <w:rPr/>
              <w:t> </w:t>
            </w:r>
          </w:p>
        </w:tc>
        <w:tc>
          <w:tcPr>
            <w:tcW w:w="97" w:type="dxa"/>
            <w:tcBorders/>
            <w:shd w:fill="auto" w:val="clear"/>
            <w:vAlign w:val="bottom"/>
          </w:tcPr>
          <w:p>
            <w:pPr>
              <w:pStyle w:val="TableContents"/>
              <w:spacing w:before="0" w:after="0"/>
              <w:ind w:left="0" w:right="0" w:hanging="0"/>
              <w:jc w:val="center"/>
              <w:rPr/>
            </w:pPr>
            <w:r>
              <w:rPr/>
              <w:t> </w:t>
            </w:r>
          </w:p>
        </w:tc>
        <w:tc>
          <w:tcPr>
            <w:tcW w:w="6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1</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2</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Level 3</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1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33" w:type="dxa"/>
            <w:tcBorders/>
            <w:shd w:fill="auto" w:val="clear"/>
            <w:vAlign w:val="bottom"/>
          </w:tcPr>
          <w:p>
            <w:pPr>
              <w:pStyle w:val="TableContents"/>
              <w:spacing w:before="0" w:after="0"/>
              <w:ind w:left="0" w:right="0" w:hanging="0"/>
              <w:jc w:val="center"/>
              <w:rPr/>
            </w:pPr>
            <w:r>
              <w:rPr/>
              <w:t> </w:t>
            </w:r>
          </w:p>
        </w:tc>
      </w:tr>
      <w:tr>
        <w:trPr/>
        <w:tc>
          <w:tcPr>
            <w:tcW w:w="27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Commodity derivatives</w:t>
            </w:r>
          </w:p>
        </w:tc>
        <w:tc>
          <w:tcPr>
            <w:tcW w:w="147" w:type="dxa"/>
            <w:tcBorders/>
            <w:shd w:fill="CCEEFF" w:val="clear"/>
            <w:vAlign w:val="bottom"/>
          </w:tcPr>
          <w:p>
            <w:pPr>
              <w:pStyle w:val="TableContents"/>
              <w:spacing w:before="0" w:after="0"/>
              <w:ind w:left="0" w:right="0" w:hanging="0"/>
              <w:rPr/>
            </w:pPr>
            <w:r>
              <w:rPr/>
              <w:t> </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2" w:type="dxa"/>
            <w:tcBorders>
              <w:right w:val="double" w:sz="4"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 w:type="dxa"/>
            <w:tcBorders/>
            <w:shd w:fill="CCEEFF" w:val="clear"/>
            <w:vAlign w:val="bottom"/>
          </w:tcPr>
          <w:p>
            <w:pPr>
              <w:pStyle w:val="TableContents"/>
              <w:spacing w:before="0" w:after="0"/>
              <w:ind w:left="0" w:right="0" w:hanging="0"/>
              <w:rPr/>
            </w:pPr>
            <w:r>
              <w:rPr/>
              <w:t> </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8"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4" w:type="dxa"/>
            <w:tcBorders/>
            <w:shd w:fill="CCEEFF" w:val="clear"/>
            <w:vAlign w:val="bottom"/>
          </w:tcPr>
          <w:p>
            <w:pPr>
              <w:pStyle w:val="TableContents"/>
              <w:spacing w:before="0" w:after="0"/>
              <w:ind w:left="0" w:right="0" w:hanging="0"/>
              <w:rPr/>
            </w:pPr>
            <w:r>
              <w:rPr/>
              <w:t> </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8"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33" w:type="dxa"/>
            <w:tcBorders/>
            <w:shd w:fill="CCEEFF" w:val="clear"/>
            <w:vAlign w:val="bottom"/>
          </w:tcPr>
          <w:p>
            <w:pPr>
              <w:pStyle w:val="TableContents"/>
              <w:spacing w:before="0" w:after="0"/>
              <w:ind w:left="0" w:right="0" w:hanging="0"/>
              <w:rPr/>
            </w:pPr>
            <w:r>
              <w:rPr/>
              <w:t> </w:t>
            </w:r>
          </w:p>
        </w:tc>
      </w:tr>
      <w:tr>
        <w:trPr/>
        <w:tc>
          <w:tcPr>
            <w:tcW w:w="27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rate derivatives</w:t>
            </w:r>
          </w:p>
        </w:tc>
        <w:tc>
          <w:tcPr>
            <w:tcW w:w="147" w:type="dxa"/>
            <w:tcBorders/>
            <w:shd w:fill="auto" w:val="clear"/>
            <w:vAlign w:val="bottom"/>
          </w:tcPr>
          <w:p>
            <w:pPr>
              <w:pStyle w:val="TableContents"/>
              <w:spacing w:before="0" w:after="0"/>
              <w:ind w:left="0" w:right="0" w:hanging="0"/>
              <w:rPr/>
            </w:pPr>
            <w:r>
              <w:rPr/>
              <w:t> </w:t>
            </w:r>
          </w:p>
        </w:tc>
        <w:tc>
          <w:tcPr>
            <w:tcW w:w="6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68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82" w:type="dxa"/>
            <w:tcBorders/>
            <w:shd w:fill="auto" w:val="clear"/>
            <w:vAlign w:val="bottom"/>
          </w:tcPr>
          <w:p>
            <w:pPr>
              <w:pStyle w:val="TableContents"/>
              <w:spacing w:before="0" w:after="0"/>
              <w:ind w:left="0" w:right="0" w:hanging="0"/>
              <w:rPr/>
            </w:pPr>
            <w:r>
              <w:rPr/>
              <w:t> </w:t>
            </w:r>
          </w:p>
        </w:tc>
        <w:tc>
          <w:tcPr>
            <w:tcW w:w="6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auto" w:val="clear"/>
            <w:vAlign w:val="bottom"/>
          </w:tcPr>
          <w:p>
            <w:pPr>
              <w:pStyle w:val="TableContents"/>
              <w:spacing w:before="0" w:after="0"/>
              <w:ind w:left="0" w:right="0" w:hanging="0"/>
              <w:rPr/>
            </w:pPr>
            <w:r>
              <w:rPr/>
              <w:t> </w:t>
            </w:r>
          </w:p>
        </w:tc>
        <w:tc>
          <w:tcPr>
            <w:tcW w:w="6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2" w:type="dxa"/>
            <w:tcBorders>
              <w:right w:val="double" w:sz="4" w:space="0" w:color="000000"/>
            </w:tcBorders>
            <w:shd w:fill="auto" w:val="clear"/>
            <w:tcMar>
              <w:right w:w="28" w:type="dxa"/>
            </w:tcMar>
            <w:vAlign w:val="bottom"/>
          </w:tcPr>
          <w:p>
            <w:pPr>
              <w:pStyle w:val="TableContents"/>
              <w:spacing w:before="0" w:after="0"/>
              <w:ind w:left="0" w:right="0" w:hanging="0"/>
              <w:rPr/>
            </w:pPr>
            <w:r>
              <w:rPr/>
              <w:t> </w:t>
            </w:r>
          </w:p>
        </w:tc>
        <w:tc>
          <w:tcPr>
            <w:tcW w:w="97" w:type="dxa"/>
            <w:tcBorders/>
            <w:shd w:fill="auto" w:val="clear"/>
            <w:vAlign w:val="bottom"/>
          </w:tcPr>
          <w:p>
            <w:pPr>
              <w:pStyle w:val="TableContents"/>
              <w:spacing w:before="0" w:after="0"/>
              <w:ind w:left="0" w:right="0" w:hanging="0"/>
              <w:rPr/>
            </w:pPr>
            <w:r>
              <w:rPr/>
              <w:t> </w:t>
            </w:r>
          </w:p>
        </w:tc>
        <w:tc>
          <w:tcPr>
            <w:tcW w:w="6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8" w:type="dxa"/>
            <w:tcBorders/>
            <w:shd w:fill="auto" w:val="clear"/>
            <w:vAlign w:val="bottom"/>
          </w:tcPr>
          <w:p>
            <w:pPr>
              <w:pStyle w:val="TableContents"/>
              <w:spacing w:before="0" w:after="0"/>
              <w:ind w:left="0" w:right="0" w:hanging="0"/>
              <w:rPr/>
            </w:pPr>
            <w:r>
              <w:rPr/>
              <w:t> </w:t>
            </w:r>
          </w:p>
        </w:tc>
        <w:tc>
          <w:tcPr>
            <w:tcW w:w="7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8" w:type="dxa"/>
            <w:tcBorders/>
            <w:shd w:fill="auto" w:val="clear"/>
            <w:vAlign w:val="bottom"/>
          </w:tcPr>
          <w:p>
            <w:pPr>
              <w:pStyle w:val="TableContents"/>
              <w:spacing w:before="0" w:after="0"/>
              <w:ind w:left="0" w:right="0" w:hanging="0"/>
              <w:rPr/>
            </w:pPr>
            <w:r>
              <w:rPr/>
              <w:t> </w:t>
            </w:r>
          </w:p>
        </w:tc>
        <w:tc>
          <w:tcPr>
            <w:tcW w:w="7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7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Foreign currency derivatives</w:t>
            </w:r>
          </w:p>
        </w:tc>
        <w:tc>
          <w:tcPr>
            <w:tcW w:w="147" w:type="dxa"/>
            <w:tcBorders/>
            <w:shd w:fill="CCEEFF" w:val="clear"/>
            <w:vAlign w:val="bottom"/>
          </w:tcPr>
          <w:p>
            <w:pPr>
              <w:pStyle w:val="TableContents"/>
              <w:spacing w:before="0" w:after="0"/>
              <w:ind w:left="0" w:right="0" w:hanging="0"/>
              <w:rPr/>
            </w:pPr>
            <w:r>
              <w:rPr/>
              <w:t> </w:t>
            </w:r>
          </w:p>
        </w:tc>
        <w:tc>
          <w:tcPr>
            <w:tcW w:w="6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6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CCEEFF" w:val="clear"/>
            <w:vAlign w:val="bottom"/>
          </w:tcPr>
          <w:p>
            <w:pPr>
              <w:pStyle w:val="TableContents"/>
              <w:spacing w:before="0" w:after="0"/>
              <w:ind w:left="0" w:right="0" w:hanging="0"/>
              <w:rPr/>
            </w:pPr>
            <w:r>
              <w:rPr/>
              <w:t> </w:t>
            </w:r>
          </w:p>
        </w:tc>
        <w:tc>
          <w:tcPr>
            <w:tcW w:w="6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2" w:type="dxa"/>
            <w:tcBorders/>
            <w:shd w:fill="CCEEFF" w:val="clear"/>
            <w:vAlign w:val="bottom"/>
          </w:tcPr>
          <w:p>
            <w:pPr>
              <w:pStyle w:val="TableContents"/>
              <w:spacing w:before="0" w:after="0"/>
              <w:ind w:left="0" w:right="0" w:hanging="0"/>
              <w:rPr/>
            </w:pPr>
            <w:r>
              <w:rPr/>
              <w:t> </w:t>
            </w:r>
          </w:p>
        </w:tc>
        <w:tc>
          <w:tcPr>
            <w:tcW w:w="6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2" w:type="dxa"/>
            <w:tcBorders>
              <w:right w:val="double" w:sz="4" w:space="0" w:color="000000"/>
            </w:tcBorders>
            <w:shd w:fill="CCEEFF" w:val="clear"/>
            <w:tcMar>
              <w:right w:w="28" w:type="dxa"/>
            </w:tcMar>
            <w:vAlign w:val="bottom"/>
          </w:tcPr>
          <w:p>
            <w:pPr>
              <w:pStyle w:val="TableContents"/>
              <w:spacing w:before="0" w:after="0"/>
              <w:ind w:left="0" w:right="0" w:hanging="0"/>
              <w:rPr/>
            </w:pPr>
            <w:r>
              <w:rPr/>
              <w:t> </w:t>
            </w:r>
          </w:p>
        </w:tc>
        <w:tc>
          <w:tcPr>
            <w:tcW w:w="97" w:type="dxa"/>
            <w:tcBorders/>
            <w:shd w:fill="CCEEFF" w:val="clear"/>
            <w:vAlign w:val="bottom"/>
          </w:tcPr>
          <w:p>
            <w:pPr>
              <w:pStyle w:val="TableContents"/>
              <w:spacing w:before="0" w:after="0"/>
              <w:ind w:left="0" w:right="0" w:hanging="0"/>
              <w:rPr/>
            </w:pPr>
            <w:r>
              <w:rPr/>
              <w:t> </w:t>
            </w:r>
          </w:p>
        </w:tc>
        <w:tc>
          <w:tcPr>
            <w:tcW w:w="6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pPr>
            <w:r>
              <w:rPr/>
              <w:t> </w:t>
            </w:r>
          </w:p>
        </w:tc>
        <w:tc>
          <w:tcPr>
            <w:tcW w:w="7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6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pPr>
            <w:r>
              <w:rPr/>
              <w:t> </w:t>
            </w:r>
          </w:p>
        </w:tc>
        <w:tc>
          <w:tcPr>
            <w:tcW w:w="71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pPr>
            <w:r>
              <w:rPr/>
              <w:t> </w:t>
            </w:r>
          </w:p>
        </w:tc>
      </w:tr>
      <w:tr>
        <w:trPr/>
        <w:tc>
          <w:tcPr>
            <w:tcW w:w="27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47" w:type="dxa"/>
            <w:tcBorders/>
            <w:shd w:fill="auto" w:val="clear"/>
            <w:vAlign w:val="bottom"/>
          </w:tcPr>
          <w:p>
            <w:pPr>
              <w:pStyle w:val="TableContents"/>
              <w:spacing w:before="0" w:after="0"/>
              <w:ind w:left="0" w:right="0" w:hanging="0"/>
              <w:rPr/>
            </w:pPr>
            <w:r>
              <w:rPr/>
              <w:t> </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2" w:type="dxa"/>
            <w:tcBorders>
              <w:right w:val="double" w:sz="4"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 w:type="dxa"/>
            <w:tcBorders/>
            <w:shd w:fill="auto" w:val="clear"/>
            <w:vAlign w:val="bottom"/>
          </w:tcPr>
          <w:p>
            <w:pPr>
              <w:pStyle w:val="TableContents"/>
              <w:spacing w:before="0" w:after="0"/>
              <w:ind w:left="0" w:right="0" w:hanging="0"/>
              <w:rPr/>
            </w:pPr>
            <w:r>
              <w:rPr/>
              <w:t> </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8" w:type="dxa"/>
            <w:tcBorders/>
            <w:shd w:fill="auto" w:val="clear"/>
            <w:vAlign w:val="bottom"/>
          </w:tcPr>
          <w:p>
            <w:pPr>
              <w:pStyle w:val="TableContents"/>
              <w:spacing w:before="0" w:after="0"/>
              <w:ind w:left="0" w:right="0" w:hanging="0"/>
              <w:rPr/>
            </w:pPr>
            <w:r>
              <w:rPr/>
              <w:t> </w:t>
            </w:r>
          </w:p>
        </w:tc>
        <w:tc>
          <w:tcPr>
            <w:tcW w:w="19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8" w:type="dxa"/>
            <w:tcBorders/>
            <w:shd w:fill="auto" w:val="clear"/>
            <w:vAlign w:val="bottom"/>
          </w:tcPr>
          <w:p>
            <w:pPr>
              <w:pStyle w:val="TableContents"/>
              <w:spacing w:before="0" w:after="0"/>
              <w:ind w:left="0" w:right="0" w:hanging="0"/>
              <w:rPr/>
            </w:pPr>
            <w:r>
              <w:rPr/>
              <w:t> </w:t>
            </w:r>
          </w:p>
        </w:tc>
        <w:tc>
          <w:tcPr>
            <w:tcW w:w="19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Derivative assets and liabilities are presented above on a net basis but do not include related cash margin deposits.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1 of the fair value hierarchy includes exchange-traded commodity derivatives such as futures and options.  The fair value of exchange-traded commodity derivatives is based on unadjusted quoted prices in active markets.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2 of the fair value hierarchy includes exchange-cleared commodity derivatives and over-the-counter commodity, interest rate and foreign currency derivatives that are traded in active markets.  The fair value of these derivatives is based on broker price quotations which are corroborated with market observable inputs.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Level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Level 3 of the fair value hierarchy includes over-the-counter commodity derivatives that are traded in markets that are active but not sufficiently active to warrant level 2 classification in our judgment and certain physical commodity contracts.  The fair value of our level 3 over-the-counter commodity derivatives is based on broker price quotations.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(decrease) in these forward prices would result in a proportionately lower (higher) fair value measurement.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Rollforward of Level 3 Net Asset/(Liability)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provides a reconciliation of changes in fair value of the beginning and ending balances for our derivatives classified as level 3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28"/>
        <w:gridCol w:w="205"/>
        <w:gridCol w:w="205"/>
        <w:gridCol w:w="1039"/>
        <w:gridCol w:w="257"/>
        <w:gridCol w:w="205"/>
        <w:gridCol w:w="1073"/>
        <w:gridCol w:w="217"/>
        <w:gridCol w:w="197"/>
        <w:gridCol w:w="1028"/>
        <w:gridCol w:w="252"/>
        <w:gridCol w:w="197"/>
        <w:gridCol w:w="1060"/>
        <w:gridCol w:w="142"/>
      </w:tblGrid>
      <w:tr>
        <w:trPr/>
        <w:tc>
          <w:tcPr>
            <w:tcW w:w="4128"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77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7" w:type="dxa"/>
            <w:tcBorders/>
            <w:shd w:fill="auto" w:val="clear"/>
            <w:vAlign w:val="bottom"/>
          </w:tcPr>
          <w:p>
            <w:pPr>
              <w:pStyle w:val="TableContents"/>
              <w:spacing w:before="0" w:after="0"/>
              <w:ind w:left="0" w:right="0" w:hanging="0"/>
              <w:jc w:val="center"/>
              <w:rPr/>
            </w:pPr>
            <w:r>
              <w:rPr/>
              <w:t> </w:t>
            </w:r>
          </w:p>
        </w:tc>
        <w:tc>
          <w:tcPr>
            <w:tcW w:w="273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42" w:type="dxa"/>
            <w:tcBorders/>
            <w:shd w:fill="auto" w:val="clear"/>
            <w:vAlign w:val="bottom"/>
          </w:tcPr>
          <w:p>
            <w:pPr>
              <w:pStyle w:val="TableContents"/>
              <w:spacing w:before="0" w:after="0"/>
              <w:ind w:left="0" w:right="0" w:hanging="0"/>
              <w:jc w:val="center"/>
              <w:rPr/>
            </w:pPr>
            <w:r>
              <w:rPr/>
              <w:t> </w:t>
            </w:r>
          </w:p>
        </w:tc>
      </w:tr>
      <w:tr>
        <w:trPr/>
        <w:tc>
          <w:tcPr>
            <w:tcW w:w="4128"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77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7" w:type="dxa"/>
            <w:tcBorders/>
            <w:shd w:fill="auto" w:val="clear"/>
            <w:vAlign w:val="bottom"/>
          </w:tcPr>
          <w:p>
            <w:pPr>
              <w:pStyle w:val="TableContents"/>
              <w:spacing w:before="0" w:after="0"/>
              <w:ind w:left="0" w:right="0" w:hanging="0"/>
              <w:jc w:val="center"/>
              <w:rPr/>
            </w:pPr>
            <w:r>
              <w:rPr/>
              <w:t> </w:t>
            </w:r>
          </w:p>
        </w:tc>
        <w:tc>
          <w:tcPr>
            <w:tcW w:w="273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42" w:type="dxa"/>
            <w:tcBorders/>
            <w:shd w:fill="auto" w:val="clear"/>
            <w:vAlign w:val="bottom"/>
          </w:tcPr>
          <w:p>
            <w:pPr>
              <w:pStyle w:val="TableContents"/>
              <w:spacing w:before="0" w:after="0"/>
              <w:ind w:left="0" w:right="0" w:hanging="0"/>
              <w:jc w:val="center"/>
              <w:rPr/>
            </w:pPr>
            <w:r>
              <w:rPr/>
              <w:t> </w:t>
            </w:r>
          </w:p>
        </w:tc>
      </w:tr>
      <w:tr>
        <w:trPr/>
        <w:tc>
          <w:tcPr>
            <w:tcW w:w="4128"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24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5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7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7" w:type="dxa"/>
            <w:tcBorders/>
            <w:shd w:fill="auto" w:val="clear"/>
            <w:vAlign w:val="bottom"/>
          </w:tcPr>
          <w:p>
            <w:pPr>
              <w:pStyle w:val="TableContents"/>
              <w:spacing w:before="0" w:after="0"/>
              <w:ind w:left="0" w:right="0" w:hanging="0"/>
              <w:jc w:val="center"/>
              <w:rPr/>
            </w:pPr>
            <w:r>
              <w:rPr/>
              <w:t> </w:t>
            </w:r>
          </w:p>
        </w:tc>
        <w:tc>
          <w:tcPr>
            <w:tcW w:w="12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5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42" w:type="dxa"/>
            <w:tcBorders/>
            <w:shd w:fill="auto" w:val="clear"/>
            <w:vAlign w:val="bottom"/>
          </w:tcPr>
          <w:p>
            <w:pPr>
              <w:pStyle w:val="TableContents"/>
              <w:spacing w:before="0" w:after="0"/>
              <w:ind w:left="0" w:right="0" w:hanging="0"/>
              <w:jc w:val="center"/>
              <w:rPr/>
            </w:pPr>
            <w:r>
              <w:rPr/>
              <w:t> </w:t>
            </w:r>
          </w:p>
        </w:tc>
      </w:tr>
      <w:tr>
        <w:trPr/>
        <w:tc>
          <w:tcPr>
            <w:tcW w:w="4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Beginning Balance</w:t>
            </w:r>
          </w:p>
        </w:tc>
        <w:tc>
          <w:tcPr>
            <w:tcW w:w="205"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7"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7"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2"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42" w:type="dxa"/>
            <w:tcBorders/>
            <w:shd w:fill="CCEEFF" w:val="clear"/>
            <w:vAlign w:val="bottom"/>
          </w:tcPr>
          <w:p>
            <w:pPr>
              <w:pStyle w:val="TableContents"/>
              <w:spacing w:before="0" w:after="0"/>
              <w:ind w:left="0" w:right="0" w:hanging="0"/>
              <w:rPr/>
            </w:pPr>
            <w:r>
              <w:rPr/>
              <w:t> </w:t>
            </w:r>
          </w:p>
        </w:tc>
      </w:tr>
      <w:tr>
        <w:trPr/>
        <w:tc>
          <w:tcPr>
            <w:tcW w:w="4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gains/(losses) for the period:</w:t>
            </w:r>
          </w:p>
        </w:tc>
        <w:tc>
          <w:tcPr>
            <w:tcW w:w="205" w:type="dxa"/>
            <w:tcBorders/>
            <w:shd w:fill="auto" w:val="clear"/>
            <w:vAlign w:val="bottom"/>
          </w:tcPr>
          <w:p>
            <w:pPr>
              <w:pStyle w:val="TableContents"/>
              <w:spacing w:before="0" w:after="0"/>
              <w:ind w:left="0" w:right="0" w:hanging="0"/>
              <w:rPr/>
            </w:pPr>
            <w:r>
              <w:rPr/>
              <w:t> </w:t>
            </w:r>
          </w:p>
        </w:tc>
        <w:tc>
          <w:tcPr>
            <w:tcW w:w="1244" w:type="dxa"/>
            <w:gridSpan w:val="2"/>
            <w:tcBorders/>
            <w:shd w:fill="auto" w:val="clear"/>
            <w:vAlign w:val="bottom"/>
          </w:tcPr>
          <w:p>
            <w:pPr>
              <w:pStyle w:val="TableContents"/>
              <w:spacing w:before="0" w:after="0"/>
              <w:ind w:left="0" w:right="0" w:hanging="0"/>
              <w:jc w:val="right"/>
              <w:rPr/>
            </w:pPr>
            <w:r>
              <w:rPr/>
              <w:t> </w:t>
            </w:r>
          </w:p>
        </w:tc>
        <w:tc>
          <w:tcPr>
            <w:tcW w:w="257"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pPr>
            <w:r>
              <w:rPr/>
              <w:t> </w:t>
            </w:r>
          </w:p>
        </w:tc>
        <w:tc>
          <w:tcPr>
            <w:tcW w:w="217"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142" w:type="dxa"/>
            <w:tcBorders/>
            <w:shd w:fill="auto" w:val="clear"/>
            <w:vAlign w:val="bottom"/>
          </w:tcPr>
          <w:p>
            <w:pPr>
              <w:pStyle w:val="TableContents"/>
              <w:spacing w:before="0" w:after="0"/>
              <w:ind w:left="0" w:right="0" w:hanging="0"/>
              <w:rPr/>
            </w:pPr>
            <w:r>
              <w:rPr/>
              <w:t> </w:t>
            </w:r>
          </w:p>
        </w:tc>
      </w:tr>
      <w:tr>
        <w:trPr/>
        <w:tc>
          <w:tcPr>
            <w:tcW w:w="4128" w:type="dxa"/>
            <w:tcBorders/>
            <w:shd w:fill="CCEEFF" w:val="clear"/>
            <w:vAlign w:val="bottom"/>
          </w:tcPr>
          <w:p>
            <w:pPr>
              <w:pStyle w:val="TableContents"/>
              <w:spacing w:before="0" w:after="0"/>
              <w:ind w:left="0" w:right="0" w:hanging="0"/>
              <w:rPr/>
            </w:pPr>
            <w:r>
              <w:rPr>
                <w:rFonts w:ascii="Times New Roman" w:hAnsi="Times New Roman"/>
                <w:sz w:val="17"/>
              </w:rPr>
              <w:t xml:space="preserve">Included in earnings </w:t>
            </w:r>
            <w:r>
              <w:rPr>
                <w:sz w:val="11"/>
              </w:rPr>
              <w:t>(1)</w:t>
            </w:r>
          </w:p>
        </w:tc>
        <w:tc>
          <w:tcPr>
            <w:tcW w:w="205" w:type="dxa"/>
            <w:tcBorders/>
            <w:shd w:fill="CCEEFF" w:val="clear"/>
            <w:vAlign w:val="bottom"/>
          </w:tcPr>
          <w:p>
            <w:pPr>
              <w:pStyle w:val="TableContents"/>
              <w:spacing w:before="0" w:after="0"/>
              <w:ind w:left="0" w:right="0" w:hanging="0"/>
              <w:rPr/>
            </w:pPr>
            <w:r>
              <w:rPr/>
              <w:t> </w:t>
            </w:r>
          </w:p>
        </w:tc>
        <w:tc>
          <w:tcPr>
            <w:tcW w:w="12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Included in other comprehensive income</w:t>
            </w:r>
          </w:p>
        </w:tc>
        <w:tc>
          <w:tcPr>
            <w:tcW w:w="205" w:type="dxa"/>
            <w:tcBorders/>
            <w:shd w:fill="auto" w:val="clear"/>
            <w:vAlign w:val="bottom"/>
          </w:tcPr>
          <w:p>
            <w:pPr>
              <w:pStyle w:val="TableContents"/>
              <w:spacing w:before="0" w:after="0"/>
              <w:ind w:left="0" w:right="0" w:hanging="0"/>
              <w:rPr/>
            </w:pPr>
            <w:r>
              <w:rPr/>
              <w:t> </w:t>
            </w:r>
          </w:p>
        </w:tc>
        <w:tc>
          <w:tcPr>
            <w:tcW w:w="12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7"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2"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42" w:type="dxa"/>
            <w:tcBorders/>
            <w:shd w:fill="auto" w:val="clear"/>
            <w:vAlign w:val="bottom"/>
          </w:tcPr>
          <w:p>
            <w:pPr>
              <w:pStyle w:val="TableContents"/>
              <w:spacing w:before="0" w:after="0"/>
              <w:ind w:left="0" w:right="0" w:hanging="0"/>
              <w:rPr/>
            </w:pPr>
            <w:r>
              <w:rPr/>
              <w:t> </w:t>
            </w:r>
          </w:p>
        </w:tc>
      </w:tr>
      <w:tr>
        <w:trPr/>
        <w:tc>
          <w:tcPr>
            <w:tcW w:w="4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Settlements </w:t>
            </w:r>
          </w:p>
        </w:tc>
        <w:tc>
          <w:tcPr>
            <w:tcW w:w="205" w:type="dxa"/>
            <w:tcBorders/>
            <w:shd w:fill="CCEEFF" w:val="clear"/>
            <w:vAlign w:val="bottom"/>
          </w:tcPr>
          <w:p>
            <w:pPr>
              <w:pStyle w:val="TableContents"/>
              <w:spacing w:before="0" w:after="0"/>
              <w:ind w:left="0" w:right="0" w:hanging="0"/>
              <w:rPr/>
            </w:pPr>
            <w:r>
              <w:rPr/>
              <w:t> </w:t>
            </w:r>
          </w:p>
        </w:tc>
        <w:tc>
          <w:tcPr>
            <w:tcW w:w="124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Derivatives entered into during the period</w:t>
            </w:r>
          </w:p>
        </w:tc>
        <w:tc>
          <w:tcPr>
            <w:tcW w:w="205" w:type="dxa"/>
            <w:tcBorders/>
            <w:shd w:fill="auto" w:val="clear"/>
            <w:vAlign w:val="bottom"/>
          </w:tcPr>
          <w:p>
            <w:pPr>
              <w:pStyle w:val="TableContents"/>
              <w:spacing w:before="0" w:after="0"/>
              <w:ind w:left="0" w:right="0" w:hanging="0"/>
              <w:rPr/>
            </w:pPr>
            <w:r>
              <w:rPr/>
              <w:t> </w:t>
            </w:r>
          </w:p>
        </w:tc>
        <w:tc>
          <w:tcPr>
            <w:tcW w:w="124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7"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7" w:type="dxa"/>
            <w:tcBorders/>
            <w:shd w:fill="auto" w:val="clear"/>
            <w:vAlign w:val="bottom"/>
          </w:tcPr>
          <w:p>
            <w:pPr>
              <w:pStyle w:val="TableContents"/>
              <w:spacing w:before="0" w:after="0"/>
              <w:ind w:left="0" w:right="0" w:hanging="0"/>
              <w:rPr/>
            </w:pPr>
            <w:r>
              <w:rPr/>
              <w:t> </w:t>
            </w:r>
          </w:p>
        </w:tc>
        <w:tc>
          <w:tcPr>
            <w:tcW w:w="12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42" w:type="dxa"/>
            <w:tcBorders/>
            <w:shd w:fill="auto" w:val="clear"/>
            <w:vAlign w:val="bottom"/>
          </w:tcPr>
          <w:p>
            <w:pPr>
              <w:pStyle w:val="TableContents"/>
              <w:spacing w:before="0" w:after="0"/>
              <w:ind w:left="0" w:right="0" w:hanging="0"/>
              <w:rPr/>
            </w:pPr>
            <w:r>
              <w:rPr/>
              <w:t> </w:t>
            </w:r>
          </w:p>
        </w:tc>
      </w:tr>
      <w:tr>
        <w:trPr/>
        <w:tc>
          <w:tcPr>
            <w:tcW w:w="4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Transfers out of level 3</w:t>
            </w:r>
          </w:p>
        </w:tc>
        <w:tc>
          <w:tcPr>
            <w:tcW w:w="205" w:type="dxa"/>
            <w:tcBorders/>
            <w:shd w:fill="CCEEFF" w:val="clear"/>
            <w:vAlign w:val="bottom"/>
          </w:tcPr>
          <w:p>
            <w:pPr>
              <w:pStyle w:val="TableContents"/>
              <w:spacing w:before="0" w:after="0"/>
              <w:ind w:left="0" w:right="0" w:hanging="0"/>
              <w:rPr/>
            </w:pPr>
            <w:r>
              <w:rPr/>
              <w:t> </w:t>
            </w:r>
          </w:p>
        </w:tc>
        <w:tc>
          <w:tcPr>
            <w:tcW w:w="124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7" w:type="dxa"/>
            <w:tcBorders/>
            <w:shd w:fill="CCEEFF"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52" w:type="dxa"/>
            <w:tcBorders/>
            <w:shd w:fill="CCEEFF" w:val="clear"/>
            <w:vAlign w:val="bottom"/>
          </w:tcPr>
          <w:p>
            <w:pPr>
              <w:pStyle w:val="TableContents"/>
              <w:spacing w:before="0" w:after="0"/>
              <w:ind w:left="0" w:right="0" w:hanging="0"/>
              <w:rPr/>
            </w:pPr>
            <w:r>
              <w:rPr/>
              <w:t> </w:t>
            </w:r>
          </w:p>
        </w:tc>
        <w:tc>
          <w:tcPr>
            <w:tcW w:w="12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Ending Balance </w:t>
            </w:r>
          </w:p>
        </w:tc>
        <w:tc>
          <w:tcPr>
            <w:tcW w:w="205" w:type="dxa"/>
            <w:tcBorders/>
            <w:shd w:fill="auto" w:val="clear"/>
            <w:vAlign w:val="bottom"/>
          </w:tcPr>
          <w:p>
            <w:pPr>
              <w:pStyle w:val="TableContents"/>
              <w:spacing w:before="0" w:after="0"/>
              <w:ind w:left="0" w:right="0" w:hanging="0"/>
              <w:rPr/>
            </w:pPr>
            <w:r>
              <w:rPr/>
              <w:t> </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7" w:type="dxa"/>
            <w:tcBorders/>
            <w:shd w:fill="auto" w:val="clear"/>
            <w:vAlign w:val="bottom"/>
          </w:tcPr>
          <w:p>
            <w:pPr>
              <w:pStyle w:val="TableContents"/>
              <w:spacing w:before="0" w:after="0"/>
              <w:ind w:left="0" w:right="0" w:hanging="0"/>
              <w:rPr/>
            </w:pPr>
            <w:r>
              <w:rPr/>
              <w:t> </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42" w:type="dxa"/>
            <w:tcBorders/>
            <w:shd w:fill="auto" w:val="clear"/>
            <w:vAlign w:val="bottom"/>
          </w:tcPr>
          <w:p>
            <w:pPr>
              <w:pStyle w:val="TableContents"/>
              <w:spacing w:before="0" w:after="0"/>
              <w:ind w:left="0" w:right="0" w:hanging="0"/>
              <w:rPr/>
            </w:pPr>
            <w:r>
              <w:rPr/>
              <w:t> </w:t>
            </w:r>
          </w:p>
        </w:tc>
      </w:tr>
      <w:tr>
        <w:trPr/>
        <w:tc>
          <w:tcPr>
            <w:tcW w:w="4128"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244" w:type="dxa"/>
            <w:gridSpan w:val="2"/>
            <w:tcBorders/>
            <w:shd w:fill="CCEEFF" w:val="clear"/>
            <w:vAlign w:val="bottom"/>
          </w:tcPr>
          <w:p>
            <w:pPr>
              <w:pStyle w:val="TableContents"/>
              <w:spacing w:before="0" w:after="0"/>
              <w:ind w:left="0" w:right="0" w:hanging="0"/>
              <w:jc w:val="right"/>
              <w:rPr/>
            </w:pPr>
            <w:r>
              <w:rPr/>
              <w:t> </w:t>
            </w:r>
          </w:p>
        </w:tc>
        <w:tc>
          <w:tcPr>
            <w:tcW w:w="257"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17" w:type="dxa"/>
            <w:tcBorders/>
            <w:shd w:fill="CCEEFF" w:val="clear"/>
            <w:vAlign w:val="bottom"/>
          </w:tcPr>
          <w:p>
            <w:pPr>
              <w:pStyle w:val="TableContents"/>
              <w:spacing w:before="0" w:after="0"/>
              <w:ind w:left="0" w:right="0" w:hanging="0"/>
              <w:rPr/>
            </w:pPr>
            <w:r>
              <w:rPr/>
              <w:t> </w:t>
            </w:r>
          </w:p>
        </w:tc>
        <w:tc>
          <w:tcPr>
            <w:tcW w:w="1225"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pPr>
            <w:r>
              <w:rPr/>
              <w:t> </w:t>
            </w:r>
          </w:p>
        </w:tc>
        <w:tc>
          <w:tcPr>
            <w:tcW w:w="142" w:type="dxa"/>
            <w:tcBorders/>
            <w:shd w:fill="CCEEFF" w:val="clear"/>
            <w:vAlign w:val="bottom"/>
          </w:tcPr>
          <w:p>
            <w:pPr>
              <w:pStyle w:val="TableContents"/>
              <w:spacing w:before="0" w:after="0"/>
              <w:ind w:left="0" w:right="0" w:hanging="0"/>
              <w:rPr/>
            </w:pPr>
            <w:r>
              <w:rPr/>
              <w:t> </w:t>
            </w:r>
          </w:p>
        </w:tc>
      </w:tr>
      <w:tr>
        <w:trPr/>
        <w:tc>
          <w:tcPr>
            <w:tcW w:w="4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Change in unrealized gains/(losses) included in earnings relating to level 3 derivatives still held at the end of the periods</w:t>
            </w:r>
          </w:p>
        </w:tc>
        <w:tc>
          <w:tcPr>
            <w:tcW w:w="205"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4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reported unrealized gains and losses associated with level 3 commodity derivatives in our condensed consolidated statements of operations as Supply and Logistics segment revenues.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46" w:name="PB_25_132431_5796"/>
      <w:bookmarkEnd w:id="4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third quarter of 2012, we transferred commodity derivatives with an aggregate fair value of a $14 million gain from level 3 to level 2. These derivatives consist of over the counter derivatives that were previously valued using forward prices obtained from a broker and are now being valued using unadjusted quoted prices in active markets. Our policy is to recognize transfers between levels as of the beginning of the reporting period in which the transfer occurred.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second quarter of 2012, we transferred commodity derivatives with an aggregate fair value of a $5 million loss from level 3 to level 2. These derivatives consist of NGL derivatives that are cleared through the CME Clearport platform.  This transfer resulted from additional analysis regarding the CMEs pricing methodology.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a proper analysis of our level 3 gains or losses must incorporate the understanding that these items are generally used to hedge our commodity price risk, interest rate risk and foreign currency exchange risk and will therefore be offset by gains or losses on the underlying transactions.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12Commitments and Contingencies</w:t>
      </w:r>
      <w:bookmarkStart w:id="47" w:name="Note12commitmentsAndContingencies_141019"/>
      <w:bookmarkEnd w:id="47"/>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Litigation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In the ordinary course of business, we are involved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and including the general and environmental legal proceedings described below, will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Pemex Exploración y Producción v. Big Star Gathering Ltd L.L.P. et al. </w:t>
      </w:r>
      <w:r>
        <w:rPr>
          <w:rFonts w:ascii="Times New Roman" w:hAnsi="Times New Roman"/>
          <w:sz w:val="17"/>
        </w:rPr>
        <w:t>In two cases filed in the Texas Southern District Court in May 2011 and April 2012, Pemex Exploración y Producción (PEP) alleges that certain parties stole condensate from pipelines and gathering stations and conspired with U.S. companies (primarily in Texas) to import and market the stolen condensate.  PEP does not allege that Plains was part of any conspiracy, but that it dealt in the condensate only after it had been obtained by others and resold to Plains Marketing, L.P.  PEP seeks actual damages, attorneys fees, and statutory penalties from Plains Marketing, L.P.  At a hearing held on October 20, 2011, the Court ruled that Texas law (not Mexican law) governs the actions. In February 2013, the Court granted Plains Marketing, L.P.s motion to be dismissed from the April 2012 lawsuit and Plains Marketing, L.P. filed a motion for summary judgment in the May 2011 lawsuit. In October 2013, the Court issued an order in the May 2011 lawsuit granting summary judgment in favor of Plains Marketing, L.P. with respect to all of PEPs remaining claims against Plains Marketing, L.P.; shortly thereafter, PEP notified Plains Marketing, L.P. of its intent to appeal such ruling.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Proposed Merger with PNG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September 13, 2013, Robert and Teresa Vicars, purported common unitholders of PNG, filed a class action petition on behalf of PNGs common unitholders and a derivative suit on behalf of PNG against PAA, PNGs general partner and the directors of PNGs general partner in the 152nd Judicial District of Harris County, Texas (Vicars).  A similar class action complaint was filed against the same defendants, together with PAA GP LLC, Plains All American GP LLC and Plains AAP, L.P., on September 17, 2013, in the Court of Chancery of the State of Delaware by purported PNG common unitholder Stephen Ellman (Ellman).  A third class action complaint for breach of fiduciary duties was filed against the same defendants as in the Ellman Suit on October 2, 2013, in the United States District Court for the Southern District of Texas  Houston Division by purported unitholder The Duckpond CRT UTD 2/14/03, on behalf of itself and all others similarly situated (Duckpond).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The Vicars and Ellman complaints allege, among other things, that the consideration offered by us is unfair and inadequate and that, by pursuing a transaction that is the result of an allegedly conflicted and unfair process, the defendants have breached their duties under PNGs partnership agreement as well as the implied covenant of good faith and fair dealing, and are engaging in self-dealing. These two lawsuits generally allege that: (i) the defendants are engaging in self-dealing, are not acting in good faith toward PNG, and have breached and are breaching their duties owed to PNG; (ii) the defendants are failing to properly value PNG and its various assets and operations and are ignoring or are not protecting against the numerous conflicts of interest arising out of the proposed transaction; and (iii) we, PNGs general partner, PNG and other of our affiliates have aided and abetted the defendant directors the purpose of advancing their own interests and/or assisting such directors in connection with their breaches of their respective duties. In addition, Ellman further includes (i) purported derivative claims on behalf of PNG based on the alleged breaches of duties by the defendants and (ii) a claim that the defendants breached the implied covenant of good faith and fair dealing by engaging in a flawed merger process.  In Duckpond, the complaint alleges, among other things, that the implied price per unit materially undervalues PNG and is unfair to its unitholders.  The Duckpond plaintiff further alleges that the defendants who are directors and officers of the general partner of PNG have breached their fiduciary duties of loyalty and care and the other defendants have aided and abetted in these alleged breaches.</w:t>
      </w:r>
      <w:r>
        <w:rPr>
          <w:rFonts w:ascii="Times New Roman" w:hAnsi="Times New Roman"/>
        </w:rPr>
        <w:t xml:space="preserve"> </w:t>
      </w:r>
      <w:r>
        <w:rPr>
          <w:rFonts w:ascii="Times New Roman" w:hAnsi="Times New Roman"/>
          <w:sz w:val="17"/>
        </w:rPr>
        <w:t xml:space="preserve">Based on these allegations, the plaintiffs generally seek to enjoin the defendants from proceeding with or consummating the merger. To the extent that the merger is implemented before relief is granted, plaintiffs seek to have the merger rescinded. The plaintiffs also seek money damages and attorneys fees. In Duckpond, that plaintiff also seeks a constructive trust in favor of the purported class of PNG unitholders upon any benefits improperly received by the defendants. </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cannot predict the outcome of these or any other lawsuits that might be filed, nor can we predict the amount of time and expense that will be required to resolve these lawsuits. We intend to defend vigorously against these and any other actions. See Note 1 for a description of our proposal to acquire all of the outstanding common units of PNG that are held by unitholders other than us or our subsidiaries and to structure the proposed transaction as a merger with PNG.</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Environmental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General.</w:t>
      </w:r>
      <w:r>
        <w:rPr>
          <w:rFonts w:ascii="Times New Roman" w:hAnsi="Times New Roman"/>
        </w:rPr>
        <w:t xml:space="preserve"> </w:t>
      </w:r>
      <w:r>
        <w:rPr>
          <w:rFonts w:ascii="Times New Roman" w:hAnsi="Times New Roman"/>
          <w:sz w:val="17"/>
        </w:rPr>
        <w:t>Although we believe that our efforts to enhance our leak prevention and detection capabilities have produced positive results, we have experienced (and likely will experience future) releases of hydrocarbon products into the environment from our pipeline and storage operations.  These releases can result from unpredictable man-made or natural forces and may reach navigable waters or other sensitive environments.  Whether current or past, damages and liabilities associated with any such releases from our assets may substantially affect our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At September 30, 2013, our estimated undiscounted reserve for environmental liabilities totaled approximately $99 million, of which approximately $13 million was classified as short-term and approximately $86 million was classified as long-term.  At December 31, 2012, our reserve for environmental liabilities totaled approximately $96 million, of which approximately $13 million was classified as short-term and approximately $83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2013 and December 31, 2012, we had recorded receivables totaling approximately $10 million and $42 million, respectively, for amounts probable of recovery under insurance and from third parties under indemnification agreements, which are predominantly reflected in Trade accounts receivable and other receivables, net on our condensed consolidated balance sheets.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48" w:name="PB_26_132546_2897"/>
      <w:bookmarkEnd w:id="4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some cases, the actual cash expenditures may not occur for three to five years.  Our estimates used in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financial condition, results of operations or cash flows.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Rainbow Pipeline Release.</w:t>
      </w:r>
      <w:r>
        <w:rPr>
          <w:rFonts w:ascii="Times New Roman" w:hAnsi="Times New Roman"/>
        </w:rPr>
        <w:t xml:space="preserve">  </w:t>
      </w:r>
      <w:r>
        <w:rPr>
          <w:rFonts w:ascii="Times New Roman" w:hAnsi="Times New Roman"/>
          <w:sz w:val="17"/>
        </w:rPr>
        <w:t>During April 2011, we experienced a crude oil release of approximately 28,000 barrels of crude oil on a remote section of our Rainbow Pipeline located in Alberta, Canada.  Since the release and through September 30, 2013, we spent approximately $70 million, before insurance recoveries, in connection with site clean-up, reclamation and remediation activities, and as of September 30, 2013, we did not have any material outstanding liabilities or insurance receivables relating to this release. On February 26, 2013, the Alberta Energy Regulator (formerly known as the Energy Resources Conservation Board of Alberta) (AER) issued a report detailing four enforcement actions against Plains Midstream Canada ULC (PMC) for failure to comply with certain regulatory requirements in connection with the release, including requirements related to operations and maintenance procedures, leak detection and response, backfill and compaction procedures and emergency response plan testing.  PMC is in the process of taking appropriate actions necessary to respond to and comply with the enforcement actions set forth in the report, including the implementation of additional risk assessment procedures and the taking of other actions designed to minimize the risk that similar incidents occur in the future and enhance the effectiveness of PMCs response to any such future incidents.  In addition, on April 23, 2013, the Alberta Crown Prosecutor filed civil charges under the Environmental Protection and Enhancement Act against PMC relating to the release.  To date, PMC has not been assessed any fines or penalties related to this release; however, such fines or penalties may be assessed in the future and are not expected to be material.</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Rangeland Pipeline Release</w:t>
      </w:r>
      <w:r>
        <w:rPr>
          <w:rFonts w:ascii="Times New Roman" w:hAnsi="Times New Roman"/>
          <w:sz w:val="17"/>
        </w:rPr>
        <w:t>. During June 2012, we experienced a crude oil release on a section of our Rangeland Pipeline located near Sundre, Alberta, Canada.  Approximately 3,000 barrels were released into the Red Deer River and were contained downstream in the Gleniffer Reservoir. Remediation activities in the reservoir area were completed by June 30, 2012, remediation of the remaining impacted areas was completed by September 30, 2012 and interim closure was received from the applicable regulatory agencies.  Monitoring will continue into 2013, and a long-term monitoring plan has been developed and implemented in accordance with regulatory requirements. Through September 30, 2013, we spent approximately $46 million, before insurance recoveries, in connection with site clean-up, reclamation and remediation activities, and as of September 30, 2013, we did not have any material outstanding liabilities or insurance receivables relating to this release. This release is currently under investigation by the AER, which also intends to perform an audit of PMCs operations. Although the AERs final investigation is not complete, on July 4, 2013, the AER issued a report detailing four enforcement actions against PMC citing failure to inspect water crossings, failure to complete an engineering assessment to determine suitability of continued operation of the Rangeland Pipeline, failure to maintain updated emergency response plans, and failure to conduct regular public awareness programs.  The AER also issued an order under Section 22 of the Oil and Gas Conservation Act imposing additional regulatory requirements on PMC with respect to obtaining operating approvals under such Act and ordering audit of PMCs operations. To date, no fines or penalties have been assessed against PMC with respect to this release; however, it is possible that fines or penalties may be assessed against PMC in the future and are not expected to be material.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Bay Springs Pipeline Release.</w:t>
      </w:r>
      <w:r>
        <w:rPr>
          <w:rFonts w:ascii="Times New Roman" w:hAnsi="Times New Roman"/>
        </w:rPr>
        <w:t xml:space="preserve"> </w:t>
      </w:r>
      <w:r>
        <w:rPr>
          <w:rFonts w:ascii="Times New Roman" w:hAnsi="Times New Roman"/>
          <w:sz w:val="17"/>
        </w:rPr>
        <w:t>During February 2013, we experienced a crude oil release of approximately 120 barrels on a portion of one of our pipelines near Bay Springs, Mississippi. Most of the released oil was contained within our pipeline right of way, but some of the released oil entered a nearby waterway where it was contained with booms.  The EPA has issued an administrative order requiring us to take various actions in response to the release, including remediation, reporting and other actions, and we may be subjected to a civil penalty.  The aggregate cost to clean up and remediate the site was approximately $6 million, which has been recognized in Field operating costs on our condensed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Kemp River Pipeline Release</w:t>
      </w:r>
      <w:r>
        <w:rPr>
          <w:rFonts w:ascii="Times New Roman" w:hAnsi="Times New Roman"/>
          <w:sz w:val="17"/>
        </w:rPr>
        <w:t>. During May and June 2013, two separate releases were discovered on our Kemp River pipeline in Northern Alberta, Canada that, in the aggregate, resulted in the release of approximately 700 barrels of condensate and light crude oil.  Clean-up and remediation activities are being conducted in cooperation with the applicable regulatory agencies. We estimate that the aggregate clean-up and remediation costs associated with these releases will be approximately $15 million which we have accrued to Field operating costs on our condensed consolidated statement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13Operating Segments</w:t>
      </w:r>
      <w:bookmarkStart w:id="49" w:name="Note13operatingSegments_141023"/>
      <w:bookmarkEnd w:id="4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(i) purchases and related costs, (ii) field operating costs and (iii) segment general and administrative expenses. Each of the items above excludes depreciation and amortization. The following table reflects certain financial data for each segment for the periods indicated (in millions):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50" w:name="PB_27_132608_3020"/>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852"/>
        <w:gridCol w:w="193"/>
        <w:gridCol w:w="263"/>
        <w:gridCol w:w="1249"/>
        <w:gridCol w:w="193"/>
        <w:gridCol w:w="189"/>
        <w:gridCol w:w="1052"/>
        <w:gridCol w:w="193"/>
        <w:gridCol w:w="180"/>
        <w:gridCol w:w="1245"/>
        <w:gridCol w:w="192"/>
        <w:gridCol w:w="154"/>
        <w:gridCol w:w="1123"/>
        <w:gridCol w:w="127"/>
      </w:tblGrid>
      <w:tr>
        <w:trPr/>
        <w:tc>
          <w:tcPr>
            <w:tcW w:w="3852" w:type="dxa"/>
            <w:tcBorders/>
            <w:shd w:fill="auto" w:val="clear"/>
            <w:vAlign w:val="bottom"/>
          </w:tcPr>
          <w:p>
            <w:pPr>
              <w:pStyle w:val="TableContents"/>
              <w:spacing w:before="0" w:after="0"/>
              <w:ind w:left="0" w:right="0" w:hanging="0"/>
              <w:rPr/>
            </w:pPr>
            <w:r>
              <w:rPr/>
              <w:t> </w:t>
            </w:r>
          </w:p>
        </w:tc>
        <w:tc>
          <w:tcPr>
            <w:tcW w:w="193" w:type="dxa"/>
            <w:tcBorders/>
            <w:shd w:fill="auto" w:val="clear"/>
            <w:vAlign w:val="bottom"/>
          </w:tcPr>
          <w:p>
            <w:pPr>
              <w:pStyle w:val="TableContents"/>
              <w:spacing w:before="0" w:after="0"/>
              <w:ind w:left="0" w:right="0" w:hanging="0"/>
              <w:jc w:val="center"/>
              <w:rPr/>
            </w:pPr>
            <w:r>
              <w:rPr/>
              <w:t> </w:t>
            </w:r>
          </w:p>
        </w:tc>
        <w:tc>
          <w:tcPr>
            <w:tcW w:w="151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93" w:type="dxa"/>
            <w:tcBorders/>
            <w:shd w:fill="auto" w:val="clear"/>
            <w:vAlign w:val="bottom"/>
          </w:tcPr>
          <w:p>
            <w:pPr>
              <w:pStyle w:val="TableContents"/>
              <w:spacing w:before="0" w:after="0"/>
              <w:ind w:left="0" w:right="0" w:hanging="0"/>
              <w:jc w:val="center"/>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93" w:type="dxa"/>
            <w:tcBorders/>
            <w:shd w:fill="auto" w:val="clear"/>
            <w:vAlign w:val="bottom"/>
          </w:tcPr>
          <w:p>
            <w:pPr>
              <w:pStyle w:val="TableContents"/>
              <w:spacing w:before="0" w:after="0"/>
              <w:ind w:left="0" w:right="0" w:hanging="0"/>
              <w:jc w:val="center"/>
              <w:rPr/>
            </w:pPr>
            <w:r>
              <w:rPr/>
              <w:t> </w:t>
            </w:r>
          </w:p>
        </w:tc>
        <w:tc>
          <w:tcPr>
            <w:tcW w:w="14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w:t>
              <w:br/>
              <w:t>and Logistics</w:t>
            </w:r>
          </w:p>
        </w:tc>
        <w:tc>
          <w:tcPr>
            <w:tcW w:w="192" w:type="dxa"/>
            <w:tcBorders/>
            <w:shd w:fill="auto" w:val="clear"/>
            <w:vAlign w:val="bottom"/>
          </w:tcPr>
          <w:p>
            <w:pPr>
              <w:pStyle w:val="TableContents"/>
              <w:spacing w:before="0" w:after="0"/>
              <w:ind w:left="0" w:right="0" w:hanging="0"/>
              <w:jc w:val="center"/>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7" w:type="dxa"/>
            <w:tcBorders/>
            <w:shd w:fill="auto" w:val="clear"/>
            <w:vAlign w:val="bottom"/>
          </w:tcPr>
          <w:p>
            <w:pPr>
              <w:pStyle w:val="TableContents"/>
              <w:spacing w:before="0" w:after="0"/>
              <w:ind w:left="0" w:right="0" w:hanging="0"/>
              <w:jc w:val="center"/>
              <w:rPr/>
            </w:pPr>
            <w:r>
              <w:rPr/>
              <w:t> </w:t>
            </w:r>
          </w:p>
        </w:tc>
      </w:tr>
      <w:tr>
        <w:trPr/>
        <w:tc>
          <w:tcPr>
            <w:tcW w:w="385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September 30, 2013</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w:t>
            </w:r>
          </w:p>
        </w:tc>
        <w:tc>
          <w:tcPr>
            <w:tcW w:w="193" w:type="dxa"/>
            <w:tcBorders/>
            <w:shd w:fill="CCEEFF" w:val="clear"/>
            <w:vAlign w:val="bottom"/>
          </w:tcPr>
          <w:p>
            <w:pPr>
              <w:pStyle w:val="TableContents"/>
              <w:spacing w:before="0" w:after="0"/>
              <w:ind w:left="0" w:right="0" w:hanging="0"/>
              <w:rPr/>
            </w:pPr>
            <w:r>
              <w:rPr/>
              <w:t> </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93"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193"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10,386</w:t>
            </w:r>
          </w:p>
        </w:tc>
        <w:tc>
          <w:tcPr>
            <w:tcW w:w="192" w:type="dxa"/>
            <w:tcBorders/>
            <w:shd w:fill="CCEEFF" w:val="clear"/>
            <w:vAlign w:val="bottom"/>
          </w:tcPr>
          <w:p>
            <w:pPr>
              <w:pStyle w:val="TableContents"/>
              <w:spacing w:before="0" w:after="0"/>
              <w:ind w:left="0" w:right="0" w:hanging="0"/>
              <w:rPr/>
            </w:pPr>
            <w:r>
              <w:rPr/>
              <w:t> </w:t>
            </w:r>
          </w:p>
        </w:tc>
        <w:tc>
          <w:tcPr>
            <w:tcW w:w="1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10,703</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auto" w:val="clear"/>
            <w:vAlign w:val="bottom"/>
          </w:tcPr>
          <w:p>
            <w:pPr>
              <w:pStyle w:val="TableContents"/>
              <w:spacing w:before="0" w:after="0"/>
              <w:ind w:left="0" w:right="0" w:hanging="0"/>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10,386</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11,044</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vAlign w:val="bottom"/>
          </w:tcPr>
          <w:p>
            <w:pPr>
              <w:pStyle w:val="TableContents"/>
              <w:spacing w:before="0" w:after="0"/>
              <w:ind w:left="0" w:right="0" w:hanging="0"/>
              <w:rPr/>
            </w:pPr>
            <w:r>
              <w:rPr/>
              <w:t> </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September 30, 2012</w:t>
            </w:r>
          </w:p>
        </w:tc>
        <w:tc>
          <w:tcPr>
            <w:tcW w:w="193" w:type="dxa"/>
            <w:tcBorders/>
            <w:shd w:fill="auto" w:val="clear"/>
            <w:vAlign w:val="bottom"/>
          </w:tcPr>
          <w:p>
            <w:pPr>
              <w:pStyle w:val="TableContents"/>
              <w:spacing w:before="0" w:after="0"/>
              <w:ind w:left="0" w:right="0" w:hanging="0"/>
              <w:rPr/>
            </w:pPr>
            <w:r>
              <w:rPr/>
              <w:t> </w:t>
            </w:r>
          </w:p>
        </w:tc>
        <w:tc>
          <w:tcPr>
            <w:tcW w:w="1512"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241" w:type="dxa"/>
            <w:gridSpan w:val="2"/>
            <w:tcBorders/>
            <w:shd w:fill="auto" w:val="clear"/>
            <w:vAlign w:val="bottom"/>
          </w:tcPr>
          <w:p>
            <w:pPr>
              <w:pStyle w:val="TableContents"/>
              <w:spacing w:before="0" w:after="0"/>
              <w:ind w:left="0" w:right="0" w:hanging="0"/>
              <w:jc w:val="right"/>
              <w:rPr/>
            </w:pPr>
            <w:r>
              <w:rPr/>
              <w:t> </w:t>
            </w:r>
          </w:p>
        </w:tc>
        <w:tc>
          <w:tcPr>
            <w:tcW w:w="193" w:type="dxa"/>
            <w:tcBorders/>
            <w:shd w:fill="auto" w:val="clear"/>
            <w:vAlign w:val="bottom"/>
          </w:tcPr>
          <w:p>
            <w:pPr>
              <w:pStyle w:val="TableContents"/>
              <w:spacing w:before="0" w:after="0"/>
              <w:ind w:left="0" w:right="0" w:hanging="0"/>
              <w:rPr/>
            </w:pPr>
            <w:r>
              <w:rPr/>
              <w:t> </w:t>
            </w:r>
          </w:p>
        </w:tc>
        <w:tc>
          <w:tcPr>
            <w:tcW w:w="1425" w:type="dxa"/>
            <w:gridSpan w:val="2"/>
            <w:tcBorders/>
            <w:shd w:fill="auto" w:val="clear"/>
            <w:vAlign w:val="bottom"/>
          </w:tcPr>
          <w:p>
            <w:pPr>
              <w:pStyle w:val="TableContents"/>
              <w:spacing w:before="0" w:after="0"/>
              <w:ind w:left="0" w:right="0" w:hanging="0"/>
              <w:jc w:val="right"/>
              <w:rPr/>
            </w:pPr>
            <w:r>
              <w:rPr/>
              <w:t> </w:t>
            </w:r>
          </w:p>
        </w:tc>
        <w:tc>
          <w:tcPr>
            <w:tcW w:w="192"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shd w:fill="CCEEFF" w:val="clear"/>
            <w:vAlign w:val="bottom"/>
          </w:tcPr>
          <w:p>
            <w:pPr>
              <w:pStyle w:val="TableContents"/>
              <w:spacing w:before="0" w:after="0"/>
              <w:ind w:left="0" w:right="0" w:hanging="0"/>
              <w:jc w:val="right"/>
              <w:rPr/>
            </w:pPr>
            <w:r>
              <w:rPr/>
              <w:t> </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93" w:type="dxa"/>
            <w:tcBorders/>
            <w:shd w:fill="auto" w:val="clear"/>
            <w:vAlign w:val="bottom"/>
          </w:tcPr>
          <w:p>
            <w:pPr>
              <w:pStyle w:val="TableContents"/>
              <w:spacing w:before="0" w:after="0"/>
              <w:ind w:left="0" w:right="0" w:hanging="0"/>
              <w:rPr/>
            </w:pPr>
            <w:r>
              <w:rPr/>
              <w:t> </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93"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93"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9,048</w:t>
            </w:r>
          </w:p>
        </w:tc>
        <w:tc>
          <w:tcPr>
            <w:tcW w:w="192" w:type="dxa"/>
            <w:tcBorders/>
            <w:shd w:fill="auto" w:val="clear"/>
            <w:vAlign w:val="bottom"/>
          </w:tcPr>
          <w:p>
            <w:pPr>
              <w:pStyle w:val="TableContents"/>
              <w:spacing w:before="0" w:after="0"/>
              <w:ind w:left="0" w:right="0" w:hanging="0"/>
              <w:rPr/>
            </w:pPr>
            <w:r>
              <w:rPr/>
              <w:t> </w:t>
            </w:r>
          </w:p>
        </w:tc>
        <w:tc>
          <w:tcPr>
            <w:tcW w:w="1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9,354</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93" w:type="dxa"/>
            <w:tcBorders/>
            <w:shd w:fill="CCEEFF" w:val="clear"/>
            <w:vAlign w:val="bottom"/>
          </w:tcPr>
          <w:p>
            <w:pPr>
              <w:pStyle w:val="TableContents"/>
              <w:spacing w:before="0" w:after="0"/>
              <w:ind w:left="0" w:right="0" w:hanging="0"/>
              <w:rPr/>
            </w:pPr>
            <w:r>
              <w:rPr/>
              <w:t> </w:t>
            </w:r>
          </w:p>
        </w:tc>
        <w:tc>
          <w:tcPr>
            <w:tcW w:w="151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93" w:type="dxa"/>
            <w:tcBorders/>
            <w:shd w:fill="CCEEFF" w:val="clear"/>
            <w:vAlign w:val="bottom"/>
          </w:tcPr>
          <w:p>
            <w:pPr>
              <w:pStyle w:val="TableContents"/>
              <w:spacing w:before="0" w:after="0"/>
              <w:ind w:left="0" w:right="0" w:hanging="0"/>
              <w:rPr/>
            </w:pPr>
            <w:r>
              <w:rPr/>
              <w:t> </w:t>
            </w:r>
          </w:p>
        </w:tc>
        <w:tc>
          <w:tcPr>
            <w:tcW w:w="124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93" w:type="dxa"/>
            <w:tcBorders/>
            <w:shd w:fill="CCEEFF" w:val="clear"/>
            <w:vAlign w:val="bottom"/>
          </w:tcPr>
          <w:p>
            <w:pPr>
              <w:pStyle w:val="TableContents"/>
              <w:spacing w:before="0" w:after="0"/>
              <w:ind w:left="0" w:right="0" w:hanging="0"/>
              <w:rPr/>
            </w:pPr>
            <w:r>
              <w:rPr/>
              <w:t> </w:t>
            </w:r>
          </w:p>
        </w:tc>
        <w:tc>
          <w:tcPr>
            <w:tcW w:w="14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2" w:type="dxa"/>
            <w:tcBorders/>
            <w:shd w:fill="CCEEFF" w:val="clear"/>
            <w:vAlign w:val="bottom"/>
          </w:tcPr>
          <w:p>
            <w:pPr>
              <w:pStyle w:val="TableContents"/>
              <w:spacing w:before="0" w:after="0"/>
              <w:ind w:left="0" w:right="0" w:hanging="0"/>
              <w:rPr/>
            </w:pPr>
            <w:r>
              <w:rPr/>
              <w:t> </w:t>
            </w:r>
          </w:p>
        </w:tc>
        <w:tc>
          <w:tcPr>
            <w:tcW w:w="12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9,049</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9,675</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7" w:type="dxa"/>
            <w:tcBorders/>
            <w:shd w:fill="CCEEFF" w:val="clear"/>
            <w:vAlign w:val="bottom"/>
          </w:tcPr>
          <w:p>
            <w:pPr>
              <w:pStyle w:val="TableContents"/>
              <w:spacing w:before="0" w:after="0"/>
              <w:ind w:left="0" w:right="0" w:hanging="0"/>
              <w:rPr/>
            </w:pPr>
            <w:r>
              <w:rPr/>
              <w:t> </w:t>
            </w:r>
          </w:p>
        </w:tc>
      </w:tr>
      <w:tr>
        <w:trPr/>
        <w:tc>
          <w:tcPr>
            <w:tcW w:w="3852" w:type="dxa"/>
            <w:tcBorders/>
            <w:shd w:fill="auto"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93" w:type="dxa"/>
            <w:tcBorders/>
            <w:shd w:fill="auto" w:val="clear"/>
            <w:vAlign w:val="bottom"/>
          </w:tcPr>
          <w:p>
            <w:pPr>
              <w:pStyle w:val="TableContents"/>
              <w:spacing w:before="0" w:after="0"/>
              <w:ind w:left="0" w:right="0" w:hanging="0"/>
              <w:rPr/>
            </w:pPr>
            <w:r>
              <w:rPr/>
              <w:t> </w:t>
            </w:r>
          </w:p>
        </w:tc>
        <w:tc>
          <w:tcPr>
            <w:tcW w:w="2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93" w:type="dxa"/>
            <w:tcBorders/>
            <w:shd w:fill="auto" w:val="clear"/>
            <w:vAlign w:val="bottom"/>
          </w:tcPr>
          <w:p>
            <w:pPr>
              <w:pStyle w:val="TableContents"/>
              <w:spacing w:before="0" w:after="0"/>
              <w:ind w:left="0" w:right="0" w:hanging="0"/>
              <w:rPr/>
            </w:pPr>
            <w:r>
              <w:rPr/>
              <w:t> </w:t>
            </w:r>
          </w:p>
        </w:tc>
        <w:tc>
          <w:tcPr>
            <w:tcW w:w="18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9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92" w:type="dxa"/>
            <w:tcBorders/>
            <w:shd w:fill="auto" w:val="clear"/>
            <w:vAlign w:val="bottom"/>
          </w:tcPr>
          <w:p>
            <w:pPr>
              <w:pStyle w:val="TableContents"/>
              <w:spacing w:before="0" w:after="0"/>
              <w:ind w:left="0" w:right="0" w:hanging="0"/>
              <w:rPr/>
            </w:pPr>
            <w:r>
              <w:rPr/>
              <w:t> </w:t>
            </w:r>
          </w:p>
        </w:tc>
        <w:tc>
          <w:tcPr>
            <w:tcW w:w="15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127" w:type="dxa"/>
            <w:tcBorders/>
            <w:shd w:fill="auto" w:val="clear"/>
            <w:vAlign w:val="bottom"/>
          </w:tcPr>
          <w:p>
            <w:pPr>
              <w:pStyle w:val="TableContents"/>
              <w:spacing w:before="0" w:after="0"/>
              <w:ind w:left="0" w:right="0" w:hanging="0"/>
              <w:rPr/>
            </w:pPr>
            <w:r>
              <w:rPr/>
              <w:t> </w:t>
            </w:r>
          </w:p>
        </w:tc>
      </w:tr>
      <w:tr>
        <w:trPr/>
        <w:tc>
          <w:tcPr>
            <w:tcW w:w="385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3" w:type="dxa"/>
            <w:tcBorders/>
            <w:shd w:fill="CCEEFF" w:val="clear"/>
            <w:vAlign w:val="bottom"/>
          </w:tcPr>
          <w:p>
            <w:pPr>
              <w:pStyle w:val="TableContents"/>
              <w:spacing w:before="0" w:after="0"/>
              <w:ind w:left="0" w:right="0" w:hanging="0"/>
              <w:rPr/>
            </w:pPr>
            <w:r>
              <w:rPr/>
              <w:t> </w:t>
            </w:r>
          </w:p>
        </w:tc>
        <w:tc>
          <w:tcPr>
            <w:tcW w:w="26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93" w:type="dxa"/>
            <w:tcBorders/>
            <w:shd w:fill="CCEEFF" w:val="clear"/>
            <w:vAlign w:val="bottom"/>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3" w:type="dxa"/>
            <w:tcBorders/>
            <w:shd w:fill="CCEEFF" w:val="clear"/>
            <w:vAlign w:val="bottom"/>
          </w:tcPr>
          <w:p>
            <w:pPr>
              <w:pStyle w:val="TableContents"/>
              <w:spacing w:before="0" w:after="0"/>
              <w:ind w:left="0" w:right="0" w:hanging="0"/>
              <w:rPr/>
            </w:pPr>
            <w:r>
              <w:rPr/>
              <w:t> </w:t>
            </w:r>
          </w:p>
        </w:tc>
        <w:tc>
          <w:tcPr>
            <w:tcW w:w="18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92" w:type="dxa"/>
            <w:tcBorders/>
            <w:shd w:fill="CCEEFF" w:val="clear"/>
            <w:vAlign w:val="bottom"/>
          </w:tcPr>
          <w:p>
            <w:pPr>
              <w:pStyle w:val="TableContents"/>
              <w:spacing w:before="0" w:after="0"/>
              <w:ind w:left="0" w:right="0" w:hanging="0"/>
              <w:rPr/>
            </w:pPr>
            <w:r>
              <w:rPr/>
              <w:t> </w:t>
            </w:r>
          </w:p>
        </w:tc>
        <w:tc>
          <w:tcPr>
            <w:tcW w:w="1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964"/>
        <w:gridCol w:w="197"/>
        <w:gridCol w:w="195"/>
        <w:gridCol w:w="1257"/>
        <w:gridCol w:w="197"/>
        <w:gridCol w:w="174"/>
        <w:gridCol w:w="1058"/>
        <w:gridCol w:w="197"/>
        <w:gridCol w:w="166"/>
        <w:gridCol w:w="1216"/>
        <w:gridCol w:w="197"/>
        <w:gridCol w:w="145"/>
        <w:gridCol w:w="1116"/>
        <w:gridCol w:w="126"/>
      </w:tblGrid>
      <w:tr>
        <w:trPr/>
        <w:tc>
          <w:tcPr>
            <w:tcW w:w="3964"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jc w:val="center"/>
              <w:rPr/>
            </w:pPr>
            <w:r>
              <w:rPr/>
              <w:t> </w:t>
            </w:r>
          </w:p>
        </w:tc>
        <w:tc>
          <w:tcPr>
            <w:tcW w:w="14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97" w:type="dxa"/>
            <w:tcBorders/>
            <w:shd w:fill="auto" w:val="clear"/>
            <w:vAlign w:val="bottom"/>
          </w:tcPr>
          <w:p>
            <w:pPr>
              <w:pStyle w:val="TableContents"/>
              <w:spacing w:before="0" w:after="0"/>
              <w:ind w:left="0" w:right="0" w:hanging="0"/>
              <w:jc w:val="center"/>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97" w:type="dxa"/>
            <w:tcBorders/>
            <w:shd w:fill="auto" w:val="clear"/>
            <w:vAlign w:val="bottom"/>
          </w:tcPr>
          <w:p>
            <w:pPr>
              <w:pStyle w:val="TableContents"/>
              <w:spacing w:before="0" w:after="0"/>
              <w:ind w:left="0" w:right="0" w:hanging="0"/>
              <w:jc w:val="center"/>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w:t>
              <w:br/>
              <w:t>and Logistics</w:t>
            </w:r>
          </w:p>
        </w:tc>
        <w:tc>
          <w:tcPr>
            <w:tcW w:w="197" w:type="dxa"/>
            <w:tcBorders/>
            <w:shd w:fill="auto" w:val="clear"/>
            <w:vAlign w:val="bottom"/>
          </w:tcPr>
          <w:p>
            <w:pPr>
              <w:pStyle w:val="TableContents"/>
              <w:spacing w:before="0" w:after="0"/>
              <w:ind w:left="0" w:right="0" w:hanging="0"/>
              <w:jc w:val="center"/>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26" w:type="dxa"/>
            <w:tcBorders/>
            <w:shd w:fill="auto" w:val="clear"/>
            <w:vAlign w:val="bottom"/>
          </w:tcPr>
          <w:p>
            <w:pPr>
              <w:pStyle w:val="TableContents"/>
              <w:spacing w:before="0" w:after="0"/>
              <w:ind w:left="0" w:right="0" w:hanging="0"/>
              <w:jc w:val="center"/>
              <w:rPr/>
            </w:pPr>
            <w:r>
              <w:rPr/>
              <w:t> </w:t>
            </w:r>
          </w:p>
        </w:tc>
      </w:tr>
      <w:tr>
        <w:trPr/>
        <w:tc>
          <w:tcPr>
            <w:tcW w:w="3964" w:type="dxa"/>
            <w:tcBorders/>
            <w:shd w:fill="auto" w:val="clear"/>
            <w:vAlign w:val="bottom"/>
          </w:tcPr>
          <w:p>
            <w:pPr>
              <w:pStyle w:val="TableContents"/>
              <w:spacing w:before="0" w:after="0"/>
              <w:ind w:left="0" w:right="0" w:hanging="0"/>
              <w:rPr/>
            </w:pPr>
            <w:r>
              <w:rPr/>
              <w:t> </w:t>
            </w:r>
          </w:p>
        </w:tc>
        <w:tc>
          <w:tcPr>
            <w:tcW w:w="197"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Nine Months Ended September 30, 2013</w:t>
            </w:r>
          </w:p>
        </w:tc>
        <w:tc>
          <w:tcPr>
            <w:tcW w:w="197"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7"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97"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517</w:t>
            </w:r>
          </w:p>
        </w:tc>
        <w:tc>
          <w:tcPr>
            <w:tcW w:w="197" w:type="dxa"/>
            <w:tcBorders/>
            <w:shd w:fill="CCEEFF" w:val="clear"/>
            <w:vAlign w:val="bottom"/>
          </w:tcPr>
          <w:p>
            <w:pPr>
              <w:pStyle w:val="TableContents"/>
              <w:spacing w:before="0" w:after="0"/>
              <w:ind w:left="0" w:right="0" w:hanging="0"/>
              <w:rPr/>
            </w:pPr>
            <w:r>
              <w:rPr/>
              <w:t> </w:t>
            </w:r>
          </w:p>
        </w:tc>
        <w:tc>
          <w:tcPr>
            <w:tcW w:w="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w:t>
            </w:r>
          </w:p>
        </w:tc>
        <w:tc>
          <w:tcPr>
            <w:tcW w:w="197" w:type="dxa"/>
            <w:tcBorders/>
            <w:shd w:fill="CCEEFF" w:val="clear"/>
            <w:vAlign w:val="bottom"/>
          </w:tcPr>
          <w:p>
            <w:pPr>
              <w:pStyle w:val="TableContents"/>
              <w:spacing w:before="0" w:after="0"/>
              <w:ind w:left="0" w:right="0" w:hanging="0"/>
              <w:rPr/>
            </w:pPr>
            <w:r>
              <w:rPr/>
              <w:t> </w:t>
            </w:r>
          </w:p>
        </w:tc>
        <w:tc>
          <w:tcPr>
            <w:tcW w:w="1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30,542</w:t>
            </w:r>
          </w:p>
        </w:tc>
        <w:tc>
          <w:tcPr>
            <w:tcW w:w="197"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31,617</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97" w:type="dxa"/>
            <w:tcBorders/>
            <w:shd w:fill="auto" w:val="clear"/>
            <w:vAlign w:val="bottom"/>
          </w:tcPr>
          <w:p>
            <w:pPr>
              <w:pStyle w:val="TableContents"/>
              <w:spacing w:before="0" w:after="0"/>
              <w:ind w:left="0" w:right="0" w:hanging="0"/>
              <w:rPr/>
            </w:pPr>
            <w:r>
              <w:rPr/>
              <w:t> </w:t>
            </w:r>
          </w:p>
        </w:tc>
        <w:tc>
          <w:tcPr>
            <w:tcW w:w="145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w:t>
            </w:r>
          </w:p>
        </w:tc>
        <w:tc>
          <w:tcPr>
            <w:tcW w:w="197" w:type="dxa"/>
            <w:tcBorders/>
            <w:shd w:fill="auto"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197" w:type="dxa"/>
            <w:tcBorders/>
            <w:shd w:fill="auto"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7" w:type="dxa"/>
            <w:tcBorders/>
            <w:shd w:fill="auto"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1,021</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9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1,111</w:t>
            </w:r>
          </w:p>
        </w:tc>
        <w:tc>
          <w:tcPr>
            <w:tcW w:w="197"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983</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30,544</w:t>
            </w:r>
          </w:p>
        </w:tc>
        <w:tc>
          <w:tcPr>
            <w:tcW w:w="197"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32,638</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9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97" w:type="dxa"/>
            <w:tcBorders/>
            <w:shd w:fill="auto" w:val="clear"/>
            <w:vAlign w:val="bottom"/>
          </w:tcPr>
          <w:p>
            <w:pPr>
              <w:pStyle w:val="TableContents"/>
              <w:spacing w:before="0" w:after="0"/>
              <w:ind w:left="0" w:right="0" w:hanging="0"/>
              <w:rPr/>
            </w:pPr>
            <w:r>
              <w:rPr/>
              <w:t> </w:t>
            </w:r>
          </w:p>
        </w:tc>
        <w:tc>
          <w:tcPr>
            <w:tcW w:w="1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9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197"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673</w:t>
            </w:r>
          </w:p>
        </w:tc>
        <w:tc>
          <w:tcPr>
            <w:tcW w:w="197"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1,640</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97" w:type="dxa"/>
            <w:tcBorders/>
            <w:shd w:fill="auto" w:val="clear"/>
            <w:vAlign w:val="bottom"/>
          </w:tcPr>
          <w:p>
            <w:pPr>
              <w:pStyle w:val="TableContents"/>
              <w:spacing w:before="0" w:after="0"/>
              <w:ind w:left="0" w:right="0" w:hanging="0"/>
              <w:rPr/>
            </w:pPr>
            <w:r>
              <w:rPr/>
              <w:t> </w:t>
            </w:r>
          </w:p>
        </w:tc>
        <w:tc>
          <w:tcPr>
            <w:tcW w:w="1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9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vAlign w:val="bottom"/>
          </w:tcPr>
          <w:p>
            <w:pPr>
              <w:pStyle w:val="TableContents"/>
              <w:spacing w:before="0" w:after="0"/>
              <w:ind w:left="0" w:right="0" w:hanging="0"/>
              <w:rPr/>
            </w:pPr>
            <w:r>
              <w:rPr/>
              <w:t> </w:t>
            </w:r>
          </w:p>
        </w:tc>
        <w:tc>
          <w:tcPr>
            <w:tcW w:w="197"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Nine Months Ended September 30, 2012</w:t>
            </w:r>
          </w:p>
        </w:tc>
        <w:tc>
          <w:tcPr>
            <w:tcW w:w="197"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382" w:type="dxa"/>
            <w:gridSpan w:val="2"/>
            <w:tcBorders/>
            <w:shd w:fill="auto" w:val="clear"/>
            <w:vAlign w:val="bottom"/>
          </w:tcPr>
          <w:p>
            <w:pPr>
              <w:pStyle w:val="TableContents"/>
              <w:spacing w:before="0" w:after="0"/>
              <w:ind w:left="0" w:right="0" w:hanging="0"/>
              <w:jc w:val="right"/>
              <w:rPr/>
            </w:pPr>
            <w:r>
              <w:rPr/>
              <w:t> </w:t>
            </w:r>
          </w:p>
        </w:tc>
        <w:tc>
          <w:tcPr>
            <w:tcW w:w="197" w:type="dxa"/>
            <w:tcBorders/>
            <w:shd w:fill="auto" w:val="clear"/>
            <w:vAlign w:val="bottom"/>
          </w:tcPr>
          <w:p>
            <w:pPr>
              <w:pStyle w:val="TableContents"/>
              <w:spacing w:before="0" w:after="0"/>
              <w:ind w:left="0" w:right="0" w:hanging="0"/>
              <w:rPr/>
            </w:pPr>
            <w:r>
              <w:rPr/>
              <w:t> </w:t>
            </w:r>
          </w:p>
        </w:tc>
        <w:tc>
          <w:tcPr>
            <w:tcW w:w="1261"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97"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382" w:type="dxa"/>
            <w:gridSpan w:val="2"/>
            <w:tcBorders/>
            <w:shd w:fill="CCEEFF" w:val="clear"/>
            <w:vAlign w:val="bottom"/>
          </w:tcPr>
          <w:p>
            <w:pPr>
              <w:pStyle w:val="TableContents"/>
              <w:spacing w:before="0" w:after="0"/>
              <w:ind w:left="0" w:right="0" w:hanging="0"/>
              <w:jc w:val="right"/>
              <w:rPr/>
            </w:pPr>
            <w:r>
              <w:rPr/>
              <w:t> </w:t>
            </w:r>
          </w:p>
        </w:tc>
        <w:tc>
          <w:tcPr>
            <w:tcW w:w="197" w:type="dxa"/>
            <w:tcBorders/>
            <w:shd w:fill="CCEEFF" w:val="clear"/>
            <w:vAlign w:val="bottom"/>
          </w:tcPr>
          <w:p>
            <w:pPr>
              <w:pStyle w:val="TableContents"/>
              <w:spacing w:before="0" w:after="0"/>
              <w:ind w:left="0" w:right="0" w:hanging="0"/>
              <w:rPr/>
            </w:pPr>
            <w:r>
              <w:rPr/>
              <w:t> </w:t>
            </w:r>
          </w:p>
        </w:tc>
        <w:tc>
          <w:tcPr>
            <w:tcW w:w="1261"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External Customers </w:t>
            </w:r>
          </w:p>
        </w:tc>
        <w:tc>
          <w:tcPr>
            <w:tcW w:w="197"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197" w:type="dxa"/>
            <w:tcBorders/>
            <w:shd w:fill="auto" w:val="clear"/>
            <w:vAlign w:val="bottom"/>
          </w:tcPr>
          <w:p>
            <w:pPr>
              <w:pStyle w:val="TableContents"/>
              <w:spacing w:before="0" w:after="0"/>
              <w:ind w:left="0" w:right="0" w:hanging="0"/>
              <w:rPr/>
            </w:pPr>
            <w:r>
              <w:rPr/>
              <w:t> </w:t>
            </w:r>
          </w:p>
        </w:tc>
        <w:tc>
          <w:tcPr>
            <w:tcW w:w="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w:t>
            </w:r>
          </w:p>
        </w:tc>
        <w:tc>
          <w:tcPr>
            <w:tcW w:w="197" w:type="dxa"/>
            <w:tcBorders/>
            <w:shd w:fill="auto" w:val="clear"/>
            <w:vAlign w:val="bottom"/>
          </w:tcPr>
          <w:p>
            <w:pPr>
              <w:pStyle w:val="TableContents"/>
              <w:spacing w:before="0" w:after="0"/>
              <w:ind w:left="0" w:right="0" w:hanging="0"/>
              <w:rPr/>
            </w:pPr>
            <w:r>
              <w:rPr/>
              <w:t> </w:t>
            </w:r>
          </w:p>
        </w:tc>
        <w:tc>
          <w:tcPr>
            <w:tcW w:w="1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27,367</w:t>
            </w:r>
          </w:p>
        </w:tc>
        <w:tc>
          <w:tcPr>
            <w:tcW w:w="197" w:type="dxa"/>
            <w:tcBorders/>
            <w:shd w:fill="auto" w:val="clear"/>
            <w:vAlign w:val="bottom"/>
          </w:tcPr>
          <w:p>
            <w:pPr>
              <w:pStyle w:val="TableContents"/>
              <w:spacing w:before="0" w:after="0"/>
              <w:ind w:left="0" w:right="0" w:hanging="0"/>
              <w:rPr/>
            </w:pPr>
            <w:r>
              <w:rPr/>
              <w:t> </w:t>
            </w:r>
          </w:p>
        </w:tc>
        <w:tc>
          <w:tcPr>
            <w:tcW w:w="1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28,358</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pPr>
            <w:r>
              <w:rPr>
                <w:rFonts w:ascii="Times New Roman" w:hAnsi="Times New Roman"/>
                <w:sz w:val="17"/>
              </w:rPr>
              <w:t xml:space="preserve">Intersegment </w:t>
            </w:r>
            <w:r>
              <w:rPr>
                <w:sz w:val="11"/>
              </w:rPr>
              <w:t>(1)</w:t>
            </w:r>
          </w:p>
        </w:tc>
        <w:tc>
          <w:tcPr>
            <w:tcW w:w="197" w:type="dxa"/>
            <w:tcBorders/>
            <w:shd w:fill="CCEEFF" w:val="clear"/>
            <w:vAlign w:val="bottom"/>
          </w:tcPr>
          <w:p>
            <w:pPr>
              <w:pStyle w:val="TableContents"/>
              <w:spacing w:before="0" w:after="0"/>
              <w:ind w:left="0" w:right="0" w:hanging="0"/>
              <w:rPr/>
            </w:pPr>
            <w:r>
              <w:rPr/>
              <w:t> </w:t>
            </w:r>
          </w:p>
        </w:tc>
        <w:tc>
          <w:tcPr>
            <w:tcW w:w="145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w:t>
            </w:r>
          </w:p>
        </w:tc>
        <w:tc>
          <w:tcPr>
            <w:tcW w:w="197" w:type="dxa"/>
            <w:tcBorders/>
            <w:shd w:fill="CCEEFF"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197" w:type="dxa"/>
            <w:tcBorders/>
            <w:shd w:fill="CCEEFF" w:val="clear"/>
            <w:vAlign w:val="bottom"/>
          </w:tcPr>
          <w:p>
            <w:pPr>
              <w:pStyle w:val="TableContents"/>
              <w:spacing w:before="0" w:after="0"/>
              <w:ind w:left="0" w:right="0" w:hanging="0"/>
              <w:rPr/>
            </w:pPr>
            <w:r>
              <w:rPr/>
              <w:t> </w:t>
            </w:r>
          </w:p>
        </w:tc>
        <w:tc>
          <w:tcPr>
            <w:tcW w:w="138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97" w:type="dxa"/>
            <w:tcBorders/>
            <w:shd w:fill="CCEEFF" w:val="clear"/>
            <w:vAlign w:val="bottom"/>
          </w:tcPr>
          <w:p>
            <w:pPr>
              <w:pStyle w:val="TableContents"/>
              <w:spacing w:before="0" w:after="0"/>
              <w:ind w:left="0" w:right="0" w:hanging="0"/>
              <w:rPr/>
            </w:pPr>
            <w:r>
              <w:rPr/>
              <w:t> </w:t>
            </w:r>
          </w:p>
        </w:tc>
        <w:tc>
          <w:tcPr>
            <w:tcW w:w="12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838</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19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197" w:type="dxa"/>
            <w:tcBorders/>
            <w:shd w:fill="auto" w:val="clear"/>
            <w:vAlign w:val="bottom"/>
          </w:tcPr>
          <w:p>
            <w:pPr>
              <w:pStyle w:val="TableContents"/>
              <w:spacing w:before="0" w:after="0"/>
              <w:ind w:left="0" w:right="0" w:hanging="0"/>
              <w:rPr/>
            </w:pPr>
            <w:r>
              <w:rPr/>
              <w:t> </w:t>
            </w:r>
          </w:p>
        </w:tc>
        <w:tc>
          <w:tcPr>
            <w:tcW w:w="1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27,368</w:t>
            </w:r>
          </w:p>
        </w:tc>
        <w:tc>
          <w:tcPr>
            <w:tcW w:w="19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29,196</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9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97"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7"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6" w:type="dxa"/>
            <w:tcBorders/>
            <w:shd w:fill="CCEEFF" w:val="clear"/>
            <w:vAlign w:val="bottom"/>
          </w:tcPr>
          <w:p>
            <w:pPr>
              <w:pStyle w:val="TableContents"/>
              <w:spacing w:before="0" w:after="0"/>
              <w:ind w:left="0" w:right="0" w:hanging="0"/>
              <w:rPr/>
            </w:pPr>
            <w:r>
              <w:rPr/>
              <w:t> </w:t>
            </w:r>
          </w:p>
        </w:tc>
      </w:tr>
      <w:tr>
        <w:trPr/>
        <w:tc>
          <w:tcPr>
            <w:tcW w:w="3964" w:type="dxa"/>
            <w:tcBorders/>
            <w:shd w:fill="auto" w:val="clear"/>
          </w:tcPr>
          <w:p>
            <w:pPr>
              <w:pStyle w:val="TableContents"/>
              <w:spacing w:before="0" w:after="0"/>
              <w:ind w:left="0" w:right="0" w:hanging="0"/>
              <w:rPr/>
            </w:pPr>
            <w:r>
              <w:rPr>
                <w:rFonts w:ascii="Times New Roman" w:hAnsi="Times New Roman"/>
                <w:sz w:val="17"/>
              </w:rPr>
              <w:t xml:space="preserve">Segment profit </w:t>
            </w:r>
            <w:r>
              <w:rPr>
                <w:sz w:val="11"/>
              </w:rPr>
              <w:t>(2) (3)</w:t>
            </w:r>
          </w:p>
        </w:tc>
        <w:tc>
          <w:tcPr>
            <w:tcW w:w="197"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97" w:type="dxa"/>
            <w:tcBorders/>
            <w:shd w:fill="auto" w:val="clear"/>
            <w:vAlign w:val="bottom"/>
          </w:tcPr>
          <w:p>
            <w:pPr>
              <w:pStyle w:val="TableContents"/>
              <w:spacing w:before="0" w:after="0"/>
              <w:ind w:left="0" w:right="0" w:hanging="0"/>
              <w:rPr/>
            </w:pPr>
            <w:r>
              <w:rPr/>
              <w:t> </w:t>
            </w:r>
          </w:p>
        </w:tc>
        <w:tc>
          <w:tcPr>
            <w:tcW w:w="17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97" w:type="dxa"/>
            <w:tcBorders/>
            <w:shd w:fill="auto" w:val="clear"/>
            <w:vAlign w:val="bottom"/>
          </w:tcPr>
          <w:p>
            <w:pPr>
              <w:pStyle w:val="TableContents"/>
              <w:spacing w:before="0" w:after="0"/>
              <w:ind w:left="0" w:right="0" w:hanging="0"/>
              <w:rPr/>
            </w:pPr>
            <w:r>
              <w:rPr/>
              <w:t> </w:t>
            </w:r>
          </w:p>
        </w:tc>
        <w:tc>
          <w:tcPr>
            <w:tcW w:w="16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97" w:type="dxa"/>
            <w:tcBorders/>
            <w:shd w:fill="auto" w:val="clear"/>
            <w:vAlign w:val="bottom"/>
          </w:tcPr>
          <w:p>
            <w:pPr>
              <w:pStyle w:val="TableContents"/>
              <w:spacing w:before="0" w:after="0"/>
              <w:ind w:left="0" w:right="0" w:hanging="0"/>
              <w:rPr/>
            </w:pPr>
            <w:r>
              <w:rPr/>
              <w:t> </w:t>
            </w:r>
          </w:p>
        </w:tc>
        <w:tc>
          <w:tcPr>
            <w:tcW w:w="14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126" w:type="dxa"/>
            <w:tcBorders/>
            <w:shd w:fill="auto" w:val="clear"/>
            <w:vAlign w:val="bottom"/>
          </w:tcPr>
          <w:p>
            <w:pPr>
              <w:pStyle w:val="TableContents"/>
              <w:spacing w:before="0" w:after="0"/>
              <w:ind w:left="0" w:right="0" w:hanging="0"/>
              <w:rPr/>
            </w:pPr>
            <w:r>
              <w:rPr/>
              <w:t> </w:t>
            </w:r>
          </w:p>
        </w:tc>
      </w:tr>
      <w:tr>
        <w:trPr/>
        <w:tc>
          <w:tcPr>
            <w:tcW w:w="396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97" w:type="dxa"/>
            <w:tcBorders/>
            <w:shd w:fill="CCEEFF" w:val="clear"/>
            <w:vAlign w:val="bottom"/>
          </w:tcPr>
          <w:p>
            <w:pPr>
              <w:pStyle w:val="TableContents"/>
              <w:spacing w:before="0" w:after="0"/>
              <w:ind w:left="0" w:right="0" w:hanging="0"/>
              <w:rPr/>
            </w:pPr>
            <w:r>
              <w:rPr/>
              <w:t> </w:t>
            </w:r>
          </w:p>
        </w:tc>
        <w:tc>
          <w:tcPr>
            <w:tcW w:w="19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97" w:type="dxa"/>
            <w:tcBorders/>
            <w:shd w:fill="CCEEFF" w:val="clear"/>
            <w:vAlign w:val="bottom"/>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97" w:type="dxa"/>
            <w:tcBorders/>
            <w:shd w:fill="CCEEFF" w:val="clear"/>
            <w:vAlign w:val="bottom"/>
          </w:tcPr>
          <w:p>
            <w:pPr>
              <w:pStyle w:val="TableContents"/>
              <w:spacing w:before="0" w:after="0"/>
              <w:ind w:left="0" w:right="0" w:hanging="0"/>
              <w:rPr/>
            </w:pPr>
            <w:r>
              <w:rPr/>
              <w:t> </w:t>
            </w:r>
          </w:p>
        </w:tc>
        <w:tc>
          <w:tcPr>
            <w:tcW w:w="1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97"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2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Supply and Logistics segment profit includes interest expense (related to hedged inventory) of approximately $8 million and $3 million for the three months ended September 30, 2013 and 2012, respectively, and approximately $21 million and $9 million for the nine months ended September 30, 2013 and 2012, respectively.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51" w:name="PB_28_132921_7748"/>
      <w:bookmarkEnd w:id="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The following table reconciles segment profit to net income attributable to Plains (in millions):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3498"/>
        <w:gridCol w:w="194"/>
        <w:gridCol w:w="153"/>
        <w:gridCol w:w="1105"/>
        <w:gridCol w:w="217"/>
        <w:gridCol w:w="153"/>
        <w:gridCol w:w="1106"/>
        <w:gridCol w:w="203"/>
        <w:gridCol w:w="136"/>
        <w:gridCol w:w="1127"/>
        <w:gridCol w:w="205"/>
        <w:gridCol w:w="136"/>
        <w:gridCol w:w="1128"/>
        <w:gridCol w:w="129"/>
      </w:tblGrid>
      <w:tr>
        <w:trPr/>
        <w:tc>
          <w:tcPr>
            <w:tcW w:w="3498"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273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3" w:type="dxa"/>
            <w:tcBorders/>
            <w:shd w:fill="auto" w:val="clear"/>
            <w:vAlign w:val="bottom"/>
          </w:tcPr>
          <w:p>
            <w:pPr>
              <w:pStyle w:val="TableContents"/>
              <w:spacing w:before="0" w:after="0"/>
              <w:ind w:left="0" w:right="0" w:hanging="0"/>
              <w:jc w:val="center"/>
              <w:rPr/>
            </w:pPr>
            <w:r>
              <w:rPr/>
              <w:t> </w:t>
            </w:r>
          </w:p>
        </w:tc>
        <w:tc>
          <w:tcPr>
            <w:tcW w:w="273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29" w:type="dxa"/>
            <w:tcBorders/>
            <w:shd w:fill="auto" w:val="clear"/>
            <w:vAlign w:val="bottom"/>
          </w:tcPr>
          <w:p>
            <w:pPr>
              <w:pStyle w:val="TableContents"/>
              <w:spacing w:before="0" w:after="0"/>
              <w:ind w:left="0" w:right="0" w:hanging="0"/>
              <w:jc w:val="center"/>
              <w:rPr/>
            </w:pPr>
            <w:r>
              <w:rPr/>
              <w:t> </w:t>
            </w:r>
          </w:p>
        </w:tc>
      </w:tr>
      <w:tr>
        <w:trPr/>
        <w:tc>
          <w:tcPr>
            <w:tcW w:w="3498"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273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3" w:type="dxa"/>
            <w:tcBorders/>
            <w:shd w:fill="auto" w:val="clear"/>
            <w:vAlign w:val="bottom"/>
          </w:tcPr>
          <w:p>
            <w:pPr>
              <w:pStyle w:val="TableContents"/>
              <w:spacing w:before="0" w:after="0"/>
              <w:ind w:left="0" w:right="0" w:hanging="0"/>
              <w:jc w:val="center"/>
              <w:rPr/>
            </w:pPr>
            <w:r>
              <w:rPr/>
              <w:t> </w:t>
            </w:r>
          </w:p>
        </w:tc>
        <w:tc>
          <w:tcPr>
            <w:tcW w:w="273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29" w:type="dxa"/>
            <w:tcBorders/>
            <w:shd w:fill="auto" w:val="clear"/>
            <w:vAlign w:val="bottom"/>
          </w:tcPr>
          <w:p>
            <w:pPr>
              <w:pStyle w:val="TableContents"/>
              <w:spacing w:before="0" w:after="0"/>
              <w:ind w:left="0" w:right="0" w:hanging="0"/>
              <w:jc w:val="center"/>
              <w:rPr/>
            </w:pPr>
            <w:r>
              <w:rPr/>
              <w:t> </w:t>
            </w:r>
          </w:p>
        </w:tc>
      </w:tr>
      <w:tr>
        <w:trPr/>
        <w:tc>
          <w:tcPr>
            <w:tcW w:w="3498" w:type="dxa"/>
            <w:tcBorders/>
            <w:shd w:fill="auto" w:val="clear"/>
            <w:vAlign w:val="bottom"/>
          </w:tcPr>
          <w:p>
            <w:pPr>
              <w:pStyle w:val="TableContents"/>
              <w:spacing w:before="0" w:after="0"/>
              <w:ind w:left="0" w:right="0" w:hanging="0"/>
              <w:rPr/>
            </w:pPr>
            <w:r>
              <w:rPr/>
              <w:t> </w:t>
            </w:r>
          </w:p>
        </w:tc>
        <w:tc>
          <w:tcPr>
            <w:tcW w:w="194" w:type="dxa"/>
            <w:tcBorders/>
            <w:shd w:fill="auto" w:val="clear"/>
            <w:vAlign w:val="bottom"/>
          </w:tcPr>
          <w:p>
            <w:pPr>
              <w:pStyle w:val="TableContents"/>
              <w:spacing w:before="0" w:after="0"/>
              <w:ind w:left="0" w:right="0" w:hanging="0"/>
              <w:jc w:val="center"/>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3" w:type="dxa"/>
            <w:tcBorders/>
            <w:shd w:fill="auto" w:val="clear"/>
            <w:vAlign w:val="bottom"/>
          </w:tcPr>
          <w:p>
            <w:pPr>
              <w:pStyle w:val="TableContents"/>
              <w:spacing w:before="0" w:after="0"/>
              <w:ind w:left="0" w:right="0" w:hanging="0"/>
              <w:jc w:val="center"/>
              <w:rPr/>
            </w:pPr>
            <w:r>
              <w:rPr/>
              <w:t> </w:t>
            </w:r>
          </w:p>
        </w:tc>
        <w:tc>
          <w:tcPr>
            <w:tcW w:w="12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6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9" w:type="dxa"/>
            <w:tcBorders/>
            <w:shd w:fill="auto" w:val="clear"/>
            <w:vAlign w:val="bottom"/>
          </w:tcPr>
          <w:p>
            <w:pPr>
              <w:pStyle w:val="TableContents"/>
              <w:spacing w:before="0" w:after="0"/>
              <w:ind w:left="0" w:right="0" w:hanging="0"/>
              <w:jc w:val="center"/>
              <w:rPr/>
            </w:pPr>
            <w:r>
              <w:rPr/>
              <w:t> </w:t>
            </w:r>
          </w:p>
        </w:tc>
      </w:tr>
      <w:tr>
        <w:trPr/>
        <w:tc>
          <w:tcPr>
            <w:tcW w:w="3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94"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21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203"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1,640</w:t>
            </w:r>
          </w:p>
        </w:tc>
        <w:tc>
          <w:tcPr>
            <w:tcW w:w="205"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129" w:type="dxa"/>
            <w:tcBorders/>
            <w:shd w:fill="CCEEFF" w:val="clear"/>
            <w:vAlign w:val="bottom"/>
          </w:tcPr>
          <w:p>
            <w:pPr>
              <w:pStyle w:val="TableContents"/>
              <w:spacing w:before="0" w:after="0"/>
              <w:ind w:left="0" w:right="0" w:hanging="0"/>
              <w:rPr/>
            </w:pPr>
            <w:r>
              <w:rPr/>
              <w:t> </w:t>
            </w:r>
          </w:p>
        </w:tc>
      </w:tr>
      <w:tr>
        <w:trPr/>
        <w:tc>
          <w:tcPr>
            <w:tcW w:w="3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94"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0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94"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94"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7"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3" w:type="dxa"/>
            <w:tcBorders/>
            <w:shd w:fill="auto" w:val="clear"/>
            <w:vAlign w:val="bottom"/>
          </w:tcPr>
          <w:p>
            <w:pPr>
              <w:pStyle w:val="TableContents"/>
              <w:spacing w:before="0" w:after="0"/>
              <w:ind w:left="0" w:right="0" w:hanging="0"/>
              <w:rPr/>
            </w:pPr>
            <w:r>
              <w:rPr/>
              <w:t> </w:t>
            </w:r>
          </w:p>
        </w:tc>
        <w:tc>
          <w:tcPr>
            <w:tcW w:w="12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5"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9" w:type="dxa"/>
            <w:tcBorders/>
            <w:shd w:fill="auto" w:val="clear"/>
            <w:vAlign w:val="bottom"/>
          </w:tcPr>
          <w:p>
            <w:pPr>
              <w:pStyle w:val="TableContents"/>
              <w:spacing w:before="0" w:after="0"/>
              <w:ind w:left="0" w:right="0" w:hanging="0"/>
              <w:rPr/>
            </w:pPr>
            <w:r>
              <w:rPr/>
              <w:t> </w:t>
            </w:r>
          </w:p>
        </w:tc>
      </w:tr>
      <w:tr>
        <w:trPr/>
        <w:tc>
          <w:tcPr>
            <w:tcW w:w="3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94"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94"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17"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03" w:type="dxa"/>
            <w:tcBorders/>
            <w:shd w:fill="auto" w:val="clear"/>
            <w:vAlign w:val="bottom"/>
          </w:tcPr>
          <w:p>
            <w:pPr>
              <w:pStyle w:val="TableContents"/>
              <w:spacing w:before="0" w:after="0"/>
              <w:ind w:left="0" w:right="0" w:hanging="0"/>
              <w:rPr/>
            </w:pPr>
            <w:r>
              <w:rPr/>
              <w:t> </w:t>
            </w:r>
          </w:p>
        </w:tc>
        <w:tc>
          <w:tcPr>
            <w:tcW w:w="12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205" w:type="dxa"/>
            <w:tcBorders/>
            <w:shd w:fill="auto" w:val="clear"/>
            <w:vAlign w:val="bottom"/>
          </w:tcPr>
          <w:p>
            <w:pPr>
              <w:pStyle w:val="TableContents"/>
              <w:spacing w:before="0" w:after="0"/>
              <w:ind w:left="0" w:right="0" w:hanging="0"/>
              <w:rPr/>
            </w:pPr>
            <w:r>
              <w:rPr/>
              <w:t> </w:t>
            </w:r>
          </w:p>
        </w:tc>
        <w:tc>
          <w:tcPr>
            <w:tcW w:w="12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129" w:type="dxa"/>
            <w:tcBorders/>
            <w:shd w:fill="auto" w:val="clear"/>
            <w:vAlign w:val="bottom"/>
          </w:tcPr>
          <w:p>
            <w:pPr>
              <w:pStyle w:val="TableContents"/>
              <w:spacing w:before="0" w:after="0"/>
              <w:ind w:left="0" w:right="0" w:hanging="0"/>
              <w:rPr/>
            </w:pPr>
            <w:r>
              <w:rPr/>
              <w:t> </w:t>
            </w:r>
          </w:p>
        </w:tc>
      </w:tr>
      <w:tr>
        <w:trPr/>
        <w:tc>
          <w:tcPr>
            <w:tcW w:w="34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194"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94"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7"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03"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205"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2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14Related Party Transactions</w:t>
      </w:r>
      <w:bookmarkStart w:id="52" w:name="Note14relatedPartyTransactions_141026"/>
      <w:bookmarkEnd w:id="5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14 to our Consolidated Financial Statements included in Part IV of our 2012 Annual Report on Form 10-K for a complete discussion of our related party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Occidental Petroleum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of September 30, 2013, a subsidiary of Occidental Petroleum Corporation (Oxy) owned approximately 35% of our general partner interest and had a representative on the board of directors of Plains All American GP LLC. In October 2013, in conjunction with the PAGP initial public offering, Oxy sold a portion of its interest in our general partner, decreasing its ownership to approximately 25%. During the three and nine months ended September 30, 2013 and 2012, we recognized sales and transportation revenues and purchased petroleum products from companies affiliated with Oxy. These transactions were conducted at posted tariff rates or prices that we believe approximate market. See detail below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3620"/>
        <w:gridCol w:w="201"/>
        <w:gridCol w:w="162"/>
        <w:gridCol w:w="1152"/>
        <w:gridCol w:w="214"/>
        <w:gridCol w:w="162"/>
        <w:gridCol w:w="1154"/>
        <w:gridCol w:w="201"/>
        <w:gridCol w:w="140"/>
        <w:gridCol w:w="1162"/>
        <w:gridCol w:w="202"/>
        <w:gridCol w:w="140"/>
        <w:gridCol w:w="1163"/>
        <w:gridCol w:w="123"/>
      </w:tblGrid>
      <w:tr>
        <w:trPr/>
        <w:tc>
          <w:tcPr>
            <w:tcW w:w="3620"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284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1" w:type="dxa"/>
            <w:tcBorders/>
            <w:shd w:fill="auto" w:val="clear"/>
            <w:vAlign w:val="bottom"/>
          </w:tcPr>
          <w:p>
            <w:pPr>
              <w:pStyle w:val="TableContents"/>
              <w:spacing w:before="0" w:after="0"/>
              <w:ind w:left="0" w:right="0" w:hanging="0"/>
              <w:jc w:val="center"/>
              <w:rPr/>
            </w:pPr>
            <w:r>
              <w:rPr/>
              <w:t> </w:t>
            </w:r>
          </w:p>
        </w:tc>
        <w:tc>
          <w:tcPr>
            <w:tcW w:w="280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3" w:type="dxa"/>
            <w:tcBorders/>
            <w:shd w:fill="auto" w:val="clear"/>
            <w:vAlign w:val="bottom"/>
          </w:tcPr>
          <w:p>
            <w:pPr>
              <w:pStyle w:val="TableContents"/>
              <w:spacing w:before="0" w:after="0"/>
              <w:ind w:left="0" w:right="0" w:hanging="0"/>
              <w:jc w:val="center"/>
              <w:rPr/>
            </w:pPr>
            <w:r>
              <w:rPr/>
              <w:t> </w:t>
            </w:r>
          </w:p>
        </w:tc>
      </w:tr>
      <w:tr>
        <w:trPr/>
        <w:tc>
          <w:tcPr>
            <w:tcW w:w="3620"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284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1" w:type="dxa"/>
            <w:tcBorders/>
            <w:shd w:fill="auto" w:val="clear"/>
            <w:vAlign w:val="bottom"/>
          </w:tcPr>
          <w:p>
            <w:pPr>
              <w:pStyle w:val="TableContents"/>
              <w:spacing w:before="0" w:after="0"/>
              <w:ind w:left="0" w:right="0" w:hanging="0"/>
              <w:jc w:val="center"/>
              <w:rPr/>
            </w:pPr>
            <w:r>
              <w:rPr/>
              <w:t> </w:t>
            </w:r>
          </w:p>
        </w:tc>
        <w:tc>
          <w:tcPr>
            <w:tcW w:w="280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3" w:type="dxa"/>
            <w:tcBorders/>
            <w:shd w:fill="auto" w:val="clear"/>
            <w:vAlign w:val="bottom"/>
          </w:tcPr>
          <w:p>
            <w:pPr>
              <w:pStyle w:val="TableContents"/>
              <w:spacing w:before="0" w:after="0"/>
              <w:ind w:left="0" w:right="0" w:hanging="0"/>
              <w:jc w:val="center"/>
              <w:rPr/>
            </w:pPr>
            <w:r>
              <w:rPr/>
              <w:t> </w:t>
            </w:r>
          </w:p>
        </w:tc>
      </w:tr>
      <w:tr>
        <w:trPr/>
        <w:tc>
          <w:tcPr>
            <w:tcW w:w="3620"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jc w:val="center"/>
              <w:rPr/>
            </w:pPr>
            <w:r>
              <w:rPr/>
              <w:t> </w:t>
            </w:r>
          </w:p>
        </w:tc>
        <w:tc>
          <w:tcPr>
            <w:tcW w:w="13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1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1" w:type="dxa"/>
            <w:tcBorders/>
            <w:shd w:fill="auto" w:val="clear"/>
            <w:vAlign w:val="bottom"/>
          </w:tcPr>
          <w:p>
            <w:pPr>
              <w:pStyle w:val="TableContents"/>
              <w:spacing w:before="0" w:after="0"/>
              <w:ind w:left="0" w:right="0" w:hanging="0"/>
              <w:jc w:val="center"/>
              <w:rPr/>
            </w:pPr>
            <w:r>
              <w:rPr/>
              <w:t> </w:t>
            </w:r>
          </w:p>
        </w:tc>
        <w:tc>
          <w:tcPr>
            <w:tcW w:w="130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0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3" w:type="dxa"/>
            <w:tcBorders/>
            <w:shd w:fill="auto" w:val="clear"/>
            <w:vAlign w:val="bottom"/>
          </w:tcPr>
          <w:p>
            <w:pPr>
              <w:pStyle w:val="TableContents"/>
              <w:spacing w:before="0" w:after="0"/>
              <w:ind w:left="0" w:right="0" w:hanging="0"/>
              <w:jc w:val="center"/>
              <w:rPr/>
            </w:pPr>
            <w:r>
              <w:rPr/>
              <w:t> </w:t>
            </w:r>
          </w:p>
        </w:tc>
      </w:tr>
      <w:tr>
        <w:trPr/>
        <w:tc>
          <w:tcPr>
            <w:tcW w:w="36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01"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441</w:t>
            </w:r>
          </w:p>
        </w:tc>
        <w:tc>
          <w:tcPr>
            <w:tcW w:w="21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201"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1,135</w:t>
            </w:r>
          </w:p>
        </w:tc>
        <w:tc>
          <w:tcPr>
            <w:tcW w:w="202"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1,435</w:t>
            </w:r>
          </w:p>
        </w:tc>
        <w:tc>
          <w:tcPr>
            <w:tcW w:w="123" w:type="dxa"/>
            <w:tcBorders/>
            <w:shd w:fill="CCEEFF" w:val="clear"/>
            <w:vAlign w:val="bottom"/>
          </w:tcPr>
          <w:p>
            <w:pPr>
              <w:pStyle w:val="TableContents"/>
              <w:spacing w:before="0" w:after="0"/>
              <w:ind w:left="0" w:right="0" w:hanging="0"/>
              <w:rPr/>
            </w:pPr>
            <w:r>
              <w:rPr/>
              <w:t> </w:t>
            </w:r>
          </w:p>
        </w:tc>
      </w:tr>
      <w:tr>
        <w:trPr/>
        <w:tc>
          <w:tcPr>
            <w:tcW w:w="3620" w:type="dxa"/>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rPr/>
            </w:pPr>
            <w:r>
              <w:rPr/>
              <w:t> </w:t>
            </w:r>
          </w:p>
        </w:tc>
        <w:tc>
          <w:tcPr>
            <w:tcW w:w="1314"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316" w:type="dxa"/>
            <w:gridSpan w:val="2"/>
            <w:tcBorders/>
            <w:shd w:fill="auto" w:val="clear"/>
            <w:vAlign w:val="bottom"/>
          </w:tcPr>
          <w:p>
            <w:pPr>
              <w:pStyle w:val="TableContents"/>
              <w:spacing w:before="0" w:after="0"/>
              <w:ind w:left="0" w:right="0" w:hanging="0"/>
              <w:jc w:val="right"/>
              <w:rPr/>
            </w:pPr>
            <w:r>
              <w:rPr/>
              <w:t> </w:t>
            </w:r>
          </w:p>
        </w:tc>
        <w:tc>
          <w:tcPr>
            <w:tcW w:w="201" w:type="dxa"/>
            <w:tcBorders/>
            <w:shd w:fill="auto" w:val="clear"/>
            <w:vAlign w:val="bottom"/>
          </w:tcPr>
          <w:p>
            <w:pPr>
              <w:pStyle w:val="TableContents"/>
              <w:spacing w:before="0" w:after="0"/>
              <w:ind w:left="0" w:right="0" w:hanging="0"/>
              <w:rPr/>
            </w:pPr>
            <w:r>
              <w:rPr/>
              <w:t> </w:t>
            </w:r>
          </w:p>
        </w:tc>
        <w:tc>
          <w:tcPr>
            <w:tcW w:w="1302" w:type="dxa"/>
            <w:gridSpan w:val="2"/>
            <w:tcBorders/>
            <w:shd w:fill="auto" w:val="clear"/>
            <w:vAlign w:val="bottom"/>
          </w:tcPr>
          <w:p>
            <w:pPr>
              <w:pStyle w:val="TableContents"/>
              <w:spacing w:before="0" w:after="0"/>
              <w:ind w:left="0" w:right="0" w:hanging="0"/>
              <w:jc w:val="right"/>
              <w:rPr/>
            </w:pPr>
            <w:r>
              <w:rPr/>
              <w:t> </w:t>
            </w:r>
          </w:p>
        </w:tc>
        <w:tc>
          <w:tcPr>
            <w:tcW w:w="202" w:type="dxa"/>
            <w:tcBorders/>
            <w:shd w:fill="auto" w:val="clear"/>
            <w:vAlign w:val="bottom"/>
          </w:tcPr>
          <w:p>
            <w:pPr>
              <w:pStyle w:val="TableContents"/>
              <w:spacing w:before="0" w:after="0"/>
              <w:ind w:left="0" w:right="0" w:hanging="0"/>
              <w:rPr/>
            </w:pPr>
            <w:r>
              <w:rPr/>
              <w:t> </w:t>
            </w:r>
          </w:p>
        </w:tc>
        <w:tc>
          <w:tcPr>
            <w:tcW w:w="1303" w:type="dxa"/>
            <w:gridSpan w:val="2"/>
            <w:tcBorders/>
            <w:shd w:fill="auto" w:val="clear"/>
            <w:vAlign w:val="bottom"/>
          </w:tcPr>
          <w:p>
            <w:pPr>
              <w:pStyle w:val="TableContents"/>
              <w:spacing w:before="0" w:after="0"/>
              <w:ind w:left="0" w:right="0" w:hanging="0"/>
              <w:jc w:val="right"/>
              <w:rPr/>
            </w:pPr>
            <w:r>
              <w:rPr/>
              <w:t> </w:t>
            </w:r>
          </w:p>
        </w:tc>
        <w:tc>
          <w:tcPr>
            <w:tcW w:w="123" w:type="dxa"/>
            <w:tcBorders/>
            <w:shd w:fill="auto" w:val="clear"/>
            <w:vAlign w:val="bottom"/>
          </w:tcPr>
          <w:p>
            <w:pPr>
              <w:pStyle w:val="TableContents"/>
              <w:spacing w:before="0" w:after="0"/>
              <w:ind w:left="0" w:right="0" w:hanging="0"/>
              <w:rPr/>
            </w:pPr>
            <w:r>
              <w:rPr/>
              <w:t> </w:t>
            </w:r>
          </w:p>
        </w:tc>
      </w:tr>
      <w:tr>
        <w:trPr/>
        <w:tc>
          <w:tcPr>
            <w:tcW w:w="362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01"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229</w:t>
            </w:r>
          </w:p>
        </w:tc>
        <w:tc>
          <w:tcPr>
            <w:tcW w:w="214"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01"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604</w:t>
            </w:r>
          </w:p>
        </w:tc>
        <w:tc>
          <w:tcPr>
            <w:tcW w:w="202"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2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currently have a netting arrangement with Oxy. Our gross receivable and payable amounts with affiliates of Oxy were as follows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714"/>
        <w:gridCol w:w="214"/>
        <w:gridCol w:w="226"/>
        <w:gridCol w:w="1254"/>
        <w:gridCol w:w="214"/>
        <w:gridCol w:w="218"/>
        <w:gridCol w:w="1234"/>
        <w:gridCol w:w="131"/>
      </w:tblGrid>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48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4" w:type="dxa"/>
            <w:tcBorders/>
            <w:shd w:fill="auto" w:val="clear"/>
            <w:vAlign w:val="bottom"/>
          </w:tcPr>
          <w:p>
            <w:pPr>
              <w:pStyle w:val="TableContents"/>
              <w:spacing w:before="0" w:after="0"/>
              <w:ind w:left="0" w:right="0" w:hanging="0"/>
              <w:jc w:val="center"/>
              <w:rPr/>
            </w:pPr>
            <w:r>
              <w:rPr/>
              <w:t> </w:t>
            </w:r>
          </w:p>
        </w:tc>
        <w:tc>
          <w:tcPr>
            <w:tcW w:w="14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31" w:type="dxa"/>
            <w:tcBorders/>
            <w:shd w:fill="auto" w:val="clear"/>
            <w:vAlign w:val="bottom"/>
          </w:tcPr>
          <w:p>
            <w:pPr>
              <w:pStyle w:val="TableContents"/>
              <w:spacing w:before="0" w:after="0"/>
              <w:ind w:left="0" w:right="0" w:hanging="0"/>
              <w:jc w:val="center"/>
              <w:rPr/>
            </w:pPr>
            <w:r>
              <w:rPr/>
              <w:t> </w:t>
            </w:r>
          </w:p>
        </w:tc>
      </w:tr>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4" w:type="dxa"/>
            <w:tcBorders/>
            <w:shd w:fill="auto" w:val="clear"/>
            <w:vAlign w:val="bottom"/>
          </w:tcPr>
          <w:p>
            <w:pPr>
              <w:pStyle w:val="TableContents"/>
              <w:spacing w:before="0" w:after="0"/>
              <w:ind w:left="0" w:right="0" w:hanging="0"/>
              <w:jc w:val="center"/>
              <w:rPr/>
            </w:pPr>
            <w:r>
              <w:rPr/>
              <w:t> </w:t>
            </w:r>
          </w:p>
        </w:tc>
        <w:tc>
          <w:tcPr>
            <w:tcW w:w="14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1" w:type="dxa"/>
            <w:tcBorders/>
            <w:shd w:fill="auto" w:val="clear"/>
            <w:vAlign w:val="bottom"/>
          </w:tcPr>
          <w:p>
            <w:pPr>
              <w:pStyle w:val="TableContents"/>
              <w:spacing w:before="0" w:after="0"/>
              <w:ind w:left="0" w:right="0" w:hanging="0"/>
              <w:jc w:val="center"/>
              <w:rPr/>
            </w:pPr>
            <w:r>
              <w:rPr/>
              <w:t> </w:t>
            </w:r>
          </w:p>
        </w:tc>
      </w:tr>
      <w:tr>
        <w:trPr/>
        <w:tc>
          <w:tcPr>
            <w:tcW w:w="67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w:t>
            </w:r>
          </w:p>
        </w:tc>
        <w:tc>
          <w:tcPr>
            <w:tcW w:w="214" w:type="dxa"/>
            <w:tcBorders/>
            <w:shd w:fill="CCEEFF" w:val="clear"/>
            <w:vAlign w:val="bottom"/>
          </w:tcPr>
          <w:p>
            <w:pPr>
              <w:pStyle w:val="TableContents"/>
              <w:spacing w:before="0" w:after="0"/>
              <w:ind w:left="0" w:right="0" w:hanging="0"/>
              <w:rPr/>
            </w:pPr>
            <w:r>
              <w:rPr/>
              <w:t> </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w:t>
            </w:r>
          </w:p>
        </w:tc>
        <w:tc>
          <w:tcPr>
            <w:tcW w:w="214"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31" w:type="dxa"/>
            <w:tcBorders/>
            <w:shd w:fill="CCEEFF" w:val="clear"/>
            <w:vAlign w:val="bottom"/>
          </w:tcPr>
          <w:p>
            <w:pPr>
              <w:pStyle w:val="TableContents"/>
              <w:spacing w:before="0" w:after="0"/>
              <w:ind w:left="0" w:right="0" w:hanging="0"/>
              <w:rPr/>
            </w:pPr>
            <w:r>
              <w:rPr/>
              <w:t> </w:t>
            </w:r>
          </w:p>
        </w:tc>
      </w:tr>
      <w:tr>
        <w:trPr/>
        <w:tc>
          <w:tcPr>
            <w:tcW w:w="671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48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67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w:t>
            </w:r>
          </w:p>
        </w:tc>
        <w:tc>
          <w:tcPr>
            <w:tcW w:w="214" w:type="dxa"/>
            <w:tcBorders/>
            <w:shd w:fill="CCEEFF" w:val="clear"/>
            <w:vAlign w:val="bottom"/>
          </w:tcPr>
          <w:p>
            <w:pPr>
              <w:pStyle w:val="TableContents"/>
              <w:spacing w:before="0" w:after="0"/>
              <w:ind w:left="0" w:right="0" w:hanging="0"/>
              <w:rPr/>
            </w:pPr>
            <w:r>
              <w:rPr/>
              <w:t> </w:t>
            </w:r>
          </w:p>
        </w:tc>
        <w:tc>
          <w:tcPr>
            <w:tcW w:w="2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w:t>
            </w:r>
          </w:p>
        </w:tc>
        <w:tc>
          <w:tcPr>
            <w:tcW w:w="214" w:type="dxa"/>
            <w:tcBorders/>
            <w:shd w:fill="CCEEFF" w:val="clear"/>
            <w:vAlign w:val="bottom"/>
          </w:tcPr>
          <w:p>
            <w:pPr>
              <w:pStyle w:val="TableContents"/>
              <w:spacing w:before="0" w:after="0"/>
              <w:ind w:left="0" w:right="0" w:hanging="0"/>
              <w:rPr/>
            </w:pPr>
            <w:r>
              <w:rPr/>
              <w:t> </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Note 15Impairments</w:t>
      </w:r>
      <w:bookmarkStart w:id="53" w:name="Note15impairments_141028"/>
      <w:bookmarkEnd w:id="5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third quarter of 2012, we recognized losses on impairments of long-lived assets of approximately $125 million, primarily related to our Pier 400 terminal project, which is reflected in Depreciation and amortization on our condensed consolidated statement of operations. This project, which we acquired in late 2006 by virtue of our merger with Pacific Energy Partners, L.P., was to develop a deepwater petroleum import terminal at Pier 400 and Terminal Island in the Port of Los Angeles to handle marine receipts of crude oil and refinery feedstock.  During the third quarter of 2012, we decided not to proceed with the development of this project.  A number of factors contributed to the uncertainties with respect to financial returns and the determination not to proceed with the project, including project delays, the economic downturn, regulatory and permitting hurdles, a challenging refining environment in California and an industry shift in the outlook for availability of domestic crude oil.  We assessed the recoverability of these long-lived assets and, where necessary, performed further analysis based on a projected discounted cash flow methodology.  As a result of this impairment review, we wrote off a substantial portion of the carrying amount of these long-lived assets, except for the portion that we anticipate we will recover.  These project assets were included in our Facilities segment.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three and nine months ended September 30, 2013, we recognized impairments of approximately $8 million and $15 million, respectively, related predominantly to assets taken out of service and canceled projects.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54" w:name="PB_29_133441_141"/>
      <w:bookmarkEnd w:id="5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   </w:t>
      </w:r>
      <w:r>
        <w:rPr>
          <w:rFonts w:ascii="Times New Roman" w:hAnsi="Times New Roman"/>
          <w:b/>
          <w:i/>
          <w:sz w:val="17"/>
        </w:rPr>
        <w:t>Managements Discussion and Analysis of Financial Condition and Results of Operations</w:t>
      </w:r>
      <w:bookmarkStart w:id="55" w:name="Item2_managementsDiscussionAndAna_133448"/>
      <w:bookmarkEnd w:id="55"/>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Introduction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2012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discussion and analysis includes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Recent Accounting Pronouncements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Executive Summary</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Company Overview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engage in the transportation, storage, terminalling and marketing of crude oil and refined products, as well as the processing, transportation, fractionation, storage and marketing of NGL.  Through our general partner interest and majority equity ownership position in PAA Natural Gas Storage, L.P., we also own and operate natural gas storage facilities.  We were formed in 1998, and our operations are conducted directly and indirectly through our operating subsidiaries and are managed through three operating segments: (i) Transportation, (ii) Facilities and (iii) Supply and Logistics.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Overview of Operating Results, Capital Investments and Significant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first nine months of 2013, net income attributable to Plains was approximately $1.052 billion, or $2.22 per diluted limited partner unit, as compared to net income attributable to Plains of approximately $774 million, or $1.70 per diluted limited partner unit, recognized during the first nine months of 2012. Major items impacting the favorable performance between periods include contributions from the USD Rail Terminal and BP NGL Acquisitions, which were completed in December 2012 and April 2012, respectively, contributions from recently completed organic growth projects and favorable unit margins in our 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favorable unit margins in the Supply and Logistics segment were primarily driven by our NGL marketing operations, which benefited from improved market conditions and additional sales volumes related to the BP NGL Acquisition noted above. However, such results were partially offset by the impact of less favorable crude oil market conditions during 2013, particularly narrower crude oil differentials.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56" w:name="PB_30_133515_7608"/>
      <w:bookmarkEnd w:id="5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significant items during the period were: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Decreased depreciation and amortization expense resulting from one-time asset impairment charges recognized during the comparative 2012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income tax expense resulting from an increased proportion of earnings subject to Canadian federal and provincial taxes, primarily driven by the BP NGL Acquisition and the stronger performance from our existing operations;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receipt of net proceeds of approximately $1.1 billion from the issuance of senior notes in August 2013 and the sale of approximately 7.2 million common units under our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Acquisitions and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capital expenditures for acquisitions, internal growth projects and maintenance capital for the periods indicated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67"/>
        <w:gridCol w:w="212"/>
        <w:gridCol w:w="118"/>
        <w:gridCol w:w="1082"/>
        <w:gridCol w:w="212"/>
        <w:gridCol w:w="118"/>
        <w:gridCol w:w="1083"/>
        <w:gridCol w:w="113"/>
      </w:tblGrid>
      <w:tr>
        <w:trPr/>
        <w:tc>
          <w:tcPr>
            <w:tcW w:w="726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1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13" w:type="dxa"/>
            <w:tcBorders/>
            <w:shd w:fill="auto" w:val="clear"/>
            <w:vAlign w:val="bottom"/>
          </w:tcPr>
          <w:p>
            <w:pPr>
              <w:pStyle w:val="TableContents"/>
              <w:spacing w:before="0" w:after="0"/>
              <w:ind w:left="0" w:right="0" w:hanging="0"/>
              <w:jc w:val="center"/>
              <w:rPr/>
            </w:pPr>
            <w:r>
              <w:rPr/>
              <w:t> </w:t>
            </w:r>
          </w:p>
        </w:tc>
      </w:tr>
      <w:tr>
        <w:trPr/>
        <w:tc>
          <w:tcPr>
            <w:tcW w:w="726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261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3" w:type="dxa"/>
            <w:tcBorders/>
            <w:shd w:fill="auto" w:val="clear"/>
            <w:vAlign w:val="bottom"/>
          </w:tcPr>
          <w:p>
            <w:pPr>
              <w:pStyle w:val="TableContents"/>
              <w:spacing w:before="0" w:after="0"/>
              <w:ind w:left="0" w:right="0" w:hanging="0"/>
              <w:jc w:val="center"/>
              <w:rPr/>
            </w:pPr>
            <w:r>
              <w:rPr/>
              <w:t> </w:t>
            </w:r>
          </w:p>
        </w:tc>
      </w:tr>
      <w:tr>
        <w:trPr/>
        <w:tc>
          <w:tcPr>
            <w:tcW w:w="7267"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0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3" w:type="dxa"/>
            <w:tcBorders/>
            <w:shd w:fill="auto" w:val="clear"/>
            <w:vAlign w:val="bottom"/>
          </w:tcPr>
          <w:p>
            <w:pPr>
              <w:pStyle w:val="TableContents"/>
              <w:spacing w:before="0" w:after="0"/>
              <w:ind w:left="0" w:right="0" w:hanging="0"/>
              <w:jc w:val="center"/>
              <w:rPr/>
            </w:pPr>
            <w:r>
              <w:rPr/>
              <w:t> </w:t>
            </w:r>
          </w:p>
        </w:tc>
      </w:tr>
      <w:tr>
        <w:trPr/>
        <w:tc>
          <w:tcPr>
            <w:tcW w:w="726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Acquisition capital </w:t>
            </w:r>
          </w:p>
        </w:tc>
        <w:tc>
          <w:tcPr>
            <w:tcW w:w="212"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2"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1,657</w:t>
            </w:r>
          </w:p>
        </w:tc>
        <w:tc>
          <w:tcPr>
            <w:tcW w:w="113" w:type="dxa"/>
            <w:tcBorders/>
            <w:shd w:fill="CCEEFF" w:val="clear"/>
            <w:vAlign w:val="bottom"/>
          </w:tcPr>
          <w:p>
            <w:pPr>
              <w:pStyle w:val="TableContents"/>
              <w:spacing w:before="0" w:after="0"/>
              <w:ind w:left="0" w:right="0" w:hanging="0"/>
              <w:rPr/>
            </w:pPr>
            <w:r>
              <w:rPr/>
              <w:t> </w:t>
            </w:r>
          </w:p>
        </w:tc>
      </w:tr>
      <w:tr>
        <w:trPr/>
        <w:tc>
          <w:tcPr>
            <w:tcW w:w="72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Internal growth projects</w:t>
            </w:r>
          </w:p>
        </w:tc>
        <w:tc>
          <w:tcPr>
            <w:tcW w:w="212" w:type="dxa"/>
            <w:tcBorders/>
            <w:shd w:fill="auto" w:val="clear"/>
            <w:vAlign w:val="bottom"/>
          </w:tcPr>
          <w:p>
            <w:pPr>
              <w:pStyle w:val="TableContents"/>
              <w:spacing w:before="0" w:after="0"/>
              <w:ind w:left="0" w:right="0" w:hanging="0"/>
              <w:rPr/>
            </w:pPr>
            <w:r>
              <w:rPr/>
              <w:t> </w:t>
            </w:r>
          </w:p>
        </w:tc>
        <w:tc>
          <w:tcPr>
            <w:tcW w:w="12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1,253</w:t>
            </w:r>
          </w:p>
        </w:tc>
        <w:tc>
          <w:tcPr>
            <w:tcW w:w="212"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831</w:t>
            </w:r>
          </w:p>
        </w:tc>
        <w:tc>
          <w:tcPr>
            <w:tcW w:w="113" w:type="dxa"/>
            <w:tcBorders/>
            <w:shd w:fill="auto" w:val="clear"/>
            <w:vAlign w:val="bottom"/>
          </w:tcPr>
          <w:p>
            <w:pPr>
              <w:pStyle w:val="TableContents"/>
              <w:spacing w:before="0" w:after="0"/>
              <w:ind w:left="0" w:right="0" w:hanging="0"/>
              <w:rPr/>
            </w:pPr>
            <w:r>
              <w:rPr/>
              <w:t> </w:t>
            </w:r>
          </w:p>
        </w:tc>
      </w:tr>
      <w:tr>
        <w:trPr/>
        <w:tc>
          <w:tcPr>
            <w:tcW w:w="726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2" w:type="dxa"/>
            <w:tcBorders/>
            <w:shd w:fill="CCEEFF" w:val="clear"/>
            <w:vAlign w:val="bottom"/>
          </w:tcPr>
          <w:p>
            <w:pPr>
              <w:pStyle w:val="TableContents"/>
              <w:spacing w:before="0" w:after="0"/>
              <w:ind w:left="0" w:right="0" w:hanging="0"/>
              <w:rPr/>
            </w:pPr>
            <w:r>
              <w:rPr/>
              <w:t> </w:t>
            </w:r>
          </w:p>
        </w:tc>
        <w:tc>
          <w:tcPr>
            <w:tcW w:w="12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2"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13" w:type="dxa"/>
            <w:tcBorders/>
            <w:shd w:fill="CCEEFF" w:val="clear"/>
            <w:vAlign w:val="bottom"/>
          </w:tcPr>
          <w:p>
            <w:pPr>
              <w:pStyle w:val="TableContents"/>
              <w:spacing w:before="0" w:after="0"/>
              <w:ind w:left="0" w:right="0" w:hanging="0"/>
              <w:rPr/>
            </w:pPr>
            <w:r>
              <w:rPr/>
              <w:t> </w:t>
            </w:r>
          </w:p>
        </w:tc>
      </w:tr>
      <w:tr>
        <w:trPr/>
        <w:tc>
          <w:tcPr>
            <w:tcW w:w="726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2"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1,396</w:t>
            </w:r>
          </w:p>
        </w:tc>
        <w:tc>
          <w:tcPr>
            <w:tcW w:w="212" w:type="dxa"/>
            <w:tcBorders/>
            <w:shd w:fill="auto" w:val="clear"/>
            <w:vAlign w:val="bottom"/>
          </w:tcPr>
          <w:p>
            <w:pPr>
              <w:pStyle w:val="TableContents"/>
              <w:spacing w:before="0" w:after="0"/>
              <w:ind w:left="0" w:right="0" w:hanging="0"/>
              <w:rPr/>
            </w:pPr>
            <w:r>
              <w:rPr/>
              <w:t> </w:t>
            </w:r>
          </w:p>
        </w:tc>
        <w:tc>
          <w:tcPr>
            <w:tcW w:w="11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2,611</w:t>
            </w:r>
          </w:p>
        </w:tc>
        <w:tc>
          <w:tcPr>
            <w:tcW w:w="11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following table summarizes our more notable projects in progress during 2013 and the forecasted expenditures for the year ending December 31, 2013 (in millions):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454"/>
        <w:gridCol w:w="205"/>
        <w:gridCol w:w="1444"/>
        <w:gridCol w:w="102"/>
      </w:tblGrid>
      <w:tr>
        <w:trPr/>
        <w:tc>
          <w:tcPr>
            <w:tcW w:w="8454"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Projects</w:t>
            </w:r>
          </w:p>
        </w:tc>
        <w:tc>
          <w:tcPr>
            <w:tcW w:w="205" w:type="dxa"/>
            <w:tcBorders/>
            <w:shd w:fill="auto" w:val="clear"/>
            <w:tcMar>
              <w:bottom w:w="0" w:type="dxa"/>
            </w:tcMar>
            <w:vAlign w:val="bottom"/>
          </w:tcPr>
          <w:p>
            <w:pPr>
              <w:pStyle w:val="TableContents"/>
              <w:spacing w:before="0" w:after="0"/>
              <w:ind w:left="0" w:right="0" w:hanging="0"/>
              <w:jc w:val="center"/>
              <w:rPr/>
            </w:pPr>
            <w:r>
              <w:rPr/>
              <w:t> </w:t>
            </w:r>
          </w:p>
        </w:tc>
        <w:tc>
          <w:tcPr>
            <w:tcW w:w="144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02" w:type="dxa"/>
            <w:tcBorders/>
            <w:shd w:fill="auto" w:val="clear"/>
            <w:tcMar>
              <w:bottom w:w="0" w:type="dxa"/>
            </w:tcMar>
            <w:vAlign w:val="bottom"/>
          </w:tcPr>
          <w:p>
            <w:pPr>
              <w:pStyle w:val="TableContents"/>
              <w:spacing w:before="0" w:after="0"/>
              <w:ind w:left="0" w:right="0" w:hanging="0"/>
              <w:jc w:val="center"/>
              <w:rPr/>
            </w:pPr>
            <w:r>
              <w:rPr/>
              <w:t> </w:t>
            </w:r>
          </w:p>
        </w:tc>
      </w:tr>
      <w:tr>
        <w:trPr/>
        <w:tc>
          <w:tcPr>
            <w:tcW w:w="845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Mississippian Lime Pipeline</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$175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45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Rainbow II Pipeline</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45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Gulf Coast Pipeline</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45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Yorktown Terminal Projects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110</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45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Eagle Ford Area Pipeline Projects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454"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Rail Terminal Projects </w:t>
            </w:r>
            <w:r>
              <w:rPr>
                <w:sz w:val="11"/>
              </w:rPr>
              <w:t>(1)</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85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45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White Cliffs Expansion</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45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Cactus Pipeline</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70</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45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Eagle Ford JV Project</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45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Fort Saskatchewan Facility Expansions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45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 James Terminal Projects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45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Western Oklahoma Extension</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45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Spraberry Area Pipeline Projects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45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PAA Natural Gas Storage (Multiple Projects)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44</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45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Cushing Terminal Projects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454"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Gulf Coast Gas Processing Facility Enhancements</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454"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Shafter Expansion</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454"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Other Projects </w:t>
            </w:r>
            <w:r>
              <w:rPr>
                <w:sz w:val="11"/>
              </w:rPr>
              <w:t>(2)</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4"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376</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454" w:type="dxa"/>
            <w:tcBorders/>
            <w:shd w:fill="CCEEFF" w:val="clear"/>
            <w:tcMar>
              <w:bottom w:w="0" w:type="dxa"/>
            </w:tcMar>
            <w:vAlign w:val="bottom"/>
          </w:tcPr>
          <w:p>
            <w:pPr>
              <w:pStyle w:val="TableContents"/>
              <w:spacing w:before="0" w:after="0"/>
              <w:ind w:left="0" w:right="0" w:hanging="0"/>
              <w:rPr/>
            </w:pPr>
            <w:r>
              <w:rPr/>
              <w:t> </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4" w:type="dxa"/>
            <w:tcBorders/>
            <w:shd w:fill="CCEEFF"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$1,650</w:t>
            </w:r>
          </w:p>
        </w:tc>
        <w:tc>
          <w:tcPr>
            <w:tcW w:w="102" w:type="dxa"/>
            <w:tcBorders/>
            <w:shd w:fill="CCEEFF" w:val="clear"/>
            <w:tcMar>
              <w:bottom w:w="0" w:type="dxa"/>
            </w:tcMar>
            <w:vAlign w:val="bottom"/>
          </w:tcPr>
          <w:p>
            <w:pPr>
              <w:pStyle w:val="TableContents"/>
              <w:spacing w:before="0" w:after="0"/>
              <w:ind w:left="0" w:right="0" w:hanging="0"/>
              <w:rPr/>
            </w:pPr>
            <w:r>
              <w:rPr/>
              <w:t> </w:t>
            </w:r>
          </w:p>
        </w:tc>
      </w:tr>
      <w:tr>
        <w:trPr/>
        <w:tc>
          <w:tcPr>
            <w:tcW w:w="8454"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Potential Adjustments for Timing/Scope Refinement </w:t>
            </w:r>
            <w:r>
              <w:rPr>
                <w:sz w:val="11"/>
              </w:rPr>
              <w:t>(3)</w:t>
            </w:r>
          </w:p>
        </w:tc>
        <w:tc>
          <w:tcPr>
            <w:tcW w:w="205" w:type="dxa"/>
            <w:tcBorders/>
            <w:shd w:fill="auto" w:val="clear"/>
            <w:tcMar>
              <w:bottom w:w="0" w:type="dxa"/>
            </w:tcMar>
            <w:vAlign w:val="bottom"/>
          </w:tcPr>
          <w:p>
            <w:pPr>
              <w:pStyle w:val="TableContents"/>
              <w:spacing w:before="0" w:after="0"/>
              <w:ind w:left="0" w:right="0" w:hanging="0"/>
              <w:rPr/>
            </w:pPr>
            <w:r>
              <w:rPr/>
              <w:t> </w:t>
            </w:r>
          </w:p>
        </w:tc>
        <w:tc>
          <w:tcPr>
            <w:tcW w:w="1444"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 + $75</w:t>
            </w:r>
          </w:p>
        </w:tc>
        <w:tc>
          <w:tcPr>
            <w:tcW w:w="102" w:type="dxa"/>
            <w:tcBorders/>
            <w:shd w:fill="auto" w:val="clear"/>
            <w:tcMar>
              <w:bottom w:w="0" w:type="dxa"/>
            </w:tcMar>
            <w:vAlign w:val="bottom"/>
          </w:tcPr>
          <w:p>
            <w:pPr>
              <w:pStyle w:val="TableContents"/>
              <w:spacing w:before="0" w:after="0"/>
              <w:ind w:left="0" w:right="0" w:hanging="0"/>
              <w:rPr/>
            </w:pPr>
            <w:r>
              <w:rPr/>
              <w:t> </w:t>
            </w:r>
          </w:p>
        </w:tc>
      </w:tr>
      <w:tr>
        <w:trPr/>
        <w:tc>
          <w:tcPr>
            <w:tcW w:w="8454"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05" w:type="dxa"/>
            <w:tcBorders/>
            <w:shd w:fill="CCEEFF" w:val="clear"/>
            <w:tcMar>
              <w:bottom w:w="0" w:type="dxa"/>
            </w:tcMar>
            <w:vAlign w:val="bottom"/>
          </w:tcPr>
          <w:p>
            <w:pPr>
              <w:pStyle w:val="TableContents"/>
              <w:spacing w:before="0" w:after="0"/>
              <w:ind w:left="0" w:right="0" w:hanging="0"/>
              <w:rPr/>
            </w:pPr>
            <w:r>
              <w:rPr/>
              <w:t> </w:t>
            </w:r>
          </w:p>
        </w:tc>
        <w:tc>
          <w:tcPr>
            <w:tcW w:w="1444" w:type="dxa"/>
            <w:tcBorders>
              <w:bottom w:val="double" w:sz="6" w:space="0" w:color="000000"/>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$1,600 - $1,725</w:t>
            </w:r>
          </w:p>
        </w:tc>
        <w:tc>
          <w:tcPr>
            <w:tcW w:w="102" w:type="dxa"/>
            <w:tcBorders/>
            <w:shd w:fill="CCEEFF" w:val="clear"/>
            <w:tcMar>
              <w:bottom w:w="0"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Includes projects located at or near Tampa, CO, Bakersfield, CA and Van Hook, 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w:t>
      </w:r>
      <w:r>
        <w:rPr>
          <w:rFonts w:ascii="Times New Roman" w:hAnsi="Times New Roman"/>
          <w:sz w:val="17"/>
        </w:rPr>
        <w:t>Primarily multiple, smaller projects comprised of pipeline connections, upgrades and truck stations, new tank construction and refurbishing, pipeline linefill purchases and carry-over of capital from prior year projects.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57" w:name="PB_31_130844_7056"/>
      <w:bookmarkEnd w:id="5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manage our operations through three operating segments: (i) Transportation, (ii) Facilities and (iii) Supply and Logistics.  Our Chief Operating Decision Maker (our Chief Executive Officer) evaluates such segment performance based on a variety of measures including segment profit, segment volumes, segment profit per barrel and maintenance capital investment.  See Note 18 to our Consolidated Financial Statements included in Part IV of our 2012 Annual Report on Form 10-K for further discussion of how we evaluate segment performance.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an overview of our consolidated financial results calculated in accordance with GAAP (in millions, except for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638"/>
        <w:gridCol w:w="115"/>
        <w:gridCol w:w="138"/>
        <w:gridCol w:w="516"/>
        <w:gridCol w:w="127"/>
        <w:gridCol w:w="138"/>
        <w:gridCol w:w="517"/>
        <w:gridCol w:w="121"/>
        <w:gridCol w:w="131"/>
        <w:gridCol w:w="494"/>
        <w:gridCol w:w="122"/>
        <w:gridCol w:w="569"/>
        <w:gridCol w:w="241"/>
        <w:gridCol w:w="115"/>
        <w:gridCol w:w="135"/>
        <w:gridCol w:w="536"/>
        <w:gridCol w:w="124"/>
        <w:gridCol w:w="134"/>
        <w:gridCol w:w="506"/>
        <w:gridCol w:w="121"/>
        <w:gridCol w:w="131"/>
        <w:gridCol w:w="494"/>
        <w:gridCol w:w="122"/>
        <w:gridCol w:w="667"/>
        <w:gridCol w:w="253"/>
      </w:tblGrid>
      <w:tr>
        <w:trPr/>
        <w:tc>
          <w:tcPr>
            <w:tcW w:w="3638"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jc w:val="center"/>
              <w:rPr/>
            </w:pPr>
            <w:r>
              <w:rPr/>
              <w:t> </w:t>
            </w:r>
          </w:p>
        </w:tc>
        <w:tc>
          <w:tcPr>
            <w:tcW w:w="143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21" w:type="dxa"/>
            <w:tcBorders/>
            <w:shd w:fill="auto" w:val="clear"/>
            <w:vAlign w:val="bottom"/>
          </w:tcPr>
          <w:p>
            <w:pPr>
              <w:pStyle w:val="TableContents"/>
              <w:spacing w:before="0" w:after="0"/>
              <w:ind w:left="0" w:right="0" w:hanging="0"/>
              <w:jc w:val="center"/>
              <w:rPr/>
            </w:pPr>
            <w:r>
              <w:rPr/>
              <w:t> </w:t>
            </w:r>
          </w:p>
        </w:tc>
        <w:tc>
          <w:tcPr>
            <w:tcW w:w="131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356" w:type="dxa"/>
            <w:gridSpan w:val="2"/>
            <w:tcBorders/>
            <w:shd w:fill="auto" w:val="clear"/>
            <w:vAlign w:val="bottom"/>
          </w:tcPr>
          <w:p>
            <w:pPr>
              <w:pStyle w:val="TableContents"/>
              <w:spacing w:before="0" w:after="0"/>
              <w:ind w:left="0" w:right="0" w:hanging="0"/>
              <w:jc w:val="center"/>
              <w:rPr/>
            </w:pPr>
            <w:r>
              <w:rPr/>
              <w:t> </w:t>
            </w:r>
          </w:p>
        </w:tc>
        <w:tc>
          <w:tcPr>
            <w:tcW w:w="143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21" w:type="dxa"/>
            <w:tcBorders/>
            <w:shd w:fill="auto" w:val="clear"/>
            <w:vAlign w:val="bottom"/>
          </w:tcPr>
          <w:p>
            <w:pPr>
              <w:pStyle w:val="TableContents"/>
              <w:spacing w:before="0" w:after="0"/>
              <w:ind w:left="0" w:right="0" w:hanging="0"/>
              <w:jc w:val="center"/>
              <w:rPr/>
            </w:pPr>
            <w:r>
              <w:rPr/>
              <w:t> </w:t>
            </w:r>
          </w:p>
        </w:tc>
        <w:tc>
          <w:tcPr>
            <w:tcW w:w="1414"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53" w:type="dxa"/>
            <w:tcBorders/>
            <w:shd w:fill="auto" w:val="clear"/>
            <w:vAlign w:val="bottom"/>
          </w:tcPr>
          <w:p>
            <w:pPr>
              <w:pStyle w:val="TableContents"/>
              <w:spacing w:before="0" w:after="0"/>
              <w:ind w:left="0" w:right="0" w:hanging="0"/>
              <w:jc w:val="center"/>
              <w:rPr/>
            </w:pPr>
            <w:r>
              <w:rPr/>
              <w:t> </w:t>
            </w:r>
          </w:p>
        </w:tc>
      </w:tr>
      <w:tr>
        <w:trPr/>
        <w:tc>
          <w:tcPr>
            <w:tcW w:w="3638"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jc w:val="center"/>
              <w:rPr/>
            </w:pPr>
            <w:r>
              <w:rPr/>
              <w:t> </w:t>
            </w:r>
          </w:p>
        </w:tc>
        <w:tc>
          <w:tcPr>
            <w:tcW w:w="143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21" w:type="dxa"/>
            <w:tcBorders/>
            <w:shd w:fill="auto" w:val="clear"/>
            <w:vAlign w:val="bottom"/>
          </w:tcPr>
          <w:p>
            <w:pPr>
              <w:pStyle w:val="TableContents"/>
              <w:spacing w:before="0" w:after="0"/>
              <w:ind w:left="0" w:right="0" w:hanging="0"/>
              <w:jc w:val="center"/>
              <w:rPr/>
            </w:pPr>
            <w:r>
              <w:rPr/>
              <w:t> </w:t>
            </w:r>
          </w:p>
        </w:tc>
        <w:tc>
          <w:tcPr>
            <w:tcW w:w="131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56" w:type="dxa"/>
            <w:gridSpan w:val="2"/>
            <w:tcBorders/>
            <w:shd w:fill="auto" w:val="clear"/>
            <w:vAlign w:val="bottom"/>
          </w:tcPr>
          <w:p>
            <w:pPr>
              <w:pStyle w:val="TableContents"/>
              <w:spacing w:before="0" w:after="0"/>
              <w:ind w:left="0" w:right="0" w:hanging="0"/>
              <w:jc w:val="center"/>
              <w:rPr/>
            </w:pPr>
            <w:r>
              <w:rPr/>
              <w:t> </w:t>
            </w:r>
          </w:p>
        </w:tc>
        <w:tc>
          <w:tcPr>
            <w:tcW w:w="143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21" w:type="dxa"/>
            <w:tcBorders/>
            <w:shd w:fill="auto" w:val="clear"/>
            <w:vAlign w:val="bottom"/>
          </w:tcPr>
          <w:p>
            <w:pPr>
              <w:pStyle w:val="TableContents"/>
              <w:spacing w:before="0" w:after="0"/>
              <w:ind w:left="0" w:right="0" w:hanging="0"/>
              <w:jc w:val="center"/>
              <w:rPr/>
            </w:pPr>
            <w:r>
              <w:rPr/>
              <w:t> </w:t>
            </w:r>
          </w:p>
        </w:tc>
        <w:tc>
          <w:tcPr>
            <w:tcW w:w="1414"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53" w:type="dxa"/>
            <w:tcBorders/>
            <w:shd w:fill="auto" w:val="clear"/>
            <w:vAlign w:val="bottom"/>
          </w:tcPr>
          <w:p>
            <w:pPr>
              <w:pStyle w:val="TableContents"/>
              <w:spacing w:before="0" w:after="0"/>
              <w:ind w:left="0" w:right="0" w:hanging="0"/>
              <w:jc w:val="center"/>
              <w:rPr/>
            </w:pPr>
            <w:r>
              <w:rPr/>
              <w:t> </w:t>
            </w:r>
          </w:p>
        </w:tc>
      </w:tr>
      <w:tr>
        <w:trPr/>
        <w:tc>
          <w:tcPr>
            <w:tcW w:w="3638"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jc w:val="center"/>
              <w:rPr/>
            </w:pPr>
            <w:r>
              <w:rPr/>
              <w:t> </w:t>
            </w:r>
          </w:p>
        </w:tc>
        <w:tc>
          <w:tcPr>
            <w:tcW w:w="6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1" w:type="dxa"/>
            <w:tcBorders/>
            <w:shd w:fill="auto" w:val="clear"/>
            <w:vAlign w:val="bottom"/>
          </w:tcPr>
          <w:p>
            <w:pPr>
              <w:pStyle w:val="TableContents"/>
              <w:spacing w:before="0" w:after="0"/>
              <w:ind w:left="0" w:right="0" w:hanging="0"/>
              <w:jc w:val="center"/>
              <w:rPr/>
            </w:pPr>
            <w:r>
              <w:rPr/>
              <w:t> </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6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56" w:type="dxa"/>
            <w:gridSpan w:val="2"/>
            <w:tcBorders/>
            <w:shd w:fill="auto" w:val="clear"/>
            <w:vAlign w:val="bottom"/>
          </w:tcPr>
          <w:p>
            <w:pPr>
              <w:pStyle w:val="TableContents"/>
              <w:spacing w:before="0" w:after="0"/>
              <w:ind w:left="0" w:right="0" w:hanging="0"/>
              <w:jc w:val="center"/>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1" w:type="dxa"/>
            <w:tcBorders/>
            <w:shd w:fill="auto" w:val="clear"/>
            <w:vAlign w:val="bottom"/>
          </w:tcPr>
          <w:p>
            <w:pPr>
              <w:pStyle w:val="TableContents"/>
              <w:spacing w:before="0" w:after="0"/>
              <w:ind w:left="0" w:right="0" w:hanging="0"/>
              <w:jc w:val="center"/>
              <w:rPr/>
            </w:pPr>
            <w:r>
              <w:rPr/>
              <w:t> </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6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53" w:type="dxa"/>
            <w:tcBorders/>
            <w:shd w:fill="auto" w:val="clear"/>
            <w:vAlign w:val="bottom"/>
          </w:tcPr>
          <w:p>
            <w:pPr>
              <w:pStyle w:val="TableContents"/>
              <w:spacing w:before="0" w:after="0"/>
              <w:ind w:left="0" w:right="0" w:hanging="0"/>
              <w:jc w:val="center"/>
              <w:rPr/>
            </w:pPr>
            <w:r>
              <w:rPr/>
              <w:t> </w:t>
            </w:r>
          </w:p>
        </w:tc>
      </w:tr>
      <w:tr>
        <w:trPr/>
        <w:tc>
          <w:tcPr>
            <w:tcW w:w="36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segment profit </w:t>
            </w:r>
          </w:p>
        </w:tc>
        <w:tc>
          <w:tcPr>
            <w:tcW w:w="11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27"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2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2" w:type="dxa"/>
            <w:tcBorders/>
            <w:shd w:fill="CCEEFF" w:val="clear"/>
            <w:vAlign w:val="bottom"/>
          </w:tcPr>
          <w:p>
            <w:pPr>
              <w:pStyle w:val="TableContents"/>
              <w:spacing w:before="0" w:after="0"/>
              <w:ind w:left="0" w:right="0" w:hanging="0"/>
              <w:rPr/>
            </w:pPr>
            <w:r>
              <w:rPr/>
              <w:t> </w:t>
            </w:r>
          </w:p>
        </w:tc>
        <w:tc>
          <w:tcPr>
            <w:tcW w:w="5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4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124"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2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2" w:type="dxa"/>
            <w:tcBorders/>
            <w:shd w:fill="CCEEFF" w:val="clear"/>
            <w:vAlign w:val="bottom"/>
          </w:tcPr>
          <w:p>
            <w:pPr>
              <w:pStyle w:val="TableContents"/>
              <w:spacing w:before="0" w:after="0"/>
              <w:ind w:left="0" w:right="0" w:hanging="0"/>
              <w:rPr/>
            </w:pPr>
            <w:r>
              <w:rPr/>
              <w:t> </w:t>
            </w:r>
          </w:p>
        </w:tc>
        <w:tc>
          <w:tcPr>
            <w:tcW w:w="6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segment profit </w:t>
            </w:r>
          </w:p>
        </w:tc>
        <w:tc>
          <w:tcPr>
            <w:tcW w:w="115" w:type="dxa"/>
            <w:tcBorders/>
            <w:shd w:fill="auto" w:val="clear"/>
            <w:vAlign w:val="bottom"/>
          </w:tcPr>
          <w:p>
            <w:pPr>
              <w:pStyle w:val="TableContents"/>
              <w:spacing w:before="0" w:after="0"/>
              <w:ind w:left="0" w:right="0" w:hanging="0"/>
              <w:rPr/>
            </w:pPr>
            <w:r>
              <w:rPr/>
              <w:t> </w:t>
            </w:r>
          </w:p>
        </w:tc>
        <w:tc>
          <w:tcPr>
            <w:tcW w:w="6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27"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21"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2" w:type="dxa"/>
            <w:tcBorders/>
            <w:shd w:fill="auto" w:val="clear"/>
            <w:vAlign w:val="bottom"/>
          </w:tcPr>
          <w:p>
            <w:pPr>
              <w:pStyle w:val="TableContents"/>
              <w:spacing w:before="0" w:after="0"/>
              <w:ind w:left="0" w:right="0" w:hanging="0"/>
              <w:rPr/>
            </w:pPr>
            <w:r>
              <w:rPr/>
              <w:t> </w:t>
            </w:r>
          </w:p>
        </w:tc>
        <w:tc>
          <w:tcPr>
            <w:tcW w:w="5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4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24" w:type="dxa"/>
            <w:tcBorders/>
            <w:shd w:fill="auto" w:val="clear"/>
            <w:vAlign w:val="bottom"/>
          </w:tcPr>
          <w:p>
            <w:pPr>
              <w:pStyle w:val="TableContents"/>
              <w:spacing w:before="0" w:after="0"/>
              <w:ind w:left="0" w:right="0" w:hanging="0"/>
              <w:rPr/>
            </w:pPr>
            <w:r>
              <w:rPr/>
              <w:t> </w:t>
            </w:r>
          </w:p>
        </w:tc>
        <w:tc>
          <w:tcPr>
            <w:tcW w:w="6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21"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22" w:type="dxa"/>
            <w:tcBorders/>
            <w:shd w:fill="auto" w:val="clear"/>
            <w:vAlign w:val="bottom"/>
          </w:tcPr>
          <w:p>
            <w:pPr>
              <w:pStyle w:val="TableContents"/>
              <w:spacing w:before="0" w:after="0"/>
              <w:ind w:left="0" w:right="0" w:hanging="0"/>
              <w:rPr/>
            </w:pPr>
            <w:r>
              <w:rPr/>
              <w:t> </w:t>
            </w:r>
          </w:p>
        </w:tc>
        <w:tc>
          <w:tcPr>
            <w:tcW w:w="6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segment profit </w:t>
            </w:r>
          </w:p>
        </w:tc>
        <w:tc>
          <w:tcPr>
            <w:tcW w:w="115" w:type="dxa"/>
            <w:tcBorders/>
            <w:shd w:fill="CCEEFF" w:val="clear"/>
            <w:vAlign w:val="bottom"/>
          </w:tcPr>
          <w:p>
            <w:pPr>
              <w:pStyle w:val="TableContents"/>
              <w:spacing w:before="0" w:after="0"/>
              <w:ind w:left="0" w:right="0" w:hanging="0"/>
              <w:rPr/>
            </w:pPr>
            <w:r>
              <w:rPr/>
              <w:t> </w:t>
            </w:r>
          </w:p>
        </w:tc>
        <w:tc>
          <w:tcPr>
            <w:tcW w:w="6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27" w:type="dxa"/>
            <w:tcBorders/>
            <w:shd w:fill="CCEEFF" w:val="clear"/>
            <w:vAlign w:val="bottom"/>
          </w:tcPr>
          <w:p>
            <w:pPr>
              <w:pStyle w:val="TableContents"/>
              <w:spacing w:before="0" w:after="0"/>
              <w:ind w:left="0" w:right="0" w:hanging="0"/>
              <w:rPr/>
            </w:pPr>
            <w:r>
              <w:rPr/>
              <w:t> </w:t>
            </w:r>
          </w:p>
        </w:tc>
        <w:tc>
          <w:tcPr>
            <w:tcW w:w="6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21" w:type="dxa"/>
            <w:tcBorders/>
            <w:shd w:fill="CCEEFF"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4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673</w:t>
            </w:r>
          </w:p>
        </w:tc>
        <w:tc>
          <w:tcPr>
            <w:tcW w:w="124" w:type="dxa"/>
            <w:tcBorders/>
            <w:shd w:fill="CCEEFF" w:val="clear"/>
            <w:vAlign w:val="bottom"/>
          </w:tcPr>
          <w:p>
            <w:pPr>
              <w:pStyle w:val="TableContents"/>
              <w:spacing w:before="0" w:after="0"/>
              <w:ind w:left="0" w:right="0" w:hanging="0"/>
              <w:rPr/>
            </w:pPr>
            <w:r>
              <w:rPr/>
              <w:t> </w:t>
            </w:r>
          </w:p>
        </w:tc>
        <w:tc>
          <w:tcPr>
            <w:tcW w:w="64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21" w:type="dxa"/>
            <w:tcBorders/>
            <w:shd w:fill="CCEEFF" w:val="clear"/>
            <w:vAlign w:val="bottom"/>
          </w:tcPr>
          <w:p>
            <w:pPr>
              <w:pStyle w:val="TableContents"/>
              <w:spacing w:before="0" w:after="0"/>
              <w:ind w:left="0" w:right="0" w:hanging="0"/>
              <w:rPr/>
            </w:pPr>
            <w:r>
              <w:rPr/>
              <w:t> </w:t>
            </w:r>
          </w:p>
        </w:tc>
        <w:tc>
          <w:tcPr>
            <w:tcW w:w="62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22" w:type="dxa"/>
            <w:tcBorders/>
            <w:shd w:fill="CCEEFF" w:val="clear"/>
            <w:vAlign w:val="bottom"/>
          </w:tcPr>
          <w:p>
            <w:pPr>
              <w:pStyle w:val="TableContents"/>
              <w:spacing w:before="0" w:after="0"/>
              <w:ind w:left="0" w:right="0" w:hanging="0"/>
              <w:rPr/>
            </w:pPr>
            <w:r>
              <w:rPr/>
              <w:t> </w:t>
            </w:r>
          </w:p>
        </w:tc>
        <w:tc>
          <w:tcPr>
            <w:tcW w:w="66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segment profit </w:t>
            </w:r>
          </w:p>
        </w:tc>
        <w:tc>
          <w:tcPr>
            <w:tcW w:w="115" w:type="dxa"/>
            <w:tcBorders/>
            <w:shd w:fill="auto" w:val="clear"/>
            <w:vAlign w:val="bottom"/>
          </w:tcPr>
          <w:p>
            <w:pPr>
              <w:pStyle w:val="TableContents"/>
              <w:spacing w:before="0" w:after="0"/>
              <w:ind w:left="0" w:right="0" w:hanging="0"/>
              <w:rPr/>
            </w:pPr>
            <w:r>
              <w:rPr/>
              <w:t> </w:t>
            </w:r>
          </w:p>
        </w:tc>
        <w:tc>
          <w:tcPr>
            <w:tcW w:w="6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408</w:t>
            </w:r>
          </w:p>
        </w:tc>
        <w:tc>
          <w:tcPr>
            <w:tcW w:w="127"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w:t>
            </w:r>
          </w:p>
        </w:tc>
        <w:tc>
          <w:tcPr>
            <w:tcW w:w="121"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4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1,640</w:t>
            </w:r>
          </w:p>
        </w:tc>
        <w:tc>
          <w:tcPr>
            <w:tcW w:w="124" w:type="dxa"/>
            <w:tcBorders/>
            <w:shd w:fill="auto" w:val="clear"/>
            <w:vAlign w:val="bottom"/>
          </w:tcPr>
          <w:p>
            <w:pPr>
              <w:pStyle w:val="TableContents"/>
              <w:spacing w:before="0" w:after="0"/>
              <w:ind w:left="0" w:right="0" w:hanging="0"/>
              <w:rPr/>
            </w:pPr>
            <w:r>
              <w:rPr/>
              <w:t> </w:t>
            </w:r>
          </w:p>
        </w:tc>
        <w:tc>
          <w:tcPr>
            <w:tcW w:w="6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1,404</w:t>
            </w:r>
          </w:p>
        </w:tc>
        <w:tc>
          <w:tcPr>
            <w:tcW w:w="121"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22" w:type="dxa"/>
            <w:tcBorders/>
            <w:shd w:fill="auto" w:val="clear"/>
            <w:vAlign w:val="bottom"/>
          </w:tcPr>
          <w:p>
            <w:pPr>
              <w:pStyle w:val="TableContents"/>
              <w:spacing w:before="0" w:after="0"/>
              <w:ind w:left="0" w:right="0" w:hanging="0"/>
              <w:rPr/>
            </w:pPr>
            <w:r>
              <w:rPr/>
              <w:t> </w:t>
            </w:r>
          </w:p>
        </w:tc>
        <w:tc>
          <w:tcPr>
            <w:tcW w:w="6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15" w:type="dxa"/>
            <w:tcBorders/>
            <w:shd w:fill="CCEEFF" w:val="clear"/>
            <w:vAlign w:val="bottom"/>
          </w:tcPr>
          <w:p>
            <w:pPr>
              <w:pStyle w:val="TableContents"/>
              <w:spacing w:before="0" w:after="0"/>
              <w:ind w:left="0" w:right="0" w:hanging="0"/>
              <w:rPr/>
            </w:pPr>
            <w:r>
              <w:rPr/>
              <w:t> </w:t>
            </w:r>
          </w:p>
        </w:tc>
        <w:tc>
          <w:tcPr>
            <w:tcW w:w="6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22" w:type="dxa"/>
            <w:tcBorders/>
            <w:shd w:fill="CCEEFF" w:val="clear"/>
            <w:vAlign w:val="bottom"/>
          </w:tcPr>
          <w:p>
            <w:pPr>
              <w:pStyle w:val="TableContents"/>
              <w:spacing w:before="0" w:after="0"/>
              <w:ind w:left="0" w:right="0" w:hanging="0"/>
              <w:rPr/>
            </w:pPr>
            <w:r>
              <w:rPr/>
              <w:t> </w:t>
            </w:r>
          </w:p>
        </w:tc>
        <w:tc>
          <w:tcPr>
            <w:tcW w:w="5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4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22" w:type="dxa"/>
            <w:tcBorders/>
            <w:shd w:fill="CCEEFF" w:val="clear"/>
            <w:vAlign w:val="bottom"/>
          </w:tcPr>
          <w:p>
            <w:pPr>
              <w:pStyle w:val="TableContents"/>
              <w:spacing w:before="0" w:after="0"/>
              <w:ind w:left="0" w:right="0" w:hanging="0"/>
              <w:rPr/>
            </w:pPr>
            <w:r>
              <w:rPr/>
              <w:t> </w:t>
            </w:r>
          </w:p>
        </w:tc>
        <w:tc>
          <w:tcPr>
            <w:tcW w:w="6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w:t>
            </w:r>
          </w:p>
        </w:tc>
        <w:tc>
          <w:tcPr>
            <w:tcW w:w="115" w:type="dxa"/>
            <w:tcBorders/>
            <w:shd w:fill="auto" w:val="clear"/>
            <w:vAlign w:val="bottom"/>
          </w:tcPr>
          <w:p>
            <w:pPr>
              <w:pStyle w:val="TableContents"/>
              <w:spacing w:before="0" w:after="0"/>
              <w:ind w:left="0" w:right="0" w:hanging="0"/>
              <w:rPr/>
            </w:pPr>
            <w:r>
              <w:rPr/>
              <w:t> </w:t>
            </w:r>
          </w:p>
        </w:tc>
        <w:tc>
          <w:tcPr>
            <w:tcW w:w="6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2" w:type="dxa"/>
            <w:tcBorders/>
            <w:shd w:fill="auto" w:val="clear"/>
            <w:vAlign w:val="bottom"/>
          </w:tcPr>
          <w:p>
            <w:pPr>
              <w:pStyle w:val="TableContents"/>
              <w:spacing w:before="0" w:after="0"/>
              <w:ind w:left="0" w:right="0" w:hanging="0"/>
              <w:rPr/>
            </w:pPr>
            <w:r>
              <w:rPr/>
              <w:t> </w:t>
            </w:r>
          </w:p>
        </w:tc>
        <w:tc>
          <w:tcPr>
            <w:tcW w:w="5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4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115" w:type="dxa"/>
            <w:tcBorders/>
            <w:shd w:fill="CCEEFF" w:val="clear"/>
            <w:vAlign w:val="bottom"/>
          </w:tcPr>
          <w:p>
            <w:pPr>
              <w:pStyle w:val="TableContents"/>
              <w:spacing w:before="0" w:after="0"/>
              <w:ind w:left="0" w:right="0" w:hanging="0"/>
              <w:rPr/>
            </w:pPr>
            <w:r>
              <w:rPr/>
              <w:t> </w:t>
            </w:r>
          </w:p>
        </w:tc>
        <w:tc>
          <w:tcPr>
            <w:tcW w:w="6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7"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1"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4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4" w:type="dxa"/>
            <w:tcBorders/>
            <w:shd w:fill="CCEEFF" w:val="clear"/>
            <w:vAlign w:val="bottom"/>
          </w:tcPr>
          <w:p>
            <w:pPr>
              <w:pStyle w:val="TableContents"/>
              <w:spacing w:before="0" w:after="0"/>
              <w:ind w:left="0" w:right="0" w:hanging="0"/>
              <w:rPr/>
            </w:pPr>
            <w:r>
              <w:rPr/>
              <w:t> </w:t>
            </w:r>
          </w:p>
        </w:tc>
        <w:tc>
          <w:tcPr>
            <w:tcW w:w="6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1"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15" w:type="dxa"/>
            <w:tcBorders/>
            <w:shd w:fill="auto" w:val="clear"/>
            <w:vAlign w:val="bottom"/>
          </w:tcPr>
          <w:p>
            <w:pPr>
              <w:pStyle w:val="TableContents"/>
              <w:spacing w:before="0" w:after="0"/>
              <w:ind w:left="0" w:right="0" w:hanging="0"/>
              <w:rPr/>
            </w:pPr>
            <w:r>
              <w:rPr/>
              <w:t> </w:t>
            </w:r>
          </w:p>
        </w:tc>
        <w:tc>
          <w:tcPr>
            <w:tcW w:w="6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2" w:type="dxa"/>
            <w:tcBorders/>
            <w:shd w:fill="auto" w:val="clear"/>
            <w:vAlign w:val="bottom"/>
          </w:tcPr>
          <w:p>
            <w:pPr>
              <w:pStyle w:val="TableContents"/>
              <w:spacing w:before="0" w:after="0"/>
              <w:ind w:left="0" w:right="0" w:hanging="0"/>
              <w:rPr/>
            </w:pPr>
            <w:r>
              <w:rPr/>
              <w:t> </w:t>
            </w:r>
          </w:p>
        </w:tc>
        <w:tc>
          <w:tcPr>
            <w:tcW w:w="56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4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15" w:type="dxa"/>
            <w:tcBorders/>
            <w:shd w:fill="CCEEFF" w:val="clear"/>
            <w:vAlign w:val="bottom"/>
          </w:tcPr>
          <w:p>
            <w:pPr>
              <w:pStyle w:val="TableContents"/>
              <w:spacing w:before="0" w:after="0"/>
              <w:ind w:left="0" w:right="0" w:hanging="0"/>
              <w:rPr/>
            </w:pPr>
            <w:r>
              <w:rPr/>
              <w:t> </w:t>
            </w:r>
          </w:p>
        </w:tc>
        <w:tc>
          <w:tcPr>
            <w:tcW w:w="6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27"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21"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22" w:type="dxa"/>
            <w:tcBorders/>
            <w:shd w:fill="CCEEFF" w:val="clear"/>
            <w:vAlign w:val="bottom"/>
          </w:tcPr>
          <w:p>
            <w:pPr>
              <w:pStyle w:val="TableContents"/>
              <w:spacing w:before="0" w:after="0"/>
              <w:ind w:left="0" w:right="0" w:hanging="0"/>
              <w:rPr/>
            </w:pPr>
            <w:r>
              <w:rPr/>
              <w:t> </w:t>
            </w:r>
          </w:p>
        </w:tc>
        <w:tc>
          <w:tcPr>
            <w:tcW w:w="5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4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124" w:type="dxa"/>
            <w:tcBorders/>
            <w:shd w:fill="CCEEFF" w:val="clear"/>
            <w:vAlign w:val="bottom"/>
          </w:tcPr>
          <w:p>
            <w:pPr>
              <w:pStyle w:val="TableContents"/>
              <w:spacing w:before="0" w:after="0"/>
              <w:ind w:left="0" w:right="0" w:hanging="0"/>
              <w:rPr/>
            </w:pPr>
            <w:r>
              <w:rPr/>
              <w:t> </w:t>
            </w:r>
          </w:p>
        </w:tc>
        <w:tc>
          <w:tcPr>
            <w:tcW w:w="6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121"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122" w:type="dxa"/>
            <w:tcBorders/>
            <w:shd w:fill="CCEEFF" w:val="clear"/>
            <w:vAlign w:val="bottom"/>
          </w:tcPr>
          <w:p>
            <w:pPr>
              <w:pStyle w:val="TableContents"/>
              <w:spacing w:before="0" w:after="0"/>
              <w:ind w:left="0" w:right="0" w:hanging="0"/>
              <w:rPr/>
            </w:pPr>
            <w:r>
              <w:rPr/>
              <w:t> </w:t>
            </w:r>
          </w:p>
        </w:tc>
        <w:tc>
          <w:tcPr>
            <w:tcW w:w="6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115" w:type="dxa"/>
            <w:tcBorders/>
            <w:shd w:fill="auto" w:val="clear"/>
            <w:vAlign w:val="bottom"/>
          </w:tcPr>
          <w:p>
            <w:pPr>
              <w:pStyle w:val="TableContents"/>
              <w:spacing w:before="0" w:after="0"/>
              <w:ind w:left="0" w:right="0" w:hanging="0"/>
              <w:rPr/>
            </w:pPr>
            <w:r>
              <w:rPr/>
              <w:t> </w:t>
            </w:r>
          </w:p>
        </w:tc>
        <w:tc>
          <w:tcPr>
            <w:tcW w:w="6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2" w:type="dxa"/>
            <w:tcBorders/>
            <w:shd w:fill="auto" w:val="clear"/>
            <w:vAlign w:val="bottom"/>
          </w:tcPr>
          <w:p>
            <w:pPr>
              <w:pStyle w:val="TableContents"/>
              <w:spacing w:before="0" w:after="0"/>
              <w:ind w:left="0" w:right="0" w:hanging="0"/>
              <w:rPr/>
            </w:pPr>
            <w:r>
              <w:rPr/>
              <w:t> </w:t>
            </w:r>
          </w:p>
        </w:tc>
        <w:tc>
          <w:tcPr>
            <w:tcW w:w="56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4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67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2" w:type="dxa"/>
            <w:tcBorders/>
            <w:shd w:fill="auto" w:val="clear"/>
            <w:vAlign w:val="bottom"/>
          </w:tcPr>
          <w:p>
            <w:pPr>
              <w:pStyle w:val="TableContents"/>
              <w:spacing w:before="0" w:after="0"/>
              <w:ind w:left="0" w:right="0" w:hanging="0"/>
              <w:rPr/>
            </w:pPr>
            <w:r>
              <w:rPr/>
              <w:t> </w:t>
            </w:r>
          </w:p>
        </w:tc>
        <w:tc>
          <w:tcPr>
            <w:tcW w:w="66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15"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127"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21"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22" w:type="dxa"/>
            <w:tcBorders/>
            <w:shd w:fill="CCEEFF" w:val="clear"/>
            <w:vAlign w:val="bottom"/>
          </w:tcPr>
          <w:p>
            <w:pPr>
              <w:pStyle w:val="TableContents"/>
              <w:spacing w:before="0" w:after="0"/>
              <w:ind w:left="0" w:right="0" w:hanging="0"/>
              <w:rPr/>
            </w:pPr>
            <w:r>
              <w:rPr/>
              <w:t> </w:t>
            </w:r>
          </w:p>
        </w:tc>
        <w:tc>
          <w:tcPr>
            <w:tcW w:w="5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4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124"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21" w:type="dxa"/>
            <w:tcBorders/>
            <w:shd w:fill="CCEEFF" w:val="clear"/>
            <w:vAlign w:val="bottom"/>
          </w:tcPr>
          <w:p>
            <w:pPr>
              <w:pStyle w:val="TableContents"/>
              <w:spacing w:before="0" w:after="0"/>
              <w:ind w:left="0" w:right="0" w:hanging="0"/>
              <w:rPr/>
            </w:pPr>
            <w:r>
              <w:rPr/>
              <w:t> </w:t>
            </w:r>
          </w:p>
        </w:tc>
        <w:tc>
          <w:tcPr>
            <w:tcW w:w="13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w:t>
            </w:r>
          </w:p>
        </w:tc>
        <w:tc>
          <w:tcPr>
            <w:tcW w:w="122" w:type="dxa"/>
            <w:tcBorders/>
            <w:shd w:fill="CCEEFF" w:val="clear"/>
            <w:vAlign w:val="bottom"/>
          </w:tcPr>
          <w:p>
            <w:pPr>
              <w:pStyle w:val="TableContents"/>
              <w:spacing w:before="0" w:after="0"/>
              <w:ind w:left="0" w:right="0" w:hanging="0"/>
              <w:rPr/>
            </w:pPr>
            <w:r>
              <w:rPr/>
              <w:t> </w:t>
            </w:r>
          </w:p>
        </w:tc>
        <w:tc>
          <w:tcPr>
            <w:tcW w:w="6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654"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c>
          <w:tcPr>
            <w:tcW w:w="569" w:type="dxa"/>
            <w:tcBorders/>
            <w:shd w:fill="auto" w:val="clear"/>
            <w:vAlign w:val="bottom"/>
          </w:tcPr>
          <w:p>
            <w:pPr>
              <w:pStyle w:val="TableContents"/>
              <w:spacing w:before="0" w:after="0"/>
              <w:ind w:left="0" w:right="0" w:hanging="0"/>
              <w:jc w:val="right"/>
              <w:rPr/>
            </w:pPr>
            <w:r>
              <w:rPr/>
              <w:t> </w:t>
            </w:r>
          </w:p>
        </w:tc>
        <w:tc>
          <w:tcPr>
            <w:tcW w:w="241"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pPr>
            <w:r>
              <w:rPr/>
              <w:t> </w:t>
            </w:r>
          </w:p>
        </w:tc>
        <w:tc>
          <w:tcPr>
            <w:tcW w:w="124" w:type="dxa"/>
            <w:tcBorders/>
            <w:shd w:fill="auto" w:val="clear"/>
            <w:vAlign w:val="bottom"/>
          </w:tcPr>
          <w:p>
            <w:pPr>
              <w:pStyle w:val="TableContents"/>
              <w:spacing w:before="0" w:after="0"/>
              <w:ind w:left="0" w:right="0" w:hanging="0"/>
              <w:rPr/>
            </w:pPr>
            <w:r>
              <w:rPr/>
              <w:t> </w:t>
            </w:r>
          </w:p>
        </w:tc>
        <w:tc>
          <w:tcPr>
            <w:tcW w:w="640"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c>
          <w:tcPr>
            <w:tcW w:w="667" w:type="dxa"/>
            <w:tcBorders/>
            <w:shd w:fill="auto" w:val="clear"/>
            <w:vAlign w:val="bottom"/>
          </w:tcPr>
          <w:p>
            <w:pPr>
              <w:pStyle w:val="TableContents"/>
              <w:spacing w:before="0" w:after="0"/>
              <w:ind w:left="0" w:right="0" w:hanging="0"/>
              <w:jc w:val="right"/>
              <w:rPr/>
            </w:pPr>
            <w:r>
              <w:rPr/>
              <w:t> </w:t>
            </w:r>
          </w:p>
        </w:tc>
        <w:tc>
          <w:tcPr>
            <w:tcW w:w="253" w:type="dxa"/>
            <w:tcBorders/>
            <w:shd w:fill="auto" w:val="clear"/>
            <w:vAlign w:val="bottom"/>
          </w:tcPr>
          <w:p>
            <w:pPr>
              <w:pStyle w:val="TableContents"/>
              <w:spacing w:before="0" w:after="0"/>
              <w:ind w:left="0" w:right="0" w:hanging="0"/>
              <w:rPr/>
            </w:pPr>
            <w:r>
              <w:rPr/>
              <w:t> </w:t>
            </w:r>
          </w:p>
        </w:tc>
      </w:tr>
      <w:tr>
        <w:trPr/>
        <w:tc>
          <w:tcPr>
            <w:tcW w:w="36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15" w:type="dxa"/>
            <w:tcBorders/>
            <w:shd w:fill="CCEEFF" w:val="clear"/>
            <w:vAlign w:val="bottom"/>
          </w:tcPr>
          <w:p>
            <w:pPr>
              <w:pStyle w:val="TableContents"/>
              <w:spacing w:before="0" w:after="0"/>
              <w:ind w:left="0" w:right="0" w:hanging="0"/>
              <w:rPr/>
            </w:pPr>
            <w:r>
              <w:rPr/>
              <w:t> </w:t>
            </w:r>
          </w:p>
        </w:tc>
        <w:tc>
          <w:tcPr>
            <w:tcW w:w="654"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c>
          <w:tcPr>
            <w:tcW w:w="569" w:type="dxa"/>
            <w:tcBorders/>
            <w:shd w:fill="CCEEFF" w:val="clear"/>
            <w:vAlign w:val="bottom"/>
          </w:tcPr>
          <w:p>
            <w:pPr>
              <w:pStyle w:val="TableContents"/>
              <w:spacing w:before="0" w:after="0"/>
              <w:ind w:left="0" w:right="0" w:hanging="0"/>
              <w:jc w:val="right"/>
              <w:rPr/>
            </w:pPr>
            <w:r>
              <w:rPr/>
              <w:t> </w:t>
            </w:r>
          </w:p>
        </w:tc>
        <w:tc>
          <w:tcPr>
            <w:tcW w:w="241"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c>
          <w:tcPr>
            <w:tcW w:w="640"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c>
          <w:tcPr>
            <w:tcW w:w="667" w:type="dxa"/>
            <w:tcBorders/>
            <w:shd w:fill="CCEEFF" w:val="clear"/>
            <w:vAlign w:val="bottom"/>
          </w:tcPr>
          <w:p>
            <w:pPr>
              <w:pStyle w:val="TableContents"/>
              <w:spacing w:before="0" w:after="0"/>
              <w:ind w:left="0" w:right="0" w:hanging="0"/>
              <w:jc w:val="right"/>
              <w:rPr/>
            </w:pPr>
            <w:r>
              <w:rPr/>
              <w:t> </w:t>
            </w:r>
          </w:p>
        </w:tc>
        <w:tc>
          <w:tcPr>
            <w:tcW w:w="253" w:type="dxa"/>
            <w:tcBorders/>
            <w:shd w:fill="CCEEFF" w:val="clear"/>
            <w:vAlign w:val="bottom"/>
          </w:tcPr>
          <w:p>
            <w:pPr>
              <w:pStyle w:val="TableContents"/>
              <w:spacing w:before="0" w:after="0"/>
              <w:ind w:left="0" w:right="0" w:hanging="0"/>
              <w:rPr/>
            </w:pPr>
            <w:r>
              <w:rPr/>
              <w:t> </w:t>
            </w:r>
          </w:p>
        </w:tc>
      </w:tr>
      <w:tr>
        <w:trPr/>
        <w:tc>
          <w:tcPr>
            <w:tcW w:w="36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115"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127"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121" w:type="dxa"/>
            <w:tcBorders/>
            <w:shd w:fill="auto" w:val="clear"/>
            <w:vAlign w:val="bottom"/>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0.11</w:t>
            </w:r>
          </w:p>
        </w:tc>
        <w:tc>
          <w:tcPr>
            <w:tcW w:w="122" w:type="dxa"/>
            <w:tcBorders/>
            <w:shd w:fill="auto" w:val="clear"/>
            <w:vAlign w:val="bottom"/>
          </w:tcPr>
          <w:p>
            <w:pPr>
              <w:pStyle w:val="TableContents"/>
              <w:spacing w:before="0" w:after="0"/>
              <w:ind w:left="0" w:right="0" w:hanging="0"/>
              <w:rPr/>
            </w:pPr>
            <w:r>
              <w:rPr/>
              <w:t> </w:t>
            </w:r>
          </w:p>
        </w:tc>
        <w:tc>
          <w:tcPr>
            <w:tcW w:w="5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4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124"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21" w:type="dxa"/>
            <w:tcBorders/>
            <w:shd w:fill="auto" w:val="clear"/>
            <w:vAlign w:val="bottom"/>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22" w:type="dxa"/>
            <w:tcBorders/>
            <w:shd w:fill="auto" w:val="clear"/>
            <w:vAlign w:val="bottom"/>
          </w:tcPr>
          <w:p>
            <w:pPr>
              <w:pStyle w:val="TableContents"/>
              <w:spacing w:before="0" w:after="0"/>
              <w:ind w:left="0" w:right="0" w:hanging="0"/>
              <w:rPr/>
            </w:pPr>
            <w:r>
              <w:rPr/>
              <w:t> </w:t>
            </w:r>
          </w:p>
        </w:tc>
        <w:tc>
          <w:tcPr>
            <w:tcW w:w="6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115"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127"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1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12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0.11</w:t>
            </w:r>
          </w:p>
        </w:tc>
        <w:tc>
          <w:tcPr>
            <w:tcW w:w="122" w:type="dxa"/>
            <w:tcBorders/>
            <w:shd w:fill="CCEEFF" w:val="clear"/>
            <w:vAlign w:val="bottom"/>
          </w:tcPr>
          <w:p>
            <w:pPr>
              <w:pStyle w:val="TableContents"/>
              <w:spacing w:before="0" w:after="0"/>
              <w:ind w:left="0" w:right="0" w:hanging="0"/>
              <w:rPr/>
            </w:pPr>
            <w:r>
              <w:rPr/>
              <w:t> </w:t>
            </w:r>
          </w:p>
        </w:tc>
        <w:tc>
          <w:tcPr>
            <w:tcW w:w="5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4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3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24" w:type="dxa"/>
            <w:tcBorders/>
            <w:shd w:fill="CCEEFF" w:val="clear"/>
            <w:vAlign w:val="bottom"/>
          </w:tcPr>
          <w:p>
            <w:pPr>
              <w:pStyle w:val="TableContents"/>
              <w:spacing w:before="0" w:after="0"/>
              <w:ind w:left="0" w:right="0" w:hanging="0"/>
              <w:rPr/>
            </w:pPr>
            <w:r>
              <w:rPr/>
              <w:t> </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0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21"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22" w:type="dxa"/>
            <w:tcBorders/>
            <w:shd w:fill="CCEEFF" w:val="clear"/>
            <w:vAlign w:val="bottom"/>
          </w:tcPr>
          <w:p>
            <w:pPr>
              <w:pStyle w:val="TableContents"/>
              <w:spacing w:before="0" w:after="0"/>
              <w:ind w:left="0" w:right="0" w:hanging="0"/>
              <w:rPr/>
            </w:pPr>
            <w:r>
              <w:rPr/>
              <w:t> </w:t>
            </w:r>
          </w:p>
        </w:tc>
        <w:tc>
          <w:tcPr>
            <w:tcW w:w="6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115" w:type="dxa"/>
            <w:tcBorders/>
            <w:shd w:fill="auto" w:val="clear"/>
            <w:vAlign w:val="bottom"/>
          </w:tcPr>
          <w:p>
            <w:pPr>
              <w:pStyle w:val="TableContents"/>
              <w:spacing w:before="0" w:after="0"/>
              <w:ind w:left="0" w:right="0" w:hanging="0"/>
              <w:rPr/>
            </w:pPr>
            <w:r>
              <w:rPr/>
              <w:t> </w:t>
            </w:r>
          </w:p>
        </w:tc>
        <w:tc>
          <w:tcPr>
            <w:tcW w:w="6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7" w:type="dxa"/>
            <w:tcBorders/>
            <w:shd w:fill="auto" w:val="clear"/>
            <w:vAlign w:val="bottom"/>
          </w:tcPr>
          <w:p>
            <w:pPr>
              <w:pStyle w:val="TableContents"/>
              <w:spacing w:before="0" w:after="0"/>
              <w:ind w:left="0" w:right="0" w:hanging="0"/>
              <w:rPr/>
            </w:pPr>
            <w:r>
              <w:rPr/>
              <w:t> </w:t>
            </w:r>
          </w:p>
        </w:tc>
        <w:tc>
          <w:tcPr>
            <w:tcW w:w="6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121"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2" w:type="dxa"/>
            <w:tcBorders/>
            <w:shd w:fill="auto" w:val="clear"/>
            <w:vAlign w:val="bottom"/>
          </w:tcPr>
          <w:p>
            <w:pPr>
              <w:pStyle w:val="TableContents"/>
              <w:spacing w:before="0" w:after="0"/>
              <w:ind w:left="0" w:right="0" w:hanging="0"/>
              <w:rPr/>
            </w:pPr>
            <w:r>
              <w:rPr/>
              <w:t> </w:t>
            </w:r>
          </w:p>
        </w:tc>
        <w:tc>
          <w:tcPr>
            <w:tcW w:w="5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41"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67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124" w:type="dxa"/>
            <w:tcBorders/>
            <w:shd w:fill="auto" w:val="clear"/>
            <w:vAlign w:val="bottom"/>
          </w:tcPr>
          <w:p>
            <w:pPr>
              <w:pStyle w:val="TableContents"/>
              <w:spacing w:before="0" w:after="0"/>
              <w:ind w:left="0" w:right="0" w:hanging="0"/>
              <w:rPr/>
            </w:pPr>
            <w:r>
              <w:rPr/>
              <w:t> </w:t>
            </w:r>
          </w:p>
        </w:tc>
        <w:tc>
          <w:tcPr>
            <w:tcW w:w="64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21" w:type="dxa"/>
            <w:tcBorders/>
            <w:shd w:fill="auto" w:val="clear"/>
            <w:vAlign w:val="bottom"/>
          </w:tcPr>
          <w:p>
            <w:pPr>
              <w:pStyle w:val="TableContents"/>
              <w:spacing w:before="0" w:after="0"/>
              <w:ind w:left="0" w:right="0" w:hanging="0"/>
              <w:rPr/>
            </w:pPr>
            <w:r>
              <w:rPr/>
              <w:t> </w:t>
            </w:r>
          </w:p>
        </w:tc>
        <w:tc>
          <w:tcPr>
            <w:tcW w:w="62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2" w:type="dxa"/>
            <w:tcBorders/>
            <w:shd w:fill="auto" w:val="clear"/>
            <w:vAlign w:val="bottom"/>
          </w:tcPr>
          <w:p>
            <w:pPr>
              <w:pStyle w:val="TableContents"/>
              <w:spacing w:before="0" w:after="0"/>
              <w:ind w:left="0" w:right="0" w:hanging="0"/>
              <w:rPr/>
            </w:pPr>
            <w:r>
              <w:rPr/>
              <w:t> </w:t>
            </w:r>
          </w:p>
        </w:tc>
        <w:tc>
          <w:tcPr>
            <w:tcW w:w="6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6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115" w:type="dxa"/>
            <w:tcBorders/>
            <w:shd w:fill="CCEEFF" w:val="clear"/>
            <w:vAlign w:val="bottom"/>
          </w:tcPr>
          <w:p>
            <w:pPr>
              <w:pStyle w:val="TableContents"/>
              <w:spacing w:before="0" w:after="0"/>
              <w:ind w:left="0" w:right="0" w:hanging="0"/>
              <w:rPr/>
            </w:pPr>
            <w:r>
              <w:rPr/>
              <w:t> </w:t>
            </w:r>
          </w:p>
        </w:tc>
        <w:tc>
          <w:tcPr>
            <w:tcW w:w="6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127" w:type="dxa"/>
            <w:tcBorders/>
            <w:shd w:fill="CCEEFF" w:val="clear"/>
            <w:vAlign w:val="bottom"/>
          </w:tcPr>
          <w:p>
            <w:pPr>
              <w:pStyle w:val="TableContents"/>
              <w:spacing w:before="0" w:after="0"/>
              <w:ind w:left="0" w:right="0" w:hanging="0"/>
              <w:rPr/>
            </w:pPr>
            <w:r>
              <w:rPr/>
              <w:t> </w:t>
            </w:r>
          </w:p>
        </w:tc>
        <w:tc>
          <w:tcPr>
            <w:tcW w:w="6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121"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22" w:type="dxa"/>
            <w:tcBorders/>
            <w:shd w:fill="CCEEFF" w:val="clear"/>
            <w:vAlign w:val="bottom"/>
          </w:tcPr>
          <w:p>
            <w:pPr>
              <w:pStyle w:val="TableContents"/>
              <w:spacing w:before="0" w:after="0"/>
              <w:ind w:left="0" w:right="0" w:hanging="0"/>
              <w:rPr/>
            </w:pPr>
            <w:r>
              <w:rPr/>
              <w:t> </w:t>
            </w:r>
          </w:p>
        </w:tc>
        <w:tc>
          <w:tcPr>
            <w:tcW w:w="5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41"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67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124" w:type="dxa"/>
            <w:tcBorders/>
            <w:shd w:fill="CCEEFF" w:val="clear"/>
            <w:vAlign w:val="bottom"/>
          </w:tcPr>
          <w:p>
            <w:pPr>
              <w:pStyle w:val="TableContents"/>
              <w:spacing w:before="0" w:after="0"/>
              <w:ind w:left="0" w:right="0" w:hanging="0"/>
              <w:rPr/>
            </w:pPr>
            <w:r>
              <w:rPr/>
              <w:t> </w:t>
            </w:r>
          </w:p>
        </w:tc>
        <w:tc>
          <w:tcPr>
            <w:tcW w:w="64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21" w:type="dxa"/>
            <w:tcBorders/>
            <w:shd w:fill="CCEEFF" w:val="clear"/>
            <w:vAlign w:val="bottom"/>
          </w:tcPr>
          <w:p>
            <w:pPr>
              <w:pStyle w:val="TableContents"/>
              <w:spacing w:before="0" w:after="0"/>
              <w:ind w:left="0" w:right="0" w:hanging="0"/>
              <w:rPr/>
            </w:pPr>
            <w:r>
              <w:rPr/>
              <w:t> </w:t>
            </w:r>
          </w:p>
        </w:tc>
        <w:tc>
          <w:tcPr>
            <w:tcW w:w="6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22" w:type="dxa"/>
            <w:tcBorders/>
            <w:shd w:fill="CCEEFF" w:val="clear"/>
            <w:vAlign w:val="bottom"/>
          </w:tcPr>
          <w:p>
            <w:pPr>
              <w:pStyle w:val="TableContents"/>
              <w:spacing w:before="0" w:after="0"/>
              <w:ind w:left="0" w:right="0" w:hanging="0"/>
              <w:rPr/>
            </w:pPr>
            <w:r>
              <w:rPr/>
              <w:t> </w:t>
            </w:r>
          </w:p>
        </w:tc>
        <w:tc>
          <w:tcPr>
            <w:tcW w:w="6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 primary measures used by management are adjusted earnings before interest, taxes, depreciation and amortization (adjusted EBITDA) and implied distributable cash flow (DCF).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hereinafter as Selected Items Impacting Comparability.  These additional financial measures are reconciled to the most directly comparable measures as reported in accordance with GAAP, and should be viewed in addition to, and not in lieu of, our condensed consolidated financial statements and footnotes.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58" w:name="PB_32_131205_5335"/>
      <w:bookmarkEnd w:id="5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non-GAAP financial measures that are reconciled to the most directly comparable GAAP measures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16"/>
        <w:gridCol w:w="112"/>
        <w:gridCol w:w="152"/>
        <w:gridCol w:w="520"/>
        <w:gridCol w:w="134"/>
        <w:gridCol w:w="152"/>
        <w:gridCol w:w="521"/>
        <w:gridCol w:w="121"/>
        <w:gridCol w:w="135"/>
        <w:gridCol w:w="460"/>
        <w:gridCol w:w="121"/>
        <w:gridCol w:w="674"/>
        <w:gridCol w:w="326"/>
        <w:gridCol w:w="112"/>
        <w:gridCol w:w="136"/>
        <w:gridCol w:w="541"/>
        <w:gridCol w:w="122"/>
        <w:gridCol w:w="136"/>
        <w:gridCol w:w="543"/>
        <w:gridCol w:w="121"/>
        <w:gridCol w:w="133"/>
        <w:gridCol w:w="471"/>
        <w:gridCol w:w="121"/>
        <w:gridCol w:w="670"/>
        <w:gridCol w:w="255"/>
      </w:tblGrid>
      <w:tr>
        <w:trPr/>
        <w:tc>
          <w:tcPr>
            <w:tcW w:w="3416"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47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21" w:type="dxa"/>
            <w:tcBorders/>
            <w:shd w:fill="auto" w:val="clear"/>
            <w:vAlign w:val="bottom"/>
          </w:tcPr>
          <w:p>
            <w:pPr>
              <w:pStyle w:val="TableContents"/>
              <w:spacing w:before="0" w:after="0"/>
              <w:ind w:left="0" w:right="0" w:hanging="0"/>
              <w:jc w:val="center"/>
              <w:rPr/>
            </w:pPr>
            <w:r>
              <w:rPr/>
              <w:t> </w:t>
            </w:r>
          </w:p>
        </w:tc>
        <w:tc>
          <w:tcPr>
            <w:tcW w:w="1390"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326"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47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21" w:type="dxa"/>
            <w:tcBorders/>
            <w:shd w:fill="auto" w:val="clear"/>
            <w:vAlign w:val="bottom"/>
          </w:tcPr>
          <w:p>
            <w:pPr>
              <w:pStyle w:val="TableContents"/>
              <w:spacing w:before="0" w:after="0"/>
              <w:ind w:left="0" w:right="0" w:hanging="0"/>
              <w:jc w:val="center"/>
              <w:rPr/>
            </w:pPr>
            <w:r>
              <w:rPr/>
              <w:t> </w:t>
            </w:r>
          </w:p>
        </w:tc>
        <w:tc>
          <w:tcPr>
            <w:tcW w:w="1395"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br/>
              <w:t>(Unfavorable)</w:t>
            </w:r>
          </w:p>
        </w:tc>
        <w:tc>
          <w:tcPr>
            <w:tcW w:w="255" w:type="dxa"/>
            <w:tcBorders/>
            <w:shd w:fill="auto" w:val="clear"/>
            <w:vAlign w:val="bottom"/>
          </w:tcPr>
          <w:p>
            <w:pPr>
              <w:pStyle w:val="TableContents"/>
              <w:spacing w:before="0" w:after="0"/>
              <w:ind w:left="0" w:right="0" w:hanging="0"/>
              <w:jc w:val="center"/>
              <w:rPr/>
            </w:pPr>
            <w:r>
              <w:rPr/>
              <w:t> </w:t>
            </w:r>
          </w:p>
        </w:tc>
      </w:tr>
      <w:tr>
        <w:trPr/>
        <w:tc>
          <w:tcPr>
            <w:tcW w:w="3416"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47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21" w:type="dxa"/>
            <w:tcBorders/>
            <w:shd w:fill="auto" w:val="clear"/>
            <w:vAlign w:val="bottom"/>
          </w:tcPr>
          <w:p>
            <w:pPr>
              <w:pStyle w:val="TableContents"/>
              <w:spacing w:before="0" w:after="0"/>
              <w:ind w:left="0" w:right="0" w:hanging="0"/>
              <w:jc w:val="center"/>
              <w:rPr/>
            </w:pPr>
            <w:r>
              <w:rPr/>
              <w:t> </w:t>
            </w:r>
          </w:p>
        </w:tc>
        <w:tc>
          <w:tcPr>
            <w:tcW w:w="1390"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26"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147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21" w:type="dxa"/>
            <w:tcBorders/>
            <w:shd w:fill="auto" w:val="clear"/>
            <w:vAlign w:val="bottom"/>
          </w:tcPr>
          <w:p>
            <w:pPr>
              <w:pStyle w:val="TableContents"/>
              <w:spacing w:before="0" w:after="0"/>
              <w:ind w:left="0" w:right="0" w:hanging="0"/>
              <w:jc w:val="center"/>
              <w:rPr/>
            </w:pPr>
            <w:r>
              <w:rPr/>
              <w:t> </w:t>
            </w:r>
          </w:p>
        </w:tc>
        <w:tc>
          <w:tcPr>
            <w:tcW w:w="139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55" w:type="dxa"/>
            <w:tcBorders/>
            <w:shd w:fill="auto" w:val="clear"/>
            <w:vAlign w:val="bottom"/>
          </w:tcPr>
          <w:p>
            <w:pPr>
              <w:pStyle w:val="TableContents"/>
              <w:spacing w:before="0" w:after="0"/>
              <w:ind w:left="0" w:right="0" w:hanging="0"/>
              <w:jc w:val="center"/>
              <w:rPr/>
            </w:pPr>
            <w:r>
              <w:rPr/>
              <w:t> </w:t>
            </w:r>
          </w:p>
        </w:tc>
      </w:tr>
      <w:tr>
        <w:trPr/>
        <w:tc>
          <w:tcPr>
            <w:tcW w:w="3416"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6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3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1" w:type="dxa"/>
            <w:tcBorders/>
            <w:shd w:fill="auto" w:val="clear"/>
            <w:vAlign w:val="bottom"/>
          </w:tcPr>
          <w:p>
            <w:pPr>
              <w:pStyle w:val="TableContents"/>
              <w:spacing w:before="0" w:after="0"/>
              <w:ind w:left="0" w:right="0" w:hanging="0"/>
              <w:jc w:val="center"/>
              <w:rPr/>
            </w:pPr>
            <w:r>
              <w:rPr/>
              <w:t> </w:t>
            </w:r>
          </w:p>
        </w:tc>
        <w:tc>
          <w:tcPr>
            <w:tcW w:w="59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2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4"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26" w:type="dxa"/>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0"/>
              <w:ind w:left="0" w:right="0" w:hanging="0"/>
              <w:jc w:val="center"/>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1" w:type="dxa"/>
            <w:tcBorders/>
            <w:shd w:fill="auto" w:val="clear"/>
            <w:vAlign w:val="bottom"/>
          </w:tcPr>
          <w:p>
            <w:pPr>
              <w:pStyle w:val="TableContents"/>
              <w:spacing w:before="0" w:after="0"/>
              <w:ind w:left="0" w:right="0" w:hanging="0"/>
              <w:jc w:val="center"/>
              <w:rPr/>
            </w:pPr>
            <w:r>
              <w:rPr/>
              <w:t> </w:t>
            </w:r>
          </w:p>
        </w:tc>
        <w:tc>
          <w:tcPr>
            <w:tcW w:w="6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2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70"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55" w:type="dxa"/>
            <w:tcBorders/>
            <w:shd w:fill="auto" w:val="clear"/>
            <w:vAlign w:val="bottom"/>
          </w:tcPr>
          <w:p>
            <w:pPr>
              <w:pStyle w:val="TableContents"/>
              <w:spacing w:before="0" w:after="0"/>
              <w:ind w:left="0" w:right="0" w:hanging="0"/>
              <w:jc w:val="center"/>
              <w:rPr/>
            </w:pPr>
            <w:r>
              <w:rPr/>
              <w:t> </w:t>
            </w:r>
          </w:p>
        </w:tc>
      </w:tr>
      <w:tr>
        <w:trPr/>
        <w:tc>
          <w:tcPr>
            <w:tcW w:w="34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12" w:type="dxa"/>
            <w:tcBorders/>
            <w:shd w:fill="CCEEFF" w:val="clear"/>
            <w:vAlign w:val="bottom"/>
          </w:tcPr>
          <w:p>
            <w:pPr>
              <w:pStyle w:val="TableContents"/>
              <w:spacing w:before="0" w:after="0"/>
              <w:ind w:left="0" w:right="0" w:hanging="0"/>
              <w:rPr/>
            </w:pPr>
            <w:r>
              <w:rPr/>
              <w:t> </w:t>
            </w:r>
          </w:p>
        </w:tc>
        <w:tc>
          <w:tcPr>
            <w:tcW w:w="152"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34" w:type="dxa"/>
            <w:tcBorders/>
            <w:shd w:fill="CCEEFF" w:val="clear"/>
            <w:vAlign w:val="bottom"/>
          </w:tcPr>
          <w:p>
            <w:pPr>
              <w:pStyle w:val="TableContents"/>
              <w:spacing w:before="0" w:after="0"/>
              <w:ind w:left="0" w:right="0" w:hanging="0"/>
              <w:rPr/>
            </w:pPr>
            <w:r>
              <w:rPr/>
              <w:t> </w:t>
            </w:r>
          </w:p>
        </w:tc>
        <w:tc>
          <w:tcPr>
            <w:tcW w:w="152"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21" w:type="dxa"/>
            <w:tcBorders/>
            <w:shd w:fill="CCEEFF" w:val="clear"/>
            <w:vAlign w:val="bottom"/>
          </w:tcPr>
          <w:p>
            <w:pPr>
              <w:pStyle w:val="TableContents"/>
              <w:spacing w:before="0" w:after="0"/>
              <w:ind w:left="0" w:right="0" w:hanging="0"/>
              <w:rPr/>
            </w:pPr>
            <w:r>
              <w:rPr/>
              <w:t> </w:t>
            </w:r>
          </w:p>
        </w:tc>
        <w:tc>
          <w:tcPr>
            <w:tcW w:w="135"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21" w:type="dxa"/>
            <w:tcBorders/>
            <w:shd w:fill="CCEEFF" w:val="clear"/>
            <w:vAlign w:val="bottom"/>
          </w:tcPr>
          <w:p>
            <w:pPr>
              <w:pStyle w:val="TableContents"/>
              <w:spacing w:before="0" w:after="0"/>
              <w:ind w:left="0" w:right="0" w:hanging="0"/>
              <w:rPr/>
            </w:pPr>
            <w:r>
              <w:rPr/>
              <w:t> </w:t>
            </w:r>
          </w:p>
        </w:tc>
        <w:tc>
          <w:tcPr>
            <w:tcW w:w="67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122" w:type="dxa"/>
            <w:tcBorders/>
            <w:shd w:fill="CCEEFF" w:val="clear"/>
            <w:vAlign w:val="bottom"/>
          </w:tcPr>
          <w:p>
            <w:pPr>
              <w:pStyle w:val="TableContents"/>
              <w:spacing w:before="0" w:after="0"/>
              <w:ind w:left="0" w:right="0" w:hanging="0"/>
              <w:rPr/>
            </w:pPr>
            <w:r>
              <w:rPr/>
              <w:t> </w:t>
            </w:r>
          </w:p>
        </w:tc>
        <w:tc>
          <w:tcPr>
            <w:tcW w:w="136"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12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121" w:type="dxa"/>
            <w:tcBorders/>
            <w:shd w:fill="CCEEFF" w:val="clear"/>
            <w:vAlign w:val="bottom"/>
          </w:tcPr>
          <w:p>
            <w:pPr>
              <w:pStyle w:val="TableContents"/>
              <w:spacing w:before="0" w:after="0"/>
              <w:ind w:left="0" w:right="0" w:hanging="0"/>
              <w:rPr/>
            </w:pPr>
            <w:r>
              <w:rPr/>
              <w:t> </w:t>
            </w:r>
          </w:p>
        </w:tc>
        <w:tc>
          <w:tcPr>
            <w:tcW w:w="6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Add: </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59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74" w:type="dxa"/>
            <w:tcBorders/>
            <w:shd w:fill="auto" w:val="clear"/>
            <w:vAlign w:val="bottom"/>
          </w:tcPr>
          <w:p>
            <w:pPr>
              <w:pStyle w:val="TableContents"/>
              <w:spacing w:before="0" w:after="0"/>
              <w:ind w:left="0" w:right="0" w:hanging="0"/>
              <w:jc w:val="right"/>
              <w:rPr/>
            </w:pPr>
            <w:r>
              <w:rPr/>
              <w:t> </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c>
          <w:tcPr>
            <w:tcW w:w="679"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04"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70" w:type="dxa"/>
            <w:tcBorders/>
            <w:shd w:fill="auto" w:val="clear"/>
            <w:vAlign w:val="bottom"/>
          </w:tcPr>
          <w:p>
            <w:pPr>
              <w:pStyle w:val="TableContents"/>
              <w:spacing w:before="0" w:after="0"/>
              <w:ind w:left="0" w:right="0" w:hanging="0"/>
              <w:jc w:val="right"/>
              <w:rPr/>
            </w:pPr>
            <w:r>
              <w:rPr/>
              <w:t> </w:t>
            </w:r>
          </w:p>
        </w:tc>
        <w:tc>
          <w:tcPr>
            <w:tcW w:w="255" w:type="dxa"/>
            <w:tcBorders/>
            <w:shd w:fill="auto" w:val="clear"/>
            <w:vAlign w:val="bottom"/>
          </w:tcPr>
          <w:p>
            <w:pPr>
              <w:pStyle w:val="TableContents"/>
              <w:spacing w:before="0" w:after="0"/>
              <w:ind w:left="0" w:right="0" w:hanging="0"/>
              <w:rPr/>
            </w:pPr>
            <w:r>
              <w:rPr/>
              <w:t> </w:t>
            </w:r>
          </w:p>
        </w:tc>
      </w:tr>
      <w:tr>
        <w:trPr/>
        <w:tc>
          <w:tcPr>
            <w:tcW w:w="34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1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34"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121" w:type="dxa"/>
            <w:tcBorders/>
            <w:shd w:fill="CCEEFF" w:val="clear"/>
            <w:vAlign w:val="bottom"/>
          </w:tcPr>
          <w:p>
            <w:pPr>
              <w:pStyle w:val="TableContents"/>
              <w:spacing w:before="0" w:after="0"/>
              <w:ind w:left="0" w:right="0" w:hanging="0"/>
              <w:rPr/>
            </w:pPr>
            <w:r>
              <w:rPr/>
              <w:t> </w:t>
            </w:r>
          </w:p>
        </w:tc>
        <w:tc>
          <w:tcPr>
            <w:tcW w:w="5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122" w:type="dxa"/>
            <w:tcBorders/>
            <w:shd w:fill="CCEEFF" w:val="clear"/>
            <w:vAlign w:val="bottom"/>
          </w:tcPr>
          <w:p>
            <w:pPr>
              <w:pStyle w:val="TableContents"/>
              <w:spacing w:before="0" w:after="0"/>
              <w:ind w:left="0" w:right="0" w:hanging="0"/>
              <w:rPr/>
            </w:pPr>
            <w:r>
              <w:rPr/>
              <w:t> </w:t>
            </w:r>
          </w:p>
        </w:tc>
        <w:tc>
          <w:tcPr>
            <w:tcW w:w="6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21" w:type="dxa"/>
            <w:tcBorders/>
            <w:shd w:fill="CCEEFF" w:val="clear"/>
            <w:vAlign w:val="bottom"/>
          </w:tcPr>
          <w:p>
            <w:pPr>
              <w:pStyle w:val="TableContents"/>
              <w:spacing w:before="0" w:after="0"/>
              <w:ind w:left="0" w:right="0" w:hanging="0"/>
              <w:rPr/>
            </w:pPr>
            <w:r>
              <w:rPr/>
              <w:t> </w:t>
            </w:r>
          </w:p>
        </w:tc>
        <w:tc>
          <w:tcPr>
            <w:tcW w:w="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34"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1" w:type="dxa"/>
            <w:tcBorders/>
            <w:shd w:fill="auto" w:val="clear"/>
            <w:vAlign w:val="bottom"/>
          </w:tcPr>
          <w:p>
            <w:pPr>
              <w:pStyle w:val="TableContents"/>
              <w:spacing w:before="0" w:after="0"/>
              <w:ind w:left="0" w:right="0" w:hanging="0"/>
              <w:rPr/>
            </w:pPr>
            <w:r>
              <w:rPr/>
              <w:t> </w:t>
            </w:r>
          </w:p>
        </w:tc>
        <w:tc>
          <w:tcPr>
            <w:tcW w:w="5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22" w:type="dxa"/>
            <w:tcBorders/>
            <w:shd w:fill="auto" w:val="clear"/>
            <w:vAlign w:val="bottom"/>
          </w:tcPr>
          <w:p>
            <w:pPr>
              <w:pStyle w:val="TableContents"/>
              <w:spacing w:before="0" w:after="0"/>
              <w:ind w:left="0" w:right="0" w:hanging="0"/>
              <w:rPr/>
            </w:pPr>
            <w:r>
              <w:rPr/>
              <w:t> </w:t>
            </w:r>
          </w:p>
        </w:tc>
        <w:tc>
          <w:tcPr>
            <w:tcW w:w="6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21" w:type="dxa"/>
            <w:tcBorders/>
            <w:shd w:fill="auto" w:val="clear"/>
            <w:vAlign w:val="bottom"/>
          </w:tcPr>
          <w:p>
            <w:pPr>
              <w:pStyle w:val="TableContents"/>
              <w:spacing w:before="0" w:after="0"/>
              <w:ind w:left="0" w:right="0" w:hanging="0"/>
              <w:rPr/>
            </w:pPr>
            <w:r>
              <w:rPr/>
              <w:t> </w:t>
            </w:r>
          </w:p>
        </w:tc>
        <w:tc>
          <w:tcPr>
            <w:tcW w:w="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1" w:type="dxa"/>
            <w:tcBorders/>
            <w:shd w:fill="auto" w:val="clear"/>
            <w:vAlign w:val="bottom"/>
          </w:tcPr>
          <w:p>
            <w:pPr>
              <w:pStyle w:val="TableContents"/>
              <w:spacing w:before="0" w:after="0"/>
              <w:ind w:left="0" w:right="0" w:hanging="0"/>
              <w:rPr/>
            </w:pPr>
            <w:r>
              <w:rPr/>
              <w:t> </w:t>
            </w:r>
          </w:p>
        </w:tc>
        <w:tc>
          <w:tcPr>
            <w:tcW w:w="6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12" w:type="dxa"/>
            <w:tcBorders/>
            <w:shd w:fill="CCEEFF"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34" w:type="dxa"/>
            <w:tcBorders/>
            <w:shd w:fill="CCEEFF" w:val="clear"/>
            <w:vAlign w:val="bottom"/>
          </w:tcPr>
          <w:p>
            <w:pPr>
              <w:pStyle w:val="TableContents"/>
              <w:spacing w:before="0" w:after="0"/>
              <w:ind w:left="0" w:right="0" w:hanging="0"/>
              <w:rPr/>
            </w:pPr>
            <w:r>
              <w:rPr/>
              <w:t> </w:t>
            </w:r>
          </w:p>
        </w:tc>
        <w:tc>
          <w:tcPr>
            <w:tcW w:w="67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21" w:type="dxa"/>
            <w:tcBorders/>
            <w:shd w:fill="CCEEFF" w:val="clear"/>
            <w:vAlign w:val="bottom"/>
          </w:tcPr>
          <w:p>
            <w:pPr>
              <w:pStyle w:val="TableContents"/>
              <w:spacing w:before="0" w:after="0"/>
              <w:ind w:left="0" w:right="0" w:hanging="0"/>
              <w:rPr/>
            </w:pPr>
            <w:r>
              <w:rPr/>
              <w:t> </w:t>
            </w:r>
          </w:p>
        </w:tc>
        <w:tc>
          <w:tcPr>
            <w:tcW w:w="5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22" w:type="dxa"/>
            <w:tcBorders/>
            <w:shd w:fill="CCEEFF" w:val="clear"/>
            <w:vAlign w:val="bottom"/>
          </w:tcPr>
          <w:p>
            <w:pPr>
              <w:pStyle w:val="TableContents"/>
              <w:spacing w:before="0" w:after="0"/>
              <w:ind w:left="0" w:right="0" w:hanging="0"/>
              <w:rPr/>
            </w:pPr>
            <w:r>
              <w:rPr/>
              <w:t> </w:t>
            </w:r>
          </w:p>
        </w:tc>
        <w:tc>
          <w:tcPr>
            <w:tcW w:w="67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21" w:type="dxa"/>
            <w:tcBorders/>
            <w:shd w:fill="CCEEFF" w:val="clear"/>
            <w:vAlign w:val="bottom"/>
          </w:tcPr>
          <w:p>
            <w:pPr>
              <w:pStyle w:val="TableContents"/>
              <w:spacing w:before="0" w:after="0"/>
              <w:ind w:left="0" w:right="0" w:hanging="0"/>
              <w:rPr/>
            </w:pPr>
            <w:r>
              <w:rPr/>
              <w:t> </w:t>
            </w:r>
          </w:p>
        </w:tc>
        <w:tc>
          <w:tcPr>
            <w:tcW w:w="6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1" w:type="dxa"/>
            <w:tcBorders/>
            <w:shd w:fill="CCEEFF" w:val="clear"/>
            <w:vAlign w:val="bottom"/>
          </w:tcPr>
          <w:p>
            <w:pPr>
              <w:pStyle w:val="TableContents"/>
              <w:spacing w:before="0" w:after="0"/>
              <w:ind w:left="0" w:right="0" w:hanging="0"/>
              <w:rPr/>
            </w:pPr>
            <w:r>
              <w:rPr/>
              <w:t> </w:t>
            </w:r>
          </w:p>
        </w:tc>
        <w:tc>
          <w:tcPr>
            <w:tcW w:w="67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12"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w:t>
            </w:r>
          </w:p>
        </w:tc>
        <w:tc>
          <w:tcPr>
            <w:tcW w:w="134" w:type="dxa"/>
            <w:tcBorders/>
            <w:shd w:fill="auto" w:val="clear"/>
            <w:vAlign w:val="bottom"/>
          </w:tcPr>
          <w:p>
            <w:pPr>
              <w:pStyle w:val="TableContents"/>
              <w:spacing w:before="0" w:after="0"/>
              <w:ind w:left="0" w:right="0" w:hanging="0"/>
              <w:rPr/>
            </w:pPr>
            <w:r>
              <w:rPr/>
              <w:t> </w:t>
            </w:r>
          </w:p>
        </w:tc>
        <w:tc>
          <w:tcPr>
            <w:tcW w:w="15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21" w:type="dxa"/>
            <w:tcBorders/>
            <w:shd w:fill="auto" w:val="clear"/>
            <w:vAlign w:val="bottom"/>
          </w:tcPr>
          <w:p>
            <w:pPr>
              <w:pStyle w:val="TableContents"/>
              <w:spacing w:before="0" w:after="0"/>
              <w:ind w:left="0" w:right="0" w:hanging="0"/>
              <w:rPr/>
            </w:pPr>
            <w:r>
              <w:rPr/>
              <w:t> </w:t>
            </w:r>
          </w:p>
        </w:tc>
        <w:tc>
          <w:tcPr>
            <w:tcW w:w="13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1,642</w:t>
            </w:r>
          </w:p>
        </w:tc>
        <w:tc>
          <w:tcPr>
            <w:tcW w:w="122" w:type="dxa"/>
            <w:tcBorders/>
            <w:shd w:fill="auto" w:val="clear"/>
            <w:vAlign w:val="bottom"/>
          </w:tcPr>
          <w:p>
            <w:pPr>
              <w:pStyle w:val="TableContents"/>
              <w:spacing w:before="0" w:after="0"/>
              <w:ind w:left="0" w:right="0" w:hanging="0"/>
              <w:rPr/>
            </w:pPr>
            <w:r>
              <w:rPr/>
              <w:t> </w:t>
            </w:r>
          </w:p>
        </w:tc>
        <w:tc>
          <w:tcPr>
            <w:tcW w:w="13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121"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21" w:type="dxa"/>
            <w:tcBorders/>
            <w:shd w:fill="auto" w:val="clear"/>
            <w:vAlign w:val="bottom"/>
          </w:tcPr>
          <w:p>
            <w:pPr>
              <w:pStyle w:val="TableContents"/>
              <w:spacing w:before="0" w:after="0"/>
              <w:ind w:left="0" w:right="0" w:hanging="0"/>
              <w:rPr/>
            </w:pPr>
            <w:r>
              <w:rPr/>
              <w:t> </w:t>
            </w:r>
          </w:p>
        </w:tc>
        <w:tc>
          <w:tcPr>
            <w:tcW w:w="6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CCEEFF" w:val="cle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pPr>
            <w:r>
              <w:rPr/>
              <w:t> </w:t>
            </w:r>
          </w:p>
        </w:tc>
        <w:tc>
          <w:tcPr>
            <w:tcW w:w="134"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595"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674" w:type="dxa"/>
            <w:tcBorders/>
            <w:shd w:fill="CCEEFF" w:val="clear"/>
            <w:vAlign w:val="bottom"/>
          </w:tcPr>
          <w:p>
            <w:pPr>
              <w:pStyle w:val="TableContents"/>
              <w:spacing w:before="0" w:after="0"/>
              <w:ind w:left="0" w:right="0" w:hanging="0"/>
              <w:jc w:val="right"/>
              <w:rPr/>
            </w:pPr>
            <w:r>
              <w:rPr/>
              <w:t> </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677"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c>
          <w:tcPr>
            <w:tcW w:w="679"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604"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670" w:type="dxa"/>
            <w:tcBorders/>
            <w:shd w:fill="CCEEFF" w:val="clear"/>
            <w:vAlign w:val="bottom"/>
          </w:tcPr>
          <w:p>
            <w:pPr>
              <w:pStyle w:val="TableContents"/>
              <w:spacing w:before="0" w:after="0"/>
              <w:ind w:left="0" w:right="0" w:hanging="0"/>
              <w:jc w:val="right"/>
              <w:rPr/>
            </w:pPr>
            <w:r>
              <w:rPr/>
              <w:t> </w:t>
            </w:r>
          </w:p>
        </w:tc>
        <w:tc>
          <w:tcPr>
            <w:tcW w:w="255" w:type="dxa"/>
            <w:tcBorders/>
            <w:shd w:fill="CCEEFF" w:val="clear"/>
            <w:vAlign w:val="bottom"/>
          </w:tcPr>
          <w:p>
            <w:pPr>
              <w:pStyle w:val="TableContents"/>
              <w:spacing w:before="0" w:after="0"/>
              <w:ind w:left="0" w:right="0" w:hanging="0"/>
              <w:rPr/>
            </w:pPr>
            <w:r>
              <w:rPr/>
              <w:t> </w:t>
            </w:r>
          </w:p>
        </w:tc>
      </w:tr>
      <w:tr>
        <w:trPr/>
        <w:tc>
          <w:tcPr>
            <w:tcW w:w="341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 of EBITDA</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59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74" w:type="dxa"/>
            <w:tcBorders/>
            <w:shd w:fill="auto" w:val="clear"/>
            <w:vAlign w:val="bottom"/>
          </w:tcPr>
          <w:p>
            <w:pPr>
              <w:pStyle w:val="TableContents"/>
              <w:spacing w:before="0" w:after="0"/>
              <w:ind w:left="0" w:right="0" w:hanging="0"/>
              <w:jc w:val="right"/>
              <w:rPr/>
            </w:pPr>
            <w:r>
              <w:rPr/>
              <w:t> </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c>
          <w:tcPr>
            <w:tcW w:w="679"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04"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70" w:type="dxa"/>
            <w:tcBorders/>
            <w:shd w:fill="auto" w:val="clear"/>
            <w:vAlign w:val="bottom"/>
          </w:tcPr>
          <w:p>
            <w:pPr>
              <w:pStyle w:val="TableContents"/>
              <w:spacing w:before="0" w:after="0"/>
              <w:ind w:left="0" w:right="0" w:hanging="0"/>
              <w:jc w:val="right"/>
              <w:rPr/>
            </w:pPr>
            <w:r>
              <w:rPr/>
              <w:t> </w:t>
            </w:r>
          </w:p>
        </w:tc>
        <w:tc>
          <w:tcPr>
            <w:tcW w:w="255" w:type="dxa"/>
            <w:tcBorders/>
            <w:shd w:fill="auto" w:val="clear"/>
            <w:vAlign w:val="bottom"/>
          </w:tcPr>
          <w:p>
            <w:pPr>
              <w:pStyle w:val="TableContents"/>
              <w:spacing w:before="0" w:after="0"/>
              <w:ind w:left="0" w:right="0" w:hanging="0"/>
              <w:rPr/>
            </w:pPr>
            <w:r>
              <w:rPr/>
              <w:t> </w:t>
            </w:r>
          </w:p>
        </w:tc>
      </w:tr>
      <w:tr>
        <w:trPr/>
        <w:tc>
          <w:tcPr>
            <w:tcW w:w="3416" w:type="dxa"/>
            <w:tcBorders/>
            <w:shd w:fill="CCEEFF" w:val="clear"/>
            <w:vAlign w:val="bottom"/>
          </w:tcPr>
          <w:p>
            <w:pPr>
              <w:pStyle w:val="TableContents"/>
              <w:spacing w:before="0" w:after="0"/>
              <w:ind w:left="0" w:right="0" w:hanging="0"/>
              <w:rPr/>
            </w:pPr>
            <w:r>
              <w:rPr>
                <w:rFonts w:ascii="Times New Roman" w:hAnsi="Times New Roman"/>
                <w:sz w:val="17"/>
              </w:rPr>
              <w:t>Gains/(losses) from derivative activities net of inventory valuation adjustments </w:t>
            </w:r>
            <w:r>
              <w:rPr>
                <w:sz w:val="11"/>
              </w:rPr>
              <w:t>(1)</w:t>
            </w:r>
          </w:p>
        </w:tc>
        <w:tc>
          <w:tcPr>
            <w:tcW w:w="112"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1" w:type="dxa"/>
            <w:tcBorders/>
            <w:shd w:fill="CCEEFF" w:val="clear"/>
            <w:vAlign w:val="bottom"/>
          </w:tcPr>
          <w:p>
            <w:pPr>
              <w:pStyle w:val="TableContents"/>
              <w:spacing w:before="0" w:after="0"/>
              <w:ind w:left="0" w:right="0" w:hanging="0"/>
              <w:rPr/>
            </w:pPr>
            <w:r>
              <w:rPr/>
              <w:t> </w:t>
            </w:r>
          </w:p>
        </w:tc>
        <w:tc>
          <w:tcPr>
            <w:tcW w:w="6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w:t>
            </w:r>
            <w:r>
              <w:rPr>
                <w:sz w:val="11"/>
              </w:rPr>
              <w:t>(2)</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auto" w:val="clear"/>
            <w:vAlign w:val="bottom"/>
          </w:tcPr>
          <w:p>
            <w:pPr>
              <w:pStyle w:val="TableContents"/>
              <w:spacing w:before="0" w:after="0"/>
              <w:ind w:left="0" w:right="0" w:hanging="0"/>
              <w:rPr/>
            </w:pPr>
            <w:r>
              <w:rPr/>
              <w:t> </w:t>
            </w:r>
          </w:p>
        </w:tc>
        <w:tc>
          <w:tcPr>
            <w:tcW w:w="6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CCEEFF" w:val="clear"/>
            <w:vAlign w:val="bottom"/>
          </w:tcPr>
          <w:p>
            <w:pPr>
              <w:pStyle w:val="TableContents"/>
              <w:spacing w:before="0" w:after="0"/>
              <w:ind w:left="0" w:right="0" w:hanging="0"/>
              <w:rPr/>
            </w:pPr>
            <w:r>
              <w:rPr>
                <w:rFonts w:ascii="Times New Roman" w:hAnsi="Times New Roman"/>
                <w:sz w:val="17"/>
              </w:rPr>
              <w:t>Net gain/(loss) on foreign currency revaluation </w:t>
            </w:r>
            <w:r>
              <w:rPr>
                <w:sz w:val="11"/>
              </w:rPr>
              <w:t>(3)</w:t>
            </w:r>
          </w:p>
        </w:tc>
        <w:tc>
          <w:tcPr>
            <w:tcW w:w="11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34" w:type="dxa"/>
            <w:tcBorders/>
            <w:shd w:fill="CCEEFF" w:val="clear"/>
            <w:vAlign w:val="bottom"/>
          </w:tcPr>
          <w:p>
            <w:pPr>
              <w:pStyle w:val="TableContents"/>
              <w:spacing w:before="0" w:after="0"/>
              <w:ind w:left="0" w:right="0" w:hanging="0"/>
              <w:rPr/>
            </w:pPr>
            <w:r>
              <w:rPr/>
              <w:t> </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1" w:type="dxa"/>
            <w:tcBorders/>
            <w:shd w:fill="CCEEFF" w:val="clear"/>
            <w:vAlign w:val="bottom"/>
          </w:tcPr>
          <w:p>
            <w:pPr>
              <w:pStyle w:val="TableContents"/>
              <w:spacing w:before="0" w:after="0"/>
              <w:ind w:left="0" w:right="0" w:hanging="0"/>
              <w:rPr/>
            </w:pPr>
            <w:r>
              <w:rPr/>
              <w:t> </w:t>
            </w:r>
          </w:p>
        </w:tc>
        <w:tc>
          <w:tcPr>
            <w:tcW w:w="5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2" w:type="dxa"/>
            <w:tcBorders/>
            <w:shd w:fill="CCEEFF" w:val="clear"/>
            <w:vAlign w:val="bottom"/>
          </w:tcPr>
          <w:p>
            <w:pPr>
              <w:pStyle w:val="TableContents"/>
              <w:spacing w:before="0" w:after="0"/>
              <w:ind w:left="0" w:right="0" w:hanging="0"/>
              <w:rPr/>
            </w:pPr>
            <w:r>
              <w:rPr/>
              <w:t> </w:t>
            </w:r>
          </w:p>
        </w:tc>
        <w:tc>
          <w:tcPr>
            <w:tcW w:w="6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1" w:type="dxa"/>
            <w:tcBorders/>
            <w:shd w:fill="CCEEFF" w:val="clear"/>
            <w:vAlign w:val="bottom"/>
          </w:tcPr>
          <w:p>
            <w:pPr>
              <w:pStyle w:val="TableContents"/>
              <w:spacing w:before="0" w:after="0"/>
              <w:ind w:left="0" w:right="0" w:hanging="0"/>
              <w:rPr/>
            </w:pPr>
            <w:r>
              <w:rPr/>
              <w:t> </w:t>
            </w:r>
          </w:p>
        </w:tc>
        <w:tc>
          <w:tcPr>
            <w:tcW w:w="6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4" w:type="dxa"/>
            <w:tcBorders/>
            <w:shd w:fill="auto" w:val="clear"/>
            <w:vAlign w:val="bottom"/>
          </w:tcPr>
          <w:p>
            <w:pPr>
              <w:pStyle w:val="TableContents"/>
              <w:spacing w:before="0" w:after="0"/>
              <w:ind w:left="0" w:right="0" w:hanging="0"/>
              <w:rPr/>
            </w:pPr>
            <w:r>
              <w:rPr/>
              <w:t> </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auto" w:val="clear"/>
            <w:vAlign w:val="bottom"/>
          </w:tcPr>
          <w:p>
            <w:pPr>
              <w:pStyle w:val="TableContents"/>
              <w:spacing w:before="0" w:after="0"/>
              <w:ind w:left="0" w:right="0" w:hanging="0"/>
              <w:rPr/>
            </w:pPr>
            <w:r>
              <w:rPr/>
              <w:t> </w:t>
            </w:r>
          </w:p>
        </w:tc>
        <w:tc>
          <w:tcPr>
            <w:tcW w:w="5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auto" w:val="clear"/>
            <w:vAlign w:val="bottom"/>
          </w:tcPr>
          <w:p>
            <w:pPr>
              <w:pStyle w:val="TableContents"/>
              <w:spacing w:before="0" w:after="0"/>
              <w:ind w:left="0" w:right="0" w:hanging="0"/>
              <w:rPr/>
            </w:pPr>
            <w:r>
              <w:rPr/>
              <w:t> </w:t>
            </w:r>
          </w:p>
        </w:tc>
        <w:tc>
          <w:tcPr>
            <w:tcW w:w="67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shd w:fill="auto" w:val="clear"/>
            <w:vAlign w:val="bottom"/>
          </w:tcPr>
          <w:p>
            <w:pPr>
              <w:pStyle w:val="TableContents"/>
              <w:spacing w:before="0" w:after="0"/>
              <w:ind w:left="0" w:right="0" w:hanging="0"/>
              <w:rPr/>
            </w:pPr>
            <w:r>
              <w:rPr/>
              <w:t> </w:t>
            </w:r>
          </w:p>
        </w:tc>
        <w:tc>
          <w:tcPr>
            <w:tcW w:w="6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1" w:type="dxa"/>
            <w:tcBorders/>
            <w:shd w:fill="auto" w:val="clear"/>
            <w:vAlign w:val="bottom"/>
          </w:tcPr>
          <w:p>
            <w:pPr>
              <w:pStyle w:val="TableContents"/>
              <w:spacing w:before="0" w:after="0"/>
              <w:ind w:left="0" w:right="0" w:hanging="0"/>
              <w:rPr/>
            </w:pPr>
            <w:r>
              <w:rPr/>
              <w:t> </w:t>
            </w:r>
          </w:p>
        </w:tc>
        <w:tc>
          <w:tcPr>
            <w:tcW w:w="67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112"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1" w:type="dxa"/>
            <w:tcBorders/>
            <w:shd w:fill="CCEEFF" w:val="clear"/>
            <w:vAlign w:val="bottom"/>
          </w:tcPr>
          <w:p>
            <w:pPr>
              <w:pStyle w:val="TableContents"/>
              <w:spacing w:before="0" w:after="0"/>
              <w:ind w:left="0" w:right="0" w:hanging="0"/>
              <w:rPr/>
            </w:pPr>
            <w:r>
              <w:rPr/>
              <w:t> </w:t>
            </w:r>
          </w:p>
        </w:tc>
        <w:tc>
          <w:tcPr>
            <w:tcW w:w="6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59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74" w:type="dxa"/>
            <w:tcBorders/>
            <w:shd w:fill="auto" w:val="clear"/>
            <w:vAlign w:val="bottom"/>
          </w:tcPr>
          <w:p>
            <w:pPr>
              <w:pStyle w:val="TableContents"/>
              <w:spacing w:before="0" w:after="0"/>
              <w:ind w:left="0" w:right="0" w:hanging="0"/>
              <w:jc w:val="right"/>
              <w:rPr/>
            </w:pPr>
            <w:r>
              <w:rPr/>
              <w:t> </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c>
          <w:tcPr>
            <w:tcW w:w="679"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04"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70" w:type="dxa"/>
            <w:tcBorders/>
            <w:shd w:fill="auto" w:val="clear"/>
            <w:vAlign w:val="bottom"/>
          </w:tcPr>
          <w:p>
            <w:pPr>
              <w:pStyle w:val="TableContents"/>
              <w:spacing w:before="0" w:after="0"/>
              <w:ind w:left="0" w:right="0" w:hanging="0"/>
              <w:jc w:val="right"/>
              <w:rPr/>
            </w:pPr>
            <w:r>
              <w:rPr/>
              <w:t> </w:t>
            </w:r>
          </w:p>
        </w:tc>
        <w:tc>
          <w:tcPr>
            <w:tcW w:w="255" w:type="dxa"/>
            <w:tcBorders/>
            <w:shd w:fill="auto" w:val="clear"/>
            <w:vAlign w:val="bottom"/>
          </w:tcPr>
          <w:p>
            <w:pPr>
              <w:pStyle w:val="TableContents"/>
              <w:spacing w:before="0" w:after="0"/>
              <w:ind w:left="0" w:right="0" w:hanging="0"/>
              <w:rPr/>
            </w:pPr>
            <w:r>
              <w:rPr/>
              <w:t> </w:t>
            </w:r>
          </w:p>
        </w:tc>
      </w:tr>
      <w:tr>
        <w:trPr/>
        <w:tc>
          <w:tcPr>
            <w:tcW w:w="34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12"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w:t>
            </w:r>
          </w:p>
        </w:tc>
        <w:tc>
          <w:tcPr>
            <w:tcW w:w="134"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21"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1,642</w:t>
            </w:r>
          </w:p>
        </w:tc>
        <w:tc>
          <w:tcPr>
            <w:tcW w:w="122"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12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21" w:type="dxa"/>
            <w:tcBorders/>
            <w:shd w:fill="CCEEFF" w:val="clear"/>
            <w:vAlign w:val="bottom"/>
          </w:tcPr>
          <w:p>
            <w:pPr>
              <w:pStyle w:val="TableContents"/>
              <w:spacing w:before="0" w:after="0"/>
              <w:ind w:left="0" w:right="0" w:hanging="0"/>
              <w:rPr/>
            </w:pPr>
            <w:r>
              <w:rPr/>
              <w:t> </w:t>
            </w:r>
          </w:p>
        </w:tc>
        <w:tc>
          <w:tcPr>
            <w:tcW w:w="6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34" w:type="dxa"/>
            <w:tcBorders/>
            <w:shd w:fill="auto" w:val="clear"/>
            <w:vAlign w:val="bottom"/>
          </w:tcPr>
          <w:p>
            <w:pPr>
              <w:pStyle w:val="TableContents"/>
              <w:spacing w:before="0" w:after="0"/>
              <w:ind w:left="0" w:right="0" w:hanging="0"/>
              <w:rPr/>
            </w:pPr>
            <w:r>
              <w:rPr/>
              <w:t> </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1" w:type="dxa"/>
            <w:tcBorders/>
            <w:shd w:fill="auto" w:val="clear"/>
            <w:vAlign w:val="bottom"/>
          </w:tcPr>
          <w:p>
            <w:pPr>
              <w:pStyle w:val="TableContents"/>
              <w:spacing w:before="0" w:after="0"/>
              <w:ind w:left="0" w:right="0" w:hanging="0"/>
              <w:rPr/>
            </w:pPr>
            <w:r>
              <w:rPr/>
              <w:t> </w:t>
            </w:r>
          </w:p>
        </w:tc>
        <w:tc>
          <w:tcPr>
            <w:tcW w:w="5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21" w:type="dxa"/>
            <w:tcBorders/>
            <w:shd w:fill="auto" w:val="clear"/>
            <w:vAlign w:val="bottom"/>
          </w:tcPr>
          <w:p>
            <w:pPr>
              <w:pStyle w:val="TableContents"/>
              <w:spacing w:before="0" w:after="0"/>
              <w:ind w:left="0" w:right="0" w:hanging="0"/>
              <w:rPr/>
            </w:pPr>
            <w:r>
              <w:rPr/>
              <w:t> </w:t>
            </w:r>
          </w:p>
        </w:tc>
        <w:tc>
          <w:tcPr>
            <w:tcW w:w="67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22" w:type="dxa"/>
            <w:tcBorders/>
            <w:shd w:fill="auto" w:val="clear"/>
            <w:vAlign w:val="bottom"/>
          </w:tcPr>
          <w:p>
            <w:pPr>
              <w:pStyle w:val="TableContents"/>
              <w:spacing w:before="0" w:after="0"/>
              <w:ind w:left="0" w:right="0" w:hanging="0"/>
              <w:rPr/>
            </w:pPr>
            <w:r>
              <w:rPr/>
              <w:t> </w:t>
            </w:r>
          </w:p>
        </w:tc>
        <w:tc>
          <w:tcPr>
            <w:tcW w:w="6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21" w:type="dxa"/>
            <w:tcBorders/>
            <w:shd w:fill="auto" w:val="clear"/>
            <w:vAlign w:val="bottom"/>
          </w:tcPr>
          <w:p>
            <w:pPr>
              <w:pStyle w:val="TableContents"/>
              <w:spacing w:before="0" w:after="0"/>
              <w:ind w:left="0" w:right="0" w:hanging="0"/>
              <w:rPr/>
            </w:pPr>
            <w:r>
              <w:rPr/>
              <w:t> </w:t>
            </w:r>
          </w:p>
        </w:tc>
        <w:tc>
          <w:tcPr>
            <w:tcW w:w="6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112"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134"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121" w:type="dxa"/>
            <w:tcBorders/>
            <w:shd w:fill="CCEEFF" w:val="clear"/>
            <w:vAlign w:val="bottom"/>
          </w:tcPr>
          <w:p>
            <w:pPr>
              <w:pStyle w:val="TableContents"/>
              <w:spacing w:before="0" w:after="0"/>
              <w:ind w:left="0" w:right="0" w:hanging="0"/>
              <w:rPr/>
            </w:pPr>
            <w:r>
              <w:rPr/>
              <w:t> </w:t>
            </w:r>
          </w:p>
        </w:tc>
        <w:tc>
          <w:tcPr>
            <w:tcW w:w="1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1,697</w:t>
            </w:r>
          </w:p>
        </w:tc>
        <w:tc>
          <w:tcPr>
            <w:tcW w:w="122"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121"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1" w:type="dxa"/>
            <w:tcBorders/>
            <w:shd w:fill="CCEEFF" w:val="clear"/>
            <w:vAlign w:val="bottom"/>
          </w:tcPr>
          <w:p>
            <w:pPr>
              <w:pStyle w:val="TableContents"/>
              <w:spacing w:before="0" w:after="0"/>
              <w:ind w:left="0" w:right="0" w:hanging="0"/>
              <w:rPr/>
            </w:pPr>
            <w:r>
              <w:rPr/>
              <w:t> </w:t>
            </w:r>
          </w:p>
        </w:tc>
        <w:tc>
          <w:tcPr>
            <w:tcW w:w="67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pPr>
            <w:r>
              <w:rPr/>
              <w:t> </w:t>
            </w:r>
          </w:p>
        </w:tc>
        <w:tc>
          <w:tcPr>
            <w:tcW w:w="134" w:type="dxa"/>
            <w:tcBorders/>
            <w:shd w:fill="auto" w:val="clear"/>
            <w:vAlign w:val="bottom"/>
          </w:tcPr>
          <w:p>
            <w:pPr>
              <w:pStyle w:val="TableContents"/>
              <w:spacing w:before="0" w:after="0"/>
              <w:ind w:left="0" w:right="0" w:hanging="0"/>
              <w:rPr/>
            </w:pPr>
            <w:r>
              <w:rPr/>
              <w:t> </w:t>
            </w:r>
          </w:p>
        </w:tc>
        <w:tc>
          <w:tcPr>
            <w:tcW w:w="673"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59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74" w:type="dxa"/>
            <w:tcBorders/>
            <w:shd w:fill="auto" w:val="clear"/>
            <w:vAlign w:val="bottom"/>
          </w:tcPr>
          <w:p>
            <w:pPr>
              <w:pStyle w:val="TableContents"/>
              <w:spacing w:before="0" w:after="0"/>
              <w:ind w:left="0" w:right="0" w:hanging="0"/>
              <w:jc w:val="right"/>
              <w:rPr/>
            </w:pPr>
            <w:r>
              <w:rPr/>
              <w:t> </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c>
          <w:tcPr>
            <w:tcW w:w="679"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04"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70" w:type="dxa"/>
            <w:tcBorders/>
            <w:shd w:fill="auto" w:val="clear"/>
            <w:vAlign w:val="bottom"/>
          </w:tcPr>
          <w:p>
            <w:pPr>
              <w:pStyle w:val="TableContents"/>
              <w:spacing w:before="0" w:after="0"/>
              <w:ind w:left="0" w:right="0" w:hanging="0"/>
              <w:jc w:val="right"/>
              <w:rPr/>
            </w:pPr>
            <w:r>
              <w:rPr/>
              <w:t> </w:t>
            </w:r>
          </w:p>
        </w:tc>
        <w:tc>
          <w:tcPr>
            <w:tcW w:w="255" w:type="dxa"/>
            <w:tcBorders/>
            <w:shd w:fill="auto" w:val="clear"/>
            <w:vAlign w:val="bottom"/>
          </w:tcPr>
          <w:p>
            <w:pPr>
              <w:pStyle w:val="TableContents"/>
              <w:spacing w:before="0" w:after="0"/>
              <w:ind w:left="0" w:right="0" w:hanging="0"/>
              <w:rPr/>
            </w:pPr>
            <w:r>
              <w:rPr/>
              <w:t> </w:t>
            </w:r>
          </w:p>
        </w:tc>
      </w:tr>
      <w:tr>
        <w:trPr/>
        <w:tc>
          <w:tcPr>
            <w:tcW w:w="34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112"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134"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121"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1,697</w:t>
            </w:r>
          </w:p>
        </w:tc>
        <w:tc>
          <w:tcPr>
            <w:tcW w:w="122"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12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21" w:type="dxa"/>
            <w:tcBorders/>
            <w:shd w:fill="CCEEFF" w:val="clear"/>
            <w:vAlign w:val="bottom"/>
          </w:tcPr>
          <w:p>
            <w:pPr>
              <w:pStyle w:val="TableContents"/>
              <w:spacing w:before="0" w:after="0"/>
              <w:ind w:left="0" w:right="0" w:hanging="0"/>
              <w:rPr/>
            </w:pPr>
            <w:r>
              <w:rPr/>
              <w:t> </w:t>
            </w:r>
          </w:p>
        </w:tc>
        <w:tc>
          <w:tcPr>
            <w:tcW w:w="6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1" w:type="dxa"/>
            <w:tcBorders/>
            <w:shd w:fill="auto" w:val="clear"/>
            <w:vAlign w:val="bottom"/>
          </w:tcPr>
          <w:p>
            <w:pPr>
              <w:pStyle w:val="TableContents"/>
              <w:spacing w:before="0" w:after="0"/>
              <w:ind w:left="0" w:right="0" w:hanging="0"/>
              <w:rPr/>
            </w:pPr>
            <w:r>
              <w:rPr/>
              <w:t> </w:t>
            </w:r>
          </w:p>
        </w:tc>
        <w:tc>
          <w:tcPr>
            <w:tcW w:w="6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CCEEFF" w:val="clear"/>
            <w:vAlign w:val="bottom"/>
          </w:tcPr>
          <w:p>
            <w:pPr>
              <w:pStyle w:val="TableContents"/>
              <w:spacing w:before="0" w:after="0"/>
              <w:ind w:left="0" w:right="0" w:hanging="0"/>
              <w:rPr/>
            </w:pPr>
            <w:r>
              <w:rPr>
                <w:rFonts w:ascii="Times New Roman" w:hAnsi="Times New Roman"/>
                <w:sz w:val="17"/>
              </w:rPr>
              <w:t xml:space="preserve">Maintenance capital </w:t>
            </w:r>
            <w:r>
              <w:rPr>
                <w:sz w:val="11"/>
              </w:rPr>
              <w:t>(4)</w:t>
            </w:r>
          </w:p>
        </w:tc>
        <w:tc>
          <w:tcPr>
            <w:tcW w:w="11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1" w:type="dxa"/>
            <w:tcBorders/>
            <w:shd w:fill="CCEEFF" w:val="clear"/>
            <w:vAlign w:val="bottom"/>
          </w:tcPr>
          <w:p>
            <w:pPr>
              <w:pStyle w:val="TableContents"/>
              <w:spacing w:before="0" w:after="0"/>
              <w:ind w:left="0" w:right="0" w:hanging="0"/>
              <w:rPr/>
            </w:pPr>
            <w:r>
              <w:rPr/>
              <w:t> </w:t>
            </w:r>
          </w:p>
        </w:tc>
        <w:tc>
          <w:tcPr>
            <w:tcW w:w="6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112" w:type="dxa"/>
            <w:tcBorders/>
            <w:shd w:fill="CCEEFF" w:val="clear"/>
            <w:vAlign w:val="bottom"/>
          </w:tcPr>
          <w:p>
            <w:pPr>
              <w:pStyle w:val="TableContents"/>
              <w:spacing w:before="0" w:after="0"/>
              <w:ind w:left="0" w:right="0" w:hanging="0"/>
              <w:rPr/>
            </w:pPr>
            <w:r>
              <w:rPr/>
              <w:t> </w:t>
            </w:r>
          </w:p>
        </w:tc>
        <w:tc>
          <w:tcPr>
            <w:tcW w:w="6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1" w:type="dxa"/>
            <w:tcBorders/>
            <w:shd w:fill="CCEEFF" w:val="clear"/>
            <w:vAlign w:val="bottom"/>
          </w:tcPr>
          <w:p>
            <w:pPr>
              <w:pStyle w:val="TableContents"/>
              <w:spacing w:before="0" w:after="0"/>
              <w:ind w:left="0" w:right="0" w:hanging="0"/>
              <w:rPr/>
            </w:pPr>
            <w:r>
              <w:rPr/>
              <w:t> </w:t>
            </w:r>
          </w:p>
        </w:tc>
        <w:tc>
          <w:tcPr>
            <w:tcW w:w="5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6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1" w:type="dxa"/>
            <w:tcBorders/>
            <w:shd w:fill="CCEEFF" w:val="clear"/>
            <w:vAlign w:val="bottom"/>
          </w:tcPr>
          <w:p>
            <w:pPr>
              <w:pStyle w:val="TableContents"/>
              <w:spacing w:before="0" w:after="0"/>
              <w:ind w:left="0" w:right="0" w:hanging="0"/>
              <w:rPr/>
            </w:pPr>
            <w:r>
              <w:rPr/>
              <w:t> </w:t>
            </w:r>
          </w:p>
        </w:tc>
        <w:tc>
          <w:tcPr>
            <w:tcW w:w="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pPr>
            <w:r>
              <w:rPr>
                <w:rFonts w:ascii="Times New Roman" w:hAnsi="Times New Roman"/>
                <w:sz w:val="17"/>
              </w:rPr>
              <w:t xml:space="preserve">Distributions to noncontrolling interests </w:t>
            </w:r>
            <w:r>
              <w:rPr>
                <w:sz w:val="11"/>
              </w:rPr>
              <w:t>(5)</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5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112"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134"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121"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w:t>
            </w:r>
          </w:p>
        </w:tc>
        <w:tc>
          <w:tcPr>
            <w:tcW w:w="122" w:type="dxa"/>
            <w:tcBorders/>
            <w:shd w:fill="CCEEFF" w:val="clear"/>
            <w:vAlign w:val="bottom"/>
          </w:tcPr>
          <w:p>
            <w:pPr>
              <w:pStyle w:val="TableContents"/>
              <w:spacing w:before="0" w:after="0"/>
              <w:ind w:left="0" w:right="0" w:hanging="0"/>
              <w:rPr/>
            </w:pPr>
            <w:r>
              <w:rPr/>
              <w:t> </w:t>
            </w:r>
          </w:p>
        </w:tc>
        <w:tc>
          <w:tcPr>
            <w:tcW w:w="1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12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21" w:type="dxa"/>
            <w:tcBorders/>
            <w:shd w:fill="CCEEFF" w:val="clear"/>
            <w:vAlign w:val="bottom"/>
          </w:tcPr>
          <w:p>
            <w:pPr>
              <w:pStyle w:val="TableContents"/>
              <w:spacing w:before="0" w:after="0"/>
              <w:ind w:left="0" w:right="0" w:hanging="0"/>
              <w:rPr/>
            </w:pPr>
            <w:r>
              <w:rPr/>
              <w:t> </w:t>
            </w:r>
          </w:p>
        </w:tc>
        <w:tc>
          <w:tcPr>
            <w:tcW w:w="6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416" w:type="dxa"/>
            <w:tcBorders/>
            <w:shd w:fill="auto" w:val="clear"/>
            <w:vAlign w:val="bottom"/>
          </w:tcPr>
          <w:p>
            <w:pPr>
              <w:pStyle w:val="TableContents"/>
              <w:spacing w:before="0" w:after="0"/>
              <w:ind w:left="0" w:right="0" w:hanging="0"/>
              <w:rPr/>
            </w:pPr>
            <w:r>
              <w:rPr>
                <w:rFonts w:ascii="Times New Roman" w:hAnsi="Times New Roman"/>
                <w:sz w:val="17"/>
              </w:rPr>
              <w:t xml:space="preserve">Less: Distributions paid </w:t>
            </w:r>
            <w:r>
              <w:rPr>
                <w:sz w:val="11"/>
              </w:rPr>
              <w:t>(5)</w:t>
            </w:r>
          </w:p>
        </w:tc>
        <w:tc>
          <w:tcPr>
            <w:tcW w:w="112" w:type="dxa"/>
            <w:tcBorders/>
            <w:shd w:fill="auto" w:val="clear"/>
            <w:vAlign w:val="bottom"/>
          </w:tcPr>
          <w:p>
            <w:pPr>
              <w:pStyle w:val="TableContents"/>
              <w:spacing w:before="0" w:after="0"/>
              <w:ind w:left="0" w:right="0" w:hanging="0"/>
              <w:rPr/>
            </w:pPr>
            <w:r>
              <w:rPr/>
              <w:t> </w:t>
            </w:r>
          </w:p>
        </w:tc>
        <w:tc>
          <w:tcPr>
            <w:tcW w:w="6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74" w:type="dxa"/>
            <w:tcBorders/>
            <w:shd w:fill="auto" w:val="clear"/>
            <w:vAlign w:val="bottom"/>
          </w:tcPr>
          <w:p>
            <w:pPr>
              <w:pStyle w:val="TableContents"/>
              <w:spacing w:before="0" w:after="0"/>
              <w:ind w:left="0" w:right="0" w:hanging="0"/>
              <w:jc w:val="right"/>
              <w:rPr/>
            </w:pPr>
            <w:r>
              <w:rPr/>
              <w:t> </w:t>
            </w:r>
          </w:p>
        </w:tc>
        <w:tc>
          <w:tcPr>
            <w:tcW w:w="32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pPr>
            <w:r>
              <w:rPr/>
              <w:t> </w:t>
            </w:r>
          </w:p>
        </w:tc>
        <w:tc>
          <w:tcPr>
            <w:tcW w:w="67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(886</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(743</w:t>
            </w:r>
          </w:p>
        </w:tc>
        <w:tc>
          <w:tcPr>
            <w:tcW w:w="1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c>
          <w:tcPr>
            <w:tcW w:w="670" w:type="dxa"/>
            <w:tcBorders/>
            <w:shd w:fill="auto" w:val="clear"/>
            <w:vAlign w:val="bottom"/>
          </w:tcPr>
          <w:p>
            <w:pPr>
              <w:pStyle w:val="TableContents"/>
              <w:spacing w:before="0" w:after="0"/>
              <w:ind w:left="0" w:right="0" w:hanging="0"/>
              <w:jc w:val="right"/>
              <w:rPr/>
            </w:pPr>
            <w:r>
              <w:rPr/>
              <w:t> </w:t>
            </w:r>
          </w:p>
        </w:tc>
        <w:tc>
          <w:tcPr>
            <w:tcW w:w="255" w:type="dxa"/>
            <w:tcBorders/>
            <w:shd w:fill="auto" w:val="clear"/>
            <w:vAlign w:val="bottom"/>
          </w:tcPr>
          <w:p>
            <w:pPr>
              <w:pStyle w:val="TableContents"/>
              <w:spacing w:before="0" w:after="0"/>
              <w:ind w:left="0" w:right="0" w:hanging="0"/>
              <w:rPr/>
            </w:pPr>
            <w:r>
              <w:rPr/>
              <w:t> </w:t>
            </w:r>
          </w:p>
        </w:tc>
      </w:tr>
      <w:tr>
        <w:trPr/>
        <w:tc>
          <w:tcPr>
            <w:tcW w:w="3416" w:type="dxa"/>
            <w:tcBorders/>
            <w:shd w:fill="CCEEFF" w:val="clear"/>
            <w:vAlign w:val="bottom"/>
          </w:tcPr>
          <w:p>
            <w:pPr>
              <w:pStyle w:val="TableContents"/>
              <w:spacing w:before="0" w:after="0"/>
              <w:ind w:left="0" w:right="0" w:hanging="0"/>
              <w:rPr/>
            </w:pPr>
            <w:r>
              <w:rPr>
                <w:rFonts w:ascii="Times New Roman" w:hAnsi="Times New Roman"/>
                <w:sz w:val="17"/>
              </w:rPr>
              <w:t xml:space="preserve">DCF Excess/(Shortage) </w:t>
            </w:r>
            <w:r>
              <w:rPr>
                <w:sz w:val="11"/>
              </w:rPr>
              <w:t>(6)</w:t>
            </w:r>
          </w:p>
        </w:tc>
        <w:tc>
          <w:tcPr>
            <w:tcW w:w="112"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34"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21" w:type="dxa"/>
            <w:tcBorders/>
            <w:shd w:fill="CCEEFF" w:val="clear"/>
            <w:vAlign w:val="bottom"/>
          </w:tcPr>
          <w:p>
            <w:pPr>
              <w:pStyle w:val="TableContents"/>
              <w:spacing w:before="0" w:after="0"/>
              <w:ind w:left="0" w:right="0" w:hanging="0"/>
              <w:rPr/>
            </w:pPr>
            <w:r>
              <w:rPr/>
              <w:t> </w:t>
            </w:r>
          </w:p>
        </w:tc>
        <w:tc>
          <w:tcPr>
            <w:tcW w:w="135" w:type="dxa"/>
            <w:tcBorders/>
            <w:shd w:fill="CCEEFF" w:val="clear"/>
            <w:vAlign w:val="bottom"/>
          </w:tcPr>
          <w:p>
            <w:pPr>
              <w:pStyle w:val="TableContents"/>
              <w:spacing w:before="0" w:after="0"/>
              <w:ind w:left="0" w:right="0" w:hanging="0"/>
              <w:rPr/>
            </w:pPr>
            <w:r>
              <w:rPr/>
              <w:t> </w:t>
            </w:r>
          </w:p>
        </w:tc>
        <w:tc>
          <w:tcPr>
            <w:tcW w:w="460" w:type="dxa"/>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674" w:type="dxa"/>
            <w:tcBorders/>
            <w:shd w:fill="CCEEFF" w:val="clear"/>
            <w:vAlign w:val="bottom"/>
          </w:tcPr>
          <w:p>
            <w:pPr>
              <w:pStyle w:val="TableContents"/>
              <w:spacing w:before="0" w:after="0"/>
              <w:ind w:left="0" w:right="0" w:hanging="0"/>
              <w:jc w:val="right"/>
              <w:rPr/>
            </w:pPr>
            <w:r>
              <w:rPr/>
              <w:t> </w:t>
            </w:r>
          </w:p>
        </w:tc>
        <w:tc>
          <w:tcPr>
            <w:tcW w:w="32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12"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349</w:t>
            </w:r>
          </w:p>
        </w:tc>
        <w:tc>
          <w:tcPr>
            <w:tcW w:w="122"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351</w:t>
            </w:r>
          </w:p>
        </w:tc>
        <w:tc>
          <w:tcPr>
            <w:tcW w:w="121"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pPr>
            <w:r>
              <w:rPr/>
              <w:t> </w:t>
            </w:r>
          </w:p>
        </w:tc>
        <w:tc>
          <w:tcPr>
            <w:tcW w:w="471" w:type="dxa"/>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c>
          <w:tcPr>
            <w:tcW w:w="670" w:type="dxa"/>
            <w:tcBorders/>
            <w:shd w:fill="CCEEFF" w:val="clear"/>
            <w:vAlign w:val="bottom"/>
          </w:tcPr>
          <w:p>
            <w:pPr>
              <w:pStyle w:val="TableContents"/>
              <w:spacing w:before="0" w:after="0"/>
              <w:ind w:left="0" w:right="0" w:hanging="0"/>
              <w:jc w:val="right"/>
              <w:rPr/>
            </w:pPr>
            <w:r>
              <w:rPr/>
              <w:t> </w:t>
            </w:r>
          </w:p>
        </w:tc>
        <w:tc>
          <w:tcPr>
            <w:tcW w:w="25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We also exclude the impact of inventory valuation adjustments.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w:t>
      </w:r>
      <w:r>
        <w:rPr>
          <w:rFonts w:ascii="Times New Roman" w:hAnsi="Times New Roman"/>
          <w:sz w:val="17"/>
        </w:rPr>
        <w:t>Our total equity-indexed compensation expense includes expense associated with awards that will or may be settled in units and awards that will or may be settled in cash.  The awards that will or may be settled in units are included in our diluted earnings per unit calculation when the applicable performance criteria have been met.  We consider the compensation expense associated with these awards as a selected item impacting comparability as the dilutive impact of the outstanding awards is included in our diluted earnings per unit calculation and the majority of the awards are expected to be settled in units. The portion of compensation expense associated with awards that are certain to be settled in cash are not considered a selected item impacting comparability.  See Note 15 to our Consolidated Financial Statements included in Part IV of our 2012 Annual Report on Form 10-K for a comprehensive discussion regarding our equity-indexed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w:t>
      </w:r>
      <w:r>
        <w:rPr>
          <w:rFonts w:ascii="Times New Roman" w:hAnsi="Times New Roman"/>
          <w:sz w:val="17"/>
        </w:rPr>
        <w:t>During the three and nine months ended September 30, 2013 and 2012, there were fluctuations in the value of the Canadian dollar to the U.S dollar, resulting in net gains and losses that were not related to our core operating results for the period and were thus classified as selected items impacting comparability. See Note 11 to our condensed consolidated financial statements for further discussion regarding our currency exchange rate risk hedging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w:t>
      </w:r>
      <w:r>
        <w:rPr>
          <w:rFonts w:ascii="Times New Roman" w:hAnsi="Times New Roman"/>
          <w:sz w:val="17"/>
        </w:rPr>
        <w:t>Maintenance capital expenditures are defined as capital investments for the replacement of partially or fully depreciated assets in order to maintain the service capability, level of production and/or functionality of our existing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w:t>
      </w:r>
      <w:r>
        <w:rPr>
          <w:rFonts w:ascii="Times New Roman" w:hAnsi="Times New Roman"/>
          <w:sz w:val="17"/>
        </w:rPr>
        <w:t>Includes distributions that pertain to the current periods net income and are paid in the subsequent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w:t>
      </w:r>
      <w:r>
        <w:rPr>
          <w:rFonts w:ascii="Times New Roman" w:hAnsi="Times New Roman"/>
          <w:sz w:val="17"/>
        </w:rPr>
        <w:t>Excess DCF is retained to establish reserves for future distributions, capital expenditures and other partnership purposes.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59" w:name="PB_33_131546_5796"/>
      <w:bookmarkEnd w:id="5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Analysis of Operating Segments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Transportation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Transportation segment operations generally consist of fee-based activities associated with transporting crude oil and NGL on pipelines, gathering systems, trucks and barges.  The Transportation segment generates revenue through a combination of tariffs, third-party leases of pipeline capacity and other transportation fees.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Transportation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949"/>
        <w:gridCol w:w="101"/>
        <w:gridCol w:w="139"/>
        <w:gridCol w:w="565"/>
        <w:gridCol w:w="120"/>
        <w:gridCol w:w="139"/>
        <w:gridCol w:w="566"/>
        <w:gridCol w:w="111"/>
        <w:gridCol w:w="125"/>
        <w:gridCol w:w="451"/>
        <w:gridCol w:w="110"/>
        <w:gridCol w:w="430"/>
        <w:gridCol w:w="219"/>
        <w:gridCol w:w="101"/>
        <w:gridCol w:w="139"/>
        <w:gridCol w:w="565"/>
        <w:gridCol w:w="120"/>
        <w:gridCol w:w="139"/>
        <w:gridCol w:w="566"/>
        <w:gridCol w:w="111"/>
        <w:gridCol w:w="125"/>
        <w:gridCol w:w="479"/>
        <w:gridCol w:w="111"/>
        <w:gridCol w:w="488"/>
        <w:gridCol w:w="236"/>
      </w:tblGrid>
      <w:tr>
        <w:trPr/>
        <w:tc>
          <w:tcPr>
            <w:tcW w:w="3949"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1529" w:type="dxa"/>
            <w:gridSpan w:val="5"/>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111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20" w:type="dxa"/>
            <w:gridSpan w:val="2"/>
            <w:tcBorders/>
            <w:shd w:fill="auto" w:val="clear"/>
            <w:vAlign w:val="bottom"/>
          </w:tcPr>
          <w:p>
            <w:pPr>
              <w:pStyle w:val="TableContents"/>
              <w:spacing w:before="0" w:after="0"/>
              <w:ind w:left="0" w:right="0" w:hanging="0"/>
              <w:jc w:val="center"/>
              <w:rPr/>
            </w:pPr>
            <w:r>
              <w:rPr/>
              <w:t> </w:t>
            </w:r>
          </w:p>
        </w:tc>
        <w:tc>
          <w:tcPr>
            <w:tcW w:w="1529" w:type="dxa"/>
            <w:gridSpan w:val="5"/>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12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6" w:type="dxa"/>
            <w:tcBorders/>
            <w:shd w:fill="auto" w:val="clear"/>
            <w:vAlign w:val="bottom"/>
          </w:tcPr>
          <w:p>
            <w:pPr>
              <w:pStyle w:val="TableContents"/>
              <w:spacing w:before="0" w:after="0"/>
              <w:ind w:left="0" w:right="0" w:hanging="0"/>
              <w:jc w:val="center"/>
              <w:rPr/>
            </w:pPr>
            <w:r>
              <w:rPr/>
              <w:t> </w:t>
            </w:r>
          </w:p>
        </w:tc>
      </w:tr>
      <w:tr>
        <w:trPr/>
        <w:tc>
          <w:tcPr>
            <w:tcW w:w="3949"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152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11" w:type="dxa"/>
            <w:tcBorders/>
            <w:shd w:fill="auto" w:val="clear"/>
            <w:vAlign w:val="bottom"/>
          </w:tcPr>
          <w:p>
            <w:pPr>
              <w:pStyle w:val="TableContents"/>
              <w:spacing w:before="0" w:after="0"/>
              <w:ind w:left="0" w:right="0" w:hanging="0"/>
              <w:jc w:val="center"/>
              <w:rPr/>
            </w:pPr>
            <w:r>
              <w:rPr/>
              <w:t> </w:t>
            </w:r>
          </w:p>
        </w:tc>
        <w:tc>
          <w:tcPr>
            <w:tcW w:w="1116"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20" w:type="dxa"/>
            <w:gridSpan w:val="2"/>
            <w:tcBorders/>
            <w:shd w:fill="auto" w:val="clear"/>
            <w:vAlign w:val="bottom"/>
          </w:tcPr>
          <w:p>
            <w:pPr>
              <w:pStyle w:val="TableContents"/>
              <w:spacing w:before="0" w:after="0"/>
              <w:ind w:left="0" w:right="0" w:hanging="0"/>
              <w:jc w:val="center"/>
              <w:rPr/>
            </w:pPr>
            <w:r>
              <w:rPr/>
              <w:t> </w:t>
            </w:r>
          </w:p>
        </w:tc>
        <w:tc>
          <w:tcPr>
            <w:tcW w:w="152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11" w:type="dxa"/>
            <w:tcBorders/>
            <w:shd w:fill="auto" w:val="clear"/>
            <w:vAlign w:val="bottom"/>
          </w:tcPr>
          <w:p>
            <w:pPr>
              <w:pStyle w:val="TableContents"/>
              <w:spacing w:before="0" w:after="0"/>
              <w:ind w:left="0" w:right="0" w:hanging="0"/>
              <w:jc w:val="center"/>
              <w:rPr/>
            </w:pPr>
            <w:r>
              <w:rPr/>
              <w:t> </w:t>
            </w:r>
          </w:p>
        </w:tc>
        <w:tc>
          <w:tcPr>
            <w:tcW w:w="1203"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6" w:type="dxa"/>
            <w:tcBorders/>
            <w:shd w:fill="auto" w:val="clear"/>
            <w:vAlign w:val="bottom"/>
          </w:tcPr>
          <w:p>
            <w:pPr>
              <w:pStyle w:val="TableContents"/>
              <w:spacing w:before="0" w:after="0"/>
              <w:ind w:left="0" w:right="0" w:hanging="0"/>
              <w:jc w:val="center"/>
              <w:rPr/>
            </w:pPr>
            <w:r>
              <w:rPr/>
              <w:t> </w:t>
            </w:r>
          </w:p>
        </w:tc>
      </w:tr>
      <w:tr>
        <w:trPr/>
        <w:tc>
          <w:tcPr>
            <w:tcW w:w="3949"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r>
              <w:rPr/>
              <w:t>  </w:t>
            </w:r>
          </w:p>
        </w:tc>
        <w:tc>
          <w:tcPr>
            <w:tcW w:w="101" w:type="dxa"/>
            <w:tcBorders/>
            <w:shd w:fill="auto" w:val="clear"/>
            <w:vAlign w:val="bottom"/>
          </w:tcPr>
          <w:p>
            <w:pPr>
              <w:pStyle w:val="TableContents"/>
              <w:spacing w:before="0" w:after="0"/>
              <w:ind w:left="0" w:right="0" w:hanging="0"/>
              <w:jc w:val="center"/>
              <w:rPr/>
            </w:pPr>
            <w:r>
              <w:rPr/>
              <w:t> </w:t>
            </w:r>
          </w:p>
        </w:tc>
        <w:tc>
          <w:tcPr>
            <w:tcW w:w="152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1" w:type="dxa"/>
            <w:tcBorders/>
            <w:shd w:fill="auto" w:val="clear"/>
            <w:vAlign w:val="bottom"/>
          </w:tcPr>
          <w:p>
            <w:pPr>
              <w:pStyle w:val="TableContents"/>
              <w:spacing w:before="0" w:after="0"/>
              <w:ind w:left="0" w:right="0" w:hanging="0"/>
              <w:jc w:val="center"/>
              <w:rPr/>
            </w:pPr>
            <w:r>
              <w:rPr/>
              <w:t> </w:t>
            </w:r>
          </w:p>
        </w:tc>
        <w:tc>
          <w:tcPr>
            <w:tcW w:w="1116"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20" w:type="dxa"/>
            <w:gridSpan w:val="2"/>
            <w:tcBorders/>
            <w:shd w:fill="auto" w:val="clear"/>
            <w:vAlign w:val="bottom"/>
          </w:tcPr>
          <w:p>
            <w:pPr>
              <w:pStyle w:val="TableContents"/>
              <w:spacing w:before="0" w:after="0"/>
              <w:ind w:left="0" w:right="0" w:hanging="0"/>
              <w:jc w:val="center"/>
              <w:rPr/>
            </w:pPr>
            <w:r>
              <w:rPr/>
              <w:t> </w:t>
            </w:r>
          </w:p>
        </w:tc>
        <w:tc>
          <w:tcPr>
            <w:tcW w:w="152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1" w:type="dxa"/>
            <w:tcBorders/>
            <w:shd w:fill="auto" w:val="clear"/>
            <w:vAlign w:val="bottom"/>
          </w:tcPr>
          <w:p>
            <w:pPr>
              <w:pStyle w:val="TableContents"/>
              <w:spacing w:before="0" w:after="0"/>
              <w:ind w:left="0" w:right="0" w:hanging="0"/>
              <w:jc w:val="center"/>
              <w:rPr/>
            </w:pPr>
            <w:r>
              <w:rPr/>
              <w:t> </w:t>
            </w:r>
          </w:p>
        </w:tc>
        <w:tc>
          <w:tcPr>
            <w:tcW w:w="1203"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6" w:type="dxa"/>
            <w:tcBorders/>
            <w:shd w:fill="auto" w:val="clear"/>
            <w:vAlign w:val="bottom"/>
          </w:tcPr>
          <w:p>
            <w:pPr>
              <w:pStyle w:val="TableContents"/>
              <w:spacing w:before="0" w:after="0"/>
              <w:ind w:left="0" w:right="0" w:hanging="0"/>
              <w:jc w:val="center"/>
              <w:rPr/>
            </w:pPr>
            <w:r>
              <w:rPr/>
              <w:t> </w:t>
            </w:r>
          </w:p>
        </w:tc>
      </w:tr>
      <w:tr>
        <w:trPr/>
        <w:tc>
          <w:tcPr>
            <w:tcW w:w="394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01" w:type="dxa"/>
            <w:tcBorders/>
            <w:shd w:fill="auto" w:val="clear"/>
            <w:vAlign w:val="bottom"/>
          </w:tcPr>
          <w:p>
            <w:pPr>
              <w:pStyle w:val="TableContents"/>
              <w:spacing w:before="0" w:after="0"/>
              <w:ind w:left="0" w:right="0" w:hanging="0"/>
              <w:jc w:val="center"/>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1" w:type="dxa"/>
            <w:tcBorders/>
            <w:shd w:fill="auto" w:val="clear"/>
            <w:vAlign w:val="bottom"/>
          </w:tcPr>
          <w:p>
            <w:pPr>
              <w:pStyle w:val="TableContents"/>
              <w:spacing w:before="0" w:after="0"/>
              <w:ind w:left="0" w:right="0" w:hanging="0"/>
              <w:jc w:val="center"/>
              <w:rPr/>
            </w:pPr>
            <w:r>
              <w:rPr/>
              <w:t> </w:t>
            </w:r>
          </w:p>
        </w:tc>
        <w:tc>
          <w:tcPr>
            <w:tcW w:w="5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43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20" w:type="dxa"/>
            <w:gridSpan w:val="2"/>
            <w:tcBorders/>
            <w:shd w:fill="auto" w:val="clear"/>
            <w:vAlign w:val="bottom"/>
          </w:tcPr>
          <w:p>
            <w:pPr>
              <w:pStyle w:val="TableContents"/>
              <w:spacing w:before="0" w:after="0"/>
              <w:ind w:left="0" w:right="0" w:hanging="0"/>
              <w:jc w:val="center"/>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1" w:type="dxa"/>
            <w:tcBorders/>
            <w:shd w:fill="auto" w:val="clear"/>
            <w:vAlign w:val="bottom"/>
          </w:tcPr>
          <w:p>
            <w:pPr>
              <w:pStyle w:val="TableContents"/>
              <w:spacing w:before="0" w:after="0"/>
              <w:ind w:left="0" w:right="0" w:hanging="0"/>
              <w:jc w:val="center"/>
              <w:rPr/>
            </w:pPr>
            <w:r>
              <w:rPr/>
              <w:t> </w:t>
            </w:r>
          </w:p>
        </w:tc>
        <w:tc>
          <w:tcPr>
            <w:tcW w:w="6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48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6" w:type="dxa"/>
            <w:tcBorders/>
            <w:shd w:fill="auto" w:val="clear"/>
            <w:vAlign w:val="bottom"/>
          </w:tcPr>
          <w:p>
            <w:pPr>
              <w:pStyle w:val="TableContents"/>
              <w:spacing w:before="0" w:after="0"/>
              <w:ind w:left="0" w:right="0" w:hanging="0"/>
              <w:jc w:val="center"/>
              <w:rPr/>
            </w:pPr>
            <w:r>
              <w:rPr/>
              <w:t> </w:t>
            </w:r>
          </w:p>
        </w:tc>
      </w:tr>
      <w:tr>
        <w:trPr/>
        <w:tc>
          <w:tcPr>
            <w:tcW w:w="3949"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r>
              <w:rPr/>
              <w:t xml:space="preserve">  </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576"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430" w:type="dxa"/>
            <w:tcBorders/>
            <w:shd w:fill="CCEEFF" w:val="clear"/>
            <w:vAlign w:val="bottom"/>
          </w:tcPr>
          <w:p>
            <w:pPr>
              <w:pStyle w:val="TableContents"/>
              <w:spacing w:before="0" w:after="0"/>
              <w:ind w:left="0" w:right="0" w:hanging="0"/>
              <w:jc w:val="right"/>
              <w:rPr/>
            </w:pPr>
            <w:r>
              <w:rPr/>
              <w:t> </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604"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488" w:type="dxa"/>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r>
      <w:tr>
        <w:trPr/>
        <w:tc>
          <w:tcPr>
            <w:tcW w:w="39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101"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120"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11"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5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0" w:type="dxa"/>
            <w:tcBorders/>
            <w:shd w:fill="auto" w:val="clear"/>
            <w:vAlign w:val="bottom"/>
          </w:tcPr>
          <w:p>
            <w:pPr>
              <w:pStyle w:val="TableContents"/>
              <w:spacing w:before="0" w:after="0"/>
              <w:ind w:left="0" w:right="0" w:hanging="0"/>
              <w:rPr/>
            </w:pPr>
            <w:r>
              <w:rPr/>
              <w:t> </w:t>
            </w:r>
          </w:p>
        </w:tc>
        <w:tc>
          <w:tcPr>
            <w:tcW w:w="4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959</w:t>
            </w:r>
          </w:p>
        </w:tc>
        <w:tc>
          <w:tcPr>
            <w:tcW w:w="120"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907</w:t>
            </w:r>
          </w:p>
        </w:tc>
        <w:tc>
          <w:tcPr>
            <w:tcW w:w="111"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11" w:type="dxa"/>
            <w:tcBorders/>
            <w:shd w:fill="auto" w:val="clear"/>
            <w:vAlign w:val="bottom"/>
          </w:tcPr>
          <w:p>
            <w:pPr>
              <w:pStyle w:val="TableContents"/>
              <w:spacing w:before="0" w:after="0"/>
              <w:ind w:left="0" w:right="0" w:hanging="0"/>
              <w:rPr/>
            </w:pPr>
            <w:r>
              <w:rPr/>
              <w:t> </w:t>
            </w:r>
          </w:p>
        </w:tc>
        <w:tc>
          <w:tcPr>
            <w:tcW w:w="4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20" w:type="dxa"/>
            <w:tcBorders/>
            <w:shd w:fill="CCEEFF"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111" w:type="dxa"/>
            <w:tcBorders/>
            <w:shd w:fill="CCEEFF" w:val="clear"/>
            <w:vAlign w:val="bottom"/>
          </w:tcPr>
          <w:p>
            <w:pPr>
              <w:pStyle w:val="TableContents"/>
              <w:spacing w:before="0" w:after="0"/>
              <w:ind w:left="0" w:right="0" w:hanging="0"/>
              <w:rPr/>
            </w:pPr>
            <w:r>
              <w:rPr/>
              <w:t> </w:t>
            </w:r>
          </w:p>
        </w:tc>
        <w:tc>
          <w:tcPr>
            <w:tcW w:w="5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pPr>
            <w:r>
              <w:rPr/>
              <w:t> </w:t>
            </w:r>
          </w:p>
        </w:tc>
        <w:tc>
          <w:tcPr>
            <w:tcW w:w="43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20" w:type="dxa"/>
            <w:tcBorders/>
            <w:shd w:fill="CCEEFF"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1" w:type="dxa"/>
            <w:tcBorders/>
            <w:shd w:fill="CCEEFF" w:val="clear"/>
            <w:vAlign w:val="bottom"/>
          </w:tcPr>
          <w:p>
            <w:pPr>
              <w:pStyle w:val="TableContents"/>
              <w:spacing w:before="0" w:after="0"/>
              <w:ind w:left="0" w:right="0" w:hanging="0"/>
              <w:rPr/>
            </w:pPr>
            <w:r>
              <w:rPr/>
              <w:t> </w:t>
            </w:r>
          </w:p>
        </w:tc>
        <w:tc>
          <w:tcPr>
            <w:tcW w:w="60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1" w:type="dxa"/>
            <w:tcBorders/>
            <w:shd w:fill="CCEEFF" w:val="clear"/>
            <w:vAlign w:val="bottom"/>
          </w:tcPr>
          <w:p>
            <w:pPr>
              <w:pStyle w:val="TableContents"/>
              <w:spacing w:before="0" w:after="0"/>
              <w:ind w:left="0" w:right="0" w:hanging="0"/>
              <w:rPr/>
            </w:pPr>
            <w:r>
              <w:rPr/>
              <w:t> </w:t>
            </w:r>
          </w:p>
        </w:tc>
        <w:tc>
          <w:tcPr>
            <w:tcW w:w="48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transportation revenues</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20"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11" w:type="dxa"/>
            <w:tcBorders/>
            <w:shd w:fill="auto" w:val="clear"/>
            <w:vAlign w:val="bottom"/>
          </w:tcPr>
          <w:p>
            <w:pPr>
              <w:pStyle w:val="TableContents"/>
              <w:spacing w:before="0" w:after="0"/>
              <w:ind w:left="0" w:right="0" w:hanging="0"/>
              <w:rPr/>
            </w:pPr>
            <w:r>
              <w:rPr/>
              <w:t> </w:t>
            </w:r>
          </w:p>
        </w:tc>
        <w:tc>
          <w:tcPr>
            <w:tcW w:w="5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0" w:type="dxa"/>
            <w:tcBorders/>
            <w:shd w:fill="auto" w:val="clear"/>
            <w:vAlign w:val="bottom"/>
          </w:tcPr>
          <w:p>
            <w:pPr>
              <w:pStyle w:val="TableContents"/>
              <w:spacing w:before="0" w:after="0"/>
              <w:ind w:left="0" w:right="0" w:hanging="0"/>
              <w:rPr/>
            </w:pPr>
            <w:r>
              <w:rPr/>
              <w:t> </w:t>
            </w:r>
          </w:p>
        </w:tc>
        <w:tc>
          <w:tcPr>
            <w:tcW w:w="4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1,111</w:t>
            </w:r>
          </w:p>
        </w:tc>
        <w:tc>
          <w:tcPr>
            <w:tcW w:w="120"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111" w:type="dxa"/>
            <w:tcBorders/>
            <w:shd w:fill="auto" w:val="clear"/>
            <w:vAlign w:val="bottom"/>
          </w:tcPr>
          <w:p>
            <w:pPr>
              <w:pStyle w:val="TableContents"/>
              <w:spacing w:before="0" w:after="0"/>
              <w:ind w:left="0" w:right="0" w:hanging="0"/>
              <w:rPr/>
            </w:pPr>
            <w:r>
              <w:rPr/>
              <w:t> </w:t>
            </w:r>
          </w:p>
        </w:tc>
        <w:tc>
          <w:tcPr>
            <w:tcW w:w="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1" w:type="dxa"/>
            <w:tcBorders/>
            <w:shd w:fill="auto" w:val="clear"/>
            <w:vAlign w:val="bottom"/>
          </w:tcPr>
          <w:p>
            <w:pPr>
              <w:pStyle w:val="TableContents"/>
              <w:spacing w:before="0" w:after="0"/>
              <w:ind w:left="0" w:right="0" w:hanging="0"/>
              <w:rPr/>
            </w:pPr>
            <w:r>
              <w:rPr/>
              <w:t> </w:t>
            </w:r>
          </w:p>
        </w:tc>
        <w:tc>
          <w:tcPr>
            <w:tcW w:w="4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CCEEFF" w:val="clear"/>
            <w:vAlign w:val="bottom"/>
          </w:tcPr>
          <w:p>
            <w:pPr>
              <w:pStyle w:val="TableContents"/>
              <w:spacing w:before="0" w:after="0"/>
              <w:ind w:left="0" w:right="0" w:hanging="0"/>
              <w:rPr/>
            </w:pPr>
            <w:r>
              <w:rPr/>
              <w:t> </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576"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430" w:type="dxa"/>
            <w:tcBorders/>
            <w:shd w:fill="CCEEFF" w:val="clear"/>
            <w:vAlign w:val="bottom"/>
          </w:tcPr>
          <w:p>
            <w:pPr>
              <w:pStyle w:val="TableContents"/>
              <w:spacing w:before="0" w:after="0"/>
              <w:ind w:left="0" w:right="0" w:hanging="0"/>
              <w:jc w:val="right"/>
              <w:rPr/>
            </w:pPr>
            <w:r>
              <w:rPr/>
              <w:t> </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c>
          <w:tcPr>
            <w:tcW w:w="705"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604"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c>
          <w:tcPr>
            <w:tcW w:w="488" w:type="dxa"/>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r>
      <w:tr>
        <w:trPr/>
        <w:tc>
          <w:tcPr>
            <w:tcW w:w="3949" w:type="dxa"/>
            <w:tcBorders/>
            <w:shd w:fill="auto" w:val="clear"/>
            <w:vAlign w:val="bottom"/>
          </w:tcPr>
          <w:p>
            <w:pPr>
              <w:pStyle w:val="TableContents"/>
              <w:spacing w:before="0" w:after="0"/>
              <w:ind w:left="0" w:right="0" w:hanging="0"/>
              <w:rPr/>
            </w:pPr>
            <w:r>
              <w:rPr>
                <w:rFonts w:ascii="Times New Roman" w:hAnsi="Times New Roman"/>
                <w:sz w:val="17"/>
              </w:rPr>
              <w:t xml:space="preserve">Costs and Expenses </w:t>
            </w:r>
            <w:r>
              <w:rPr>
                <w:sz w:val="11"/>
              </w:rPr>
              <w:t>(1)</w:t>
            </w:r>
            <w:r>
              <w:rPr/>
              <w:t xml:space="preserve">  </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576"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430" w:type="dxa"/>
            <w:tcBorders/>
            <w:shd w:fill="auto" w:val="clear"/>
            <w:vAlign w:val="bottom"/>
          </w:tcPr>
          <w:p>
            <w:pPr>
              <w:pStyle w:val="TableContents"/>
              <w:spacing w:before="0" w:after="0"/>
              <w:ind w:left="0" w:right="0" w:hanging="0"/>
              <w:jc w:val="right"/>
              <w:rPr/>
            </w:pPr>
            <w:r>
              <w:rPr/>
              <w:t> </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604"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c>
          <w:tcPr>
            <w:tcW w:w="488" w:type="dxa"/>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r>
      <w:tr>
        <w:trPr/>
        <w:tc>
          <w:tcPr>
            <w:tcW w:w="39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 costs</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0" w:type="dxa"/>
            <w:tcBorders/>
            <w:shd w:fill="CCEEFF" w:val="clear"/>
            <w:vAlign w:val="bottom"/>
          </w:tcPr>
          <w:p>
            <w:pPr>
              <w:pStyle w:val="TableContents"/>
              <w:spacing w:before="0" w:after="0"/>
              <w:ind w:left="0" w:right="0" w:hanging="0"/>
              <w:rPr/>
            </w:pPr>
            <w:r>
              <w:rPr/>
              <w:t> </w:t>
            </w:r>
          </w:p>
        </w:tc>
        <w:tc>
          <w:tcPr>
            <w:tcW w:w="4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indexed compensation expense)</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CCEEFF" w:val="clear"/>
            <w:vAlign w:val="bottom"/>
          </w:tcPr>
          <w:p>
            <w:pPr>
              <w:pStyle w:val="TableContents"/>
              <w:spacing w:before="0" w:after="0"/>
              <w:ind w:left="0" w:right="0" w:hanging="0"/>
              <w:rPr/>
            </w:pPr>
            <w:r>
              <w:rPr>
                <w:rFonts w:ascii="Times New Roman" w:hAnsi="Times New Roman"/>
                <w:sz w:val="17"/>
              </w:rPr>
              <w:t xml:space="preserve">Equity-indexed compensation expense - operations </w:t>
            </w:r>
            <w:r>
              <w:rPr>
                <w:sz w:val="11"/>
              </w:rPr>
              <w:t>(2)</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pPr>
            <w:r>
              <w:rPr/>
              <w:t> </w:t>
            </w:r>
          </w:p>
        </w:tc>
        <w:tc>
          <w:tcPr>
            <w:tcW w:w="4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auto" w:val="clear"/>
            <w:vAlign w:val="bottom"/>
          </w:tcPr>
          <w:p>
            <w:pPr>
              <w:pStyle w:val="TableContents"/>
              <w:spacing w:before="0" w:after="0"/>
              <w:ind w:left="0" w:right="0" w:hanging="0"/>
              <w:rPr/>
            </w:pPr>
            <w:r>
              <w:rPr>
                <w:rFonts w:ascii="Times New Roman" w:hAnsi="Times New Roman"/>
                <w:sz w:val="17"/>
              </w:rPr>
              <w:t>Segment general and administrative expenses </w:t>
            </w:r>
            <w:r>
              <w:rPr>
                <w:sz w:val="11"/>
              </w:rPr>
              <w:t>(3)</w:t>
            </w:r>
            <w:r>
              <w:rPr/>
              <w:t> </w:t>
            </w:r>
            <w:r>
              <w:rPr>
                <w:sz w:val="17"/>
              </w:rPr>
              <w:t xml:space="preserve">(excluding equity-indexed compensation expense) </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CCEEFF" w:val="clear"/>
            <w:vAlign w:val="bottom"/>
          </w:tcPr>
          <w:p>
            <w:pPr>
              <w:pStyle w:val="TableContents"/>
              <w:spacing w:before="0" w:after="0"/>
              <w:ind w:left="0" w:right="0" w:hanging="0"/>
              <w:rPr/>
            </w:pPr>
            <w:r>
              <w:rPr>
                <w:rFonts w:ascii="Times New Roman" w:hAnsi="Times New Roman"/>
                <w:sz w:val="17"/>
              </w:rPr>
              <w:t xml:space="preserve">Equity-indexed compensation expense - general and administrative </w:t>
            </w:r>
            <w:r>
              <w:rPr>
                <w:sz w:val="11"/>
              </w:rPr>
              <w:t>(2)</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0" w:type="dxa"/>
            <w:tcBorders/>
            <w:shd w:fill="CCEEFF" w:val="clear"/>
            <w:vAlign w:val="bottom"/>
          </w:tcPr>
          <w:p>
            <w:pPr>
              <w:pStyle w:val="TableContents"/>
              <w:spacing w:before="0" w:after="0"/>
              <w:ind w:left="0" w:right="0" w:hanging="0"/>
              <w:rPr/>
            </w:pPr>
            <w:r>
              <w:rPr/>
              <w:t> </w:t>
            </w:r>
          </w:p>
        </w:tc>
        <w:tc>
          <w:tcPr>
            <w:tcW w:w="43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0" w:type="dxa"/>
            <w:tcBorders/>
            <w:shd w:fill="auto"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1" w:type="dxa"/>
            <w:tcBorders/>
            <w:shd w:fill="auto" w:val="clear"/>
            <w:vAlign w:val="bottom"/>
          </w:tcPr>
          <w:p>
            <w:pPr>
              <w:pStyle w:val="TableContents"/>
              <w:spacing w:before="0" w:after="0"/>
              <w:ind w:left="0" w:right="0" w:hanging="0"/>
              <w:rPr/>
            </w:pPr>
            <w:r>
              <w:rPr/>
              <w:t> </w:t>
            </w:r>
          </w:p>
        </w:tc>
        <w:tc>
          <w:tcPr>
            <w:tcW w:w="5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0" w:type="dxa"/>
            <w:tcBorders/>
            <w:shd w:fill="auto" w:val="clear"/>
            <w:vAlign w:val="bottom"/>
          </w:tcPr>
          <w:p>
            <w:pPr>
              <w:pStyle w:val="TableContents"/>
              <w:spacing w:before="0" w:after="0"/>
              <w:ind w:left="0" w:right="0" w:hanging="0"/>
              <w:rPr/>
            </w:pPr>
            <w:r>
              <w:rPr/>
              <w:t> </w:t>
            </w:r>
          </w:p>
        </w:tc>
        <w:tc>
          <w:tcPr>
            <w:tcW w:w="43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20" w:type="dxa"/>
            <w:tcBorders/>
            <w:shd w:fill="auto" w:val="clear"/>
            <w:vAlign w:val="bottom"/>
          </w:tcPr>
          <w:p>
            <w:pPr>
              <w:pStyle w:val="TableContents"/>
              <w:spacing w:before="0" w:after="0"/>
              <w:ind w:left="0" w:right="0" w:hanging="0"/>
              <w:rPr/>
            </w:pPr>
            <w:r>
              <w:rPr/>
              <w:t> </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1" w:type="dxa"/>
            <w:tcBorders/>
            <w:shd w:fill="auto" w:val="clear"/>
            <w:vAlign w:val="bottom"/>
          </w:tcPr>
          <w:p>
            <w:pPr>
              <w:pStyle w:val="TableContents"/>
              <w:spacing w:before="0" w:after="0"/>
              <w:ind w:left="0" w:right="0" w:hanging="0"/>
              <w:rPr/>
            </w:pPr>
            <w:r>
              <w:rPr/>
              <w:t> </w:t>
            </w:r>
          </w:p>
        </w:tc>
        <w:tc>
          <w:tcPr>
            <w:tcW w:w="6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1" w:type="dxa"/>
            <w:tcBorders/>
            <w:shd w:fill="auto" w:val="clear"/>
            <w:vAlign w:val="bottom"/>
          </w:tcPr>
          <w:p>
            <w:pPr>
              <w:pStyle w:val="TableContents"/>
              <w:spacing w:before="0" w:after="0"/>
              <w:ind w:left="0" w:right="0" w:hanging="0"/>
              <w:rPr/>
            </w:pPr>
            <w:r>
              <w:rPr/>
              <w:t> </w:t>
            </w:r>
          </w:p>
        </w:tc>
        <w:tc>
          <w:tcPr>
            <w:tcW w:w="48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2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11"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5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0" w:type="dxa"/>
            <w:tcBorders/>
            <w:shd w:fill="CCEEFF" w:val="clear"/>
            <w:vAlign w:val="bottom"/>
          </w:tcPr>
          <w:p>
            <w:pPr>
              <w:pStyle w:val="TableContents"/>
              <w:spacing w:before="0" w:after="0"/>
              <w:ind w:left="0" w:right="0" w:hanging="0"/>
              <w:rPr/>
            </w:pPr>
            <w:r>
              <w:rPr/>
              <w:t> </w:t>
            </w:r>
          </w:p>
        </w:tc>
        <w:tc>
          <w:tcPr>
            <w:tcW w:w="43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12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11"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1" w:type="dxa"/>
            <w:tcBorders/>
            <w:shd w:fill="CCEEFF" w:val="clear"/>
            <w:vAlign w:val="bottom"/>
          </w:tcPr>
          <w:p>
            <w:pPr>
              <w:pStyle w:val="TableContents"/>
              <w:spacing w:before="0" w:after="0"/>
              <w:ind w:left="0" w:right="0" w:hanging="0"/>
              <w:rPr/>
            </w:pPr>
            <w:r>
              <w:rPr/>
              <w:t> </w:t>
            </w:r>
          </w:p>
        </w:tc>
        <w:tc>
          <w:tcPr>
            <w:tcW w:w="4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0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20"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1"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5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20"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11"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0.58</w:t>
            </w:r>
          </w:p>
        </w:tc>
        <w:tc>
          <w:tcPr>
            <w:tcW w:w="12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111"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5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10" w:type="dxa"/>
            <w:tcBorders/>
            <w:shd w:fill="CCEEFF" w:val="clear"/>
            <w:vAlign w:val="bottom"/>
          </w:tcPr>
          <w:p>
            <w:pPr>
              <w:pStyle w:val="TableContents"/>
              <w:spacing w:before="0" w:after="0"/>
              <w:ind w:left="0" w:right="0" w:hanging="0"/>
              <w:rPr/>
            </w:pPr>
            <w:r>
              <w:rPr/>
              <w:t> </w:t>
            </w:r>
          </w:p>
        </w:tc>
        <w:tc>
          <w:tcPr>
            <w:tcW w:w="43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2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0.55</w:t>
            </w:r>
          </w:p>
        </w:tc>
        <w:tc>
          <w:tcPr>
            <w:tcW w:w="111"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7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(0.03</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60" w:name="PB_34_133011_7056"/>
      <w:bookmarkEnd w:id="6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283"/>
        <w:gridCol w:w="109"/>
        <w:gridCol w:w="658"/>
        <w:gridCol w:w="110"/>
        <w:gridCol w:w="658"/>
        <w:gridCol w:w="110"/>
        <w:gridCol w:w="548"/>
        <w:gridCol w:w="110"/>
        <w:gridCol w:w="329"/>
        <w:gridCol w:w="219"/>
        <w:gridCol w:w="109"/>
        <w:gridCol w:w="658"/>
        <w:gridCol w:w="110"/>
        <w:gridCol w:w="658"/>
        <w:gridCol w:w="110"/>
        <w:gridCol w:w="548"/>
        <w:gridCol w:w="110"/>
        <w:gridCol w:w="549"/>
        <w:gridCol w:w="219"/>
      </w:tblGrid>
      <w:tr>
        <w:trPr/>
        <w:tc>
          <w:tcPr>
            <w:tcW w:w="4283" w:type="dxa"/>
            <w:tcBorders/>
            <w:shd w:fill="auto" w:val="cle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jc w:val="center"/>
              <w:rPr/>
            </w:pPr>
            <w:r>
              <w:rPr/>
              <w:t> </w:t>
            </w:r>
          </w:p>
        </w:tc>
        <w:tc>
          <w:tcPr>
            <w:tcW w:w="1426" w:type="dxa"/>
            <w:gridSpan w:val="3"/>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jc w:val="center"/>
              <w:rPr/>
            </w:pPr>
            <w:r>
              <w:rPr/>
              <w:t> </w:t>
            </w:r>
          </w:p>
        </w:tc>
        <w:tc>
          <w:tcPr>
            <w:tcW w:w="987"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28" w:type="dxa"/>
            <w:gridSpan w:val="2"/>
            <w:tcBorders/>
            <w:shd w:fill="auto" w:val="clear"/>
            <w:vAlign w:val="bottom"/>
          </w:tcPr>
          <w:p>
            <w:pPr>
              <w:pStyle w:val="TableContents"/>
              <w:spacing w:before="0" w:after="0"/>
              <w:ind w:left="0" w:right="0" w:hanging="0"/>
              <w:jc w:val="center"/>
              <w:rPr/>
            </w:pPr>
            <w:r>
              <w:rPr/>
              <w:t> </w:t>
            </w:r>
          </w:p>
        </w:tc>
        <w:tc>
          <w:tcPr>
            <w:tcW w:w="1426" w:type="dxa"/>
            <w:gridSpan w:val="3"/>
            <w:tcBorders/>
            <w:shd w:fill="auto" w:val="clear"/>
            <w:vAlign w:val="bottom"/>
          </w:tcPr>
          <w:p>
            <w:pPr>
              <w:pStyle w:val="TableContents"/>
              <w:spacing w:before="0" w:after="0"/>
              <w:ind w:left="0" w:right="0" w:hanging="0"/>
              <w:jc w:val="center"/>
              <w:rPr/>
            </w:pPr>
            <w:r>
              <w:rPr/>
              <w:t> </w:t>
            </w:r>
          </w:p>
        </w:tc>
        <w:tc>
          <w:tcPr>
            <w:tcW w:w="110" w:type="dxa"/>
            <w:tcBorders/>
            <w:shd w:fill="auto" w:val="clear"/>
            <w:vAlign w:val="bottom"/>
          </w:tcPr>
          <w:p>
            <w:pPr>
              <w:pStyle w:val="TableContents"/>
              <w:spacing w:before="0" w:after="0"/>
              <w:ind w:left="0" w:right="0" w:hanging="0"/>
              <w:jc w:val="center"/>
              <w:rPr/>
            </w:pPr>
            <w:r>
              <w:rPr/>
              <w:t> </w:t>
            </w:r>
          </w:p>
        </w:tc>
        <w:tc>
          <w:tcPr>
            <w:tcW w:w="1207"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19" w:type="dxa"/>
            <w:tcBorders/>
            <w:shd w:fill="auto" w:val="clear"/>
            <w:vAlign w:val="bottom"/>
          </w:tcPr>
          <w:p>
            <w:pPr>
              <w:pStyle w:val="TableContents"/>
              <w:spacing w:before="0" w:after="0"/>
              <w:ind w:left="0" w:right="0" w:hanging="0"/>
              <w:jc w:val="center"/>
              <w:rPr/>
            </w:pPr>
            <w:r>
              <w:rPr/>
              <w:t> </w:t>
            </w:r>
          </w:p>
        </w:tc>
      </w:tr>
      <w:tr>
        <w:trPr/>
        <w:tc>
          <w:tcPr>
            <w:tcW w:w="4283" w:type="dxa"/>
            <w:tcBorders/>
            <w:shd w:fill="auto" w:val="cle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jc w:val="center"/>
              <w:rPr/>
            </w:pPr>
            <w:r>
              <w:rPr/>
              <w:t> </w:t>
            </w:r>
          </w:p>
        </w:tc>
        <w:tc>
          <w:tcPr>
            <w:tcW w:w="1426"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10" w:type="dxa"/>
            <w:tcBorders/>
            <w:shd w:fill="auto" w:val="clear"/>
            <w:vAlign w:val="bottom"/>
          </w:tcPr>
          <w:p>
            <w:pPr>
              <w:pStyle w:val="TableContents"/>
              <w:spacing w:before="0" w:after="0"/>
              <w:ind w:left="0" w:right="0" w:hanging="0"/>
              <w:jc w:val="center"/>
              <w:rPr/>
            </w:pPr>
            <w:r>
              <w:rPr/>
              <w:t> </w:t>
            </w:r>
          </w:p>
        </w:tc>
        <w:tc>
          <w:tcPr>
            <w:tcW w:w="987"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28" w:type="dxa"/>
            <w:gridSpan w:val="2"/>
            <w:tcBorders/>
            <w:shd w:fill="auto" w:val="clear"/>
            <w:vAlign w:val="bottom"/>
          </w:tcPr>
          <w:p>
            <w:pPr>
              <w:pStyle w:val="TableContents"/>
              <w:spacing w:before="0" w:after="0"/>
              <w:ind w:left="0" w:right="0" w:hanging="0"/>
              <w:jc w:val="center"/>
              <w:rPr/>
            </w:pPr>
            <w:r>
              <w:rPr/>
              <w:t> </w:t>
            </w:r>
          </w:p>
        </w:tc>
        <w:tc>
          <w:tcPr>
            <w:tcW w:w="1426"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10" w:type="dxa"/>
            <w:tcBorders/>
            <w:shd w:fill="auto" w:val="clear"/>
            <w:vAlign w:val="bottom"/>
          </w:tcPr>
          <w:p>
            <w:pPr>
              <w:pStyle w:val="TableContents"/>
              <w:spacing w:before="0" w:after="0"/>
              <w:ind w:left="0" w:right="0" w:hanging="0"/>
              <w:jc w:val="center"/>
              <w:rPr/>
            </w:pPr>
            <w:r>
              <w:rPr/>
              <w:t> </w:t>
            </w:r>
          </w:p>
        </w:tc>
        <w:tc>
          <w:tcPr>
            <w:tcW w:w="1207"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19" w:type="dxa"/>
            <w:tcBorders/>
            <w:shd w:fill="auto" w:val="clear"/>
            <w:vAlign w:val="bottom"/>
          </w:tcPr>
          <w:p>
            <w:pPr>
              <w:pStyle w:val="TableContents"/>
              <w:spacing w:before="0" w:after="0"/>
              <w:ind w:left="0" w:right="0" w:hanging="0"/>
              <w:jc w:val="center"/>
              <w:rPr/>
            </w:pPr>
            <w:r>
              <w:rPr/>
              <w:t> </w:t>
            </w:r>
          </w:p>
        </w:tc>
      </w:tr>
      <w:tr>
        <w:trPr/>
        <w:tc>
          <w:tcPr>
            <w:tcW w:w="4283"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109" w:type="dxa"/>
            <w:tcBorders/>
            <w:shd w:fill="auto" w:val="clear"/>
            <w:vAlign w:val="bottom"/>
          </w:tcPr>
          <w:p>
            <w:pPr>
              <w:pStyle w:val="TableContents"/>
              <w:spacing w:before="0" w:after="0"/>
              <w:ind w:left="0" w:right="0" w:hanging="0"/>
              <w:jc w:val="center"/>
              <w:rPr/>
            </w:pPr>
            <w:r>
              <w:rPr/>
              <w:t> </w:t>
            </w:r>
          </w:p>
        </w:tc>
        <w:tc>
          <w:tcPr>
            <w:tcW w:w="1426"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0" w:type="dxa"/>
            <w:tcBorders/>
            <w:shd w:fill="auto" w:val="clear"/>
            <w:vAlign w:val="bottom"/>
          </w:tcPr>
          <w:p>
            <w:pPr>
              <w:pStyle w:val="TableContents"/>
              <w:spacing w:before="0" w:after="0"/>
              <w:ind w:left="0" w:right="0" w:hanging="0"/>
              <w:jc w:val="center"/>
              <w:rPr/>
            </w:pPr>
            <w:r>
              <w:rPr/>
              <w:t> </w:t>
            </w:r>
          </w:p>
        </w:tc>
        <w:tc>
          <w:tcPr>
            <w:tcW w:w="987"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28" w:type="dxa"/>
            <w:gridSpan w:val="2"/>
            <w:tcBorders/>
            <w:shd w:fill="auto" w:val="clear"/>
            <w:vAlign w:val="bottom"/>
          </w:tcPr>
          <w:p>
            <w:pPr>
              <w:pStyle w:val="TableContents"/>
              <w:spacing w:before="0" w:after="0"/>
              <w:ind w:left="0" w:right="0" w:hanging="0"/>
              <w:jc w:val="center"/>
              <w:rPr/>
            </w:pPr>
            <w:r>
              <w:rPr/>
              <w:t> </w:t>
            </w:r>
          </w:p>
        </w:tc>
        <w:tc>
          <w:tcPr>
            <w:tcW w:w="1426"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0" w:type="dxa"/>
            <w:tcBorders/>
            <w:shd w:fill="auto" w:val="clear"/>
            <w:vAlign w:val="bottom"/>
          </w:tcPr>
          <w:p>
            <w:pPr>
              <w:pStyle w:val="TableContents"/>
              <w:spacing w:before="0" w:after="0"/>
              <w:ind w:left="0" w:right="0" w:hanging="0"/>
              <w:jc w:val="center"/>
              <w:rPr/>
            </w:pPr>
            <w:r>
              <w:rPr/>
              <w:t> </w:t>
            </w:r>
          </w:p>
        </w:tc>
        <w:tc>
          <w:tcPr>
            <w:tcW w:w="1207"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19" w:type="dxa"/>
            <w:tcBorders/>
            <w:shd w:fill="auto" w:val="clear"/>
            <w:vAlign w:val="bottom"/>
          </w:tcPr>
          <w:p>
            <w:pPr>
              <w:pStyle w:val="TableContents"/>
              <w:spacing w:before="0" w:after="0"/>
              <w:ind w:left="0" w:right="0" w:hanging="0"/>
              <w:jc w:val="center"/>
              <w:rPr/>
            </w:pPr>
            <w:r>
              <w:rPr/>
              <w:t> </w:t>
            </w:r>
          </w:p>
        </w:tc>
      </w:tr>
      <w:tr>
        <w:trPr/>
        <w:tc>
          <w:tcPr>
            <w:tcW w:w="4283"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(in thousands of barrels per day) </w:t>
            </w:r>
            <w:r>
              <w:rPr>
                <w:b/>
                <w:sz w:val="8"/>
              </w:rPr>
              <w:t>(4)</w:t>
            </w:r>
          </w:p>
        </w:tc>
        <w:tc>
          <w:tcPr>
            <w:tcW w:w="109" w:type="dxa"/>
            <w:tcBorders/>
            <w:shd w:fill="auto" w:val="clear"/>
            <w:vAlign w:val="bottom"/>
          </w:tcPr>
          <w:p>
            <w:pPr>
              <w:pStyle w:val="TableContents"/>
              <w:spacing w:before="0" w:after="0"/>
              <w:ind w:left="0" w:right="0" w:hanging="0"/>
              <w:jc w:val="center"/>
              <w:rPr/>
            </w:pPr>
            <w:r>
              <w:rPr/>
              <w:t> </w:t>
            </w:r>
          </w:p>
        </w:tc>
        <w:tc>
          <w:tcPr>
            <w:tcW w:w="65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0" w:type="dxa"/>
            <w:tcBorders/>
            <w:shd w:fill="auto" w:val="clear"/>
            <w:vAlign w:val="bottom"/>
          </w:tcPr>
          <w:p>
            <w:pPr>
              <w:pStyle w:val="TableContents"/>
              <w:spacing w:before="0" w:after="0"/>
              <w:ind w:left="0" w:right="0" w:hanging="0"/>
              <w:jc w:val="center"/>
              <w:rPr/>
            </w:pPr>
            <w:r>
              <w:rPr/>
              <w:t> </w:t>
            </w:r>
          </w:p>
        </w:tc>
        <w:tc>
          <w:tcPr>
            <w:tcW w:w="54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32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28" w:type="dxa"/>
            <w:gridSpan w:val="2"/>
            <w:tcBorders/>
            <w:shd w:fill="auto" w:val="clear"/>
            <w:vAlign w:val="bottom"/>
          </w:tcPr>
          <w:p>
            <w:pPr>
              <w:pStyle w:val="TableContents"/>
              <w:spacing w:before="0" w:after="0"/>
              <w:ind w:left="0" w:right="0" w:hanging="0"/>
              <w:jc w:val="center"/>
              <w:rPr/>
            </w:pPr>
            <w:r>
              <w:rPr/>
              <w:t> </w:t>
            </w:r>
          </w:p>
        </w:tc>
        <w:tc>
          <w:tcPr>
            <w:tcW w:w="65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0" w:type="dxa"/>
            <w:tcBorders/>
            <w:shd w:fill="auto" w:val="clear"/>
            <w:vAlign w:val="bottom"/>
          </w:tcPr>
          <w:p>
            <w:pPr>
              <w:pStyle w:val="TableContents"/>
              <w:spacing w:before="0" w:after="0"/>
              <w:ind w:left="0" w:right="0" w:hanging="0"/>
              <w:jc w:val="center"/>
              <w:rPr/>
            </w:pPr>
            <w:r>
              <w:rPr/>
              <w:t> </w:t>
            </w:r>
          </w:p>
        </w:tc>
        <w:tc>
          <w:tcPr>
            <w:tcW w:w="54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4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19" w:type="dxa"/>
            <w:tcBorders/>
            <w:shd w:fill="auto" w:val="clear"/>
            <w:vAlign w:val="bottom"/>
          </w:tcPr>
          <w:p>
            <w:pPr>
              <w:pStyle w:val="TableContents"/>
              <w:spacing w:before="0" w:after="0"/>
              <w:ind w:left="0" w:right="0" w:hanging="0"/>
              <w:jc w:val="center"/>
              <w:rPr/>
            </w:pPr>
            <w:r>
              <w:rPr/>
              <w:t> </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329" w:type="dxa"/>
            <w:tcBorders/>
            <w:shd w:fill="CCEEFF" w:val="clear"/>
            <w:vAlign w:val="bottom"/>
          </w:tcPr>
          <w:p>
            <w:pPr>
              <w:pStyle w:val="TableContents"/>
              <w:spacing w:before="0" w:after="0"/>
              <w:ind w:left="0" w:right="0" w:hanging="0"/>
              <w:jc w:val="right"/>
              <w:rPr/>
            </w:pPr>
            <w:r>
              <w:rPr/>
              <w:t> </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c>
          <w:tcPr>
            <w:tcW w:w="549" w:type="dxa"/>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329" w:type="dxa"/>
            <w:tcBorders/>
            <w:shd w:fill="auto" w:val="clear"/>
            <w:vAlign w:val="bottom"/>
          </w:tcPr>
          <w:p>
            <w:pPr>
              <w:pStyle w:val="TableContents"/>
              <w:spacing w:before="0" w:after="0"/>
              <w:ind w:left="0" w:right="0" w:hanging="0"/>
              <w:jc w:val="right"/>
              <w:rPr/>
            </w:pPr>
            <w:r>
              <w:rPr/>
              <w:t> </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549" w:type="dxa"/>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0" w:type="dxa"/>
            <w:tcBorders/>
            <w:shd w:fill="CCEEFF" w:val="clear"/>
            <w:vAlign w:val="bottom"/>
          </w:tcPr>
          <w:p>
            <w:pPr>
              <w:pStyle w:val="TableContents"/>
              <w:spacing w:before="0" w:after="0"/>
              <w:ind w:left="0" w:right="0" w:hanging="0"/>
              <w:rPr/>
            </w:pPr>
            <w:r>
              <w:rPr/>
              <w:t> </w:t>
            </w:r>
          </w:p>
        </w:tc>
        <w:tc>
          <w:tcPr>
            <w:tcW w:w="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0" w:type="dxa"/>
            <w:tcBorders/>
            <w:shd w:fill="CCEEFF" w:val="clear"/>
            <w:vAlign w:val="bottom"/>
          </w:tcPr>
          <w:p>
            <w:pPr>
              <w:pStyle w:val="TableContents"/>
              <w:spacing w:before="0" w:after="0"/>
              <w:ind w:left="0" w:right="0" w:hanging="0"/>
              <w:rPr/>
            </w:pPr>
            <w:r>
              <w:rPr/>
              <w:t> </w:t>
            </w:r>
          </w:p>
        </w:tc>
        <w:tc>
          <w:tcPr>
            <w:tcW w:w="5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Bakken Area Systems </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0" w:type="dxa"/>
            <w:tcBorders/>
            <w:shd w:fill="auto" w:val="clear"/>
            <w:vAlign w:val="bottom"/>
          </w:tcPr>
          <w:p>
            <w:pPr>
              <w:pStyle w:val="TableContents"/>
              <w:spacing w:before="0" w:after="0"/>
              <w:ind w:left="0" w:right="0" w:hanging="0"/>
              <w:rPr/>
            </w:pPr>
            <w:r>
              <w:rPr/>
              <w:t> </w:t>
            </w:r>
          </w:p>
        </w:tc>
        <w:tc>
          <w:tcPr>
            <w:tcW w:w="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 / Mesa</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731</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678</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10" w:type="dxa"/>
            <w:tcBorders/>
            <w:shd w:fill="CCEEFF" w:val="clear"/>
            <w:vAlign w:val="bottom"/>
          </w:tcPr>
          <w:p>
            <w:pPr>
              <w:pStyle w:val="TableContents"/>
              <w:spacing w:before="0" w:after="0"/>
              <w:ind w:left="0" w:right="0" w:hanging="0"/>
              <w:rPr/>
            </w:pPr>
            <w:r>
              <w:rPr/>
              <w:t> </w:t>
            </w:r>
          </w:p>
        </w:tc>
        <w:tc>
          <w:tcPr>
            <w:tcW w:w="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712</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676</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10" w:type="dxa"/>
            <w:tcBorders/>
            <w:shd w:fill="CCEEFF" w:val="clear"/>
            <w:vAlign w:val="bottom"/>
          </w:tcPr>
          <w:p>
            <w:pPr>
              <w:pStyle w:val="TableContents"/>
              <w:spacing w:before="0" w:after="0"/>
              <w:ind w:left="0" w:right="0" w:hanging="0"/>
              <w:rPr/>
            </w:pPr>
            <w:r>
              <w:rPr/>
              <w:t> </w:t>
            </w:r>
          </w:p>
        </w:tc>
        <w:tc>
          <w:tcPr>
            <w:tcW w:w="5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0" w:type="dxa"/>
            <w:tcBorders/>
            <w:shd w:fill="auto" w:val="clear"/>
            <w:vAlign w:val="bottom"/>
          </w:tcPr>
          <w:p>
            <w:pPr>
              <w:pStyle w:val="TableContents"/>
              <w:spacing w:before="0" w:after="0"/>
              <w:ind w:left="0" w:right="0" w:hanging="0"/>
              <w:rPr/>
            </w:pPr>
            <w:r>
              <w:rPr/>
              <w:t> </w:t>
            </w:r>
          </w:p>
        </w:tc>
        <w:tc>
          <w:tcPr>
            <w:tcW w:w="5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Eagle Ford Area Systems</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10" w:type="dxa"/>
            <w:tcBorders/>
            <w:shd w:fill="CCEEFF" w:val="clear"/>
            <w:vAlign w:val="bottom"/>
          </w:tcPr>
          <w:p>
            <w:pPr>
              <w:pStyle w:val="TableContents"/>
              <w:spacing w:before="0" w:after="0"/>
              <w:ind w:left="0" w:right="0" w:hanging="0"/>
              <w:rPr/>
            </w:pPr>
            <w:r>
              <w:rPr/>
              <w:t> </w:t>
            </w:r>
          </w:p>
        </w:tc>
        <w:tc>
          <w:tcPr>
            <w:tcW w:w="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10" w:type="dxa"/>
            <w:tcBorders/>
            <w:shd w:fill="CCEEFF" w:val="clear"/>
            <w:vAlign w:val="bottom"/>
          </w:tcPr>
          <w:p>
            <w:pPr>
              <w:pStyle w:val="TableContents"/>
              <w:spacing w:before="0" w:after="0"/>
              <w:ind w:left="0" w:right="0" w:hanging="0"/>
              <w:rPr/>
            </w:pPr>
            <w:r>
              <w:rPr/>
              <w:t> </w:t>
            </w:r>
          </w:p>
        </w:tc>
        <w:tc>
          <w:tcPr>
            <w:tcW w:w="5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Line 63 / Line 2000 </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0" w:type="dxa"/>
            <w:tcBorders/>
            <w:shd w:fill="auto" w:val="clear"/>
            <w:vAlign w:val="bottom"/>
          </w:tcPr>
          <w:p>
            <w:pPr>
              <w:pStyle w:val="TableContents"/>
              <w:spacing w:before="0" w:after="0"/>
              <w:ind w:left="0" w:right="0" w:hanging="0"/>
              <w:rPr/>
            </w:pPr>
            <w:r>
              <w:rPr/>
              <w:t> </w:t>
            </w:r>
          </w:p>
        </w:tc>
        <w:tc>
          <w:tcPr>
            <w:tcW w:w="5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Permian Basin Area Systems</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593</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110" w:type="dxa"/>
            <w:tcBorders/>
            <w:shd w:fill="CCEEFF" w:val="clear"/>
            <w:vAlign w:val="bottom"/>
          </w:tcPr>
          <w:p>
            <w:pPr>
              <w:pStyle w:val="TableContents"/>
              <w:spacing w:before="0" w:after="0"/>
              <w:ind w:left="0" w:right="0" w:hanging="0"/>
              <w:rPr/>
            </w:pPr>
            <w:r>
              <w:rPr/>
              <w:t> </w:t>
            </w:r>
          </w:p>
        </w:tc>
        <w:tc>
          <w:tcPr>
            <w:tcW w:w="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540</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10" w:type="dxa"/>
            <w:tcBorders/>
            <w:shd w:fill="CCEEFF" w:val="clear"/>
            <w:vAlign w:val="bottom"/>
          </w:tcPr>
          <w:p>
            <w:pPr>
              <w:pStyle w:val="TableContents"/>
              <w:spacing w:before="0" w:after="0"/>
              <w:ind w:left="0" w:right="0" w:hanging="0"/>
              <w:rPr/>
            </w:pPr>
            <w:r>
              <w:rPr/>
              <w:t> </w:t>
            </w:r>
          </w:p>
        </w:tc>
        <w:tc>
          <w:tcPr>
            <w:tcW w:w="5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Salt Lake City Area Systems</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South Saskatchewan</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White Cliffs </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shd w:fill="auto" w:val="clear"/>
            <w:vAlign w:val="bottom"/>
          </w:tcPr>
          <w:p>
            <w:pPr>
              <w:pStyle w:val="TableContents"/>
              <w:spacing w:before="0" w:after="0"/>
              <w:ind w:left="0" w:right="0" w:hanging="0"/>
              <w:rPr/>
            </w:pPr>
            <w:r>
              <w:rPr/>
              <w:t> </w:t>
            </w:r>
          </w:p>
        </w:tc>
        <w:tc>
          <w:tcPr>
            <w:tcW w:w="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shd w:fill="auto" w:val="clear"/>
            <w:vAlign w:val="bottom"/>
          </w:tcPr>
          <w:p>
            <w:pPr>
              <w:pStyle w:val="TableContents"/>
              <w:spacing w:before="0" w:after="0"/>
              <w:ind w:left="0" w:right="0" w:hanging="0"/>
              <w:rPr/>
            </w:pPr>
            <w:r>
              <w:rPr/>
              <w:t> </w:t>
            </w:r>
          </w:p>
        </w:tc>
        <w:tc>
          <w:tcPr>
            <w:tcW w:w="5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738</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670</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0" w:type="dxa"/>
            <w:tcBorders/>
            <w:shd w:fill="CCEEFF" w:val="clear"/>
            <w:vAlign w:val="bottom"/>
          </w:tcPr>
          <w:p>
            <w:pPr>
              <w:pStyle w:val="TableContents"/>
              <w:spacing w:before="0" w:after="0"/>
              <w:ind w:left="0" w:right="0" w:hanging="0"/>
              <w:rPr/>
            </w:pPr>
            <w:r>
              <w:rPr/>
              <w:t> </w:t>
            </w:r>
          </w:p>
        </w:tc>
        <w:tc>
          <w:tcPr>
            <w:tcW w:w="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737</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10" w:type="dxa"/>
            <w:tcBorders/>
            <w:shd w:fill="CCEEFF" w:val="clear"/>
            <w:vAlign w:val="bottom"/>
          </w:tcPr>
          <w:p>
            <w:pPr>
              <w:pStyle w:val="TableContents"/>
              <w:spacing w:before="0" w:after="0"/>
              <w:ind w:left="0" w:right="0" w:hanging="0"/>
              <w:rPr/>
            </w:pPr>
            <w:r>
              <w:rPr/>
              <w:t> </w:t>
            </w:r>
          </w:p>
        </w:tc>
        <w:tc>
          <w:tcPr>
            <w:tcW w:w="5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329" w:type="dxa"/>
            <w:tcBorders/>
            <w:shd w:fill="auto" w:val="clear"/>
            <w:vAlign w:val="bottom"/>
          </w:tcPr>
          <w:p>
            <w:pPr>
              <w:pStyle w:val="TableContents"/>
              <w:spacing w:before="0" w:after="0"/>
              <w:ind w:left="0" w:right="0" w:hanging="0"/>
              <w:jc w:val="right"/>
              <w:rPr/>
            </w:pPr>
            <w:r>
              <w:rPr/>
              <w:t> </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c>
          <w:tcPr>
            <w:tcW w:w="549" w:type="dxa"/>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10" w:type="dxa"/>
            <w:tcBorders/>
            <w:shd w:fill="CCEEFF" w:val="clear"/>
            <w:vAlign w:val="bottom"/>
          </w:tcPr>
          <w:p>
            <w:pPr>
              <w:pStyle w:val="TableContents"/>
              <w:spacing w:before="0" w:after="0"/>
              <w:ind w:left="0" w:right="0" w:hanging="0"/>
              <w:rPr/>
            </w:pPr>
            <w:r>
              <w:rPr/>
              <w:t> </w:t>
            </w:r>
          </w:p>
        </w:tc>
        <w:tc>
          <w:tcPr>
            <w:tcW w:w="6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10" w:type="dxa"/>
            <w:tcBorders/>
            <w:shd w:fill="CCEEFF" w:val="clear"/>
            <w:vAlign w:val="bottom"/>
          </w:tcPr>
          <w:p>
            <w:pPr>
              <w:pStyle w:val="TableContents"/>
              <w:spacing w:before="0" w:after="0"/>
              <w:ind w:left="0" w:right="0" w:hanging="0"/>
              <w:rPr/>
            </w:pPr>
            <w:r>
              <w:rPr/>
              <w:t> </w:t>
            </w:r>
          </w:p>
        </w:tc>
        <w:tc>
          <w:tcPr>
            <w:tcW w:w="5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0" w:type="dxa"/>
            <w:tcBorders/>
            <w:shd w:fill="CCEEFF" w:val="clear"/>
            <w:vAlign w:val="bottom"/>
          </w:tcPr>
          <w:p>
            <w:pPr>
              <w:pStyle w:val="TableContents"/>
              <w:spacing w:before="0" w:after="0"/>
              <w:ind w:left="0" w:right="0" w:hanging="0"/>
              <w:rPr/>
            </w:pPr>
            <w:r>
              <w:rPr/>
              <w:t> </w:t>
            </w:r>
          </w:p>
        </w:tc>
        <w:tc>
          <w:tcPr>
            <w:tcW w:w="5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10" w:type="dxa"/>
            <w:tcBorders/>
            <w:shd w:fill="auto" w:val="clear"/>
            <w:vAlign w:val="bottom"/>
          </w:tcPr>
          <w:p>
            <w:pPr>
              <w:pStyle w:val="TableContents"/>
              <w:spacing w:before="0" w:after="0"/>
              <w:ind w:left="0" w:right="0" w:hanging="0"/>
              <w:rPr/>
            </w:pPr>
            <w:r>
              <w:rPr/>
              <w:t> </w:t>
            </w:r>
          </w:p>
        </w:tc>
        <w:tc>
          <w:tcPr>
            <w:tcW w:w="5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Pipelines</w:t>
            </w:r>
          </w:p>
        </w:tc>
        <w:tc>
          <w:tcPr>
            <w:tcW w:w="109" w:type="dxa"/>
            <w:tcBorders/>
            <w:shd w:fill="CCEEFF" w:val="clear"/>
            <w:vAlign w:val="bottom"/>
          </w:tcPr>
          <w:p>
            <w:pPr>
              <w:pStyle w:val="TableContents"/>
              <w:spacing w:before="0" w:after="0"/>
              <w:ind w:left="0" w:right="0" w:hanging="0"/>
              <w:rPr/>
            </w:pPr>
            <w:r>
              <w:rPr/>
              <w:t> </w:t>
            </w:r>
          </w:p>
        </w:tc>
        <w:tc>
          <w:tcPr>
            <w:tcW w:w="6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10" w:type="dxa"/>
            <w:tcBorders/>
            <w:shd w:fill="CCEEFF" w:val="clear"/>
            <w:vAlign w:val="bottom"/>
          </w:tcPr>
          <w:p>
            <w:pPr>
              <w:pStyle w:val="TableContents"/>
              <w:spacing w:before="0" w:after="0"/>
              <w:ind w:left="0" w:right="0" w:hanging="0"/>
              <w:rPr/>
            </w:pPr>
            <w:r>
              <w:rPr/>
              <w:t> </w:t>
            </w:r>
          </w:p>
        </w:tc>
        <w:tc>
          <w:tcPr>
            <w:tcW w:w="6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10" w:type="dxa"/>
            <w:tcBorders/>
            <w:shd w:fill="CCEEFF" w:val="clear"/>
            <w:vAlign w:val="bottom"/>
          </w:tcPr>
          <w:p>
            <w:pPr>
              <w:pStyle w:val="TableContents"/>
              <w:spacing w:before="0" w:after="0"/>
              <w:ind w:left="0" w:right="0" w:hanging="0"/>
              <w:rPr/>
            </w:pPr>
            <w:r>
              <w:rPr/>
              <w:t> </w:t>
            </w:r>
          </w:p>
        </w:tc>
        <w:tc>
          <w:tcPr>
            <w:tcW w:w="54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10" w:type="dxa"/>
            <w:tcBorders/>
            <w:shd w:fill="CCEEFF" w:val="clear"/>
            <w:vAlign w:val="bottom"/>
          </w:tcPr>
          <w:p>
            <w:pPr>
              <w:pStyle w:val="TableContents"/>
              <w:spacing w:before="0" w:after="0"/>
              <w:ind w:left="0" w:right="0" w:hanging="0"/>
              <w:rPr/>
            </w:pPr>
            <w:r>
              <w:rPr/>
              <w:t> </w:t>
            </w:r>
          </w:p>
        </w:tc>
        <w:tc>
          <w:tcPr>
            <w:tcW w:w="6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10" w:type="dxa"/>
            <w:tcBorders/>
            <w:shd w:fill="CCEEFF" w:val="clear"/>
            <w:vAlign w:val="bottom"/>
          </w:tcPr>
          <w:p>
            <w:pPr>
              <w:pStyle w:val="TableContents"/>
              <w:spacing w:before="0" w:after="0"/>
              <w:ind w:left="0" w:right="0" w:hanging="0"/>
              <w:rPr/>
            </w:pPr>
            <w:r>
              <w:rPr/>
              <w:t> </w:t>
            </w:r>
          </w:p>
        </w:tc>
        <w:tc>
          <w:tcPr>
            <w:tcW w:w="54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3,621</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3,423</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10" w:type="dxa"/>
            <w:tcBorders/>
            <w:shd w:fill="auto" w:val="clear"/>
            <w:vAlign w:val="bottom"/>
          </w:tcPr>
          <w:p>
            <w:pPr>
              <w:pStyle w:val="TableContents"/>
              <w:spacing w:before="0" w:after="0"/>
              <w:ind w:left="0" w:right="0" w:hanging="0"/>
              <w:rPr/>
            </w:pPr>
            <w:r>
              <w:rPr/>
              <w:t> </w:t>
            </w:r>
          </w:p>
        </w:tc>
        <w:tc>
          <w:tcPr>
            <w:tcW w:w="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3,549</w:t>
            </w:r>
          </w:p>
        </w:tc>
        <w:tc>
          <w:tcPr>
            <w:tcW w:w="110" w:type="dxa"/>
            <w:tcBorders/>
            <w:shd w:fill="auto" w:val="clear"/>
            <w:vAlign w:val="bottom"/>
          </w:tcPr>
          <w:p>
            <w:pPr>
              <w:pStyle w:val="TableContents"/>
              <w:spacing w:before="0" w:after="0"/>
              <w:ind w:left="0" w:right="0" w:hanging="0"/>
              <w:rPr/>
            </w:pPr>
            <w:r>
              <w:rPr/>
              <w:t> </w:t>
            </w:r>
          </w:p>
        </w:tc>
        <w:tc>
          <w:tcPr>
            <w:tcW w:w="6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3,317</w:t>
            </w:r>
          </w:p>
        </w:tc>
        <w:tc>
          <w:tcPr>
            <w:tcW w:w="110" w:type="dxa"/>
            <w:tcBorders/>
            <w:shd w:fill="auto" w:val="clear"/>
            <w:vAlign w:val="bottom"/>
          </w:tcPr>
          <w:p>
            <w:pPr>
              <w:pStyle w:val="TableContents"/>
              <w:spacing w:before="0" w:after="0"/>
              <w:ind w:left="0" w:right="0" w:hanging="0"/>
              <w:rPr/>
            </w:pPr>
            <w:r>
              <w:rPr/>
              <w:t> </w:t>
            </w:r>
          </w:p>
        </w:tc>
        <w:tc>
          <w:tcPr>
            <w:tcW w:w="5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110" w:type="dxa"/>
            <w:tcBorders/>
            <w:shd w:fill="auto" w:val="clear"/>
            <w:vAlign w:val="bottom"/>
          </w:tcPr>
          <w:p>
            <w:pPr>
              <w:pStyle w:val="TableContents"/>
              <w:spacing w:before="0" w:after="0"/>
              <w:ind w:left="0" w:right="0" w:hanging="0"/>
              <w:rPr/>
            </w:pPr>
            <w:r>
              <w:rPr/>
              <w:t> </w:t>
            </w:r>
          </w:p>
        </w:tc>
        <w:tc>
          <w:tcPr>
            <w:tcW w:w="5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109" w:type="dxa"/>
            <w:tcBorders/>
            <w:shd w:fill="CCEEFF" w:val="clear"/>
            <w:vAlign w:val="bottom"/>
          </w:tcPr>
          <w:p>
            <w:pPr>
              <w:pStyle w:val="TableContents"/>
              <w:spacing w:before="0" w:after="0"/>
              <w:ind w:left="0" w:right="0" w:hanging="0"/>
              <w:rPr/>
            </w:pPr>
            <w:r>
              <w:rPr/>
              <w:t> </w:t>
            </w:r>
          </w:p>
        </w:tc>
        <w:tc>
          <w:tcPr>
            <w:tcW w:w="6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10" w:type="dxa"/>
            <w:tcBorders/>
            <w:shd w:fill="CCEEFF" w:val="clear"/>
            <w:vAlign w:val="bottom"/>
          </w:tcPr>
          <w:p>
            <w:pPr>
              <w:pStyle w:val="TableContents"/>
              <w:spacing w:before="0" w:after="0"/>
              <w:ind w:left="0" w:right="0" w:hanging="0"/>
              <w:rPr/>
            </w:pPr>
            <w:r>
              <w:rPr/>
              <w:t> </w:t>
            </w:r>
          </w:p>
        </w:tc>
        <w:tc>
          <w:tcPr>
            <w:tcW w:w="6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110" w:type="dxa"/>
            <w:tcBorders/>
            <w:shd w:fill="CCEEFF" w:val="clear"/>
            <w:vAlign w:val="bottom"/>
          </w:tcPr>
          <w:p>
            <w:pPr>
              <w:pStyle w:val="TableContents"/>
              <w:spacing w:before="0" w:after="0"/>
              <w:ind w:left="0" w:right="0" w:hanging="0"/>
              <w:rPr/>
            </w:pPr>
            <w:r>
              <w:rPr/>
              <w:t> </w:t>
            </w:r>
          </w:p>
        </w:tc>
        <w:tc>
          <w:tcPr>
            <w:tcW w:w="54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10" w:type="dxa"/>
            <w:tcBorders/>
            <w:shd w:fill="CCEEFF" w:val="clear"/>
            <w:vAlign w:val="bottom"/>
          </w:tcPr>
          <w:p>
            <w:pPr>
              <w:pStyle w:val="TableContents"/>
              <w:spacing w:before="0" w:after="0"/>
              <w:ind w:left="0" w:right="0" w:hanging="0"/>
              <w:rPr/>
            </w:pPr>
            <w:r>
              <w:rPr/>
              <w:t> </w:t>
            </w:r>
          </w:p>
        </w:tc>
        <w:tc>
          <w:tcPr>
            <w:tcW w:w="3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9"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CCEEFF" w:val="clear"/>
            <w:vAlign w:val="bottom"/>
          </w:tcPr>
          <w:p>
            <w:pPr>
              <w:pStyle w:val="TableContents"/>
              <w:spacing w:before="0" w:after="0"/>
              <w:ind w:left="0" w:right="0" w:hanging="0"/>
              <w:rPr/>
            </w:pPr>
            <w:r>
              <w:rPr/>
              <w:t> </w:t>
            </w:r>
          </w:p>
        </w:tc>
        <w:tc>
          <w:tcPr>
            <w:tcW w:w="6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10" w:type="dxa"/>
            <w:tcBorders/>
            <w:shd w:fill="CCEEFF" w:val="clear"/>
            <w:vAlign w:val="bottom"/>
          </w:tcPr>
          <w:p>
            <w:pPr>
              <w:pStyle w:val="TableContents"/>
              <w:spacing w:before="0" w:after="0"/>
              <w:ind w:left="0" w:right="0" w:hanging="0"/>
              <w:rPr/>
            </w:pPr>
            <w:r>
              <w:rPr/>
              <w:t> </w:t>
            </w:r>
          </w:p>
        </w:tc>
        <w:tc>
          <w:tcPr>
            <w:tcW w:w="6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10" w:type="dxa"/>
            <w:tcBorders/>
            <w:shd w:fill="CCEEFF" w:val="clear"/>
            <w:vAlign w:val="bottom"/>
          </w:tcPr>
          <w:p>
            <w:pPr>
              <w:pStyle w:val="TableContents"/>
              <w:spacing w:before="0" w:after="0"/>
              <w:ind w:left="0" w:right="0" w:hanging="0"/>
              <w:rPr/>
            </w:pPr>
            <w:r>
              <w:rPr/>
              <w:t> </w:t>
            </w:r>
          </w:p>
        </w:tc>
        <w:tc>
          <w:tcPr>
            <w:tcW w:w="54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10" w:type="dxa"/>
            <w:tcBorders/>
            <w:shd w:fill="CCEEFF" w:val="clear"/>
            <w:vAlign w:val="bottom"/>
          </w:tcPr>
          <w:p>
            <w:pPr>
              <w:pStyle w:val="TableContents"/>
              <w:spacing w:before="0" w:after="0"/>
              <w:ind w:left="0" w:right="0" w:hanging="0"/>
              <w:rPr/>
            </w:pPr>
            <w:r>
              <w:rPr/>
              <w:t> </w:t>
            </w:r>
          </w:p>
        </w:tc>
        <w:tc>
          <w:tcPr>
            <w:tcW w:w="5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2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segment total</w:t>
            </w:r>
          </w:p>
        </w:tc>
        <w:tc>
          <w:tcPr>
            <w:tcW w:w="109" w:type="dxa"/>
            <w:tcBorders/>
            <w:shd w:fill="auto" w:val="clear"/>
            <w:vAlign w:val="bottom"/>
          </w:tcPr>
          <w:p>
            <w:pPr>
              <w:pStyle w:val="TableContents"/>
              <w:spacing w:before="0" w:after="0"/>
              <w:ind w:left="0" w:right="0" w:hanging="0"/>
              <w:rPr/>
            </w:pPr>
            <w:r>
              <w:rPr/>
              <w:t> </w:t>
            </w:r>
          </w:p>
        </w:tc>
        <w:tc>
          <w:tcPr>
            <w:tcW w:w="6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3,741</w:t>
            </w:r>
          </w:p>
        </w:tc>
        <w:tc>
          <w:tcPr>
            <w:tcW w:w="110" w:type="dxa"/>
            <w:tcBorders/>
            <w:shd w:fill="auto" w:val="clear"/>
            <w:vAlign w:val="bottom"/>
          </w:tcPr>
          <w:p>
            <w:pPr>
              <w:pStyle w:val="TableContents"/>
              <w:spacing w:before="0" w:after="0"/>
              <w:ind w:left="0" w:right="0" w:hanging="0"/>
              <w:rPr/>
            </w:pPr>
            <w:r>
              <w:rPr/>
              <w:t> </w:t>
            </w:r>
          </w:p>
        </w:tc>
        <w:tc>
          <w:tcPr>
            <w:tcW w:w="6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3,530</w:t>
            </w:r>
          </w:p>
        </w:tc>
        <w:tc>
          <w:tcPr>
            <w:tcW w:w="110" w:type="dxa"/>
            <w:tcBorders/>
            <w:shd w:fill="auto" w:val="clear"/>
            <w:vAlign w:val="bottom"/>
          </w:tcPr>
          <w:p>
            <w:pPr>
              <w:pStyle w:val="TableContents"/>
              <w:spacing w:before="0" w:after="0"/>
              <w:ind w:left="0" w:right="0" w:hanging="0"/>
              <w:rPr/>
            </w:pPr>
            <w:r>
              <w:rPr/>
              <w:t> </w:t>
            </w:r>
          </w:p>
        </w:tc>
        <w:tc>
          <w:tcPr>
            <w:tcW w:w="5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0" w:type="dxa"/>
            <w:tcBorders/>
            <w:shd w:fill="auto" w:val="clear"/>
            <w:vAlign w:val="bottom"/>
          </w:tcPr>
          <w:p>
            <w:pPr>
              <w:pStyle w:val="TableContents"/>
              <w:spacing w:before="0" w:after="0"/>
              <w:ind w:left="0" w:right="0" w:hanging="0"/>
              <w:rPr/>
            </w:pPr>
            <w:r>
              <w:rPr/>
              <w:t> </w:t>
            </w:r>
          </w:p>
        </w:tc>
        <w:tc>
          <w:tcPr>
            <w:tcW w:w="3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9"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 w:type="dxa"/>
            <w:tcBorders/>
            <w:shd w:fill="auto" w:val="clear"/>
            <w:vAlign w:val="bottom"/>
          </w:tcPr>
          <w:p>
            <w:pPr>
              <w:pStyle w:val="TableContents"/>
              <w:spacing w:before="0" w:after="0"/>
              <w:ind w:left="0" w:right="0" w:hanging="0"/>
              <w:rPr/>
            </w:pPr>
            <w:r>
              <w:rPr/>
              <w:t> </w:t>
            </w:r>
          </w:p>
        </w:tc>
        <w:tc>
          <w:tcPr>
            <w:tcW w:w="6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3,662</w:t>
            </w:r>
          </w:p>
        </w:tc>
        <w:tc>
          <w:tcPr>
            <w:tcW w:w="110" w:type="dxa"/>
            <w:tcBorders/>
            <w:shd w:fill="auto" w:val="clear"/>
            <w:vAlign w:val="bottom"/>
          </w:tcPr>
          <w:p>
            <w:pPr>
              <w:pStyle w:val="TableContents"/>
              <w:spacing w:before="0" w:after="0"/>
              <w:ind w:left="0" w:right="0" w:hanging="0"/>
              <w:rPr/>
            </w:pPr>
            <w:r>
              <w:rPr/>
              <w:t> </w:t>
            </w:r>
          </w:p>
        </w:tc>
        <w:tc>
          <w:tcPr>
            <w:tcW w:w="65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3,420</w:t>
            </w:r>
          </w:p>
        </w:tc>
        <w:tc>
          <w:tcPr>
            <w:tcW w:w="110" w:type="dxa"/>
            <w:tcBorders/>
            <w:shd w:fill="auto" w:val="clear"/>
            <w:vAlign w:val="bottom"/>
          </w:tcPr>
          <w:p>
            <w:pPr>
              <w:pStyle w:val="TableContents"/>
              <w:spacing w:before="0" w:after="0"/>
              <w:ind w:left="0" w:right="0" w:hanging="0"/>
              <w:rPr/>
            </w:pPr>
            <w:r>
              <w:rPr/>
              <w:t> </w:t>
            </w:r>
          </w:p>
        </w:tc>
        <w:tc>
          <w:tcPr>
            <w:tcW w:w="5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110" w:type="dxa"/>
            <w:tcBorders/>
            <w:shd w:fill="auto" w:val="clear"/>
            <w:vAlign w:val="bottom"/>
          </w:tcPr>
          <w:p>
            <w:pPr>
              <w:pStyle w:val="TableContents"/>
              <w:spacing w:before="0" w:after="0"/>
              <w:ind w:left="0" w:right="0" w:hanging="0"/>
              <w:rPr/>
            </w:pPr>
            <w:r>
              <w:rPr/>
              <w:t> </w:t>
            </w:r>
          </w:p>
        </w:tc>
        <w:tc>
          <w:tcPr>
            <w:tcW w:w="5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Revenues and costs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w:t>
      </w:r>
      <w:r>
        <w:rPr>
          <w:rFonts w:ascii="Times New Roman" w:hAnsi="Times New Roman"/>
          <w:sz w:val="17"/>
        </w:rPr>
        <w:t>Equity-indexed compensation expense shown in the table above includes expenses associated with awards that will or may be settled in units and awards that will or may be settled in cash.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w:t>
      </w:r>
      <w:r>
        <w:rPr>
          <w:rFonts w:ascii="Times New Roman" w:hAnsi="Times New Roman"/>
          <w:sz w:val="17"/>
        </w:rPr>
        <w:t>Volumes associated with acquisitions represent total volumes (attributable to our interest) for the number of days we actually owned the assets divided by the number of days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leases generally reflects a negotiated amount.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Transportation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As noted in the tables above, our total Transportation segment revenues, net of trucking costs, and volumes increased for both the three and nine months ended September 30, 2013 compared to the three and nine months ended September 30, 2012. The following factors contributed to the revenue and volume variances between the comparative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North American Crude Oil Production and Related Expansion Projects  For the three and nine-month comparative periods, the favorable volume and revenue variances experienced were primarily due to increased producer drilling activities as well as the completion of certain of our expansion projects, most notably on our Basin and Mesa pipelines and our Permian Basin and Eagle Ford Area Systems. The Permian Basin Area Systems also benefited from increased movements to a new third-party pipeline connected to Gulf Coast markets.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61" w:name="PB_35_133244_5335"/>
      <w:bookmarkEnd w:id="6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estimate that increased production combined with our phased-in expansion projects increased revenues by approximately $15 million and $30 million for the three and nine month periods of 2013 over the comparable three and nine month 2012 periods,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Rate Changes  Revenues on our pipelines are impacted by various rate changes that occur during the period.  These rate changes primarily include the indexing of rates on our FERC regulated pipelines, rate increases or decreases on our intrastate and Canadian pipelines or other negotiated rate changes.  The upward indexing that was effective July 1, 2012 had a favorable impact on revenues on our FERC regulated pipelines for the nine months ended September 30, 2013 compared to the nine months ended September 30, 2012. The upward indexing effective July 1, 2013 also favorably impacted revenues on a majority of our FERC regulated pipelines; however, during the third quarter of 2013, we lowered our tariff rates on certain of our FERC regulated pipelines relative to 2012 rates, which more than offset the favorable impact of the upward indexing for the three months ended September 30, 2013 compared to the three months ended September 30, 2012. Revenues for both the three and nine month were favorably impacted by increasing tariff rates on certain of our non-FERC regulated pipelines. We estimate that the collective impact of these rate changes increased revenues by $10 million to $15 million and $45 million to $50 million, respectively, for the three and nine months ended September 30, 2013 compared to the three and nine months ended September 30,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BP NGL Acquisition  We acquired pipelines through the BP NGL Acquisition completed on April 1, 2012. During the first quarter of 2013, we benefited from a full period of ownership of these assets, which contributed approximately $27 million of aggregate revenues and approximately 264,000 barrels per day during the three-month period ended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Weather-Related Downtime  During the second and third quarters of 2013, our Rangeland, South Saskatchewan and Co-Ed pipelines in Canada were shut down due to high river flow rates and flooding in the surrounding area. We estimate that the downtime on these pipelines negatively impacted revenues and volumes by approximately $5 million to $10 million and 5,000 to 10,000 barrels per day, respectively, for the three months ended September 30, 2013, and by approximately $15 million to $20 million and 15,000 to 20,000 barrels per day, respectively, for the nine months ended September 30, 2013.</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Rail Impact  Volumes primarily on our Manito and Rainbow pipelines and certain pipelines included in our Bakken Area Systems for the three- and nine-month comparable periods were negatively impacted by producer decisions to deliver more crude oil to rail loading facilities in the area.  We estimate that the impact to revenues was approximately $5 million and $15 million for the three and nine months ended September 30, 2013, respectively, and that volumes decreased by approximately 20,000 to 30,000 barrels per day for each of the respective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Loss Allowance Revenue  As is common in the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approximately $4 million and $28 million, respectively, for the three and nine months ended September 30, 2013 compared to the three and nine months ended September 30, 2012, primarily due to a lower average realized price per barrel (including the impact of gains and losses from derivative-related activities) and lower volumes, during each of the 2013 periods as compared to 2012 periods.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 noteworthy volume and revenue variances for the comparative periods include (i) increased volumes and revenues on our All American pipeline for the three and nine month 2013 periods due to increased production in 2013 and maintenance activities at the production facilities during 2012, (ii) decreases on the Salt Lake City Area Systems and our Line 63 and Line 2000 pipelines for the three and nine month 2013 periods and on the Mid-Continent Area Systems for the three month 2013 period due to refinery maintenance issues and lower refinery demand for pipeline barrels; however, revenues on the Mid-Continent Area Systems and Line 63 pipeline were consistent with the prior years quarter due to movements on higher tariff segments, (iii) increased trucking activity during the first nine months of 2013 due to increased demand for production transported to rail and hauls from pipeline disruptions and (iv) decreased volumes and revenues on our Refined Products Pipelines primarily due to the sale of certain of our refined products pipelines in July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equity-indexed compensation expense) increased during the three and nine months ended September 30, 2013 compared to the three and nine months ended September 30, 2012 primarily due to (i) higher environmental response, remediation and related repair expenses associated with pipeline releases of approximately $2 million and $24 million, respectively, for the three and nine months ended September 30, 2013 over the three and nine months ended September 30, 2012, (ii) higher integrity management expenses associated with smart pigging and other integrity work, (iii) higher payroll costs, primarily due to the BP NGL Acquisition and increased headcount, and (iv) approximately $4 million of cost incurred during the nine months ended September 30, 2013 associated with the testing of certain lines that we considered bringing back into service. Excluding the impacts of the environmental response and remediation expenses, field operating costs in general remained relatively consistent on a per barrel basis during the comparable three-and nine-month periods.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62" w:name="PB_36_133305_5796"/>
      <w:bookmarkEnd w:id="6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Equity-Indexed Compensation Expense.</w:t>
      </w:r>
      <w:r>
        <w:rPr>
          <w:rFonts w:ascii="Times New Roman" w:hAnsi="Times New Roman"/>
        </w:rPr>
        <w:t xml:space="preserve"> </w:t>
      </w:r>
      <w:r>
        <w:rPr>
          <w:rFonts w:ascii="Times New Roman" w:hAnsi="Times New Roman"/>
          <w:sz w:val="17"/>
        </w:rPr>
        <w:t>On a consolidated basis across all segments, equity-indexed compensation expense decreased for the three months ended September 30, 2013 compared to the three months ended September 30, 2012, primarily due to the impact of a decrease in unit price during the three months ended September 30, 2013 compared to the impact of an increase in unit price during the three months ended September 30, 2012, partially offset by additional expense in the three months ended September 30, 2013 resulting from the increase in the level of distribution deemed probable of payment.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Equity-indexed compensation expense increased for the nine months ended September 30, 2013 compared to the nine months ended September 30, 2012, primarily due to (i) a more significant impact of the increase in unit price during the first nine months of 2013 compared to the impact of the increase during the first nine months of 2012, (ii) a greater number of units deemed probable of vesting for the first nine months of 2013 compared to the first nine months of 2012 and (iii) a higher average fair value per unit for those units deemed probable of vesting. See Note 15 to our Consolidated Financial Statements included in Part IV of our 2012 Annual Report on Form 10-K for further information regarding our equity-indexed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Maintenance capital consists of capital investments for the replacement of partially or fully depreciated assets in order to maintain the service capability, level of production and/or functionality of our existing assets.  The increase in maintenance capital during the three and nine months ended September 30, 2013 compared to the three and nine months ended September 30, 2012 is primarily due to increased investment on pipeline integrity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 Earnings in Unconsolidated Entities</w:t>
      </w:r>
      <w:r>
        <w:rPr>
          <w:rFonts w:ascii="Times New Roman" w:hAnsi="Times New Roman"/>
          <w:sz w:val="17"/>
        </w:rPr>
        <w:t>. The favorable variance in equity earnings in unconsolidated entities for the three and nine months ended September 30, 2013 compared to the three and nine months ended September 30, 2012 was primarily due to increased earnings from our equity method investments as a result of (i) increased throughput on the Eagle Ford and White Cliffs pipelines, as a result of increased production as discussed above, (ii) increased capacity related to vessel additions and increased rates on services provided by Settoon Towing and (iii) insurance proceeds received for partial repayment of losses incurred for an environmental liability related to an incident involving Settoon Towing LLC.</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Facilities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Facilities segment operations generally consist of fee-based activities associated with providing storage, terminalling and throughput services for crude oil, refined products, natural gas and NGL, NGL fractionation and isomerization services and natural gas and condensate processing services. The Facilities segment generates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Facilities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949"/>
        <w:gridCol w:w="101"/>
        <w:gridCol w:w="139"/>
        <w:gridCol w:w="565"/>
        <w:gridCol w:w="120"/>
        <w:gridCol w:w="139"/>
        <w:gridCol w:w="566"/>
        <w:gridCol w:w="111"/>
        <w:gridCol w:w="125"/>
        <w:gridCol w:w="480"/>
        <w:gridCol w:w="110"/>
        <w:gridCol w:w="343"/>
        <w:gridCol w:w="292"/>
        <w:gridCol w:w="101"/>
        <w:gridCol w:w="139"/>
        <w:gridCol w:w="565"/>
        <w:gridCol w:w="120"/>
        <w:gridCol w:w="139"/>
        <w:gridCol w:w="566"/>
        <w:gridCol w:w="111"/>
        <w:gridCol w:w="127"/>
        <w:gridCol w:w="456"/>
        <w:gridCol w:w="112"/>
        <w:gridCol w:w="493"/>
        <w:gridCol w:w="236"/>
      </w:tblGrid>
      <w:tr>
        <w:trPr/>
        <w:tc>
          <w:tcPr>
            <w:tcW w:w="3949"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1529" w:type="dxa"/>
            <w:gridSpan w:val="5"/>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1058"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393" w:type="dxa"/>
            <w:gridSpan w:val="2"/>
            <w:tcBorders/>
            <w:shd w:fill="auto" w:val="clear"/>
            <w:vAlign w:val="bottom"/>
          </w:tcPr>
          <w:p>
            <w:pPr>
              <w:pStyle w:val="TableContents"/>
              <w:spacing w:before="0" w:after="0"/>
              <w:ind w:left="0" w:right="0" w:hanging="0"/>
              <w:jc w:val="center"/>
              <w:rPr/>
            </w:pPr>
            <w:r>
              <w:rPr/>
              <w:t> </w:t>
            </w:r>
          </w:p>
        </w:tc>
        <w:tc>
          <w:tcPr>
            <w:tcW w:w="1529" w:type="dxa"/>
            <w:gridSpan w:val="5"/>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jc w:val="center"/>
              <w:rPr/>
            </w:pPr>
            <w:r>
              <w:rPr/>
              <w:t> </w:t>
            </w:r>
          </w:p>
        </w:tc>
        <w:tc>
          <w:tcPr>
            <w:tcW w:w="1188"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36" w:type="dxa"/>
            <w:tcBorders/>
            <w:shd w:fill="auto" w:val="clear"/>
            <w:vAlign w:val="bottom"/>
          </w:tcPr>
          <w:p>
            <w:pPr>
              <w:pStyle w:val="TableContents"/>
              <w:spacing w:before="0" w:after="0"/>
              <w:ind w:left="0" w:right="0" w:hanging="0"/>
              <w:jc w:val="center"/>
              <w:rPr/>
            </w:pPr>
            <w:r>
              <w:rPr/>
              <w:t> </w:t>
            </w:r>
          </w:p>
        </w:tc>
      </w:tr>
      <w:tr>
        <w:trPr/>
        <w:tc>
          <w:tcPr>
            <w:tcW w:w="3949" w:type="dxa"/>
            <w:tcBorders/>
            <w:shd w:fill="auto" w:val="clear"/>
            <w:vAlign w:val="bottom"/>
          </w:tcPr>
          <w:p>
            <w:pPr>
              <w:pStyle w:val="TableContents"/>
              <w:spacing w:before="0" w:after="0"/>
              <w:ind w:left="0" w:right="0" w:hanging="0"/>
              <w:rPr/>
            </w:pPr>
            <w:r>
              <w:rPr/>
              <w:t> </w:t>
            </w:r>
          </w:p>
        </w:tc>
        <w:tc>
          <w:tcPr>
            <w:tcW w:w="101" w:type="dxa"/>
            <w:tcBorders/>
            <w:shd w:fill="auto" w:val="clear"/>
            <w:vAlign w:val="bottom"/>
          </w:tcPr>
          <w:p>
            <w:pPr>
              <w:pStyle w:val="TableContents"/>
              <w:spacing w:before="0" w:after="0"/>
              <w:ind w:left="0" w:right="0" w:hanging="0"/>
              <w:jc w:val="center"/>
              <w:rPr/>
            </w:pPr>
            <w:r>
              <w:rPr/>
              <w:t> </w:t>
            </w:r>
          </w:p>
        </w:tc>
        <w:tc>
          <w:tcPr>
            <w:tcW w:w="152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11" w:type="dxa"/>
            <w:tcBorders/>
            <w:shd w:fill="auto" w:val="clear"/>
            <w:vAlign w:val="bottom"/>
          </w:tcPr>
          <w:p>
            <w:pPr>
              <w:pStyle w:val="TableContents"/>
              <w:spacing w:before="0" w:after="0"/>
              <w:ind w:left="0" w:right="0" w:hanging="0"/>
              <w:jc w:val="center"/>
              <w:rPr/>
            </w:pPr>
            <w:r>
              <w:rPr/>
              <w:t> </w:t>
            </w:r>
          </w:p>
        </w:tc>
        <w:tc>
          <w:tcPr>
            <w:tcW w:w="1058"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393" w:type="dxa"/>
            <w:gridSpan w:val="2"/>
            <w:tcBorders/>
            <w:shd w:fill="auto" w:val="clear"/>
            <w:vAlign w:val="bottom"/>
          </w:tcPr>
          <w:p>
            <w:pPr>
              <w:pStyle w:val="TableContents"/>
              <w:spacing w:before="0" w:after="0"/>
              <w:ind w:left="0" w:right="0" w:hanging="0"/>
              <w:jc w:val="center"/>
              <w:rPr/>
            </w:pPr>
            <w:r>
              <w:rPr/>
              <w:t> </w:t>
            </w:r>
          </w:p>
        </w:tc>
        <w:tc>
          <w:tcPr>
            <w:tcW w:w="152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11" w:type="dxa"/>
            <w:tcBorders/>
            <w:shd w:fill="auto" w:val="clear"/>
            <w:vAlign w:val="bottom"/>
          </w:tcPr>
          <w:p>
            <w:pPr>
              <w:pStyle w:val="TableContents"/>
              <w:spacing w:before="0" w:after="0"/>
              <w:ind w:left="0" w:right="0" w:hanging="0"/>
              <w:jc w:val="center"/>
              <w:rPr/>
            </w:pPr>
            <w:r>
              <w:rPr/>
              <w:t> </w:t>
            </w:r>
          </w:p>
        </w:tc>
        <w:tc>
          <w:tcPr>
            <w:tcW w:w="1188"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36" w:type="dxa"/>
            <w:tcBorders/>
            <w:shd w:fill="auto" w:val="clear"/>
            <w:vAlign w:val="bottom"/>
          </w:tcPr>
          <w:p>
            <w:pPr>
              <w:pStyle w:val="TableContents"/>
              <w:spacing w:before="0" w:after="0"/>
              <w:ind w:left="0" w:right="0" w:hanging="0"/>
              <w:jc w:val="center"/>
              <w:rPr/>
            </w:pPr>
            <w:r>
              <w:rPr/>
              <w:t> </w:t>
            </w:r>
          </w:p>
        </w:tc>
      </w:tr>
      <w:tr>
        <w:trPr/>
        <w:tc>
          <w:tcPr>
            <w:tcW w:w="3949"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101" w:type="dxa"/>
            <w:tcBorders/>
            <w:shd w:fill="auto" w:val="clear"/>
            <w:vAlign w:val="bottom"/>
          </w:tcPr>
          <w:p>
            <w:pPr>
              <w:pStyle w:val="TableContents"/>
              <w:spacing w:before="0" w:after="0"/>
              <w:ind w:left="0" w:right="0" w:hanging="0"/>
              <w:jc w:val="center"/>
              <w:rPr/>
            </w:pPr>
            <w:r>
              <w:rPr/>
              <w:t> </w:t>
            </w:r>
          </w:p>
        </w:tc>
        <w:tc>
          <w:tcPr>
            <w:tcW w:w="152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1" w:type="dxa"/>
            <w:tcBorders/>
            <w:shd w:fill="auto" w:val="clear"/>
            <w:vAlign w:val="bottom"/>
          </w:tcPr>
          <w:p>
            <w:pPr>
              <w:pStyle w:val="TableContents"/>
              <w:spacing w:before="0" w:after="0"/>
              <w:ind w:left="0" w:right="0" w:hanging="0"/>
              <w:jc w:val="center"/>
              <w:rPr/>
            </w:pPr>
            <w:r>
              <w:rPr/>
              <w:t> </w:t>
            </w:r>
          </w:p>
        </w:tc>
        <w:tc>
          <w:tcPr>
            <w:tcW w:w="105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393" w:type="dxa"/>
            <w:gridSpan w:val="2"/>
            <w:tcBorders/>
            <w:shd w:fill="auto" w:val="clear"/>
            <w:vAlign w:val="bottom"/>
          </w:tcPr>
          <w:p>
            <w:pPr>
              <w:pStyle w:val="TableContents"/>
              <w:spacing w:before="0" w:after="0"/>
              <w:ind w:left="0" w:right="0" w:hanging="0"/>
              <w:jc w:val="center"/>
              <w:rPr/>
            </w:pPr>
            <w:r>
              <w:rPr/>
              <w:t> </w:t>
            </w:r>
          </w:p>
        </w:tc>
        <w:tc>
          <w:tcPr>
            <w:tcW w:w="152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11" w:type="dxa"/>
            <w:tcBorders/>
            <w:shd w:fill="auto" w:val="clear"/>
            <w:vAlign w:val="bottom"/>
          </w:tcPr>
          <w:p>
            <w:pPr>
              <w:pStyle w:val="TableContents"/>
              <w:spacing w:before="0" w:after="0"/>
              <w:ind w:left="0" w:right="0" w:hanging="0"/>
              <w:jc w:val="center"/>
              <w:rPr/>
            </w:pPr>
            <w:r>
              <w:rPr/>
              <w:t> </w:t>
            </w:r>
          </w:p>
        </w:tc>
        <w:tc>
          <w:tcPr>
            <w:tcW w:w="118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36" w:type="dxa"/>
            <w:tcBorders/>
            <w:shd w:fill="auto" w:val="clear"/>
            <w:vAlign w:val="bottom"/>
          </w:tcPr>
          <w:p>
            <w:pPr>
              <w:pStyle w:val="TableContents"/>
              <w:spacing w:before="0" w:after="0"/>
              <w:ind w:left="0" w:right="0" w:hanging="0"/>
              <w:jc w:val="center"/>
              <w:rPr/>
            </w:pPr>
            <w:r>
              <w:rPr/>
              <w:t> </w:t>
            </w:r>
          </w:p>
        </w:tc>
      </w:tr>
      <w:tr>
        <w:trPr/>
        <w:tc>
          <w:tcPr>
            <w:tcW w:w="394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01" w:type="dxa"/>
            <w:tcBorders/>
            <w:shd w:fill="auto" w:val="clear"/>
            <w:vAlign w:val="bottom"/>
          </w:tcPr>
          <w:p>
            <w:pPr>
              <w:pStyle w:val="TableContents"/>
              <w:spacing w:before="0" w:after="0"/>
              <w:ind w:left="0" w:right="0" w:hanging="0"/>
              <w:jc w:val="center"/>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1" w:type="dxa"/>
            <w:tcBorders/>
            <w:shd w:fill="auto" w:val="clear"/>
            <w:vAlign w:val="bottom"/>
          </w:tcPr>
          <w:p>
            <w:pPr>
              <w:pStyle w:val="TableContents"/>
              <w:spacing w:before="0" w:after="0"/>
              <w:ind w:left="0" w:right="0" w:hanging="0"/>
              <w:jc w:val="center"/>
              <w:rPr/>
            </w:pPr>
            <w:r>
              <w:rPr/>
              <w:t> </w:t>
            </w:r>
          </w:p>
        </w:tc>
        <w:tc>
          <w:tcPr>
            <w:tcW w:w="6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34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393" w:type="dxa"/>
            <w:gridSpan w:val="2"/>
            <w:tcBorders/>
            <w:shd w:fill="auto" w:val="clear"/>
            <w:vAlign w:val="bottom"/>
          </w:tcPr>
          <w:p>
            <w:pPr>
              <w:pStyle w:val="TableContents"/>
              <w:spacing w:before="0" w:after="0"/>
              <w:ind w:left="0" w:right="0" w:hanging="0"/>
              <w:jc w:val="center"/>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2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0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1" w:type="dxa"/>
            <w:tcBorders/>
            <w:shd w:fill="auto" w:val="clear"/>
            <w:vAlign w:val="bottom"/>
          </w:tcPr>
          <w:p>
            <w:pPr>
              <w:pStyle w:val="TableContents"/>
              <w:spacing w:before="0" w:after="0"/>
              <w:ind w:left="0" w:right="0" w:hanging="0"/>
              <w:jc w:val="center"/>
              <w:rPr/>
            </w:pPr>
            <w:r>
              <w:rPr/>
              <w:t> </w:t>
            </w:r>
          </w:p>
        </w:tc>
        <w:tc>
          <w:tcPr>
            <w:tcW w:w="5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49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36" w:type="dxa"/>
            <w:tcBorders/>
            <w:shd w:fill="auto" w:val="clear"/>
            <w:vAlign w:val="bottom"/>
          </w:tcPr>
          <w:p>
            <w:pPr>
              <w:pStyle w:val="TableContents"/>
              <w:spacing w:before="0" w:after="0"/>
              <w:ind w:left="0" w:right="0" w:hanging="0"/>
              <w:jc w:val="center"/>
              <w:rPr/>
            </w:pPr>
            <w:r>
              <w:rPr/>
              <w:t> </w:t>
            </w:r>
          </w:p>
        </w:tc>
      </w:tr>
      <w:tr>
        <w:trPr/>
        <w:tc>
          <w:tcPr>
            <w:tcW w:w="3949"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0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20"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11"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0" w:type="dxa"/>
            <w:tcBorders/>
            <w:shd w:fill="CCEEFF" w:val="clear"/>
            <w:vAlign w:val="bottom"/>
          </w:tcPr>
          <w:p>
            <w:pPr>
              <w:pStyle w:val="TableContents"/>
              <w:spacing w:before="0" w:after="0"/>
              <w:ind w:left="0" w:right="0" w:hanging="0"/>
              <w:rPr/>
            </w:pPr>
            <w:r>
              <w:rPr/>
              <w:t> </w:t>
            </w:r>
          </w:p>
        </w:tc>
        <w:tc>
          <w:tcPr>
            <w:tcW w:w="3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787</w:t>
            </w:r>
          </w:p>
        </w:tc>
        <w:tc>
          <w:tcPr>
            <w:tcW w:w="120"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626</w:t>
            </w:r>
          </w:p>
        </w:tc>
        <w:tc>
          <w:tcPr>
            <w:tcW w:w="111"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5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12" w:type="dxa"/>
            <w:tcBorders/>
            <w:shd w:fill="CCEEFF" w:val="clear"/>
            <w:vAlign w:val="bottom"/>
          </w:tcPr>
          <w:p>
            <w:pPr>
              <w:pStyle w:val="TableContents"/>
              <w:spacing w:before="0" w:after="0"/>
              <w:ind w:left="0" w:right="0" w:hanging="0"/>
              <w:rPr/>
            </w:pPr>
            <w:r>
              <w:rPr/>
              <w:t> </w:t>
            </w:r>
          </w:p>
        </w:tc>
        <w:tc>
          <w:tcPr>
            <w:tcW w:w="4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w:t>
            </w:r>
            <w:r>
              <w:rPr>
                <w:sz w:val="11"/>
              </w:rPr>
              <w:t>(2)</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0"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11" w:type="dxa"/>
            <w:tcBorders/>
            <w:shd w:fill="auto" w:val="clear"/>
            <w:vAlign w:val="bottom"/>
          </w:tcPr>
          <w:p>
            <w:pPr>
              <w:pStyle w:val="TableContents"/>
              <w:spacing w:before="0" w:after="0"/>
              <w:ind w:left="0" w:right="0" w:hanging="0"/>
              <w:rPr/>
            </w:pPr>
            <w:r>
              <w:rPr/>
              <w:t> </w:t>
            </w:r>
          </w:p>
        </w:tc>
        <w:tc>
          <w:tcPr>
            <w:tcW w:w="6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20"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111" w:type="dxa"/>
            <w:tcBorders/>
            <w:shd w:fill="auto" w:val="clear"/>
            <w:vAlign w:val="bottom"/>
          </w:tcPr>
          <w:p>
            <w:pPr>
              <w:pStyle w:val="TableContents"/>
              <w:spacing w:before="0" w:after="0"/>
              <w:ind w:left="0" w:right="0" w:hanging="0"/>
              <w:rPr/>
            </w:pPr>
            <w:r>
              <w:rPr/>
              <w:t> </w:t>
            </w:r>
          </w:p>
        </w:tc>
        <w:tc>
          <w:tcPr>
            <w:tcW w:w="5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12" w:type="dxa"/>
            <w:tcBorders/>
            <w:shd w:fill="auto" w:val="clear"/>
            <w:vAlign w:val="bottom"/>
          </w:tcPr>
          <w:p>
            <w:pPr>
              <w:pStyle w:val="TableContents"/>
              <w:spacing w:before="0" w:after="0"/>
              <w:ind w:left="0" w:right="0" w:hanging="0"/>
              <w:rPr/>
            </w:pPr>
            <w:r>
              <w:rPr/>
              <w:t> </w:t>
            </w:r>
          </w:p>
        </w:tc>
        <w:tc>
          <w:tcPr>
            <w:tcW w:w="4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Storage related costs (natural gas related)</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0" w:type="dxa"/>
            <w:tcBorders/>
            <w:shd w:fill="CCEEFF" w:val="clear"/>
            <w:vAlign w:val="bottom"/>
          </w:tcPr>
          <w:p>
            <w:pPr>
              <w:pStyle w:val="TableContents"/>
              <w:spacing w:before="0" w:after="0"/>
              <w:ind w:left="0" w:right="0" w:hanging="0"/>
              <w:rPr/>
            </w:pPr>
            <w:r>
              <w:rPr/>
              <w:t> </w:t>
            </w:r>
          </w:p>
        </w:tc>
        <w:tc>
          <w:tcPr>
            <w:tcW w:w="3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12" w:type="dxa"/>
            <w:tcBorders/>
            <w:shd w:fill="CCEEFF" w:val="clear"/>
            <w:vAlign w:val="bottom"/>
          </w:tcPr>
          <w:p>
            <w:pPr>
              <w:pStyle w:val="TableContents"/>
              <w:spacing w:before="0" w:after="0"/>
              <w:ind w:left="0" w:right="0" w:hanging="0"/>
              <w:rPr/>
            </w:pPr>
            <w:r>
              <w:rPr/>
              <w:t> </w:t>
            </w:r>
          </w:p>
        </w:tc>
        <w:tc>
          <w:tcPr>
            <w:tcW w:w="4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auto" w:val="clear"/>
            <w:vAlign w:val="bottom"/>
          </w:tcPr>
          <w:p>
            <w:pPr>
              <w:pStyle w:val="TableContents"/>
              <w:spacing w:before="0" w:after="0"/>
              <w:ind w:left="0" w:right="0" w:hanging="0"/>
              <w:rPr/>
            </w:pPr>
            <w:r>
              <w:rPr>
                <w:rFonts w:ascii="Times New Roman" w:hAnsi="Times New Roman"/>
                <w:sz w:val="17"/>
              </w:rPr>
              <w:t xml:space="preserve">Natural gas sales costs </w:t>
            </w:r>
            <w:r>
              <w:rPr>
                <w:sz w:val="11"/>
              </w:rPr>
              <w:t>(2)</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0" w:type="dxa"/>
            <w:tcBorders/>
            <w:shd w:fill="auto" w:val="clear"/>
            <w:vAlign w:val="bottom"/>
          </w:tcPr>
          <w:p>
            <w:pPr>
              <w:pStyle w:val="TableContents"/>
              <w:spacing w:before="0" w:after="0"/>
              <w:ind w:left="0" w:right="0" w:hanging="0"/>
              <w:rPr/>
            </w:pPr>
            <w:r>
              <w:rPr/>
              <w:t> </w:t>
            </w:r>
          </w:p>
        </w:tc>
        <w:tc>
          <w:tcPr>
            <w:tcW w:w="3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(excluding equity-indexed compensation expense) </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 operations </w:t>
            </w:r>
            <w:r>
              <w:rPr>
                <w:sz w:val="11"/>
              </w:rPr>
              <w:t>(3)</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auto" w:val="clear"/>
            <w:vAlign w:val="bottom"/>
          </w:tcPr>
          <w:p>
            <w:pPr>
              <w:pStyle w:val="TableContents"/>
              <w:spacing w:before="0" w:after="0"/>
              <w:ind w:left="0" w:right="0" w:hanging="0"/>
              <w:rPr/>
            </w:pPr>
            <w:r>
              <w:rPr/>
              <w:t> </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1" w:type="dxa"/>
            <w:tcBorders/>
            <w:shd w:fill="auto" w:val="clear"/>
            <w:vAlign w:val="bottom"/>
          </w:tcPr>
          <w:p>
            <w:pPr>
              <w:pStyle w:val="TableContents"/>
              <w:spacing w:before="0" w:after="0"/>
              <w:ind w:left="0" w:right="0" w:hanging="0"/>
              <w:rPr/>
            </w:pPr>
            <w:r>
              <w:rPr/>
              <w:t> </w:t>
            </w:r>
          </w:p>
        </w:tc>
        <w:tc>
          <w:tcPr>
            <w:tcW w:w="6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pPr>
            <w:r>
              <w:rPr/>
              <w:t> </w:t>
            </w:r>
          </w:p>
        </w:tc>
        <w:tc>
          <w:tcPr>
            <w:tcW w:w="3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auto" w:val="clear"/>
            <w:vAlign w:val="bottom"/>
          </w:tcPr>
          <w:p>
            <w:pPr>
              <w:pStyle w:val="TableContents"/>
              <w:spacing w:before="0" w:after="0"/>
              <w:ind w:left="0" w:right="0" w:hanging="0"/>
              <w:rPr/>
            </w:pPr>
            <w:r>
              <w:rPr/>
              <w:t> </w:t>
            </w:r>
          </w:p>
        </w:tc>
        <w:tc>
          <w:tcPr>
            <w:tcW w:w="4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CCEEFF" w:val="clear"/>
            <w:vAlign w:val="bottom"/>
          </w:tcPr>
          <w:p>
            <w:pPr>
              <w:pStyle w:val="TableContents"/>
              <w:spacing w:before="0" w:after="0"/>
              <w:ind w:left="0" w:right="0" w:hanging="0"/>
              <w:rPr/>
            </w:pPr>
            <w:r>
              <w:rPr>
                <w:rFonts w:ascii="Times New Roman" w:hAnsi="Times New Roman"/>
                <w:sz w:val="17"/>
              </w:rPr>
              <w:t xml:space="preserve">Segment general and administrative expenses (excluding equity-indexed compensation expense) </w:t>
            </w:r>
            <w:r>
              <w:rPr>
                <w:sz w:val="11"/>
              </w:rPr>
              <w:t>(4)</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0" w:type="dxa"/>
            <w:tcBorders/>
            <w:shd w:fill="CCEEFF" w:val="clear"/>
            <w:vAlign w:val="bottom"/>
          </w:tcPr>
          <w:p>
            <w:pPr>
              <w:pStyle w:val="TableContents"/>
              <w:spacing w:before="0" w:after="0"/>
              <w:ind w:left="0" w:right="0" w:hanging="0"/>
              <w:rPr/>
            </w:pPr>
            <w:r>
              <w:rPr/>
              <w:t> </w:t>
            </w:r>
          </w:p>
        </w:tc>
        <w:tc>
          <w:tcPr>
            <w:tcW w:w="3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2" w:type="dxa"/>
            <w:tcBorders/>
            <w:shd w:fill="CCEEFF" w:val="clear"/>
            <w:vAlign w:val="bottom"/>
          </w:tcPr>
          <w:p>
            <w:pPr>
              <w:pStyle w:val="TableContents"/>
              <w:spacing w:before="0" w:after="0"/>
              <w:ind w:left="0" w:right="0" w:hanging="0"/>
              <w:rPr/>
            </w:pPr>
            <w:r>
              <w:rPr/>
              <w:t> </w:t>
            </w:r>
          </w:p>
        </w:tc>
        <w:tc>
          <w:tcPr>
            <w:tcW w:w="4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 general and administrative </w:t>
            </w:r>
            <w:r>
              <w:rPr>
                <w:sz w:val="11"/>
              </w:rPr>
              <w:t>(3)</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0" w:type="dxa"/>
            <w:tcBorders/>
            <w:shd w:fill="auto" w:val="clear"/>
            <w:vAlign w:val="bottom"/>
          </w:tcPr>
          <w:p>
            <w:pPr>
              <w:pStyle w:val="TableContents"/>
              <w:spacing w:before="0" w:after="0"/>
              <w:ind w:left="0" w:right="0" w:hanging="0"/>
              <w:rPr/>
            </w:pPr>
            <w:r>
              <w:rPr/>
              <w:t> </w:t>
            </w:r>
          </w:p>
        </w:tc>
        <w:tc>
          <w:tcPr>
            <w:tcW w:w="34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2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11"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0" w:type="dxa"/>
            <w:tcBorders/>
            <w:shd w:fill="CCEEFF" w:val="clear"/>
            <w:vAlign w:val="bottom"/>
          </w:tcPr>
          <w:p>
            <w:pPr>
              <w:pStyle w:val="TableContents"/>
              <w:spacing w:before="0" w:after="0"/>
              <w:ind w:left="0" w:right="0" w:hanging="0"/>
              <w:rPr/>
            </w:pPr>
            <w:r>
              <w:rPr/>
              <w:t> </w:t>
            </w:r>
          </w:p>
        </w:tc>
        <w:tc>
          <w:tcPr>
            <w:tcW w:w="34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2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11"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5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12" w:type="dxa"/>
            <w:tcBorders/>
            <w:shd w:fill="CCEEFF" w:val="clear"/>
            <w:vAlign w:val="bottom"/>
          </w:tcPr>
          <w:p>
            <w:pPr>
              <w:pStyle w:val="TableContents"/>
              <w:spacing w:before="0" w:after="0"/>
              <w:ind w:left="0" w:right="0" w:hanging="0"/>
              <w:rPr/>
            </w:pPr>
            <w:r>
              <w:rPr/>
              <w:t> </w:t>
            </w:r>
          </w:p>
        </w:tc>
        <w:tc>
          <w:tcPr>
            <w:tcW w:w="4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0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0"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11"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0" w:type="dxa"/>
            <w:tcBorders/>
            <w:shd w:fill="auto" w:val="clear"/>
            <w:vAlign w:val="bottom"/>
          </w:tcPr>
          <w:p>
            <w:pPr>
              <w:pStyle w:val="TableContents"/>
              <w:spacing w:before="0" w:after="0"/>
              <w:ind w:left="0" w:right="0" w:hanging="0"/>
              <w:rPr/>
            </w:pPr>
            <w:r>
              <w:rPr/>
              <w:t> </w:t>
            </w:r>
          </w:p>
        </w:tc>
        <w:tc>
          <w:tcPr>
            <w:tcW w:w="34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92"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0"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5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2" w:type="dxa"/>
            <w:tcBorders/>
            <w:shd w:fill="auto" w:val="clear"/>
            <w:vAlign w:val="bottom"/>
          </w:tcPr>
          <w:p>
            <w:pPr>
              <w:pStyle w:val="TableContents"/>
              <w:spacing w:before="0" w:after="0"/>
              <w:ind w:left="0" w:right="0" w:hanging="0"/>
              <w:rPr/>
            </w:pPr>
            <w:r>
              <w:rPr/>
              <w:t> </w:t>
            </w:r>
          </w:p>
        </w:tc>
        <w:tc>
          <w:tcPr>
            <w:tcW w:w="4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9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12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111"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(0.01</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4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92"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120"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111"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5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0.04</w:t>
            </w:r>
          </w:p>
        </w:tc>
        <w:tc>
          <w:tcPr>
            <w:tcW w:w="112" w:type="dxa"/>
            <w:tcBorders/>
            <w:shd w:fill="CCEEFF" w:val="clear"/>
            <w:vAlign w:val="bottom"/>
          </w:tcPr>
          <w:p>
            <w:pPr>
              <w:pStyle w:val="TableContents"/>
              <w:spacing w:before="0" w:after="0"/>
              <w:ind w:left="0" w:right="0" w:hanging="0"/>
              <w:rPr/>
            </w:pPr>
            <w:r>
              <w:rPr/>
              <w:t> </w:t>
            </w:r>
          </w:p>
        </w:tc>
        <w:tc>
          <w:tcPr>
            <w:tcW w:w="4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63" w:name="PB_37_133638_2897"/>
      <w:bookmarkEnd w:id="6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45"/>
        <w:gridCol w:w="108"/>
        <w:gridCol w:w="753"/>
        <w:gridCol w:w="130"/>
        <w:gridCol w:w="754"/>
        <w:gridCol w:w="108"/>
        <w:gridCol w:w="660"/>
        <w:gridCol w:w="108"/>
        <w:gridCol w:w="508"/>
        <w:gridCol w:w="156"/>
        <w:gridCol w:w="108"/>
        <w:gridCol w:w="752"/>
        <w:gridCol w:w="130"/>
        <w:gridCol w:w="754"/>
        <w:gridCol w:w="108"/>
        <w:gridCol w:w="660"/>
        <w:gridCol w:w="108"/>
        <w:gridCol w:w="508"/>
        <w:gridCol w:w="247"/>
      </w:tblGrid>
      <w:tr>
        <w:trPr/>
        <w:tc>
          <w:tcPr>
            <w:tcW w:w="3545" w:type="dxa"/>
            <w:tcBorders/>
            <w:shd w:fill="auto" w:val="clear"/>
            <w:vAlign w:val="bottom"/>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jc w:val="center"/>
              <w:rPr/>
            </w:pPr>
            <w:r>
              <w:rPr/>
              <w:t> </w:t>
            </w:r>
          </w:p>
        </w:tc>
        <w:tc>
          <w:tcPr>
            <w:tcW w:w="1637" w:type="dxa"/>
            <w:gridSpan w:val="3"/>
            <w:tcBorders/>
            <w:shd w:fill="auto" w:val="cle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0"/>
              <w:ind w:left="0" w:right="0" w:hanging="0"/>
              <w:jc w:val="center"/>
              <w:rPr/>
            </w:pPr>
            <w:r>
              <w:rPr/>
              <w:t> </w:t>
            </w:r>
          </w:p>
        </w:tc>
        <w:tc>
          <w:tcPr>
            <w:tcW w:w="1276"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64" w:type="dxa"/>
            <w:gridSpan w:val="2"/>
            <w:tcBorders/>
            <w:shd w:fill="auto" w:val="clear"/>
            <w:vAlign w:val="bottom"/>
          </w:tcPr>
          <w:p>
            <w:pPr>
              <w:pStyle w:val="TableContents"/>
              <w:spacing w:before="0" w:after="0"/>
              <w:ind w:left="0" w:right="0" w:hanging="0"/>
              <w:jc w:val="center"/>
              <w:rPr/>
            </w:pPr>
            <w:r>
              <w:rPr/>
              <w:t> </w:t>
            </w:r>
          </w:p>
        </w:tc>
        <w:tc>
          <w:tcPr>
            <w:tcW w:w="1636" w:type="dxa"/>
            <w:gridSpan w:val="3"/>
            <w:tcBorders/>
            <w:shd w:fill="auto" w:val="cle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0"/>
              <w:ind w:left="0" w:right="0" w:hanging="0"/>
              <w:jc w:val="center"/>
              <w:rPr/>
            </w:pPr>
            <w:r>
              <w:rPr/>
              <w:t> </w:t>
            </w:r>
          </w:p>
        </w:tc>
        <w:tc>
          <w:tcPr>
            <w:tcW w:w="1276"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47" w:type="dxa"/>
            <w:tcBorders/>
            <w:shd w:fill="auto" w:val="clear"/>
            <w:vAlign w:val="bottom"/>
          </w:tcPr>
          <w:p>
            <w:pPr>
              <w:pStyle w:val="TableContents"/>
              <w:spacing w:before="0" w:after="0"/>
              <w:ind w:left="0" w:right="0" w:hanging="0"/>
              <w:jc w:val="center"/>
              <w:rPr/>
            </w:pPr>
            <w:r>
              <w:rPr/>
              <w:t> </w:t>
            </w:r>
          </w:p>
        </w:tc>
      </w:tr>
      <w:tr>
        <w:trPr/>
        <w:tc>
          <w:tcPr>
            <w:tcW w:w="3545" w:type="dxa"/>
            <w:tcBorders/>
            <w:shd w:fill="auto" w:val="clear"/>
            <w:vAlign w:val="bottom"/>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jc w:val="center"/>
              <w:rPr/>
            </w:pPr>
            <w:r>
              <w:rPr/>
              <w:t> </w:t>
            </w:r>
          </w:p>
        </w:tc>
        <w:tc>
          <w:tcPr>
            <w:tcW w:w="1637"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08" w:type="dxa"/>
            <w:tcBorders/>
            <w:shd w:fill="auto" w:val="clear"/>
            <w:vAlign w:val="bottom"/>
          </w:tcPr>
          <w:p>
            <w:pPr>
              <w:pStyle w:val="TableContents"/>
              <w:spacing w:before="0" w:after="0"/>
              <w:ind w:left="0" w:right="0" w:hanging="0"/>
              <w:jc w:val="center"/>
              <w:rPr/>
            </w:pPr>
            <w:r>
              <w:rPr/>
              <w:t> </w:t>
            </w:r>
          </w:p>
        </w:tc>
        <w:tc>
          <w:tcPr>
            <w:tcW w:w="1276"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64" w:type="dxa"/>
            <w:gridSpan w:val="2"/>
            <w:tcBorders/>
            <w:shd w:fill="auto" w:val="clear"/>
            <w:vAlign w:val="bottom"/>
          </w:tcPr>
          <w:p>
            <w:pPr>
              <w:pStyle w:val="TableContents"/>
              <w:spacing w:before="0" w:after="0"/>
              <w:ind w:left="0" w:right="0" w:hanging="0"/>
              <w:jc w:val="center"/>
              <w:rPr/>
            </w:pPr>
            <w:r>
              <w:rPr/>
              <w:t> </w:t>
            </w:r>
          </w:p>
        </w:tc>
        <w:tc>
          <w:tcPr>
            <w:tcW w:w="1636"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08" w:type="dxa"/>
            <w:tcBorders/>
            <w:shd w:fill="auto" w:val="clear"/>
            <w:vAlign w:val="bottom"/>
          </w:tcPr>
          <w:p>
            <w:pPr>
              <w:pStyle w:val="TableContents"/>
              <w:spacing w:before="0" w:after="0"/>
              <w:ind w:left="0" w:right="0" w:hanging="0"/>
              <w:jc w:val="center"/>
              <w:rPr/>
            </w:pPr>
            <w:r>
              <w:rPr/>
              <w:t> </w:t>
            </w:r>
          </w:p>
        </w:tc>
        <w:tc>
          <w:tcPr>
            <w:tcW w:w="1276"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47" w:type="dxa"/>
            <w:tcBorders/>
            <w:shd w:fill="auto" w:val="clear"/>
            <w:vAlign w:val="bottom"/>
          </w:tcPr>
          <w:p>
            <w:pPr>
              <w:pStyle w:val="TableContents"/>
              <w:spacing w:before="0" w:after="0"/>
              <w:ind w:left="0" w:right="0" w:hanging="0"/>
              <w:jc w:val="center"/>
              <w:rPr/>
            </w:pPr>
            <w:r>
              <w:rPr/>
              <w:t> </w:t>
            </w:r>
          </w:p>
        </w:tc>
      </w:tr>
      <w:tr>
        <w:trPr/>
        <w:tc>
          <w:tcPr>
            <w:tcW w:w="3545" w:type="dxa"/>
            <w:tcBorders/>
            <w:shd w:fill="auto" w:val="clear"/>
            <w:vAlign w:val="bottom"/>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jc w:val="center"/>
              <w:rPr/>
            </w:pPr>
            <w:r>
              <w:rPr/>
              <w:t> </w:t>
            </w:r>
          </w:p>
        </w:tc>
        <w:tc>
          <w:tcPr>
            <w:tcW w:w="1637"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08" w:type="dxa"/>
            <w:tcBorders/>
            <w:shd w:fill="auto" w:val="clear"/>
            <w:vAlign w:val="bottom"/>
          </w:tcPr>
          <w:p>
            <w:pPr>
              <w:pStyle w:val="TableContents"/>
              <w:spacing w:before="0" w:after="0"/>
              <w:ind w:left="0" w:right="0" w:hanging="0"/>
              <w:jc w:val="center"/>
              <w:rPr/>
            </w:pPr>
            <w:r>
              <w:rPr/>
              <w:t> </w:t>
            </w:r>
          </w:p>
        </w:tc>
        <w:tc>
          <w:tcPr>
            <w:tcW w:w="1276"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64" w:type="dxa"/>
            <w:gridSpan w:val="2"/>
            <w:tcBorders/>
            <w:shd w:fill="auto" w:val="clear"/>
            <w:vAlign w:val="bottom"/>
          </w:tcPr>
          <w:p>
            <w:pPr>
              <w:pStyle w:val="TableContents"/>
              <w:spacing w:before="0" w:after="0"/>
              <w:ind w:left="0" w:right="0" w:hanging="0"/>
              <w:jc w:val="center"/>
              <w:rPr/>
            </w:pPr>
            <w:r>
              <w:rPr/>
              <w:t> </w:t>
            </w:r>
          </w:p>
        </w:tc>
        <w:tc>
          <w:tcPr>
            <w:tcW w:w="1636"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08" w:type="dxa"/>
            <w:tcBorders/>
            <w:shd w:fill="auto" w:val="clear"/>
            <w:vAlign w:val="bottom"/>
          </w:tcPr>
          <w:p>
            <w:pPr>
              <w:pStyle w:val="TableContents"/>
              <w:spacing w:before="0" w:after="0"/>
              <w:ind w:left="0" w:right="0" w:hanging="0"/>
              <w:jc w:val="center"/>
              <w:rPr/>
            </w:pPr>
            <w:r>
              <w:rPr/>
              <w:t> </w:t>
            </w:r>
          </w:p>
        </w:tc>
        <w:tc>
          <w:tcPr>
            <w:tcW w:w="1276"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47" w:type="dxa"/>
            <w:tcBorders/>
            <w:shd w:fill="auto" w:val="clear"/>
            <w:vAlign w:val="bottom"/>
          </w:tcPr>
          <w:p>
            <w:pPr>
              <w:pStyle w:val="TableContents"/>
              <w:spacing w:before="0" w:after="0"/>
              <w:ind w:left="0" w:right="0" w:hanging="0"/>
              <w:jc w:val="center"/>
              <w:rPr/>
            </w:pPr>
            <w:r>
              <w:rPr/>
              <w:t> </w:t>
            </w:r>
          </w:p>
        </w:tc>
      </w:tr>
      <w:tr>
        <w:trPr/>
        <w:tc>
          <w:tcPr>
            <w:tcW w:w="3545" w:type="dxa"/>
            <w:tcBorders>
              <w:bottom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b/>
                <w:sz w:val="13"/>
              </w:rPr>
              <w:t>Volumes </w:t>
            </w:r>
            <w:r>
              <w:rPr>
                <w:b/>
                <w:sz w:val="8"/>
              </w:rPr>
              <w:t>(5)</w:t>
            </w:r>
            <w:r>
              <w:rPr/>
              <w:t> </w:t>
            </w:r>
            <w:r>
              <w:rPr>
                <w:b/>
                <w:sz w:val="8"/>
              </w:rPr>
              <w:t>(6)</w:t>
            </w:r>
          </w:p>
        </w:tc>
        <w:tc>
          <w:tcPr>
            <w:tcW w:w="108" w:type="dxa"/>
            <w:tcBorders/>
            <w:shd w:fill="auto" w:val="clear"/>
            <w:vAlign w:val="bottom"/>
          </w:tcPr>
          <w:p>
            <w:pPr>
              <w:pStyle w:val="TableContents"/>
              <w:spacing w:before="0" w:after="0"/>
              <w:ind w:left="0" w:right="0" w:hanging="0"/>
              <w:jc w:val="center"/>
              <w:rPr/>
            </w:pPr>
            <w:r>
              <w:rPr/>
              <w:t> </w:t>
            </w:r>
          </w:p>
        </w:tc>
        <w:tc>
          <w:tcPr>
            <w:tcW w:w="75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3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8" w:type="dxa"/>
            <w:tcBorders/>
            <w:shd w:fill="auto" w:val="clear"/>
            <w:vAlign w:val="bottom"/>
          </w:tcPr>
          <w:p>
            <w:pPr>
              <w:pStyle w:val="TableContents"/>
              <w:spacing w:before="0" w:after="0"/>
              <w:ind w:left="0" w:right="0" w:hanging="0"/>
              <w:jc w:val="center"/>
              <w:rPr/>
            </w:pPr>
            <w:r>
              <w:rPr/>
              <w:t> </w:t>
            </w:r>
          </w:p>
        </w:tc>
        <w:tc>
          <w:tcPr>
            <w:tcW w:w="66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0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56" w:type="dxa"/>
            <w:tcBorders/>
            <w:shd w:fill="auto" w:val="cle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0"/>
              <w:ind w:left="0" w:right="0" w:hanging="0"/>
              <w:jc w:val="center"/>
              <w:rPr/>
            </w:pPr>
            <w:r>
              <w:rPr/>
              <w:t> </w:t>
            </w:r>
          </w:p>
        </w:tc>
        <w:tc>
          <w:tcPr>
            <w:tcW w:w="75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3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8" w:type="dxa"/>
            <w:tcBorders/>
            <w:shd w:fill="auto" w:val="clear"/>
            <w:vAlign w:val="bottom"/>
          </w:tcPr>
          <w:p>
            <w:pPr>
              <w:pStyle w:val="TableContents"/>
              <w:spacing w:before="0" w:after="0"/>
              <w:ind w:left="0" w:right="0" w:hanging="0"/>
              <w:jc w:val="center"/>
              <w:rPr/>
            </w:pPr>
            <w:r>
              <w:rPr/>
              <w:t> </w:t>
            </w:r>
          </w:p>
        </w:tc>
        <w:tc>
          <w:tcPr>
            <w:tcW w:w="66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1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0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47" w:type="dxa"/>
            <w:tcBorders/>
            <w:shd w:fill="auto" w:val="clear"/>
            <w:vAlign w:val="bottom"/>
          </w:tcPr>
          <w:p>
            <w:pPr>
              <w:pStyle w:val="TableContents"/>
              <w:spacing w:before="0" w:after="0"/>
              <w:ind w:left="0" w:right="0" w:hanging="0"/>
              <w:jc w:val="center"/>
              <w:rPr/>
            </w:pPr>
            <w:r>
              <w:rPr/>
              <w:t> </w:t>
            </w:r>
          </w:p>
        </w:tc>
      </w:tr>
      <w:tr>
        <w:trPr/>
        <w:tc>
          <w:tcPr>
            <w:tcW w:w="35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terminalling and storage (average monthly capacity in millions of barrels)</w:t>
            </w:r>
          </w:p>
        </w:tc>
        <w:tc>
          <w:tcPr>
            <w:tcW w:w="108" w:type="dxa"/>
            <w:tcBorders/>
            <w:shd w:fill="CCEEFF" w:val="clear"/>
            <w:vAlign w:val="bottom"/>
          </w:tcPr>
          <w:p>
            <w:pPr>
              <w:pStyle w:val="TableContents"/>
              <w:spacing w:before="0" w:after="0"/>
              <w:ind w:left="0" w:right="0" w:hanging="0"/>
              <w:rPr/>
            </w:pPr>
            <w:r>
              <w:rPr/>
              <w:t> </w:t>
            </w:r>
          </w:p>
        </w:tc>
        <w:tc>
          <w:tcPr>
            <w:tcW w:w="7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30" w:type="dxa"/>
            <w:tcBorders/>
            <w:shd w:fill="CCEEFF" w:val="clear"/>
            <w:vAlign w:val="bottom"/>
          </w:tcPr>
          <w:p>
            <w:pPr>
              <w:pStyle w:val="TableContents"/>
              <w:spacing w:before="0" w:after="0"/>
              <w:ind w:left="0" w:right="0" w:hanging="0"/>
              <w:rPr/>
            </w:pPr>
            <w:r>
              <w:rPr/>
              <w:t> </w:t>
            </w:r>
          </w:p>
        </w:tc>
        <w:tc>
          <w:tcPr>
            <w:tcW w:w="7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08" w:type="dxa"/>
            <w:tcBorders/>
            <w:shd w:fill="CCEEFF" w:val="clear"/>
            <w:vAlign w:val="bottom"/>
          </w:tcPr>
          <w:p>
            <w:pPr>
              <w:pStyle w:val="TableContents"/>
              <w:spacing w:before="0" w:after="0"/>
              <w:ind w:left="0" w:right="0" w:hanging="0"/>
              <w:rPr/>
            </w:pPr>
            <w:r>
              <w:rPr/>
              <w:t> </w:t>
            </w:r>
          </w:p>
        </w:tc>
        <w:tc>
          <w:tcPr>
            <w:tcW w:w="6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8" w:type="dxa"/>
            <w:tcBorders/>
            <w:shd w:fill="CCEEFF" w:val="clear"/>
            <w:vAlign w:val="bottom"/>
          </w:tcPr>
          <w:p>
            <w:pPr>
              <w:pStyle w:val="TableContents"/>
              <w:spacing w:before="0" w:after="0"/>
              <w:ind w:left="0" w:right="0" w:hanging="0"/>
              <w:rPr/>
            </w:pPr>
            <w:r>
              <w:rPr/>
              <w:t> </w:t>
            </w:r>
          </w:p>
        </w:tc>
        <w:tc>
          <w:tcPr>
            <w:tcW w:w="5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 w:type="dxa"/>
            <w:tcBorders/>
            <w:shd w:fill="CCEEFF" w:val="clear"/>
            <w:vAlign w:val="bottom"/>
          </w:tcPr>
          <w:p>
            <w:pPr>
              <w:pStyle w:val="TableContents"/>
              <w:spacing w:before="0" w:after="0"/>
              <w:ind w:left="0" w:right="0" w:hanging="0"/>
              <w:rPr/>
            </w:pPr>
            <w:r>
              <w:rPr/>
              <w:t> </w:t>
            </w:r>
          </w:p>
        </w:tc>
        <w:tc>
          <w:tcPr>
            <w:tcW w:w="7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30" w:type="dxa"/>
            <w:tcBorders/>
            <w:shd w:fill="CCEEFF" w:val="clear"/>
            <w:vAlign w:val="bottom"/>
          </w:tcPr>
          <w:p>
            <w:pPr>
              <w:pStyle w:val="TableContents"/>
              <w:spacing w:before="0" w:after="0"/>
              <w:ind w:left="0" w:right="0" w:hanging="0"/>
              <w:rPr/>
            </w:pPr>
            <w:r>
              <w:rPr/>
              <w:t> </w:t>
            </w:r>
          </w:p>
        </w:tc>
        <w:tc>
          <w:tcPr>
            <w:tcW w:w="7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08" w:type="dxa"/>
            <w:tcBorders/>
            <w:shd w:fill="CCEEFF" w:val="clear"/>
            <w:vAlign w:val="bottom"/>
          </w:tcPr>
          <w:p>
            <w:pPr>
              <w:pStyle w:val="TableContents"/>
              <w:spacing w:before="0" w:after="0"/>
              <w:ind w:left="0" w:right="0" w:hanging="0"/>
              <w:rPr/>
            </w:pPr>
            <w:r>
              <w:rPr/>
              <w:t> </w:t>
            </w:r>
          </w:p>
        </w:tc>
        <w:tc>
          <w:tcPr>
            <w:tcW w:w="6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8" w:type="dxa"/>
            <w:tcBorders/>
            <w:shd w:fill="CCEEFF" w:val="clear"/>
            <w:vAlign w:val="bottom"/>
          </w:tcPr>
          <w:p>
            <w:pPr>
              <w:pStyle w:val="TableContents"/>
              <w:spacing w:before="0" w:after="0"/>
              <w:ind w:left="0" w:right="0" w:hanging="0"/>
              <w:rPr/>
            </w:pPr>
            <w:r>
              <w:rPr/>
              <w:t> </w:t>
            </w:r>
          </w:p>
        </w:tc>
        <w:tc>
          <w:tcPr>
            <w:tcW w:w="5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5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Rail load / unload volumes (average volumes in thousands of barrels per day)</w:t>
            </w:r>
          </w:p>
        </w:tc>
        <w:tc>
          <w:tcPr>
            <w:tcW w:w="108" w:type="dxa"/>
            <w:tcBorders/>
            <w:shd w:fill="auto" w:val="clear"/>
            <w:vAlign w:val="bottom"/>
          </w:tcPr>
          <w:p>
            <w:pPr>
              <w:pStyle w:val="TableContents"/>
              <w:spacing w:before="0" w:after="0"/>
              <w:ind w:left="0" w:right="0" w:hanging="0"/>
              <w:rPr/>
            </w:pPr>
            <w:r>
              <w:rPr/>
              <w:t> </w:t>
            </w:r>
          </w:p>
        </w:tc>
        <w:tc>
          <w:tcPr>
            <w:tcW w:w="7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130" w:type="dxa"/>
            <w:tcBorders/>
            <w:shd w:fill="auto" w:val="clear"/>
            <w:vAlign w:val="bottom"/>
          </w:tcPr>
          <w:p>
            <w:pPr>
              <w:pStyle w:val="TableContents"/>
              <w:spacing w:before="0" w:after="0"/>
              <w:ind w:left="0" w:right="0" w:hanging="0"/>
              <w:rPr/>
            </w:pPr>
            <w:r>
              <w:rPr/>
              <w:t> </w:t>
            </w:r>
          </w:p>
        </w:tc>
        <w:tc>
          <w:tcPr>
            <w:tcW w:w="7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8" w:type="dxa"/>
            <w:tcBorders/>
            <w:shd w:fill="auto" w:val="clear"/>
            <w:vAlign w:val="bottom"/>
          </w:tcPr>
          <w:p>
            <w:pPr>
              <w:pStyle w:val="TableContents"/>
              <w:spacing w:before="0" w:after="0"/>
              <w:ind w:left="0" w:right="0" w:hanging="0"/>
              <w:rPr/>
            </w:pPr>
            <w:r>
              <w:rPr/>
              <w:t> </w:t>
            </w:r>
          </w:p>
        </w:tc>
        <w:tc>
          <w:tcPr>
            <w:tcW w:w="66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108" w:type="dxa"/>
            <w:tcBorders/>
            <w:shd w:fill="auto" w:val="clear"/>
            <w:vAlign w:val="bottom"/>
          </w:tcPr>
          <w:p>
            <w:pPr>
              <w:pStyle w:val="TableContents"/>
              <w:spacing w:before="0" w:after="0"/>
              <w:ind w:left="0" w:right="0" w:hanging="0"/>
              <w:rPr/>
            </w:pPr>
            <w:r>
              <w:rPr/>
              <w:t> </w:t>
            </w:r>
          </w:p>
        </w:tc>
        <w:tc>
          <w:tcPr>
            <w:tcW w:w="5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15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7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30" w:type="dxa"/>
            <w:tcBorders/>
            <w:shd w:fill="auto" w:val="clear"/>
            <w:vAlign w:val="bottom"/>
          </w:tcPr>
          <w:p>
            <w:pPr>
              <w:pStyle w:val="TableContents"/>
              <w:spacing w:before="0" w:after="0"/>
              <w:ind w:left="0" w:right="0" w:hanging="0"/>
              <w:rPr/>
            </w:pPr>
            <w:r>
              <w:rPr/>
              <w:t> </w:t>
            </w:r>
          </w:p>
        </w:tc>
        <w:tc>
          <w:tcPr>
            <w:tcW w:w="7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8" w:type="dxa"/>
            <w:tcBorders/>
            <w:shd w:fill="auto" w:val="clear"/>
            <w:vAlign w:val="bottom"/>
          </w:tcPr>
          <w:p>
            <w:pPr>
              <w:pStyle w:val="TableContents"/>
              <w:spacing w:before="0" w:after="0"/>
              <w:ind w:left="0" w:right="0" w:hanging="0"/>
              <w:rPr/>
            </w:pPr>
            <w:r>
              <w:rPr/>
              <w:t> </w:t>
            </w:r>
          </w:p>
        </w:tc>
        <w:tc>
          <w:tcPr>
            <w:tcW w:w="66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108" w:type="dxa"/>
            <w:tcBorders/>
            <w:shd w:fill="auto" w:val="clear"/>
            <w:vAlign w:val="bottom"/>
          </w:tcPr>
          <w:p>
            <w:pPr>
              <w:pStyle w:val="TableContents"/>
              <w:spacing w:before="0" w:after="0"/>
              <w:ind w:left="0" w:right="0" w:hanging="0"/>
              <w:rPr/>
            </w:pPr>
            <w:r>
              <w:rPr/>
              <w:t> </w:t>
            </w:r>
          </w:p>
        </w:tc>
        <w:tc>
          <w:tcPr>
            <w:tcW w:w="5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247" w:type="dxa"/>
            <w:tcBorders/>
            <w:shd w:fill="auto" w:val="clear"/>
            <w:vAlign w:val="bottom"/>
          </w:tcPr>
          <w:p>
            <w:pPr>
              <w:pStyle w:val="TableContents"/>
              <w:spacing w:before="0" w:after="0"/>
              <w:ind w:left="0" w:right="0" w:hanging="0"/>
              <w:rPr/>
            </w:pPr>
            <w:r>
              <w:rPr/>
              <w:t> </w:t>
            </w:r>
          </w:p>
        </w:tc>
      </w:tr>
      <w:tr>
        <w:trPr/>
        <w:tc>
          <w:tcPr>
            <w:tcW w:w="35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108" w:type="dxa"/>
            <w:tcBorders/>
            <w:shd w:fill="CCEEFF" w:val="clear"/>
            <w:vAlign w:val="bottom"/>
          </w:tcPr>
          <w:p>
            <w:pPr>
              <w:pStyle w:val="TableContents"/>
              <w:spacing w:before="0" w:after="0"/>
              <w:ind w:left="0" w:right="0" w:hanging="0"/>
              <w:rPr/>
            </w:pPr>
            <w:r>
              <w:rPr/>
              <w:t> </w:t>
            </w:r>
          </w:p>
        </w:tc>
        <w:tc>
          <w:tcPr>
            <w:tcW w:w="7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30" w:type="dxa"/>
            <w:tcBorders/>
            <w:shd w:fill="CCEEFF" w:val="clear"/>
            <w:vAlign w:val="bottom"/>
          </w:tcPr>
          <w:p>
            <w:pPr>
              <w:pStyle w:val="TableContents"/>
              <w:spacing w:before="0" w:after="0"/>
              <w:ind w:left="0" w:right="0" w:hanging="0"/>
              <w:rPr/>
            </w:pPr>
            <w:r>
              <w:rPr/>
              <w:t> </w:t>
            </w:r>
          </w:p>
        </w:tc>
        <w:tc>
          <w:tcPr>
            <w:tcW w:w="7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108" w:type="dxa"/>
            <w:tcBorders/>
            <w:shd w:fill="CCEEFF" w:val="clear"/>
            <w:vAlign w:val="bottom"/>
          </w:tcPr>
          <w:p>
            <w:pPr>
              <w:pStyle w:val="TableContents"/>
              <w:spacing w:before="0" w:after="0"/>
              <w:ind w:left="0" w:right="0" w:hanging="0"/>
              <w:rPr/>
            </w:pPr>
            <w:r>
              <w:rPr/>
              <w:t> </w:t>
            </w:r>
          </w:p>
        </w:tc>
        <w:tc>
          <w:tcPr>
            <w:tcW w:w="6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08" w:type="dxa"/>
            <w:tcBorders/>
            <w:shd w:fill="CCEEFF" w:val="clear"/>
            <w:vAlign w:val="bottom"/>
          </w:tcPr>
          <w:p>
            <w:pPr>
              <w:pStyle w:val="TableContents"/>
              <w:spacing w:before="0" w:after="0"/>
              <w:ind w:left="0" w:right="0" w:hanging="0"/>
              <w:rPr/>
            </w:pPr>
            <w:r>
              <w:rPr/>
              <w:t> </w:t>
            </w:r>
          </w:p>
        </w:tc>
        <w:tc>
          <w:tcPr>
            <w:tcW w:w="5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5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 w:type="dxa"/>
            <w:tcBorders/>
            <w:shd w:fill="CCEEFF" w:val="clear"/>
            <w:vAlign w:val="bottom"/>
          </w:tcPr>
          <w:p>
            <w:pPr>
              <w:pStyle w:val="TableContents"/>
              <w:spacing w:before="0" w:after="0"/>
              <w:ind w:left="0" w:right="0" w:hanging="0"/>
              <w:rPr/>
            </w:pPr>
            <w:r>
              <w:rPr/>
              <w:t> </w:t>
            </w:r>
          </w:p>
        </w:tc>
        <w:tc>
          <w:tcPr>
            <w:tcW w:w="7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30" w:type="dxa"/>
            <w:tcBorders/>
            <w:shd w:fill="CCEEFF" w:val="clear"/>
            <w:vAlign w:val="bottom"/>
          </w:tcPr>
          <w:p>
            <w:pPr>
              <w:pStyle w:val="TableContents"/>
              <w:spacing w:before="0" w:after="0"/>
              <w:ind w:left="0" w:right="0" w:hanging="0"/>
              <w:rPr/>
            </w:pPr>
            <w:r>
              <w:rPr/>
              <w:t> </w:t>
            </w:r>
          </w:p>
        </w:tc>
        <w:tc>
          <w:tcPr>
            <w:tcW w:w="7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08" w:type="dxa"/>
            <w:tcBorders/>
            <w:shd w:fill="CCEEFF" w:val="clear"/>
            <w:vAlign w:val="bottom"/>
          </w:tcPr>
          <w:p>
            <w:pPr>
              <w:pStyle w:val="TableContents"/>
              <w:spacing w:before="0" w:after="0"/>
              <w:ind w:left="0" w:right="0" w:hanging="0"/>
              <w:rPr/>
            </w:pPr>
            <w:r>
              <w:rPr/>
              <w:t> </w:t>
            </w:r>
          </w:p>
        </w:tc>
        <w:tc>
          <w:tcPr>
            <w:tcW w:w="6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08" w:type="dxa"/>
            <w:tcBorders/>
            <w:shd w:fill="CCEEFF" w:val="clear"/>
            <w:vAlign w:val="bottom"/>
          </w:tcPr>
          <w:p>
            <w:pPr>
              <w:pStyle w:val="TableContents"/>
              <w:spacing w:before="0" w:after="0"/>
              <w:ind w:left="0" w:right="0" w:hanging="0"/>
              <w:rPr/>
            </w:pPr>
            <w:r>
              <w:rPr/>
              <w:t> </w:t>
            </w:r>
          </w:p>
        </w:tc>
        <w:tc>
          <w:tcPr>
            <w:tcW w:w="5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54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 (average volumes in thousands of barrels per day)</w:t>
            </w:r>
          </w:p>
        </w:tc>
        <w:tc>
          <w:tcPr>
            <w:tcW w:w="108" w:type="dxa"/>
            <w:tcBorders/>
            <w:shd w:fill="auto" w:val="clear"/>
            <w:vAlign w:val="bottom"/>
          </w:tcPr>
          <w:p>
            <w:pPr>
              <w:pStyle w:val="TableContents"/>
              <w:spacing w:before="0" w:after="0"/>
              <w:ind w:left="0" w:right="0" w:hanging="0"/>
              <w:rPr/>
            </w:pPr>
            <w:r>
              <w:rPr/>
              <w:t> </w:t>
            </w:r>
          </w:p>
        </w:tc>
        <w:tc>
          <w:tcPr>
            <w:tcW w:w="75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30" w:type="dxa"/>
            <w:tcBorders/>
            <w:shd w:fill="auto" w:val="clear"/>
            <w:vAlign w:val="bottom"/>
          </w:tcPr>
          <w:p>
            <w:pPr>
              <w:pStyle w:val="TableContents"/>
              <w:spacing w:before="0" w:after="0"/>
              <w:ind w:left="0" w:right="0" w:hanging="0"/>
              <w:rPr/>
            </w:pPr>
            <w:r>
              <w:rPr/>
              <w:t> </w:t>
            </w:r>
          </w:p>
        </w:tc>
        <w:tc>
          <w:tcPr>
            <w:tcW w:w="7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08" w:type="dxa"/>
            <w:tcBorders/>
            <w:shd w:fill="auto" w:val="clear"/>
            <w:vAlign w:val="bottom"/>
          </w:tcPr>
          <w:p>
            <w:pPr>
              <w:pStyle w:val="TableContents"/>
              <w:spacing w:before="0" w:after="0"/>
              <w:ind w:left="0" w:right="0" w:hanging="0"/>
              <w:rPr/>
            </w:pPr>
            <w:r>
              <w:rPr/>
              <w:t> </w:t>
            </w:r>
          </w:p>
        </w:tc>
        <w:tc>
          <w:tcPr>
            <w:tcW w:w="66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08" w:type="dxa"/>
            <w:tcBorders/>
            <w:shd w:fill="auto" w:val="clear"/>
            <w:vAlign w:val="bottom"/>
          </w:tcPr>
          <w:p>
            <w:pPr>
              <w:pStyle w:val="TableContents"/>
              <w:spacing w:before="0" w:after="0"/>
              <w:ind w:left="0" w:right="0" w:hanging="0"/>
              <w:rPr/>
            </w:pPr>
            <w:r>
              <w:rPr/>
              <w:t> </w:t>
            </w:r>
          </w:p>
        </w:tc>
        <w:tc>
          <w:tcPr>
            <w:tcW w:w="5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5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 w:type="dxa"/>
            <w:tcBorders/>
            <w:shd w:fill="auto" w:val="clear"/>
            <w:vAlign w:val="bottom"/>
          </w:tcPr>
          <w:p>
            <w:pPr>
              <w:pStyle w:val="TableContents"/>
              <w:spacing w:before="0" w:after="0"/>
              <w:ind w:left="0" w:right="0" w:hanging="0"/>
              <w:rPr/>
            </w:pPr>
            <w:r>
              <w:rPr/>
              <w:t> </w:t>
            </w:r>
          </w:p>
        </w:tc>
        <w:tc>
          <w:tcPr>
            <w:tcW w:w="7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30" w:type="dxa"/>
            <w:tcBorders/>
            <w:shd w:fill="auto" w:val="clear"/>
            <w:vAlign w:val="bottom"/>
          </w:tcPr>
          <w:p>
            <w:pPr>
              <w:pStyle w:val="TableContents"/>
              <w:spacing w:before="0" w:after="0"/>
              <w:ind w:left="0" w:right="0" w:hanging="0"/>
              <w:rPr/>
            </w:pPr>
            <w:r>
              <w:rPr/>
              <w:t> </w:t>
            </w:r>
          </w:p>
        </w:tc>
        <w:tc>
          <w:tcPr>
            <w:tcW w:w="75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08" w:type="dxa"/>
            <w:tcBorders/>
            <w:shd w:fill="auto" w:val="clear"/>
            <w:vAlign w:val="bottom"/>
          </w:tcPr>
          <w:p>
            <w:pPr>
              <w:pStyle w:val="TableContents"/>
              <w:spacing w:before="0" w:after="0"/>
              <w:ind w:left="0" w:right="0" w:hanging="0"/>
              <w:rPr/>
            </w:pPr>
            <w:r>
              <w:rPr/>
              <w:t> </w:t>
            </w:r>
          </w:p>
        </w:tc>
        <w:tc>
          <w:tcPr>
            <w:tcW w:w="66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8" w:type="dxa"/>
            <w:tcBorders/>
            <w:shd w:fill="auto" w:val="clear"/>
            <w:vAlign w:val="bottom"/>
          </w:tcPr>
          <w:p>
            <w:pPr>
              <w:pStyle w:val="TableContents"/>
              <w:spacing w:before="0" w:after="0"/>
              <w:ind w:left="0" w:right="0" w:hanging="0"/>
              <w:rPr/>
            </w:pPr>
            <w:r>
              <w:rPr/>
              <w:t> </w:t>
            </w:r>
          </w:p>
        </w:tc>
        <w:tc>
          <w:tcPr>
            <w:tcW w:w="5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5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 segment total (average monthly volumes in millions of barrels)</w:t>
            </w:r>
          </w:p>
        </w:tc>
        <w:tc>
          <w:tcPr>
            <w:tcW w:w="108" w:type="dxa"/>
            <w:tcBorders/>
            <w:shd w:fill="CCEEFF" w:val="clear"/>
            <w:vAlign w:val="bottom"/>
          </w:tcPr>
          <w:p>
            <w:pPr>
              <w:pStyle w:val="TableContents"/>
              <w:spacing w:before="0" w:after="0"/>
              <w:ind w:left="0" w:right="0" w:hanging="0"/>
              <w:rPr/>
            </w:pPr>
            <w:r>
              <w:rPr/>
              <w:t> </w:t>
            </w:r>
          </w:p>
        </w:tc>
        <w:tc>
          <w:tcPr>
            <w:tcW w:w="75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30" w:type="dxa"/>
            <w:tcBorders/>
            <w:shd w:fill="CCEEFF" w:val="clear"/>
            <w:vAlign w:val="bottom"/>
          </w:tcPr>
          <w:p>
            <w:pPr>
              <w:pStyle w:val="TableContents"/>
              <w:spacing w:before="0" w:after="0"/>
              <w:ind w:left="0" w:right="0" w:hanging="0"/>
              <w:rPr/>
            </w:pPr>
            <w:r>
              <w:rPr/>
              <w:t> </w:t>
            </w:r>
          </w:p>
        </w:tc>
        <w:tc>
          <w:tcPr>
            <w:tcW w:w="7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108" w:type="dxa"/>
            <w:tcBorders/>
            <w:shd w:fill="CCEEFF" w:val="clear"/>
            <w:vAlign w:val="bottom"/>
          </w:tcPr>
          <w:p>
            <w:pPr>
              <w:pStyle w:val="TableContents"/>
              <w:spacing w:before="0" w:after="0"/>
              <w:ind w:left="0" w:right="0" w:hanging="0"/>
              <w:rPr/>
            </w:pPr>
            <w:r>
              <w:rPr/>
              <w:t> </w:t>
            </w:r>
          </w:p>
        </w:tc>
        <w:tc>
          <w:tcPr>
            <w:tcW w:w="6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08" w:type="dxa"/>
            <w:tcBorders/>
            <w:shd w:fill="CCEEFF" w:val="clear"/>
            <w:vAlign w:val="bottom"/>
          </w:tcPr>
          <w:p>
            <w:pPr>
              <w:pStyle w:val="TableContents"/>
              <w:spacing w:before="0" w:after="0"/>
              <w:ind w:left="0" w:right="0" w:hanging="0"/>
              <w:rPr/>
            </w:pPr>
            <w:r>
              <w:rPr/>
              <w:t> </w:t>
            </w:r>
          </w:p>
        </w:tc>
        <w:tc>
          <w:tcPr>
            <w:tcW w:w="5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5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 w:type="dxa"/>
            <w:tcBorders/>
            <w:shd w:fill="CCEEFF" w:val="clear"/>
            <w:vAlign w:val="bottom"/>
          </w:tcPr>
          <w:p>
            <w:pPr>
              <w:pStyle w:val="TableContents"/>
              <w:spacing w:before="0" w:after="0"/>
              <w:ind w:left="0" w:right="0" w:hanging="0"/>
              <w:rPr/>
            </w:pPr>
            <w:r>
              <w:rPr/>
              <w:t> </w:t>
            </w:r>
          </w:p>
        </w:tc>
        <w:tc>
          <w:tcPr>
            <w:tcW w:w="7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30" w:type="dxa"/>
            <w:tcBorders/>
            <w:shd w:fill="CCEEFF" w:val="clear"/>
            <w:vAlign w:val="bottom"/>
          </w:tcPr>
          <w:p>
            <w:pPr>
              <w:pStyle w:val="TableContents"/>
              <w:spacing w:before="0" w:after="0"/>
              <w:ind w:left="0" w:right="0" w:hanging="0"/>
              <w:rPr/>
            </w:pPr>
            <w:r>
              <w:rPr/>
              <w:t> </w:t>
            </w:r>
          </w:p>
        </w:tc>
        <w:tc>
          <w:tcPr>
            <w:tcW w:w="75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08" w:type="dxa"/>
            <w:tcBorders/>
            <w:shd w:fill="CCEEFF" w:val="clear"/>
            <w:vAlign w:val="bottom"/>
          </w:tcPr>
          <w:p>
            <w:pPr>
              <w:pStyle w:val="TableContents"/>
              <w:spacing w:before="0" w:after="0"/>
              <w:ind w:left="0" w:right="0" w:hanging="0"/>
              <w:rPr/>
            </w:pPr>
            <w:r>
              <w:rPr/>
              <w:t> </w:t>
            </w:r>
          </w:p>
        </w:tc>
        <w:tc>
          <w:tcPr>
            <w:tcW w:w="66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08" w:type="dxa"/>
            <w:tcBorders/>
            <w:shd w:fill="CCEEFF" w:val="clear"/>
            <w:vAlign w:val="bottom"/>
          </w:tcPr>
          <w:p>
            <w:pPr>
              <w:pStyle w:val="TableContents"/>
              <w:spacing w:before="0" w:after="0"/>
              <w:ind w:left="0" w:right="0" w:hanging="0"/>
              <w:rPr/>
            </w:pPr>
            <w:r>
              <w:rPr/>
              <w:t> </w:t>
            </w:r>
          </w:p>
        </w:tc>
        <w:tc>
          <w:tcPr>
            <w:tcW w:w="5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w:t>
      </w:r>
      <w:r>
        <w:rPr>
          <w:rFonts w:ascii="Times New Roman" w:hAnsi="Times New Roman"/>
          <w:sz w:val="17"/>
        </w:rPr>
        <w:t>Revenues and expenses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w:t>
      </w:r>
      <w:r>
        <w:rPr>
          <w:rFonts w:ascii="Times New Roman" w:hAnsi="Times New Roman"/>
          <w:sz w:val="17"/>
        </w:rPr>
        <w:t>Natural gas sales and costs are attributable to the activities performed by PNGs commercial optimization group.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w:t>
      </w:r>
      <w:r>
        <w:rPr>
          <w:rFonts w:ascii="Times New Roman" w:hAnsi="Times New Roman"/>
          <w:sz w:val="17"/>
        </w:rPr>
        <w:t>Equity-indexed compensation expense shown in the table above includes expenses associated with awards that will or may be settled in units and awards that will or may be settled in cash.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w:t>
      </w:r>
      <w:r>
        <w:rPr>
          <w:rFonts w:ascii="Times New Roman" w:hAnsi="Times New Roman"/>
          <w:sz w:val="17"/>
        </w:rPr>
        <w:t>Volumes associated with acquisitions represent total volumes for the number of months we actually owned the assets divided by the number of months in the period.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(6)</w:t>
      </w:r>
      <w:r>
        <w:rPr>
          <w:rFonts w:ascii="Times New Roman" w:hAnsi="Times New Roman"/>
        </w:rPr>
        <w:t>                        </w:t>
      </w:r>
      <w:r>
        <w:rPr>
          <w:rFonts w:ascii="Times New Roman" w:hAnsi="Times New Roman"/>
          <w:sz w:val="17"/>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Facilities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Operating Revenues and Volumes.</w:t>
      </w:r>
      <w:r>
        <w:rPr>
          <w:rFonts w:ascii="Times New Roman" w:hAnsi="Times New Roman"/>
        </w:rPr>
        <w:t xml:space="preserve">  </w:t>
      </w:r>
      <w:r>
        <w:rPr>
          <w:rFonts w:ascii="Times New Roman" w:hAnsi="Times New Roman"/>
          <w:sz w:val="17"/>
        </w:rPr>
        <w:t>As noted in the tables above, our Facilities segment revenues, less storage related costs and natural gas sales costs, and volumes increased for the three and nine months ended September 30, 2013 compared to the same periods of 2012.  The significant variances in revenues and average monthly volumes between the comparative periods are primarily due to our acquisitions and ongoing expansion activities as discussed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Rail Terminal Acquisition and Expansion Projects  The USD Rail Terminal Acquisition completed in December 2012 and related internal growth projects completed during the latter portion of 2012 expanded our rail loading and unloading fee-based activities. These rail load and unload activities contributed approximately $26 million and $76 million to the increase in total revenues for the three and nine months ended September 30, 2013 over the three and nine months ended September 30, 2012, respectively, and increased average throughput volumes by approximately 218,000 and 221,000 barrels per day during the respective comparative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NGL Storage, Fractionation and Gas Processing Activities  We acquired NGL storage facilities, fractionation plants and related assets through the BP NGL Acquisition completed on April 1, 2012.  During the first quarter of 2013, we benefited from a full period of ownership of these assets, which contributed approximately $66 million of aggregate revenues, 14 million barrels of average monthly capacity of NGL storage capacity, and 87,000 barrels per day of average NGL fractionation throughput during the three-month period ended March 31,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Excluding the impact of the acquisition as discussed above, our NGL storage, fractionation and gas processing revenues for the nine-month periods ended September 30, 2013 increased by approximately $15 million over the comparable nine-month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64" w:name="PB_38_133934_3020"/>
      <w:bookmarkEnd w:id="6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period, primarily due to physical processing gains recognized at certain owned facilities. Volumes were relatively consistent for the three and nine month periods ended September 30, 2013 compared to the same 2012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Expansion Projects  We estimate that expansion projects that were completed in phases throughout recent years at some of our major terminal locations favorably impacted revenues for the nine months ended September 30, 2013 compared to the nine months ended September 30, 2012 by approximately $14 million.  Such projects included completed phases of expansions at our Cushing, Patoka, St. James and Yorktown terminals and new condensate stabilizers at our Gardendale terminal.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Field Operating Costs. </w:t>
      </w:r>
      <w:r>
        <w:rPr>
          <w:rFonts w:ascii="Times New Roman" w:hAnsi="Times New Roman"/>
          <w:sz w:val="17"/>
        </w:rPr>
        <w:t>Field operating costs (excluding equity-indexed compensation expense) increased during the three and nine months ended September 30, 2013 compared to the three and nine months ended September 30, 2012 due to our growth through acquisitions, primarily the BP NGL and USD Rail Terminal Acquisitions. A portion of the increase for the three-month period was related to additional costs for integrity and other maintenance, particularly on the assets that were part of the BP NGL Acquisition. Additionally, the BP NGL Acquisition assets and operations typically have a higher ratio of operating costs to revenue than our historic operations in this segment.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Maintenance Capital. </w:t>
      </w:r>
      <w:r>
        <w:rPr>
          <w:rFonts w:ascii="Times New Roman" w:hAnsi="Times New Roman"/>
          <w:sz w:val="17"/>
        </w:rPr>
        <w:t>Maintenance capital consists of capital investments for the replacement of partially or fully depreciated assets in order to maintain the service capability, level of production and/or functionality of our existing assets.  The decrease in maintenance capital during the three and nine months ended September 30, 2013 compared to the three and nine months ended September 30, 2012 is primarily due to completion of two major projects in 2012.</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Supply and Logistics Segment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revenues from supply and logistics activities reflect the sale of gathered and bulk-purchased crude oil, as well as sales of NGL volumes purchased from suppliers. These revenues also include the sale of additional barrels exchanged through buy/sell arrangements entered into to supplement the margins of the gathered and bulk-purchased volumes.  We do not anticipate that future changes in revenues resulting from variances in commodity prices will be a primary driver of segment profit.  Generally, we expect our segment profit to increase or decrease directionally with (i) increases or decreases in our Supply and Logistics segment volumes (which consist of lease gathered crude oil purchase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sets forth our operating results from our Supply and Logistics segment for the periods indicated: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42"/>
        <w:gridCol w:w="183"/>
        <w:gridCol w:w="110"/>
        <w:gridCol w:w="547"/>
        <w:gridCol w:w="188"/>
        <w:gridCol w:w="110"/>
        <w:gridCol w:w="525"/>
        <w:gridCol w:w="188"/>
        <w:gridCol w:w="110"/>
        <w:gridCol w:w="525"/>
        <w:gridCol w:w="188"/>
        <w:gridCol w:w="408"/>
        <w:gridCol w:w="206"/>
        <w:gridCol w:w="98"/>
        <w:gridCol w:w="786"/>
        <w:gridCol w:w="546"/>
        <w:gridCol w:w="188"/>
        <w:gridCol w:w="110"/>
        <w:gridCol w:w="547"/>
        <w:gridCol w:w="188"/>
        <w:gridCol w:w="110"/>
        <w:gridCol w:w="525"/>
        <w:gridCol w:w="188"/>
        <w:gridCol w:w="569"/>
        <w:gridCol w:w="220"/>
      </w:tblGrid>
      <w:tr>
        <w:trPr/>
        <w:tc>
          <w:tcPr>
            <w:tcW w:w="2842"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657" w:type="dxa"/>
            <w:gridSpan w:val="2"/>
            <w:tcBorders/>
            <w:shd w:fill="auto" w:val="clear"/>
            <w:vAlign w:val="bottom"/>
          </w:tcPr>
          <w:p>
            <w:pPr>
              <w:pStyle w:val="TableContents"/>
              <w:spacing w:before="0" w:after="0"/>
              <w:ind w:left="0" w:right="0" w:hanging="0"/>
              <w:jc w:val="center"/>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635" w:type="dxa"/>
            <w:gridSpan w:val="2"/>
            <w:tcBorders/>
            <w:shd w:fill="auto" w:val="clear"/>
            <w:vAlign w:val="bottom"/>
          </w:tcPr>
          <w:p>
            <w:pPr>
              <w:pStyle w:val="TableContents"/>
              <w:spacing w:before="0" w:after="0"/>
              <w:ind w:left="0" w:right="0" w:hanging="0"/>
              <w:jc w:val="center"/>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123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06" w:type="dxa"/>
            <w:tcBorders/>
            <w:shd w:fill="auto" w:val="clear"/>
            <w:vAlign w:val="bottom"/>
          </w:tcPr>
          <w:p>
            <w:pPr>
              <w:pStyle w:val="TableContents"/>
              <w:spacing w:before="0" w:after="0"/>
              <w:ind w:left="0" w:right="0" w:hanging="0"/>
              <w:jc w:val="center"/>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1332" w:type="dxa"/>
            <w:gridSpan w:val="2"/>
            <w:tcBorders/>
            <w:shd w:fill="auto" w:val="clear"/>
            <w:vAlign w:val="bottom"/>
          </w:tcPr>
          <w:p>
            <w:pPr>
              <w:pStyle w:val="TableContents"/>
              <w:spacing w:before="0" w:after="0"/>
              <w:ind w:left="0" w:right="0" w:hanging="0"/>
              <w:jc w:val="center"/>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657" w:type="dxa"/>
            <w:gridSpan w:val="2"/>
            <w:tcBorders/>
            <w:shd w:fill="auto" w:val="clear"/>
            <w:vAlign w:val="bottom"/>
          </w:tcPr>
          <w:p>
            <w:pPr>
              <w:pStyle w:val="TableContents"/>
              <w:spacing w:before="0" w:after="0"/>
              <w:ind w:left="0" w:right="0" w:hanging="0"/>
              <w:jc w:val="center"/>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139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20" w:type="dxa"/>
            <w:tcBorders/>
            <w:shd w:fill="auto" w:val="clear"/>
            <w:vAlign w:val="bottom"/>
          </w:tcPr>
          <w:p>
            <w:pPr>
              <w:pStyle w:val="TableContents"/>
              <w:spacing w:before="0" w:after="0"/>
              <w:ind w:left="0" w:right="0" w:hanging="0"/>
              <w:jc w:val="center"/>
              <w:rPr/>
            </w:pPr>
            <w:r>
              <w:rPr/>
              <w:t> </w:t>
            </w:r>
          </w:p>
        </w:tc>
      </w:tr>
      <w:tr>
        <w:trPr/>
        <w:tc>
          <w:tcPr>
            <w:tcW w:w="2842"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148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8" w:type="dxa"/>
            <w:tcBorders/>
            <w:shd w:fill="auto" w:val="clear"/>
            <w:vAlign w:val="bottom"/>
          </w:tcPr>
          <w:p>
            <w:pPr>
              <w:pStyle w:val="TableContents"/>
              <w:spacing w:before="0" w:after="0"/>
              <w:ind w:left="0" w:right="0" w:hanging="0"/>
              <w:jc w:val="center"/>
              <w:rPr/>
            </w:pPr>
            <w:r>
              <w:rPr/>
              <w:t> </w:t>
            </w:r>
          </w:p>
        </w:tc>
        <w:tc>
          <w:tcPr>
            <w:tcW w:w="1231"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06" w:type="dxa"/>
            <w:tcBorders/>
            <w:shd w:fill="auto" w:val="clear"/>
            <w:vAlign w:val="bottom"/>
          </w:tcPr>
          <w:p>
            <w:pPr>
              <w:pStyle w:val="TableContents"/>
              <w:spacing w:before="0" w:after="0"/>
              <w:ind w:left="0" w:right="0" w:hanging="0"/>
              <w:jc w:val="center"/>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217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88" w:type="dxa"/>
            <w:tcBorders/>
            <w:shd w:fill="auto" w:val="clear"/>
            <w:vAlign w:val="bottom"/>
          </w:tcPr>
          <w:p>
            <w:pPr>
              <w:pStyle w:val="TableContents"/>
              <w:spacing w:before="0" w:after="0"/>
              <w:ind w:left="0" w:right="0" w:hanging="0"/>
              <w:jc w:val="center"/>
              <w:rPr/>
            </w:pPr>
            <w:r>
              <w:rPr/>
              <w:t> </w:t>
            </w:r>
          </w:p>
        </w:tc>
        <w:tc>
          <w:tcPr>
            <w:tcW w:w="1392" w:type="dxa"/>
            <w:gridSpan w:val="4"/>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20" w:type="dxa"/>
            <w:tcBorders/>
            <w:shd w:fill="auto" w:val="clear"/>
            <w:vAlign w:val="bottom"/>
          </w:tcPr>
          <w:p>
            <w:pPr>
              <w:pStyle w:val="TableContents"/>
              <w:spacing w:before="0" w:after="0"/>
              <w:ind w:left="0" w:right="0" w:hanging="0"/>
              <w:jc w:val="center"/>
              <w:rPr/>
            </w:pPr>
            <w:r>
              <w:rPr/>
              <w:t> </w:t>
            </w:r>
          </w:p>
        </w:tc>
      </w:tr>
      <w:tr>
        <w:trPr/>
        <w:tc>
          <w:tcPr>
            <w:tcW w:w="2842" w:type="dxa"/>
            <w:tcBorders/>
            <w:shd w:fill="auto" w:val="clear"/>
            <w:vAlign w:val="bottom"/>
          </w:tcPr>
          <w:p>
            <w:pPr>
              <w:pStyle w:val="TableContents"/>
              <w:spacing w:before="0" w:after="0"/>
              <w:ind w:left="0" w:right="0" w:hanging="0"/>
              <w:rPr/>
            </w:pPr>
            <w:r>
              <w:rPr>
                <w:rFonts w:ascii="Times New Roman" w:hAnsi="Times New Roman"/>
                <w:b/>
                <w:sz w:val="13"/>
              </w:rPr>
              <w:t>Operating Results </w:t>
            </w:r>
            <w:r>
              <w:rPr>
                <w:b/>
                <w:sz w:val="8"/>
              </w:rPr>
              <w:t>(1)</w:t>
            </w:r>
          </w:p>
        </w:tc>
        <w:tc>
          <w:tcPr>
            <w:tcW w:w="183" w:type="dxa"/>
            <w:tcBorders/>
            <w:shd w:fill="auto" w:val="clear"/>
            <w:vAlign w:val="bottom"/>
          </w:tcPr>
          <w:p>
            <w:pPr>
              <w:pStyle w:val="TableContents"/>
              <w:spacing w:before="0" w:after="0"/>
              <w:ind w:left="0" w:right="0" w:hanging="0"/>
              <w:jc w:val="center"/>
              <w:rPr/>
            </w:pPr>
            <w:r>
              <w:rPr/>
              <w:t> </w:t>
            </w:r>
          </w:p>
        </w:tc>
        <w:tc>
          <w:tcPr>
            <w:tcW w:w="148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8" w:type="dxa"/>
            <w:tcBorders/>
            <w:shd w:fill="auto" w:val="clear"/>
            <w:vAlign w:val="bottom"/>
          </w:tcPr>
          <w:p>
            <w:pPr>
              <w:pStyle w:val="TableContents"/>
              <w:spacing w:before="0" w:after="0"/>
              <w:ind w:left="0" w:right="0" w:hanging="0"/>
              <w:jc w:val="center"/>
              <w:rPr/>
            </w:pPr>
            <w:r>
              <w:rPr/>
              <w:t> </w:t>
            </w:r>
          </w:p>
        </w:tc>
        <w:tc>
          <w:tcPr>
            <w:tcW w:w="123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06" w:type="dxa"/>
            <w:tcBorders/>
            <w:shd w:fill="auto" w:val="clear"/>
            <w:vAlign w:val="bottom"/>
          </w:tcPr>
          <w:p>
            <w:pPr>
              <w:pStyle w:val="TableContents"/>
              <w:spacing w:before="0" w:after="0"/>
              <w:ind w:left="0" w:right="0" w:hanging="0"/>
              <w:jc w:val="center"/>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217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188" w:type="dxa"/>
            <w:tcBorders/>
            <w:shd w:fill="auto" w:val="clear"/>
            <w:vAlign w:val="bottom"/>
          </w:tcPr>
          <w:p>
            <w:pPr>
              <w:pStyle w:val="TableContents"/>
              <w:spacing w:before="0" w:after="0"/>
              <w:ind w:left="0" w:right="0" w:hanging="0"/>
              <w:jc w:val="center"/>
              <w:rPr/>
            </w:pPr>
            <w:r>
              <w:rPr/>
              <w:t> </w:t>
            </w:r>
          </w:p>
        </w:tc>
        <w:tc>
          <w:tcPr>
            <w:tcW w:w="1392"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20" w:type="dxa"/>
            <w:tcBorders/>
            <w:shd w:fill="auto" w:val="clear"/>
            <w:vAlign w:val="bottom"/>
          </w:tcPr>
          <w:p>
            <w:pPr>
              <w:pStyle w:val="TableContents"/>
              <w:spacing w:before="0" w:after="0"/>
              <w:ind w:left="0" w:right="0" w:hanging="0"/>
              <w:jc w:val="center"/>
              <w:rPr/>
            </w:pPr>
            <w:r>
              <w:rPr/>
              <w:t> </w:t>
            </w:r>
          </w:p>
        </w:tc>
      </w:tr>
      <w:tr>
        <w:trPr/>
        <w:tc>
          <w:tcPr>
            <w:tcW w:w="28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millions, except per barrel amounts)</w:t>
            </w:r>
          </w:p>
        </w:tc>
        <w:tc>
          <w:tcPr>
            <w:tcW w:w="183" w:type="dxa"/>
            <w:tcBorders/>
            <w:shd w:fill="auto" w:val="clear"/>
            <w:vAlign w:val="bottom"/>
          </w:tcPr>
          <w:p>
            <w:pPr>
              <w:pStyle w:val="TableContents"/>
              <w:spacing w:before="0" w:after="0"/>
              <w:ind w:left="0" w:right="0" w:hanging="0"/>
              <w:jc w:val="center"/>
              <w:rPr/>
            </w:pPr>
            <w:r>
              <w:rPr/>
              <w:t> </w:t>
            </w:r>
          </w:p>
        </w:tc>
        <w:tc>
          <w:tcPr>
            <w:tcW w:w="6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88" w:type="dxa"/>
            <w:tcBorders/>
            <w:shd w:fill="auto" w:val="clear"/>
            <w:vAlign w:val="bottom"/>
          </w:tcPr>
          <w:p>
            <w:pPr>
              <w:pStyle w:val="TableContents"/>
              <w:spacing w:before="0" w:after="0"/>
              <w:ind w:left="0" w:right="0" w:hanging="0"/>
              <w:jc w:val="center"/>
              <w:rPr/>
            </w:pPr>
            <w:r>
              <w:rPr/>
              <w:t> </w:t>
            </w:r>
          </w:p>
        </w:tc>
        <w:tc>
          <w:tcPr>
            <w:tcW w:w="63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88" w:type="dxa"/>
            <w:tcBorders/>
            <w:shd w:fill="auto" w:val="clear"/>
            <w:vAlign w:val="bottom"/>
          </w:tcPr>
          <w:p>
            <w:pPr>
              <w:pStyle w:val="TableContents"/>
              <w:spacing w:before="0" w:after="0"/>
              <w:ind w:left="0" w:right="0" w:hanging="0"/>
              <w:jc w:val="center"/>
              <w:rPr/>
            </w:pPr>
            <w:r>
              <w:rPr/>
              <w:t> </w:t>
            </w:r>
          </w:p>
        </w:tc>
        <w:tc>
          <w:tcPr>
            <w:tcW w:w="6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88" w:type="dxa"/>
            <w:tcBorders/>
            <w:shd w:fill="auto" w:val="clear"/>
            <w:vAlign w:val="bottom"/>
          </w:tcPr>
          <w:p>
            <w:pPr>
              <w:pStyle w:val="TableContents"/>
              <w:spacing w:before="0" w:after="0"/>
              <w:ind w:left="0" w:right="0" w:hanging="0"/>
              <w:jc w:val="center"/>
              <w:rPr/>
            </w:pPr>
            <w:r>
              <w:rPr/>
              <w:t> </w:t>
            </w:r>
          </w:p>
        </w:tc>
        <w:tc>
          <w:tcPr>
            <w:tcW w:w="40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6" w:type="dxa"/>
            <w:tcBorders/>
            <w:shd w:fill="auto" w:val="clear"/>
            <w:vAlign w:val="bottom"/>
          </w:tcPr>
          <w:p>
            <w:pPr>
              <w:pStyle w:val="TableContents"/>
              <w:spacing w:before="0" w:after="0"/>
              <w:ind w:left="0" w:right="0" w:hanging="0"/>
              <w:jc w:val="center"/>
              <w:rPr/>
            </w:pPr>
            <w:r>
              <w:rPr/>
              <w:t> </w:t>
            </w:r>
          </w:p>
        </w:tc>
        <w:tc>
          <w:tcPr>
            <w:tcW w:w="98" w:type="dxa"/>
            <w:tcBorders/>
            <w:shd w:fill="auto" w:val="clear"/>
            <w:vAlign w:val="bottom"/>
          </w:tcPr>
          <w:p>
            <w:pPr>
              <w:pStyle w:val="TableContents"/>
              <w:spacing w:before="0" w:after="0"/>
              <w:ind w:left="0" w:right="0" w:hanging="0"/>
              <w:jc w:val="center"/>
              <w:rPr/>
            </w:pPr>
            <w:r>
              <w:rPr/>
              <w:t> </w:t>
            </w:r>
          </w:p>
        </w:tc>
        <w:tc>
          <w:tcPr>
            <w:tcW w:w="13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8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88" w:type="dxa"/>
            <w:tcBorders/>
            <w:shd w:fill="auto" w:val="clear"/>
            <w:vAlign w:val="bottom"/>
          </w:tcPr>
          <w:p>
            <w:pPr>
              <w:pStyle w:val="TableContents"/>
              <w:spacing w:before="0" w:after="0"/>
              <w:ind w:left="0" w:right="0" w:hanging="0"/>
              <w:jc w:val="center"/>
              <w:rPr/>
            </w:pPr>
            <w:r>
              <w:rPr/>
              <w:t> </w:t>
            </w:r>
          </w:p>
        </w:tc>
        <w:tc>
          <w:tcPr>
            <w:tcW w:w="6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8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6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20" w:type="dxa"/>
            <w:tcBorders/>
            <w:shd w:fill="auto" w:val="clear"/>
            <w:vAlign w:val="bottom"/>
          </w:tcPr>
          <w:p>
            <w:pPr>
              <w:pStyle w:val="TableContents"/>
              <w:spacing w:before="0" w:after="0"/>
              <w:ind w:left="0" w:right="0" w:hanging="0"/>
              <w:jc w:val="center"/>
              <w:rPr/>
            </w:pPr>
            <w:r>
              <w:rPr/>
              <w:t> </w:t>
            </w:r>
          </w:p>
        </w:tc>
      </w:tr>
      <w:tr>
        <w:trPr/>
        <w:tc>
          <w:tcPr>
            <w:tcW w:w="28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10,386</w:t>
            </w:r>
          </w:p>
        </w:tc>
        <w:tc>
          <w:tcPr>
            <w:tcW w:w="18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9,049</w:t>
            </w:r>
          </w:p>
        </w:tc>
        <w:tc>
          <w:tcPr>
            <w:tcW w:w="18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1,337</w:t>
            </w:r>
          </w:p>
        </w:tc>
        <w:tc>
          <w:tcPr>
            <w:tcW w:w="188" w:type="dxa"/>
            <w:tcBorders/>
            <w:shd w:fill="CCEEFF" w:val="clear"/>
            <w:vAlign w:val="bottom"/>
          </w:tcPr>
          <w:p>
            <w:pPr>
              <w:pStyle w:val="TableContents"/>
              <w:spacing w:before="0" w:after="0"/>
              <w:ind w:left="0" w:right="0" w:hanging="0"/>
              <w:rPr/>
            </w:pPr>
            <w:r>
              <w:rPr/>
              <w:t> </w:t>
            </w:r>
          </w:p>
        </w:tc>
        <w:tc>
          <w:tcPr>
            <w:tcW w:w="4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30,544</w:t>
            </w:r>
          </w:p>
        </w:tc>
        <w:tc>
          <w:tcPr>
            <w:tcW w:w="18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27,368</w:t>
            </w:r>
          </w:p>
        </w:tc>
        <w:tc>
          <w:tcPr>
            <w:tcW w:w="18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3,176</w:t>
            </w:r>
          </w:p>
        </w:tc>
        <w:tc>
          <w:tcPr>
            <w:tcW w:w="188" w:type="dxa"/>
            <w:tcBorders/>
            <w:shd w:fill="CCEEFF" w:val="clear"/>
            <w:vAlign w:val="bottom"/>
          </w:tcPr>
          <w:p>
            <w:pPr>
              <w:pStyle w:val="TableContents"/>
              <w:spacing w:before="0" w:after="0"/>
              <w:ind w:left="0" w:right="0" w:hanging="0"/>
              <w:rPr/>
            </w:pPr>
            <w:r>
              <w:rPr/>
              <w:t> </w:t>
            </w:r>
          </w:p>
        </w:tc>
        <w:tc>
          <w:tcPr>
            <w:tcW w:w="5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2"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(2)</w:t>
            </w:r>
            <w:r>
              <w:rPr/>
              <w:t> </w:t>
            </w:r>
          </w:p>
        </w:tc>
        <w:tc>
          <w:tcPr>
            <w:tcW w:w="183" w:type="dxa"/>
            <w:tcBorders/>
            <w:shd w:fill="auto" w:val="clear"/>
            <w:vAlign w:val="bottom"/>
          </w:tcPr>
          <w:p>
            <w:pPr>
              <w:pStyle w:val="TableContents"/>
              <w:spacing w:before="0" w:after="0"/>
              <w:ind w:left="0" w:right="0" w:hanging="0"/>
              <w:rPr/>
            </w:pPr>
            <w:r>
              <w:rPr/>
              <w:t> </w:t>
            </w:r>
          </w:p>
        </w:tc>
        <w:tc>
          <w:tcPr>
            <w:tcW w:w="6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(10,189</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(8,776</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(1,413</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0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13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(29,439</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(26,414</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(3,025</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equity- indexed compensation expense)</w:t>
            </w:r>
          </w:p>
        </w:tc>
        <w:tc>
          <w:tcPr>
            <w:tcW w:w="183" w:type="dxa"/>
            <w:tcBorders/>
            <w:shd w:fill="CCEEFF" w:val="clear"/>
            <w:vAlign w:val="bottom"/>
          </w:tcPr>
          <w:p>
            <w:pPr>
              <w:pStyle w:val="TableContents"/>
              <w:spacing w:before="0" w:after="0"/>
              <w:ind w:left="0" w:right="0" w:hanging="0"/>
              <w:rPr/>
            </w:pPr>
            <w:r>
              <w:rPr/>
              <w:t> </w:t>
            </w:r>
          </w:p>
        </w:tc>
        <w:tc>
          <w:tcPr>
            <w:tcW w:w="6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13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(327</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2"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 operations </w:t>
            </w:r>
            <w:r>
              <w:rPr>
                <w:sz w:val="11"/>
              </w:rPr>
              <w:t>(3)</w:t>
            </w:r>
          </w:p>
        </w:tc>
        <w:tc>
          <w:tcPr>
            <w:tcW w:w="183" w:type="dxa"/>
            <w:tcBorders/>
            <w:shd w:fill="auto" w:val="clear"/>
            <w:vAlign w:val="bottom"/>
          </w:tcPr>
          <w:p>
            <w:pPr>
              <w:pStyle w:val="TableContents"/>
              <w:spacing w:before="0" w:after="0"/>
              <w:ind w:left="0" w:right="0" w:hanging="0"/>
              <w:rPr/>
            </w:pPr>
            <w:r>
              <w:rPr/>
              <w:t> </w:t>
            </w:r>
          </w:p>
        </w:tc>
        <w:tc>
          <w:tcPr>
            <w:tcW w:w="6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6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auto" w:val="clear"/>
            <w:vAlign w:val="bottom"/>
          </w:tcPr>
          <w:p>
            <w:pPr>
              <w:pStyle w:val="TableContents"/>
              <w:spacing w:before="0" w:after="0"/>
              <w:ind w:left="0" w:right="0" w:hanging="0"/>
              <w:rPr/>
            </w:pPr>
            <w:r>
              <w:rPr/>
              <w:t> </w:t>
            </w:r>
          </w:p>
        </w:tc>
        <w:tc>
          <w:tcPr>
            <w:tcW w:w="40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13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56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2" w:type="dxa"/>
            <w:tcBorders/>
            <w:shd w:fill="CCEEFF" w:val="clear"/>
            <w:vAlign w:val="bottom"/>
          </w:tcPr>
          <w:p>
            <w:pPr>
              <w:pStyle w:val="TableContents"/>
              <w:spacing w:before="0" w:after="0"/>
              <w:ind w:left="0" w:right="0" w:hanging="0"/>
              <w:rPr/>
            </w:pPr>
            <w:r>
              <w:rPr>
                <w:rFonts w:ascii="Times New Roman" w:hAnsi="Times New Roman"/>
                <w:sz w:val="17"/>
              </w:rPr>
              <w:t xml:space="preserve">Segment general and administrative expenses (excluding equity-indexed compensation expense) </w:t>
            </w:r>
            <w:r>
              <w:rPr>
                <w:sz w:val="11"/>
              </w:rPr>
              <w:t>(4)</w:t>
            </w:r>
          </w:p>
        </w:tc>
        <w:tc>
          <w:tcPr>
            <w:tcW w:w="183" w:type="dxa"/>
            <w:tcBorders/>
            <w:shd w:fill="CCEEFF" w:val="clear"/>
            <w:vAlign w:val="bottom"/>
          </w:tcPr>
          <w:p>
            <w:pPr>
              <w:pStyle w:val="TableContents"/>
              <w:spacing w:before="0" w:after="0"/>
              <w:ind w:left="0" w:right="0" w:hanging="0"/>
              <w:rPr/>
            </w:pPr>
            <w:r>
              <w:rPr/>
              <w:t> </w:t>
            </w:r>
          </w:p>
        </w:tc>
        <w:tc>
          <w:tcPr>
            <w:tcW w:w="6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13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CCEEFF" w:val="clear"/>
            <w:vAlign w:val="bottom"/>
          </w:tcPr>
          <w:p>
            <w:pPr>
              <w:pStyle w:val="TableContents"/>
              <w:spacing w:before="0" w:after="0"/>
              <w:ind w:left="0" w:right="0" w:hanging="0"/>
              <w:rPr/>
            </w:pPr>
            <w:r>
              <w:rPr/>
              <w:t> </w:t>
            </w:r>
          </w:p>
        </w:tc>
        <w:tc>
          <w:tcPr>
            <w:tcW w:w="56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2" w:type="dxa"/>
            <w:tcBorders/>
            <w:shd w:fill="auto" w:val="clear"/>
            <w:vAlign w:val="bottom"/>
          </w:tcPr>
          <w:p>
            <w:pPr>
              <w:pStyle w:val="TableContents"/>
              <w:spacing w:before="0" w:after="0"/>
              <w:ind w:left="0" w:right="0" w:hanging="0"/>
              <w:rPr/>
            </w:pPr>
            <w:r>
              <w:rPr>
                <w:rFonts w:ascii="Times New Roman" w:hAnsi="Times New Roman"/>
                <w:sz w:val="17"/>
              </w:rPr>
              <w:t xml:space="preserve">Equity-indexed compensation expense - general and administrative </w:t>
            </w:r>
            <w:r>
              <w:rPr>
                <w:sz w:val="11"/>
              </w:rPr>
              <w:t>(3)</w:t>
            </w:r>
          </w:p>
        </w:tc>
        <w:tc>
          <w:tcPr>
            <w:tcW w:w="183" w:type="dxa"/>
            <w:tcBorders/>
            <w:shd w:fill="auto" w:val="clear"/>
            <w:vAlign w:val="bottom"/>
          </w:tcPr>
          <w:p>
            <w:pPr>
              <w:pStyle w:val="TableContents"/>
              <w:spacing w:before="0" w:after="0"/>
              <w:ind w:left="0" w:right="0" w:hanging="0"/>
              <w:rPr/>
            </w:pPr>
            <w:r>
              <w:rPr/>
              <w:t> </w:t>
            </w:r>
          </w:p>
        </w:tc>
        <w:tc>
          <w:tcPr>
            <w:tcW w:w="6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8" w:type="dxa"/>
            <w:tcBorders/>
            <w:shd w:fill="auto" w:val="clear"/>
            <w:vAlign w:val="bottom"/>
          </w:tcPr>
          <w:p>
            <w:pPr>
              <w:pStyle w:val="TableContents"/>
              <w:spacing w:before="0" w:after="0"/>
              <w:ind w:left="0" w:right="0" w:hanging="0"/>
              <w:rPr/>
            </w:pPr>
            <w:r>
              <w:rPr/>
              <w:t> </w:t>
            </w:r>
          </w:p>
        </w:tc>
        <w:tc>
          <w:tcPr>
            <w:tcW w:w="40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13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18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8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8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673</w:t>
            </w:r>
          </w:p>
        </w:tc>
        <w:tc>
          <w:tcPr>
            <w:tcW w:w="18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8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88" w:type="dxa"/>
            <w:tcBorders/>
            <w:shd w:fill="CCEEFF" w:val="clear"/>
            <w:vAlign w:val="bottom"/>
          </w:tcPr>
          <w:p>
            <w:pPr>
              <w:pStyle w:val="TableContents"/>
              <w:spacing w:before="0" w:after="0"/>
              <w:ind w:left="0" w:right="0" w:hanging="0"/>
              <w:rPr/>
            </w:pPr>
            <w:r>
              <w:rPr/>
              <w:t> </w:t>
            </w:r>
          </w:p>
        </w:tc>
        <w:tc>
          <w:tcPr>
            <w:tcW w:w="5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8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88"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8"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6"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auto" w:val="clear"/>
            <w:vAlign w:val="bottom"/>
          </w:tcPr>
          <w:p>
            <w:pPr>
              <w:pStyle w:val="TableContents"/>
              <w:spacing w:before="0" w:after="0"/>
              <w:ind w:left="0" w:right="0" w:hanging="0"/>
              <w:rPr/>
            </w:pPr>
            <w:r>
              <w:rPr/>
              <w:t> </w:t>
            </w:r>
          </w:p>
        </w:tc>
        <w:tc>
          <w:tcPr>
            <w:tcW w:w="78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88"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8"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w:t>
            </w:r>
          </w:p>
        </w:tc>
        <w:tc>
          <w:tcPr>
            <w:tcW w:w="18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18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8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(0.86</w:t>
            </w:r>
          </w:p>
        </w:tc>
        <w:tc>
          <w:tcPr>
            <w:tcW w:w="1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 w:type="dxa"/>
            <w:tcBorders/>
            <w:shd w:fill="CCEEFF" w:val="clear"/>
            <w:vAlign w:val="bottom"/>
          </w:tcPr>
          <w:p>
            <w:pPr>
              <w:pStyle w:val="TableContents"/>
              <w:spacing w:before="0" w:after="0"/>
              <w:ind w:left="0" w:right="0" w:hanging="0"/>
              <w:rPr/>
            </w:pPr>
            <w:r>
              <w:rPr/>
              <w:t> </w:t>
            </w:r>
          </w:p>
        </w:tc>
        <w:tc>
          <w:tcPr>
            <w:tcW w:w="78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8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4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18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2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188" w:type="dxa"/>
            <w:tcBorders/>
            <w:shd w:fill="CCEEFF" w:val="clear"/>
            <w:vAlign w:val="bottom"/>
          </w:tcPr>
          <w:p>
            <w:pPr>
              <w:pStyle w:val="TableContents"/>
              <w:spacing w:before="0" w:after="0"/>
              <w:ind w:left="0" w:right="0" w:hanging="0"/>
              <w:rPr/>
            </w:pPr>
            <w:r>
              <w:rPr/>
              <w:t> </w:t>
            </w:r>
          </w:p>
        </w:tc>
        <w:tc>
          <w:tcPr>
            <w:tcW w:w="56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65" w:name="PB_39_132432_7056"/>
      <w:bookmarkEnd w:id="6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15"/>
        <w:gridCol w:w="208"/>
        <w:gridCol w:w="729"/>
        <w:gridCol w:w="208"/>
        <w:gridCol w:w="729"/>
        <w:gridCol w:w="208"/>
        <w:gridCol w:w="729"/>
        <w:gridCol w:w="208"/>
        <w:gridCol w:w="416"/>
        <w:gridCol w:w="208"/>
        <w:gridCol w:w="103"/>
        <w:gridCol w:w="729"/>
        <w:gridCol w:w="208"/>
        <w:gridCol w:w="729"/>
        <w:gridCol w:w="208"/>
        <w:gridCol w:w="729"/>
        <w:gridCol w:w="208"/>
        <w:gridCol w:w="625"/>
        <w:gridCol w:w="208"/>
      </w:tblGrid>
      <w:tr>
        <w:trPr/>
        <w:tc>
          <w:tcPr>
            <w:tcW w:w="2815"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729" w:type="dxa"/>
            <w:tcBorders/>
            <w:shd w:fill="auto" w:val="clear"/>
            <w:vAlign w:val="bottom"/>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729" w:type="dxa"/>
            <w:tcBorders/>
            <w:shd w:fill="auto" w:val="clear"/>
            <w:vAlign w:val="bottom"/>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3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08"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729" w:type="dxa"/>
            <w:tcBorders/>
            <w:shd w:fill="auto" w:val="clear"/>
            <w:vAlign w:val="bottom"/>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729" w:type="dxa"/>
            <w:tcBorders/>
            <w:shd w:fill="auto" w:val="clear"/>
            <w:vAlign w:val="bottom"/>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56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Favorable/</w:t>
            </w:r>
          </w:p>
        </w:tc>
        <w:tc>
          <w:tcPr>
            <w:tcW w:w="208" w:type="dxa"/>
            <w:tcBorders/>
            <w:shd w:fill="auto" w:val="clear"/>
            <w:vAlign w:val="bottom"/>
          </w:tcPr>
          <w:p>
            <w:pPr>
              <w:pStyle w:val="TableContents"/>
              <w:spacing w:before="0" w:after="0"/>
              <w:ind w:left="0" w:right="0" w:hanging="0"/>
              <w:jc w:val="center"/>
              <w:rPr/>
            </w:pPr>
            <w:r>
              <w:rPr/>
              <w:t> </w:t>
            </w:r>
          </w:p>
        </w:tc>
      </w:tr>
      <w:tr>
        <w:trPr/>
        <w:tc>
          <w:tcPr>
            <w:tcW w:w="2815"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666"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8" w:type="dxa"/>
            <w:tcBorders/>
            <w:shd w:fill="auto" w:val="clear"/>
            <w:vAlign w:val="bottom"/>
          </w:tcPr>
          <w:p>
            <w:pPr>
              <w:pStyle w:val="TableContents"/>
              <w:spacing w:before="0" w:after="0"/>
              <w:ind w:left="0" w:right="0" w:hanging="0"/>
              <w:jc w:val="center"/>
              <w:rPr/>
            </w:pPr>
            <w:r>
              <w:rPr/>
              <w:t> </w:t>
            </w:r>
          </w:p>
        </w:tc>
        <w:tc>
          <w:tcPr>
            <w:tcW w:w="1353"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08"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1666"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08" w:type="dxa"/>
            <w:tcBorders/>
            <w:shd w:fill="auto" w:val="clear"/>
            <w:vAlign w:val="bottom"/>
          </w:tcPr>
          <w:p>
            <w:pPr>
              <w:pStyle w:val="TableContents"/>
              <w:spacing w:before="0" w:after="0"/>
              <w:ind w:left="0" w:right="0" w:hanging="0"/>
              <w:jc w:val="center"/>
              <w:rPr/>
            </w:pPr>
            <w:r>
              <w:rPr/>
              <w:t> </w:t>
            </w:r>
          </w:p>
        </w:tc>
        <w:tc>
          <w:tcPr>
            <w:tcW w:w="1562"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(Unfavorable)</w:t>
            </w:r>
          </w:p>
        </w:tc>
        <w:tc>
          <w:tcPr>
            <w:tcW w:w="208" w:type="dxa"/>
            <w:tcBorders/>
            <w:shd w:fill="auto" w:val="clear"/>
            <w:vAlign w:val="bottom"/>
          </w:tcPr>
          <w:p>
            <w:pPr>
              <w:pStyle w:val="TableContents"/>
              <w:spacing w:before="0" w:after="0"/>
              <w:ind w:left="0" w:right="0" w:hanging="0"/>
              <w:jc w:val="center"/>
              <w:rPr/>
            </w:pPr>
            <w:r>
              <w:rPr/>
              <w:t> </w:t>
            </w:r>
          </w:p>
        </w:tc>
      </w:tr>
      <w:tr>
        <w:trPr/>
        <w:tc>
          <w:tcPr>
            <w:tcW w:w="2815"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Average Daily Volumes</w:t>
            </w:r>
          </w:p>
        </w:tc>
        <w:tc>
          <w:tcPr>
            <w:tcW w:w="208" w:type="dxa"/>
            <w:tcBorders/>
            <w:shd w:fill="auto" w:val="clear"/>
            <w:vAlign w:val="bottom"/>
          </w:tcPr>
          <w:p>
            <w:pPr>
              <w:pStyle w:val="TableContents"/>
              <w:spacing w:before="0" w:after="0"/>
              <w:ind w:left="0" w:right="0" w:hanging="0"/>
              <w:jc w:val="center"/>
              <w:rPr/>
            </w:pPr>
            <w:r>
              <w:rPr/>
              <w:t> </w:t>
            </w:r>
          </w:p>
        </w:tc>
        <w:tc>
          <w:tcPr>
            <w:tcW w:w="1666"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8" w:type="dxa"/>
            <w:tcBorders/>
            <w:shd w:fill="auto" w:val="clear"/>
            <w:vAlign w:val="bottom"/>
          </w:tcPr>
          <w:p>
            <w:pPr>
              <w:pStyle w:val="TableContents"/>
              <w:spacing w:before="0" w:after="0"/>
              <w:ind w:left="0" w:right="0" w:hanging="0"/>
              <w:jc w:val="center"/>
              <w:rPr/>
            </w:pPr>
            <w:r>
              <w:rPr/>
              <w:t> </w:t>
            </w:r>
          </w:p>
        </w:tc>
        <w:tc>
          <w:tcPr>
            <w:tcW w:w="1353"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08"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1666"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8" w:type="dxa"/>
            <w:tcBorders/>
            <w:shd w:fill="auto" w:val="clear"/>
            <w:vAlign w:val="bottom"/>
          </w:tcPr>
          <w:p>
            <w:pPr>
              <w:pStyle w:val="TableContents"/>
              <w:spacing w:before="0" w:after="0"/>
              <w:ind w:left="0" w:right="0" w:hanging="0"/>
              <w:jc w:val="center"/>
              <w:rPr/>
            </w:pPr>
            <w:r>
              <w:rPr/>
              <w:t> </w:t>
            </w:r>
          </w:p>
        </w:tc>
        <w:tc>
          <w:tcPr>
            <w:tcW w:w="1562"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208" w:type="dxa"/>
            <w:tcBorders/>
            <w:shd w:fill="auto" w:val="clear"/>
            <w:vAlign w:val="bottom"/>
          </w:tcPr>
          <w:p>
            <w:pPr>
              <w:pStyle w:val="TableContents"/>
              <w:spacing w:before="0" w:after="0"/>
              <w:ind w:left="0" w:right="0" w:hanging="0"/>
              <w:jc w:val="center"/>
              <w:rPr/>
            </w:pPr>
            <w:r>
              <w:rPr/>
              <w:t> </w:t>
            </w:r>
          </w:p>
        </w:tc>
      </w:tr>
      <w:tr>
        <w:trPr/>
        <w:tc>
          <w:tcPr>
            <w:tcW w:w="281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(in thousands of barrels per day) </w:t>
            </w:r>
          </w:p>
        </w:tc>
        <w:tc>
          <w:tcPr>
            <w:tcW w:w="208" w:type="dxa"/>
            <w:tcBorders/>
            <w:shd w:fill="auto" w:val="clear"/>
            <w:vAlign w:val="bottom"/>
          </w:tcPr>
          <w:p>
            <w:pPr>
              <w:pStyle w:val="TableContents"/>
              <w:spacing w:before="0" w:after="0"/>
              <w:ind w:left="0" w:right="0" w:hanging="0"/>
              <w:jc w:val="center"/>
              <w:rPr/>
            </w:pPr>
            <w:r>
              <w:rPr/>
              <w:t> </w:t>
            </w:r>
          </w:p>
        </w:tc>
        <w:tc>
          <w:tcPr>
            <w:tcW w:w="72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2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8" w:type="dxa"/>
            <w:tcBorders/>
            <w:shd w:fill="auto" w:val="clear"/>
            <w:vAlign w:val="bottom"/>
          </w:tcPr>
          <w:p>
            <w:pPr>
              <w:pStyle w:val="TableContents"/>
              <w:spacing w:before="0" w:after="0"/>
              <w:ind w:left="0" w:right="0" w:hanging="0"/>
              <w:jc w:val="center"/>
              <w:rPr/>
            </w:pPr>
            <w:r>
              <w:rPr/>
              <w:t> </w:t>
            </w:r>
          </w:p>
        </w:tc>
        <w:tc>
          <w:tcPr>
            <w:tcW w:w="72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41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8" w:type="dxa"/>
            <w:tcBorders/>
            <w:shd w:fill="auto" w:val="clear"/>
            <w:vAlign w:val="bottom"/>
          </w:tcPr>
          <w:p>
            <w:pPr>
              <w:pStyle w:val="TableContents"/>
              <w:spacing w:before="0" w:after="0"/>
              <w:ind w:left="0" w:right="0" w:hanging="0"/>
              <w:jc w:val="center"/>
              <w:rPr/>
            </w:pPr>
            <w:r>
              <w:rPr/>
              <w:t> </w:t>
            </w:r>
          </w:p>
        </w:tc>
        <w:tc>
          <w:tcPr>
            <w:tcW w:w="103" w:type="dxa"/>
            <w:tcBorders/>
            <w:shd w:fill="auto" w:val="clear"/>
            <w:vAlign w:val="bottom"/>
          </w:tcPr>
          <w:p>
            <w:pPr>
              <w:pStyle w:val="TableContents"/>
              <w:spacing w:before="0" w:after="0"/>
              <w:ind w:left="0" w:right="0" w:hanging="0"/>
              <w:jc w:val="center"/>
              <w:rPr/>
            </w:pPr>
            <w:r>
              <w:rPr/>
              <w:t> </w:t>
            </w:r>
          </w:p>
        </w:tc>
        <w:tc>
          <w:tcPr>
            <w:tcW w:w="72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2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8" w:type="dxa"/>
            <w:tcBorders/>
            <w:shd w:fill="auto" w:val="clear"/>
            <w:vAlign w:val="bottom"/>
          </w:tcPr>
          <w:p>
            <w:pPr>
              <w:pStyle w:val="TableContents"/>
              <w:spacing w:before="0" w:after="0"/>
              <w:ind w:left="0" w:right="0" w:hanging="0"/>
              <w:jc w:val="center"/>
              <w:rPr/>
            </w:pPr>
            <w:r>
              <w:rPr/>
              <w:t> </w:t>
            </w:r>
          </w:p>
        </w:tc>
        <w:tc>
          <w:tcPr>
            <w:tcW w:w="72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Volumes</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62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8" w:type="dxa"/>
            <w:tcBorders/>
            <w:shd w:fill="auto" w:val="clear"/>
            <w:vAlign w:val="bottom"/>
          </w:tcPr>
          <w:p>
            <w:pPr>
              <w:pStyle w:val="TableContents"/>
              <w:spacing w:before="0" w:after="0"/>
              <w:ind w:left="0" w:right="0" w:hanging="0"/>
              <w:jc w:val="center"/>
              <w:rPr/>
            </w:pPr>
            <w:r>
              <w:rPr/>
              <w:t> </w:t>
            </w:r>
          </w:p>
        </w:tc>
      </w:tr>
      <w:tr>
        <w:trPr/>
        <w:tc>
          <w:tcPr>
            <w:tcW w:w="28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8" w:type="dxa"/>
            <w:tcBorders/>
            <w:shd w:fill="CCEEFF" w:val="clear"/>
            <w:vAlign w:val="bottom"/>
          </w:tcPr>
          <w:p>
            <w:pPr>
              <w:pStyle w:val="TableContents"/>
              <w:spacing w:before="0" w:after="0"/>
              <w:ind w:left="0" w:right="0" w:hanging="0"/>
              <w:rPr/>
            </w:pPr>
            <w:r>
              <w:rPr/>
              <w:t> </w:t>
            </w:r>
          </w:p>
        </w:tc>
        <w:tc>
          <w:tcPr>
            <w:tcW w:w="7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856</w:t>
            </w:r>
          </w:p>
        </w:tc>
        <w:tc>
          <w:tcPr>
            <w:tcW w:w="208" w:type="dxa"/>
            <w:tcBorders/>
            <w:shd w:fill="CCEEFF" w:val="clear"/>
            <w:vAlign w:val="bottom"/>
          </w:tcPr>
          <w:p>
            <w:pPr>
              <w:pStyle w:val="TableContents"/>
              <w:spacing w:before="0" w:after="0"/>
              <w:ind w:left="0" w:right="0" w:hanging="0"/>
              <w:rPr/>
            </w:pPr>
            <w:r>
              <w:rPr/>
              <w:t> </w:t>
            </w:r>
          </w:p>
        </w:tc>
        <w:tc>
          <w:tcPr>
            <w:tcW w:w="7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811</w:t>
            </w:r>
          </w:p>
        </w:tc>
        <w:tc>
          <w:tcPr>
            <w:tcW w:w="208" w:type="dxa"/>
            <w:tcBorders/>
            <w:shd w:fill="CCEEFF" w:val="clear"/>
            <w:vAlign w:val="bottom"/>
          </w:tcPr>
          <w:p>
            <w:pPr>
              <w:pStyle w:val="TableContents"/>
              <w:spacing w:before="0" w:after="0"/>
              <w:ind w:left="0" w:right="0" w:hanging="0"/>
              <w:rPr/>
            </w:pPr>
            <w:r>
              <w:rPr/>
              <w:t> </w:t>
            </w:r>
          </w:p>
        </w:tc>
        <w:tc>
          <w:tcPr>
            <w:tcW w:w="7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08" w:type="dxa"/>
            <w:tcBorders/>
            <w:shd w:fill="CCEEFF" w:val="clear"/>
            <w:vAlign w:val="bottom"/>
          </w:tcPr>
          <w:p>
            <w:pPr>
              <w:pStyle w:val="TableContents"/>
              <w:spacing w:before="0" w:after="0"/>
              <w:ind w:left="0" w:right="0" w:hanging="0"/>
              <w:rPr/>
            </w:pPr>
            <w:r>
              <w:rPr/>
              <w:t> </w:t>
            </w:r>
          </w:p>
        </w:tc>
        <w:tc>
          <w:tcPr>
            <w:tcW w:w="4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7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208" w:type="dxa"/>
            <w:tcBorders/>
            <w:shd w:fill="CCEEFF" w:val="clear"/>
            <w:vAlign w:val="bottom"/>
          </w:tcPr>
          <w:p>
            <w:pPr>
              <w:pStyle w:val="TableContents"/>
              <w:spacing w:before="0" w:after="0"/>
              <w:ind w:left="0" w:right="0" w:hanging="0"/>
              <w:rPr/>
            </w:pPr>
            <w:r>
              <w:rPr/>
              <w:t> </w:t>
            </w:r>
          </w:p>
        </w:tc>
        <w:tc>
          <w:tcPr>
            <w:tcW w:w="7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w:t>
            </w:r>
          </w:p>
        </w:tc>
        <w:tc>
          <w:tcPr>
            <w:tcW w:w="208" w:type="dxa"/>
            <w:tcBorders/>
            <w:shd w:fill="CCEEFF" w:val="clear"/>
            <w:vAlign w:val="bottom"/>
          </w:tcPr>
          <w:p>
            <w:pPr>
              <w:pStyle w:val="TableContents"/>
              <w:spacing w:before="0" w:after="0"/>
              <w:ind w:left="0" w:right="0" w:hanging="0"/>
              <w:rPr/>
            </w:pPr>
            <w:r>
              <w:rPr/>
              <w:t> </w:t>
            </w:r>
          </w:p>
        </w:tc>
        <w:tc>
          <w:tcPr>
            <w:tcW w:w="7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8" w:type="dxa"/>
            <w:tcBorders/>
            <w:shd w:fill="CCEEFF" w:val="clear"/>
            <w:vAlign w:val="bottom"/>
          </w:tcPr>
          <w:p>
            <w:pPr>
              <w:pStyle w:val="TableContents"/>
              <w:spacing w:before="0" w:after="0"/>
              <w:ind w:left="0" w:right="0" w:hanging="0"/>
              <w:rPr/>
            </w:pPr>
            <w:r>
              <w:rPr/>
              <w:t> </w:t>
            </w:r>
          </w:p>
        </w:tc>
        <w:tc>
          <w:tcPr>
            <w:tcW w:w="6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sales</w:t>
            </w:r>
          </w:p>
        </w:tc>
        <w:tc>
          <w:tcPr>
            <w:tcW w:w="208" w:type="dxa"/>
            <w:tcBorders/>
            <w:shd w:fill="auto" w:val="clear"/>
            <w:vAlign w:val="bottom"/>
          </w:tcPr>
          <w:p>
            <w:pPr>
              <w:pStyle w:val="TableContents"/>
              <w:spacing w:before="0" w:after="0"/>
              <w:ind w:left="0" w:right="0" w:hanging="0"/>
              <w:rPr/>
            </w:pPr>
            <w:r>
              <w:rPr/>
              <w:t> </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8" w:type="dxa"/>
            <w:tcBorders/>
            <w:shd w:fill="auto" w:val="clear"/>
            <w:vAlign w:val="bottom"/>
          </w:tcPr>
          <w:p>
            <w:pPr>
              <w:pStyle w:val="TableContents"/>
              <w:spacing w:before="0" w:after="0"/>
              <w:ind w:left="0" w:right="0" w:hanging="0"/>
              <w:rPr/>
            </w:pPr>
            <w:r>
              <w:rPr/>
              <w:t> </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08" w:type="dxa"/>
            <w:tcBorders/>
            <w:shd w:fill="auto" w:val="clear"/>
            <w:vAlign w:val="bottom"/>
          </w:tcPr>
          <w:p>
            <w:pPr>
              <w:pStyle w:val="TableContents"/>
              <w:spacing w:before="0" w:after="0"/>
              <w:ind w:left="0" w:right="0" w:hanging="0"/>
              <w:rPr/>
            </w:pPr>
            <w:r>
              <w:rPr/>
              <w:t> </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08" w:type="dxa"/>
            <w:tcBorders/>
            <w:shd w:fill="auto" w:val="clear"/>
            <w:vAlign w:val="bottom"/>
          </w:tcPr>
          <w:p>
            <w:pPr>
              <w:pStyle w:val="TableContents"/>
              <w:spacing w:before="0" w:after="0"/>
              <w:ind w:left="0" w:right="0" w:hanging="0"/>
              <w:rPr/>
            </w:pPr>
            <w:r>
              <w:rPr/>
              <w:t> </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08" w:type="dxa"/>
            <w:tcBorders/>
            <w:shd w:fill="auto" w:val="clear"/>
            <w:vAlign w:val="bottom"/>
          </w:tcPr>
          <w:p>
            <w:pPr>
              <w:pStyle w:val="TableContents"/>
              <w:spacing w:before="0" w:after="0"/>
              <w:ind w:left="0" w:right="0" w:hanging="0"/>
              <w:rPr/>
            </w:pPr>
            <w:r>
              <w:rPr/>
              <w:t> </w:t>
            </w:r>
          </w:p>
        </w:tc>
        <w:tc>
          <w:tcPr>
            <w:tcW w:w="7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8" w:type="dxa"/>
            <w:tcBorders/>
            <w:shd w:fill="auto" w:val="clear"/>
            <w:vAlign w:val="bottom"/>
          </w:tcPr>
          <w:p>
            <w:pPr>
              <w:pStyle w:val="TableContents"/>
              <w:spacing w:before="0" w:after="0"/>
              <w:ind w:left="0" w:right="0" w:hanging="0"/>
              <w:rPr/>
            </w:pPr>
            <w:r>
              <w:rPr/>
              <w:t> </w:t>
            </w:r>
          </w:p>
        </w:tc>
        <w:tc>
          <w:tcPr>
            <w:tcW w:w="6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8" w:type="dxa"/>
            <w:tcBorders/>
            <w:shd w:fill="CCEEFF" w:val="clear"/>
            <w:vAlign w:val="bottom"/>
          </w:tcPr>
          <w:p>
            <w:pPr>
              <w:pStyle w:val="TableContents"/>
              <w:spacing w:before="0" w:after="0"/>
              <w:ind w:left="0" w:right="0" w:hanging="0"/>
              <w:rPr/>
            </w:pPr>
            <w:r>
              <w:rPr/>
              <w:t> </w:t>
            </w:r>
          </w:p>
        </w:tc>
        <w:tc>
          <w:tcPr>
            <w:tcW w:w="7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8" w:type="dxa"/>
            <w:tcBorders/>
            <w:shd w:fill="CCEEFF" w:val="clear"/>
            <w:vAlign w:val="bottom"/>
          </w:tcPr>
          <w:p>
            <w:pPr>
              <w:pStyle w:val="TableContents"/>
              <w:spacing w:before="0" w:after="0"/>
              <w:ind w:left="0" w:right="0" w:hanging="0"/>
              <w:rPr/>
            </w:pPr>
            <w:r>
              <w:rPr/>
              <w:t> </w:t>
            </w:r>
          </w:p>
        </w:tc>
        <w:tc>
          <w:tcPr>
            <w:tcW w:w="7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8" w:type="dxa"/>
            <w:tcBorders/>
            <w:shd w:fill="CCEEFF" w:val="clear"/>
            <w:vAlign w:val="bottom"/>
          </w:tcPr>
          <w:p>
            <w:pPr>
              <w:pStyle w:val="TableContents"/>
              <w:spacing w:before="0" w:after="0"/>
              <w:ind w:left="0" w:right="0" w:hanging="0"/>
              <w:rPr/>
            </w:pPr>
            <w:r>
              <w:rPr/>
              <w:t> </w:t>
            </w:r>
          </w:p>
        </w:tc>
        <w:tc>
          <w:tcPr>
            <w:tcW w:w="7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16"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CCEEFF" w:val="clear"/>
            <w:vAlign w:val="bottom"/>
          </w:tcPr>
          <w:p>
            <w:pPr>
              <w:pStyle w:val="TableContents"/>
              <w:spacing w:before="0" w:after="0"/>
              <w:ind w:left="0" w:right="0" w:hanging="0"/>
              <w:rPr/>
            </w:pPr>
            <w:r>
              <w:rPr/>
              <w:t> </w:t>
            </w:r>
          </w:p>
        </w:tc>
        <w:tc>
          <w:tcPr>
            <w:tcW w:w="7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8" w:type="dxa"/>
            <w:tcBorders/>
            <w:shd w:fill="CCEEFF" w:val="clear"/>
            <w:vAlign w:val="bottom"/>
          </w:tcPr>
          <w:p>
            <w:pPr>
              <w:pStyle w:val="TableContents"/>
              <w:spacing w:before="0" w:after="0"/>
              <w:ind w:left="0" w:right="0" w:hanging="0"/>
              <w:rPr/>
            </w:pPr>
            <w:r>
              <w:rPr/>
              <w:t> </w:t>
            </w:r>
          </w:p>
        </w:tc>
        <w:tc>
          <w:tcPr>
            <w:tcW w:w="7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8" w:type="dxa"/>
            <w:tcBorders/>
            <w:shd w:fill="CCEEFF" w:val="clear"/>
            <w:vAlign w:val="bottom"/>
          </w:tcPr>
          <w:p>
            <w:pPr>
              <w:pStyle w:val="TableContents"/>
              <w:spacing w:before="0" w:after="0"/>
              <w:ind w:left="0" w:right="0" w:hanging="0"/>
              <w:rPr/>
            </w:pPr>
            <w:r>
              <w:rPr/>
              <w:t> </w:t>
            </w:r>
          </w:p>
        </w:tc>
        <w:tc>
          <w:tcPr>
            <w:tcW w:w="7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8" w:type="dxa"/>
            <w:tcBorders/>
            <w:shd w:fill="CCEEFF" w:val="clear"/>
            <w:vAlign w:val="bottom"/>
          </w:tcPr>
          <w:p>
            <w:pPr>
              <w:pStyle w:val="TableContents"/>
              <w:spacing w:before="0" w:after="0"/>
              <w:ind w:left="0" w:right="0" w:hanging="0"/>
              <w:rPr/>
            </w:pPr>
            <w:r>
              <w:rPr/>
              <w:t> </w:t>
            </w:r>
          </w:p>
        </w:tc>
        <w:tc>
          <w:tcPr>
            <w:tcW w:w="62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2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8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segment total</w:t>
            </w:r>
          </w:p>
        </w:tc>
        <w:tc>
          <w:tcPr>
            <w:tcW w:w="208" w:type="dxa"/>
            <w:tcBorders/>
            <w:shd w:fill="auto" w:val="clear"/>
            <w:vAlign w:val="bottom"/>
          </w:tcPr>
          <w:p>
            <w:pPr>
              <w:pStyle w:val="TableContents"/>
              <w:spacing w:before="0" w:after="0"/>
              <w:ind w:left="0" w:right="0" w:hanging="0"/>
              <w:rPr/>
            </w:pPr>
            <w:r>
              <w:rPr/>
              <w:t> </w:t>
            </w:r>
          </w:p>
        </w:tc>
        <w:tc>
          <w:tcPr>
            <w:tcW w:w="7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1,005</w:t>
            </w:r>
          </w:p>
        </w:tc>
        <w:tc>
          <w:tcPr>
            <w:tcW w:w="208" w:type="dxa"/>
            <w:tcBorders/>
            <w:shd w:fill="auto" w:val="clear"/>
            <w:vAlign w:val="bottom"/>
          </w:tcPr>
          <w:p>
            <w:pPr>
              <w:pStyle w:val="TableContents"/>
              <w:spacing w:before="0" w:after="0"/>
              <w:ind w:left="0" w:right="0" w:hanging="0"/>
              <w:rPr/>
            </w:pPr>
            <w:r>
              <w:rPr/>
              <w:t> </w:t>
            </w:r>
          </w:p>
        </w:tc>
        <w:tc>
          <w:tcPr>
            <w:tcW w:w="7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208" w:type="dxa"/>
            <w:tcBorders/>
            <w:shd w:fill="auto" w:val="clear"/>
            <w:vAlign w:val="bottom"/>
          </w:tcPr>
          <w:p>
            <w:pPr>
              <w:pStyle w:val="TableContents"/>
              <w:spacing w:before="0" w:after="0"/>
              <w:ind w:left="0" w:right="0" w:hanging="0"/>
              <w:rPr/>
            </w:pPr>
            <w:r>
              <w:rPr/>
              <w:t> </w:t>
            </w:r>
          </w:p>
        </w:tc>
        <w:tc>
          <w:tcPr>
            <w:tcW w:w="7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8" w:type="dxa"/>
            <w:tcBorders/>
            <w:shd w:fill="auto" w:val="clear"/>
            <w:vAlign w:val="bottom"/>
          </w:tcPr>
          <w:p>
            <w:pPr>
              <w:pStyle w:val="TableContents"/>
              <w:spacing w:before="0" w:after="0"/>
              <w:ind w:left="0" w:right="0" w:hanging="0"/>
              <w:rPr/>
            </w:pPr>
            <w:r>
              <w:rPr/>
              <w:t> </w:t>
            </w:r>
          </w:p>
        </w:tc>
        <w:tc>
          <w:tcPr>
            <w:tcW w:w="4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 w:type="dxa"/>
            <w:tcBorders/>
            <w:shd w:fill="auto" w:val="clear"/>
            <w:vAlign w:val="bottom"/>
          </w:tcPr>
          <w:p>
            <w:pPr>
              <w:pStyle w:val="TableContents"/>
              <w:spacing w:before="0" w:after="0"/>
              <w:ind w:left="0" w:right="0" w:hanging="0"/>
              <w:rPr/>
            </w:pPr>
            <w:r>
              <w:rPr/>
              <w:t> </w:t>
            </w:r>
          </w:p>
        </w:tc>
        <w:tc>
          <w:tcPr>
            <w:tcW w:w="7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1,056</w:t>
            </w:r>
          </w:p>
        </w:tc>
        <w:tc>
          <w:tcPr>
            <w:tcW w:w="208" w:type="dxa"/>
            <w:tcBorders/>
            <w:shd w:fill="auto" w:val="clear"/>
            <w:vAlign w:val="bottom"/>
          </w:tcPr>
          <w:p>
            <w:pPr>
              <w:pStyle w:val="TableContents"/>
              <w:spacing w:before="0" w:after="0"/>
              <w:ind w:left="0" w:right="0" w:hanging="0"/>
              <w:rPr/>
            </w:pPr>
            <w:r>
              <w:rPr/>
              <w:t> </w:t>
            </w:r>
          </w:p>
        </w:tc>
        <w:tc>
          <w:tcPr>
            <w:tcW w:w="7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08" w:type="dxa"/>
            <w:tcBorders/>
            <w:shd w:fill="auto" w:val="clear"/>
            <w:vAlign w:val="bottom"/>
          </w:tcPr>
          <w:p>
            <w:pPr>
              <w:pStyle w:val="TableContents"/>
              <w:spacing w:before="0" w:after="0"/>
              <w:ind w:left="0" w:right="0" w:hanging="0"/>
              <w:rPr/>
            </w:pPr>
            <w:r>
              <w:rPr/>
              <w:t> </w:t>
            </w:r>
          </w:p>
        </w:tc>
        <w:tc>
          <w:tcPr>
            <w:tcW w:w="72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08" w:type="dxa"/>
            <w:tcBorders/>
            <w:shd w:fill="auto" w:val="clear"/>
            <w:vAlign w:val="bottom"/>
          </w:tcPr>
          <w:p>
            <w:pPr>
              <w:pStyle w:val="TableContents"/>
              <w:spacing w:before="0" w:after="0"/>
              <w:ind w:left="0" w:right="0" w:hanging="0"/>
              <w:rPr/>
            </w:pPr>
            <w:r>
              <w:rPr/>
              <w:t> </w:t>
            </w:r>
          </w:p>
        </w:tc>
        <w:tc>
          <w:tcPr>
            <w:tcW w:w="62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Revenues and costs include intersegment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Purchases and related costs include interest expense (related to hedged crude oil and NGL inventory) of approximately $8 million and $21 million for the three and nine months ended September 30, 2013 compared to $3 million and $9 million for the three and nine months ended September 30, 2012,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Equity-indexed compensation expense shown in the table above includes expenses associated with awards that will or may be settled in units and awards that will or may be settled in cash.</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NYMEX benchmark price of crude oil ranged from approximately $96 to $112 per barrel and $82 to $100 per barrel during the three months ended September 30, 2013 and 2012, respectively, and from approximately $86 to $112 per barrel and $77 to $111 per barrel during the nine months ended September 30, 2013 and 2012, respectively. 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and nine months ended September 30, 2013 and 2012 primarily from increased volumes in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marketing operations are sensitive to weather-related demand, particularly during the approximate five-month peak heating season of November through March, and temperature differences from period to period may have a significant effect on NGL demand and thus our financial performance.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is a discussion of items impacting Supply and Logistics segment profit and segment profit per barrel for the periods indicated: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Operating Revenues and Volumes. </w:t>
      </w:r>
      <w:r>
        <w:rPr>
          <w:rFonts w:ascii="Times New Roman" w:hAnsi="Times New Roman"/>
          <w:sz w:val="17"/>
        </w:rPr>
        <w:t>Our Supply and Logistics segment revenues, net of purchases and related costs and excluding gains and losses from derivative activities (see the Impact from Derivative Activities section below), increased for the nine months ended September 30, 2013 compared to the nine months ended September 30, 2012; however, such results decreased for the comparative three-month periods ended September 30, 2013 and 2012.  Volumes also increased for the nine-month comparative period while volumes for the three-month 2013 period were relatively consistent with volumes in the three-month 2012 period. The following factors contributed to the variances in revenues and volumes between the comparative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North American Crude Oil Production and Related Market Economics  The increasing production of oil and liquids-rich gas in North America over the last several years generally created supply and demand imbalances that increased the volatility of historical differentials for various grades of crude oil and also impacted the historical pricing relationship between NGL and crude oil. Lack of existing pipeline takeaway capacity and associated logistical challenges in certain of these producing regions created market conditions and opportunities that were favorable to our supply and logistics activities. During 2012 and the first quarter of 2013, these conditions provided opportunities for increased margins. However, infrastructure additions in many of these resource plays during the second and third quarters of 2013 began to relieve certain of the transportation constraints that had previously created opportunities for these favorable crude oil margins. Therefore, although we experienced higher crude oil lease gathering volumes in 2013 compared to 2012, we experienced fewer opportunities for favorable crude oil margins resulting in lower contributions from our crude oil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the fundamentals of our business remain strong; however, as the midstream infrastructure in these producing regions continues to be developed, we believe a normalization of margins will continue to occur as the logistics challenges are addressed.  (See Items 1 and 2 Business and PropertiesDescription of Segments and Associated Assets</w:t>
      </w:r>
      <w:r>
        <w:rPr>
          <w:rFonts w:ascii="Times New Roman" w:hAnsi="Times New Roman"/>
          <w:i/>
          <w:sz w:val="17"/>
        </w:rPr>
        <w:t>Supply and Logistics Segment</w:t>
      </w:r>
      <w:r>
        <w:rPr>
          <w:rFonts w:ascii="Times New Roman" w:hAnsi="Times New Roman"/>
          <w:sz w:val="17"/>
        </w:rPr>
        <w:t>Impact of Commodity Price Volatility and Dynamic Market Conditions on Our Business Model included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66" w:name="PB_40_132808_5335"/>
      <w:bookmarkEnd w:id="6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Part I of our 2012 Annual Report on Form 10-K for further discussion regarding our business model, including diversification and utilization of our asset base among varying demand- and supply-driven markets.)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NGL Marketing Operations  Revenues from our NGL marketing operations increased during the three and nine months ended September 30, 2013 as compared to the three and nine months ended September 30, 2012 primarily due to more favorable market prices and higher demand related to (i) increases in export activity that reduced overall product availability in the market and (ii) petrochemical demand as well as more favorable supply contracts. Additionally, NGL margins during the nine-month 2012 period were negatively impacted by the sale of NGL product at points in time where spot prices were less than our weighted average inventory cost, primarily associated with inventory acquired in the BP NGL Acquisition on April 1, 2012. The nine-month 2013 period further benefited from higher demand related to heating requirements during an extended winter season.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NGL sales volumes decreased during the three months ended September 30, 2013 compared to the three months ended September 30, 2012 primarily due to excess Canadian inventory in 2012 acquired through the BP NGL Acquisition, unexpected refinery shutdowns in the third quarter of 2013 and a reduction in the amount of field supply purchased. However, NGL sales volumes increased over the comparative nine-month periods primarily due to increased demand as discussed above, as well as the impact from our BP NGL Acquisition completed on April 1, 2012.</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Impact from Derivative Activities.</w:t>
      </w:r>
      <w:r>
        <w:rPr>
          <w:rFonts w:ascii="Times New Roman" w:hAnsi="Times New Roman"/>
        </w:rPr>
        <w:t xml:space="preserve"> </w:t>
      </w:r>
      <w:r>
        <w:rPr>
          <w:rFonts w:ascii="Times New Roman" w:hAnsi="Times New Roman"/>
          <w:sz w:val="17"/>
        </w:rPr>
        <w:t>The mark-to-market valuation of our derivative activities impacted our net revenues for the three and nine months ended September 30, 2013 compared to the three and nine months ended September 30, 2012 as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004"/>
        <w:gridCol w:w="192"/>
        <w:gridCol w:w="178"/>
        <w:gridCol w:w="782"/>
        <w:gridCol w:w="228"/>
        <w:gridCol w:w="178"/>
        <w:gridCol w:w="786"/>
        <w:gridCol w:w="204"/>
        <w:gridCol w:w="180"/>
        <w:gridCol w:w="787"/>
        <w:gridCol w:w="126"/>
        <w:gridCol w:w="114"/>
        <w:gridCol w:w="190"/>
        <w:gridCol w:w="719"/>
        <w:gridCol w:w="236"/>
        <w:gridCol w:w="190"/>
        <w:gridCol w:w="815"/>
        <w:gridCol w:w="204"/>
        <w:gridCol w:w="199"/>
        <w:gridCol w:w="768"/>
        <w:gridCol w:w="125"/>
      </w:tblGrid>
      <w:tr>
        <w:trPr/>
        <w:tc>
          <w:tcPr>
            <w:tcW w:w="3004"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21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26"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jc w:val="center"/>
              <w:rPr/>
            </w:pPr>
            <w:r>
              <w:rPr/>
              <w:t> </w:t>
            </w:r>
          </w:p>
        </w:tc>
        <w:tc>
          <w:tcPr>
            <w:tcW w:w="215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0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0"/>
              <w:ind w:left="0" w:right="0" w:hanging="0"/>
              <w:jc w:val="center"/>
              <w:rPr/>
            </w:pPr>
            <w:r>
              <w:rPr/>
              <w:t> </w:t>
            </w:r>
          </w:p>
        </w:tc>
      </w:tr>
      <w:tr>
        <w:trPr/>
        <w:tc>
          <w:tcPr>
            <w:tcW w:w="3004"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21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26"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jc w:val="center"/>
              <w:rPr/>
            </w:pPr>
            <w:r>
              <w:rPr/>
              <w:t> </w:t>
            </w:r>
          </w:p>
        </w:tc>
        <w:tc>
          <w:tcPr>
            <w:tcW w:w="215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 September 30,</w:t>
            </w:r>
          </w:p>
        </w:tc>
        <w:tc>
          <w:tcPr>
            <w:tcW w:w="204" w:type="dxa"/>
            <w:tcBorders/>
            <w:shd w:fill="auto" w:val="clear"/>
            <w:vAlign w:val="bottom"/>
          </w:tcPr>
          <w:p>
            <w:pPr>
              <w:pStyle w:val="TableContents"/>
              <w:spacing w:before="0" w:after="0"/>
              <w:ind w:left="0" w:right="0" w:hanging="0"/>
              <w:jc w:val="center"/>
              <w:rPr/>
            </w:pPr>
            <w:r>
              <w:rPr/>
              <w:t> </w:t>
            </w:r>
          </w:p>
        </w:tc>
        <w:tc>
          <w:tcPr>
            <w:tcW w:w="967" w:type="dxa"/>
            <w:gridSpan w:val="2"/>
            <w:tcBorders/>
            <w:shd w:fill="auto" w:val="cle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0"/>
              <w:ind w:left="0" w:right="0" w:hanging="0"/>
              <w:jc w:val="center"/>
              <w:rPr/>
            </w:pPr>
            <w:r>
              <w:rPr/>
              <w:t> </w:t>
            </w:r>
          </w:p>
        </w:tc>
      </w:tr>
      <w:tr>
        <w:trPr/>
        <w:tc>
          <w:tcPr>
            <w:tcW w:w="3004" w:type="dxa"/>
            <w:tcBorders/>
            <w:shd w:fill="auto" w:val="clear"/>
            <w:vAlign w:val="bottom"/>
          </w:tcPr>
          <w:p>
            <w:pPr>
              <w:pStyle w:val="TableContents"/>
              <w:spacing w:before="0" w:after="0"/>
              <w:ind w:left="0" w:right="0" w:hanging="0"/>
              <w:rPr/>
            </w:pPr>
            <w:r>
              <w:rPr/>
              <w:t> </w:t>
            </w:r>
          </w:p>
        </w:tc>
        <w:tc>
          <w:tcPr>
            <w:tcW w:w="192" w:type="dxa"/>
            <w:tcBorders/>
            <w:shd w:fill="auto" w:val="clear"/>
            <w:vAlign w:val="bottom"/>
          </w:tcPr>
          <w:p>
            <w:pPr>
              <w:pStyle w:val="TableContents"/>
              <w:spacing w:before="0" w:after="0"/>
              <w:ind w:left="0" w:right="0" w:hanging="0"/>
              <w:jc w:val="center"/>
              <w:rPr/>
            </w:pPr>
            <w:r>
              <w:rPr/>
              <w:t> </w:t>
            </w:r>
          </w:p>
        </w:tc>
        <w:tc>
          <w:tcPr>
            <w:tcW w:w="9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8" w:type="dxa"/>
            <w:tcBorders/>
            <w:shd w:fill="auto" w:val="clear"/>
            <w:vAlign w:val="bottom"/>
          </w:tcPr>
          <w:p>
            <w:pPr>
              <w:pStyle w:val="TableContents"/>
              <w:spacing w:before="0" w:after="0"/>
              <w:ind w:left="0" w:right="0" w:hanging="0"/>
              <w:jc w:val="center"/>
              <w:rPr/>
            </w:pPr>
            <w:r>
              <w:rPr/>
              <w:t> </w:t>
            </w:r>
          </w:p>
        </w:tc>
        <w:tc>
          <w:tcPr>
            <w:tcW w:w="96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4" w:type="dxa"/>
            <w:tcBorders/>
            <w:shd w:fill="auto" w:val="clear"/>
            <w:vAlign w:val="bottom"/>
          </w:tcPr>
          <w:p>
            <w:pPr>
              <w:pStyle w:val="TableContents"/>
              <w:spacing w:before="0" w:after="0"/>
              <w:ind w:left="0" w:right="0" w:hanging="0"/>
              <w:jc w:val="center"/>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26" w:type="dxa"/>
            <w:tcBorders/>
            <w:shd w:fill="auto" w:val="clear"/>
            <w:vAlign w:val="bottom"/>
          </w:tcPr>
          <w:p>
            <w:pPr>
              <w:pStyle w:val="TableContents"/>
              <w:spacing w:before="0" w:after="0"/>
              <w:ind w:left="0" w:right="0" w:hanging="0"/>
              <w:jc w:val="center"/>
              <w:rPr/>
            </w:pPr>
            <w:r>
              <w:rPr/>
              <w:t> </w:t>
            </w:r>
          </w:p>
        </w:tc>
        <w:tc>
          <w:tcPr>
            <w:tcW w:w="114" w:type="dxa"/>
            <w:tcBorders/>
            <w:shd w:fill="auto" w:val="clear"/>
            <w:vAlign w:val="bottom"/>
          </w:tcPr>
          <w:p>
            <w:pPr>
              <w:pStyle w:val="TableContents"/>
              <w:spacing w:before="0" w:after="0"/>
              <w:ind w:left="0" w:right="0" w:hanging="0"/>
              <w:jc w:val="center"/>
              <w:rPr/>
            </w:pPr>
            <w:r>
              <w:rPr/>
              <w:t> </w:t>
            </w:r>
          </w:p>
        </w:tc>
        <w:tc>
          <w:tcPr>
            <w:tcW w:w="90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3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4" w:type="dxa"/>
            <w:tcBorders/>
            <w:shd w:fill="auto" w:val="clear"/>
            <w:vAlign w:val="bottom"/>
          </w:tcPr>
          <w:p>
            <w:pPr>
              <w:pStyle w:val="TableContents"/>
              <w:spacing w:before="0" w:after="0"/>
              <w:ind w:left="0" w:right="0" w:hanging="0"/>
              <w:jc w:val="center"/>
              <w:rPr/>
            </w:pPr>
            <w:r>
              <w:rPr/>
              <w:t> </w:t>
            </w:r>
          </w:p>
        </w:tc>
        <w:tc>
          <w:tcPr>
            <w:tcW w:w="9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Variance</w:t>
            </w:r>
          </w:p>
        </w:tc>
        <w:tc>
          <w:tcPr>
            <w:tcW w:w="125" w:type="dxa"/>
            <w:tcBorders/>
            <w:shd w:fill="auto" w:val="clear"/>
            <w:vAlign w:val="bottom"/>
          </w:tcPr>
          <w:p>
            <w:pPr>
              <w:pStyle w:val="TableContents"/>
              <w:spacing w:before="0" w:after="0"/>
              <w:ind w:left="0" w:right="0" w:hanging="0"/>
              <w:jc w:val="center"/>
              <w:rPr/>
            </w:pPr>
            <w:r>
              <w:rPr/>
              <w:t> </w:t>
            </w:r>
          </w:p>
        </w:tc>
      </w:tr>
      <w:tr>
        <w:trPr/>
        <w:tc>
          <w:tcPr>
            <w:tcW w:w="3004"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derivative activities </w:t>
            </w:r>
            <w:r>
              <w:rPr>
                <w:sz w:val="11"/>
              </w:rPr>
              <w:t>(1)</w:t>
            </w:r>
          </w:p>
        </w:tc>
        <w:tc>
          <w:tcPr>
            <w:tcW w:w="192" w:type="dxa"/>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26"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5" w:type="dxa"/>
            <w:tcBorders/>
            <w:shd w:fill="CCEEFF" w:val="clear"/>
            <w:vAlign w:val="bottom"/>
          </w:tcPr>
          <w:p>
            <w:pPr>
              <w:pStyle w:val="TableContents"/>
              <w:spacing w:before="0" w:after="0"/>
              <w:ind w:left="0" w:right="0" w:hanging="0"/>
              <w:rPr/>
            </w:pPr>
            <w:r>
              <w:rPr/>
              <w:t> </w:t>
            </w:r>
          </w:p>
        </w:tc>
      </w:tr>
      <w:tr>
        <w:trPr/>
        <w:tc>
          <w:tcPr>
            <w:tcW w:w="3004"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These amounts are reduced by the net impact of inventory valuation adjustments attributable to inventory hedged by the related derivative and gains recognized in later periods on physical sales of inventory that was previously written down. See Note 11 to our condensed consolidated financial statements for a comprehensive discussion regarding our derivatives and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Field Operating Costs.</w:t>
      </w:r>
      <w:r>
        <w:rPr>
          <w:rFonts w:ascii="Times New Roman" w:hAnsi="Times New Roman"/>
        </w:rPr>
        <w:t xml:space="preserve">  </w:t>
      </w:r>
      <w:r>
        <w:rPr>
          <w:rFonts w:ascii="Times New Roman" w:hAnsi="Times New Roman"/>
          <w:sz w:val="17"/>
        </w:rPr>
        <w:t>Field operating costs (excluding equity-indexed compensation expense) increased in the three and nine months ended September 30, 2013 compared to the three and nine months ended September 30, 2012 primarily related to increased lease gathered volumes, particularly in West Texas and Oklahoma.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Equity-Indexed Compensation Expense.</w:t>
      </w:r>
      <w:r>
        <w:rPr>
          <w:rFonts w:ascii="Times New Roman" w:hAnsi="Times New Roman"/>
        </w:rPr>
        <w:t xml:space="preserve"> </w:t>
      </w:r>
      <w:r>
        <w:rPr>
          <w:rFonts w:ascii="Times New Roman" w:hAnsi="Times New Roman"/>
          <w:sz w:val="17"/>
        </w:rPr>
        <w:t>On a consolidated basis, equity-indexed compensation expense decreased for the three months ended September 30, 2013 as compared to the three months ended September 30, 2012 and increased for the nine months ended September 30, 2013 as compared to the nine months ended September 30, 2012. See discussion regarding such variances under Transportation Segment above. Also, see Note 15 to our Consolidated Financial Statements included in Part IV of our 2012 Annual Report on Form 10-K for further information regarding our equity-indexed compensation plans.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Income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Depreciation and Amortization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Depreciation and amortization expense was approximately $93 million and $265 million for the three and nine months ended September 30, 2013, respectively, compared to approximately $210 million and $356 million for the three and nine months ended September 30, 2012, respectively. Included in depreciation and amortization expense for the 2012 periods are losses on impairments of long-lived assets of approximately $125 million primarily related to our Pier 400 terminal project.  During the third quarter of 2012, we decided not to proceed with the development of this project.  See Note 15 to our condensed consolidated financial statements for further discussion of asset impairments.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67" w:name="PB_41_132935_5796"/>
      <w:bookmarkEnd w:id="6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Excluding the impact of these asset impairments, depreciation and amortization expense increased during the three and nine months ended September 30, 2013 over the comparable 2012 periods primarily due to an increased amount of assets resulting from acquisition activities, as well as various internal growth projects in both years.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expense decreased by approximately $2 million for the three months ended September 30, 2013 compared to the three months ended September 30, 2012, primarily due to a gain of approximately $3 million recognized in interest expense attributable to the ineffective portion of our forward-starting interest rate swaps terminated in connection with our August 2013 senior notes issuance, as well as increases in interest included in purchases and related costs and capitalized interest during the 2013 period. Such items offset increases in interest expense resulting from higher average debt outstanding during the three-month period ended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expense increased by approximately $10 million for the nine months ended September 30, 2013 compared to the nine months ended September 30, 2012, primarily as a result of higher average debt outstanding during the nine-month 2013 period, partially offset by increases in interest included in purchases and related costs and capitalized interest during the 2013 period, as well as a gain of approximately $3 million recognized in interest expense attributable to the ineffective portion of our forward-starting interest rate swaps terminated in connection with our August 2013 senior notes issuance.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Income Tax Expense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Income tax expense for the three months ended September 30, 2013 compared to the three months ended September 30, 2012 decreased by approximately $4 million. Current income tax expense increased by approximately $7 million for the three months ended September 30, 2013 compared to three months ended September 30, 2012, primarily as a result of increased earnings from our Canadian operations. Deferred income tax expense decreased by approximately $11 million due to the tax impact of net derivative losses recognized in the three months ended September 30, 2013 compared to the three months ended September 30,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Income tax expense for the nine months ended September 30, 2013 compared to the nine months ended September 30, 2012 increased by approximately $36 million, primarily as a result of the BP NGL Acquisition, as well as stronger performance from our existing operations, both of which increased the proportion of earnings subject to Canadian federal and provincial taxes. Canadian withholding taxes also increased on interest from our Canadian entities to other affiliates.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Liquidity and Capital Resources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primary sources of liquidity are (i) our cash flows from operating activities, (ii) borrowings under our credit facilities or commercial paper program and (iii) funds received from sales of equity and debt securities. Our primary cash requirements include, but are not limited to, (i) ordinary course of business uses, such as the payment of amounts related to the purchase of crude oil and other products and other expenses and interest payments on our outstanding debt, (ii) maintenance and expansion activities, (iii) acquisitions of assets or businesses, (iv) repayment of principal on our long-term debt and (v) distributions to our unitholders and general partner. We generally expect to fund our short-term cash requirements through our primary sources of liquidity. In addition, we generally expect to fund our long-term needs, such as those resulting from expansion activities or acquisitions and refinancing our long-term debt, through a variety of sources (either separately or in combination), which may include operating cash flows, borrowings under our credit facilities or commercial paper program, and/or the issuance of additional equity or debt securities. As of September 30, 2013, we had a working capital surplus of approximately $134 million and approximately $2.87 billion of liquidity available to meet our other ongoing operating, investing and financing needs as noted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731"/>
        <w:gridCol w:w="219"/>
        <w:gridCol w:w="249"/>
        <w:gridCol w:w="1875"/>
        <w:gridCol w:w="131"/>
      </w:tblGrid>
      <w:tr>
        <w:trPr/>
        <w:tc>
          <w:tcPr>
            <w:tcW w:w="7731"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212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 of</w:t>
            </w:r>
          </w:p>
        </w:tc>
        <w:tc>
          <w:tcPr>
            <w:tcW w:w="131" w:type="dxa"/>
            <w:tcBorders/>
            <w:shd w:fill="auto" w:val="clear"/>
            <w:vAlign w:val="bottom"/>
          </w:tcPr>
          <w:p>
            <w:pPr>
              <w:pStyle w:val="TableContents"/>
              <w:spacing w:before="0" w:after="0"/>
              <w:ind w:left="0" w:right="0" w:hanging="0"/>
              <w:jc w:val="center"/>
              <w:rPr/>
            </w:pPr>
            <w:r>
              <w:rPr/>
              <w:t> </w:t>
            </w:r>
          </w:p>
        </w:tc>
      </w:tr>
      <w:tr>
        <w:trPr/>
        <w:tc>
          <w:tcPr>
            <w:tcW w:w="7731" w:type="dxa"/>
            <w:tcBorders/>
            <w:shd w:fill="auto" w:val="clear"/>
            <w:vAlign w:val="bottom"/>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0"/>
              <w:ind w:left="0" w:right="0" w:hanging="0"/>
              <w:jc w:val="center"/>
              <w:rPr/>
            </w:pPr>
            <w:r>
              <w:rPr/>
              <w:t> </w:t>
            </w:r>
          </w:p>
        </w:tc>
        <w:tc>
          <w:tcPr>
            <w:tcW w:w="21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131" w:type="dxa"/>
            <w:tcBorders/>
            <w:shd w:fill="auto" w:val="clear"/>
            <w:vAlign w:val="bottom"/>
          </w:tcPr>
          <w:p>
            <w:pPr>
              <w:pStyle w:val="TableContents"/>
              <w:spacing w:before="0" w:after="0"/>
              <w:ind w:left="0" w:right="0" w:hanging="0"/>
              <w:jc w:val="center"/>
              <w:rPr/>
            </w:pPr>
            <w:r>
              <w:rPr/>
              <w:t> </w:t>
            </w:r>
          </w:p>
        </w:tc>
      </w:tr>
      <w:tr>
        <w:trPr/>
        <w:tc>
          <w:tcPr>
            <w:tcW w:w="7731" w:type="dxa"/>
            <w:tcBorders/>
            <w:shd w:fill="CCEEFF" w:val="clear"/>
            <w:vAlign w:val="bottom"/>
          </w:tcPr>
          <w:p>
            <w:pPr>
              <w:pStyle w:val="TableContents"/>
              <w:spacing w:before="0" w:after="0"/>
              <w:ind w:left="0" w:right="0" w:hanging="0"/>
              <w:rPr/>
            </w:pPr>
            <w:r>
              <w:rPr>
                <w:rFonts w:ascii="Times New Roman" w:hAnsi="Times New Roman"/>
                <w:sz w:val="17"/>
              </w:rPr>
              <w:t xml:space="preserve">Availability under PAA senior unsecured revolving credit facility </w:t>
            </w:r>
            <w:r>
              <w:rPr>
                <w:sz w:val="11"/>
              </w:rPr>
              <w:t>(1)</w:t>
            </w:r>
          </w:p>
        </w:tc>
        <w:tc>
          <w:tcPr>
            <w:tcW w:w="219" w:type="dxa"/>
            <w:tcBorders/>
            <w:shd w:fill="CCEEFF" w:val="clear"/>
            <w:vAlign w:val="bottom"/>
          </w:tcPr>
          <w:p>
            <w:pPr>
              <w:pStyle w:val="TableContents"/>
              <w:spacing w:before="0" w:after="0"/>
              <w:ind w:left="0" w:right="0" w:hanging="0"/>
              <w:rPr/>
            </w:pPr>
            <w:r>
              <w:rPr/>
              <w:t> </w:t>
            </w:r>
          </w:p>
        </w:tc>
        <w:tc>
          <w:tcPr>
            <w:tcW w:w="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1,269</w:t>
            </w:r>
          </w:p>
        </w:tc>
        <w:tc>
          <w:tcPr>
            <w:tcW w:w="131" w:type="dxa"/>
            <w:tcBorders/>
            <w:shd w:fill="CCEEFF" w:val="clear"/>
            <w:vAlign w:val="bottom"/>
          </w:tcPr>
          <w:p>
            <w:pPr>
              <w:pStyle w:val="TableContents"/>
              <w:spacing w:before="0" w:after="0"/>
              <w:ind w:left="0" w:right="0" w:hanging="0"/>
              <w:rPr/>
            </w:pPr>
            <w:r>
              <w:rPr/>
              <w:t> </w:t>
            </w:r>
          </w:p>
        </w:tc>
      </w:tr>
      <w:tr>
        <w:trPr/>
        <w:tc>
          <w:tcPr>
            <w:tcW w:w="7731" w:type="dxa"/>
            <w:tcBorders/>
            <w:shd w:fill="auto" w:val="clear"/>
            <w:vAlign w:val="bottom"/>
          </w:tcPr>
          <w:p>
            <w:pPr>
              <w:pStyle w:val="TableContents"/>
              <w:spacing w:before="0" w:after="0"/>
              <w:ind w:left="0" w:right="0" w:hanging="0"/>
              <w:rPr/>
            </w:pPr>
            <w:r>
              <w:rPr>
                <w:rFonts w:ascii="Times New Roman" w:hAnsi="Times New Roman"/>
                <w:sz w:val="17"/>
              </w:rPr>
              <w:t xml:space="preserve">Availability under PAA senior secured hedged inventory facility </w:t>
            </w:r>
            <w:r>
              <w:rPr>
                <w:sz w:val="11"/>
              </w:rPr>
              <w:t>(1)</w:t>
            </w:r>
          </w:p>
        </w:tc>
        <w:tc>
          <w:tcPr>
            <w:tcW w:w="219" w:type="dxa"/>
            <w:tcBorders/>
            <w:shd w:fill="auto" w:val="clear"/>
            <w:vAlign w:val="bottom"/>
          </w:tcPr>
          <w:p>
            <w:pPr>
              <w:pStyle w:val="TableContents"/>
              <w:spacing w:before="0" w:after="0"/>
              <w:ind w:left="0" w:right="0" w:hanging="0"/>
              <w:rPr/>
            </w:pPr>
            <w:r>
              <w:rPr/>
              <w:t> </w:t>
            </w:r>
          </w:p>
        </w:tc>
        <w:tc>
          <w:tcPr>
            <w:tcW w:w="212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1,373</w:t>
            </w:r>
          </w:p>
        </w:tc>
        <w:tc>
          <w:tcPr>
            <w:tcW w:w="131" w:type="dxa"/>
            <w:tcBorders/>
            <w:shd w:fill="auto" w:val="clear"/>
            <w:vAlign w:val="bottom"/>
          </w:tcPr>
          <w:p>
            <w:pPr>
              <w:pStyle w:val="TableContents"/>
              <w:spacing w:before="0" w:after="0"/>
              <w:ind w:left="0" w:right="0" w:hanging="0"/>
              <w:rPr/>
            </w:pPr>
            <w:r>
              <w:rPr/>
              <w:t> </w:t>
            </w:r>
          </w:p>
        </w:tc>
      </w:tr>
      <w:tr>
        <w:trPr/>
        <w:tc>
          <w:tcPr>
            <w:tcW w:w="77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Availability under PNG senior unsecured revolving credit facility </w:t>
            </w:r>
          </w:p>
        </w:tc>
        <w:tc>
          <w:tcPr>
            <w:tcW w:w="219" w:type="dxa"/>
            <w:tcBorders/>
            <w:shd w:fill="CCEEFF" w:val="clear"/>
            <w:vAlign w:val="bottom"/>
          </w:tcPr>
          <w:p>
            <w:pPr>
              <w:pStyle w:val="TableContents"/>
              <w:spacing w:before="0" w:after="0"/>
              <w:ind w:left="0" w:right="0" w:hanging="0"/>
              <w:rPr/>
            </w:pPr>
            <w:r>
              <w:rPr/>
              <w:t> </w:t>
            </w:r>
          </w:p>
        </w:tc>
        <w:tc>
          <w:tcPr>
            <w:tcW w:w="212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31" w:type="dxa"/>
            <w:tcBorders/>
            <w:shd w:fill="CCEEFF" w:val="clear"/>
            <w:vAlign w:val="bottom"/>
          </w:tcPr>
          <w:p>
            <w:pPr>
              <w:pStyle w:val="TableContents"/>
              <w:spacing w:before="0" w:after="0"/>
              <w:ind w:left="0" w:right="0" w:hanging="0"/>
              <w:rPr/>
            </w:pPr>
            <w:r>
              <w:rPr/>
              <w:t> </w:t>
            </w:r>
          </w:p>
        </w:tc>
      </w:tr>
      <w:tr>
        <w:trPr/>
        <w:tc>
          <w:tcPr>
            <w:tcW w:w="77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19" w:type="dxa"/>
            <w:tcBorders/>
            <w:shd w:fill="auto" w:val="clear"/>
            <w:vAlign w:val="bottom"/>
          </w:tcPr>
          <w:p>
            <w:pPr>
              <w:pStyle w:val="TableContents"/>
              <w:spacing w:before="0" w:after="0"/>
              <w:ind w:left="0" w:right="0" w:hanging="0"/>
              <w:rPr/>
            </w:pPr>
            <w:r>
              <w:rPr/>
              <w:t> </w:t>
            </w:r>
          </w:p>
        </w:tc>
        <w:tc>
          <w:tcPr>
            <w:tcW w:w="212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31" w:type="dxa"/>
            <w:tcBorders/>
            <w:shd w:fill="auto" w:val="clear"/>
            <w:vAlign w:val="bottom"/>
          </w:tcPr>
          <w:p>
            <w:pPr>
              <w:pStyle w:val="TableContents"/>
              <w:spacing w:before="0" w:after="0"/>
              <w:ind w:left="0" w:right="0" w:hanging="0"/>
              <w:rPr/>
            </w:pPr>
            <w:r>
              <w:rPr/>
              <w:t> </w:t>
            </w:r>
          </w:p>
        </w:tc>
      </w:tr>
      <w:tr>
        <w:trPr/>
        <w:tc>
          <w:tcPr>
            <w:tcW w:w="77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19" w:type="dxa"/>
            <w:tcBorders/>
            <w:shd w:fill="CCEEFF" w:val="clear"/>
            <w:vAlign w:val="bottom"/>
          </w:tcPr>
          <w:p>
            <w:pPr>
              <w:pStyle w:val="TableContents"/>
              <w:spacing w:before="0" w:after="0"/>
              <w:ind w:left="0" w:right="0" w:hanging="0"/>
              <w:rPr/>
            </w:pPr>
            <w:r>
              <w:rPr/>
              <w:t> </w:t>
            </w:r>
          </w:p>
        </w:tc>
        <w:tc>
          <w:tcPr>
            <w:tcW w:w="2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87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2,873</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Borrowings under our commercial paper program reduce available capacity under the facility.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68" w:name="PB_42_133014_2897"/>
      <w:bookmarkEnd w:id="6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will continue to have the ability to access our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Risk Factors in Item 1A of our 2012 Annual Report on Form 10-K for further discussion regarding such risks that may impact our liquidity and capital resources.  Usage of our credit facilities is subject to ongoing compliance with covenants.  We are currently in compliance with all covenants.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Cash Flows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comprehensive discussion of the primary drivers of our cash flow from operating activities, including the impact of varying market conditions and the timing of settlement of our derivative activities, see Liquidity and Capital ResourcesCash Flow from Operations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Cash provided by operating activities reflects cash generated by our recurring operations, and can also be significantly impacted in periods when we are increasing or decreasing the amount of inventory in storage.  Net cash provided by operating activities for the first nine months of 2013 was approximately $1.6 billion, primarily resulting from earnings from our operations. Additionally, during the first nine months of 2013, we decreased the amount of our inventory, primarily due to the sale of crude oil inventory that had been stored during the contango market.  This decrease in crude oil inventory was partially offset by an increase in NGL inventory as we began to increase inventory levels in preparation of end users increased demand for product used for heating during the peak heating season of November through March. The net proceeds received from liquidation of such inventory during the quarter were used to repay borrowings under our credit facilities or commercial paper program and favorably impacted our cash flows from operating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Net cash provided by operating activities for the first nine months of 2012 was approximately $880 million, primarily resulting from earnings from our operations. Cash flows from earnings were partially offset by increases in our crude oil and NGL inventory levels.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Equity and Debt Financing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financing activities primarily relate to funding acquisitions and internal capital projects and short-term working capital and hedged inventory borrowings related to our NGL business and contango market activities, as well as refinancing of our debt maturities.  Our financing activities have primarily consisted of equity offerings, senior notes offerings and borrowings and repayments under our credit facilities or commercial paper program, as well as payment of distributions to our unitholders and general partner.</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Registration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periodically access the capital markets for both equity and debt financing.  We have filed with the SEC a universal shelf registration statement that, subject to effectiveness at the time of use, allows us to issue up to an aggregate of $2.0 billion of debt or equity securities (Traditional Shelf).  All issuances of equity securities associated with our continuous offering program, as discussed further below, have been issued pursuant to the Traditional Shelf. At September 30, 2013, we had approximately $1.5 billion of unsold securities available under the Traditional Shelf.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have access to a universal shelf registration statement (WKSI Shelf), which provides us with the ability to offer and sell an unlimited amount of debt and equity securities, subject to market conditions and our capital needs.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PNG has filed with the SEC a universal shelf registration statement (PNG Shelf) that, subject to effectiveness at the time of use, allows PNG to issue up to an aggregate of $1.0 billion of debt or equity securities. All issuances of equity securities associated with PNGs continuous offering program, as discussed further below, have been issued pursuant to the PNG Shelf. At September 30, 2013, PNG had approximately $959 million of unsold securities available under the PNG Shelf.</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PAA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2013, we issued an aggregate of approximately 7.2 million common units under our continuous offering program, generating net proceeds of approximately $400 million, including our general partners proportionate capital contribution. The net proceeds from sales were used for general partnership purposes.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69" w:name="PB_43_133029_3020"/>
      <w:bookmarkEnd w:id="6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PNG Continuous Offering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March 18, 2013, PNG entered into an equity distribution agreement with a financial institution pursuant to which PNG may offer and sell, through its sales agent, common units representing limited partner interests having an aggregate offering price of up to $75 million. Through September 30, 2013, PNG issued an aggregate of approximately 1.9 million common units under this agreement, generating net proceeds of approximately $40 million.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Debt Offering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2013, we completed the issuance of $700 million, 3.85% senior notes due 2023 at a public offering price of 99.792%. Interest payments are due on April 15 and October 15 of each year, commencing on April 15, 2014. The net proceeds of approximately $693 million were used to repay outstanding indebtedness under the PAA senior unsecured revolving credit facility and the PAA senior secured hedged inventory facility, as well as for general partnership purposes.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Credit Agreements and Commercial Paper Program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2013, we established a commercial paper program under which we may issue, from time to time, privately placed, unsecured commercial paper notes for up to a maximum aggregate amount outstanding at any time of $1.5 billion. Such notes are backstopped by the PAA senior unsecured revolving credit facility and the PAA senior secured hedged inventory facility; as such, any borrowings under our commercial paper program reduce the available capacity under these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August 2013, we amended our senior secured hedged inventory facility and senior unsecured revolving credit facility agreements to, among other things, extend the maturity dates of the facilities by two years. The facilities now mature in August 2016 and August 2018, respectively. Also in August 2013, PNG extended the maturity date of its senior unsecured revolving credit facility and GO Bond term loans by one year to August 2017.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2013, we had net repayments on our credit agreements, which include our revolving credit facilities and our hedged inventory facility, and our commercial paper program in the aggregate of approximately $464 million. These net repayments resulted primarily from cash flows from operating activities, such as sales of crude oil that was liquidated during the period, as well as proceeds during the period from our equity and debt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During the nine months ended September 30, 2012, we had net borrowings on our credit agreements in the aggregate of approximately $699 million. These net borrowings resulted primarily when we increased our crude oil inventory levels related to storing barrels in the contango market, as well as our NGL inventory levels in preparation of end users increased demand for product used for heating during the winter months. For further discussion related to our credit facilities and long-term debt, see Cash Flows from Operating Activities above and Liquidity and Capital ResourcesCredit Facilities and Indentures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Acquisitions and Capital Expenditures and Distributions Paid to Our Unitholders, General Partner and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use cash for our acquisition activities, internal growth projects and distributions paid to our unitholders, general partner and noncontrolling interests.  We have made and will continue to make capital expenditures for acquisitions, expansion capital and maintenance capital.  Historically, we have financed these expenditures primarily with cash generated by the operating and financing activities discussed above.  See Internal Growth Projects above and Acquisitions and Internal Growth Projects under Item 7 of our 2012 Annual Report on Form 10-K for further discussion of such capital expenditures.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 xml:space="preserve">Acquisitions.  </w:t>
      </w:r>
      <w:r>
        <w:rPr>
          <w:rFonts w:ascii="Times New Roman" w:hAnsi="Times New Roman"/>
          <w:sz w:val="17"/>
        </w:rPr>
        <w:t>The price of acquisitions includes cash paid, assumed liabilities and net working capital items.  Because of the non-cash items included in the total price of acquisitions and the timing of certain cash payments, the net cash paid may differ significantly from the total price of acquisitions completed during the year.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our unitholders and general partner.</w:t>
      </w:r>
      <w:r>
        <w:rPr>
          <w:rFonts w:ascii="Times New Roman" w:hAnsi="Times New Roman"/>
        </w:rPr>
        <w:t xml:space="preserve">  </w:t>
      </w:r>
      <w:r>
        <w:rPr>
          <w:rFonts w:ascii="Times New Roman" w:hAnsi="Times New Roman"/>
          <w:sz w:val="17"/>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in the discretion of our general partner for future requirements.  On November 14, 2013, we will pay a quarterly distribution of $0.6000 per limited partner unit.  This distribution represents a year-over-year distribution increase of approximately 10.6%.  See Note 9 to our condensed consolidated financial statements for details of distributions paid.  Also, see Item 5. Market for Registrants Common Units, Related Unitholder Matters and Issuer Purchases of Equity SecuritiesCash Distribution Policy included in our 2012 Annual Report on Form 10-K for additional discussion on distributions.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70" w:name="PB_44_133045_7748"/>
      <w:bookmarkEnd w:id="7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i/>
          <w:sz w:val="17"/>
        </w:rPr>
        <w:t>Distributions to noncontrolling interests.</w:t>
      </w:r>
      <w:r>
        <w:rPr>
          <w:rFonts w:ascii="Times New Roman" w:hAnsi="Times New Roman"/>
        </w:rPr>
        <w:t xml:space="preserve">  </w:t>
      </w:r>
      <w:r>
        <w:rPr>
          <w:rFonts w:ascii="Times New Roman" w:hAnsi="Times New Roman"/>
          <w:sz w:val="17"/>
        </w:rPr>
        <w:t>We paid approximately $37 million and $36 million for distributions to noncontrolling interests during the nine months ended September 30, 2013 and 2012, respectively.  These amounts represent distributions paid on interests in PNG and SLC that are not owned by 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believe that we have sufficient liquid assets, cash flow from operations and borrowing capacity under our credit agreements to meet our financial commitments, debt service obligations, contingencies and anticipated capital expenditures.  We are, however, subject to business and operational risks that could adversely affect our cash flow.  A material decrease in our cash flows would likely produce an adverse effect on our borrowing capacity.</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of contingencies that may impact us, see Note 12 to our condensed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Commitments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Contractual Obligations.</w:t>
      </w:r>
      <w:r>
        <w:rPr>
          <w:rFonts w:ascii="Times New Roman" w:hAnsi="Times New Roman"/>
        </w:rPr>
        <w:t xml:space="preserve">  </w:t>
      </w:r>
      <w:r>
        <w:rPr>
          <w:rFonts w:ascii="Times New Roman" w:hAnsi="Times New Roman"/>
          <w:sz w:val="17"/>
        </w:rPr>
        <w:t>In the ordinary course of doing business, we purchase crude oil and NGL from third parties under contracts, the majority of which range in term from thirty-day evergreen to five years and a limited number of contracts extending up to nine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entities that we deem creditworthy or who have provided credit support we consider adequate.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includes our best estimate of the amount and timing of these payments as well as others due under the specified contractual obligations as of September 30, 2013 (in millions):</w:t>
      </w:r>
    </w:p>
    <w:p>
      <w:pPr>
        <w:pStyle w:val="TextBody"/>
        <w:spacing w:before="0" w:after="0"/>
        <w:ind w:left="0" w:right="0" w:hanging="0"/>
        <w:rPr/>
      </w:pPr>
      <w:r>
        <w:rPr/>
        <w:t> </w:t>
      </w:r>
    </w:p>
    <w:tbl>
      <w:tblPr>
        <w:tblW w:w="4800" w:type="pct"/>
        <w:jc w:val="left"/>
        <w:tblInd w:w="0" w:type="dxa"/>
        <w:tblCellMar>
          <w:top w:w="0" w:type="dxa"/>
          <w:left w:w="0" w:type="dxa"/>
          <w:bottom w:w="0" w:type="dxa"/>
          <w:right w:w="0" w:type="dxa"/>
        </w:tblCellMar>
      </w:tblPr>
      <w:tblGrid>
        <w:gridCol w:w="2389"/>
        <w:gridCol w:w="183"/>
        <w:gridCol w:w="113"/>
        <w:gridCol w:w="619"/>
        <w:gridCol w:w="183"/>
        <w:gridCol w:w="113"/>
        <w:gridCol w:w="619"/>
        <w:gridCol w:w="183"/>
        <w:gridCol w:w="113"/>
        <w:gridCol w:w="619"/>
        <w:gridCol w:w="183"/>
        <w:gridCol w:w="113"/>
        <w:gridCol w:w="619"/>
        <w:gridCol w:w="183"/>
        <w:gridCol w:w="113"/>
        <w:gridCol w:w="619"/>
        <w:gridCol w:w="183"/>
        <w:gridCol w:w="114"/>
        <w:gridCol w:w="650"/>
        <w:gridCol w:w="183"/>
        <w:gridCol w:w="113"/>
        <w:gridCol w:w="643"/>
        <w:gridCol w:w="946"/>
      </w:tblGrid>
      <w:tr>
        <w:trPr/>
        <w:tc>
          <w:tcPr>
            <w:tcW w:w="2389"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32"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32"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32"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32"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32" w:type="dxa"/>
            <w:gridSpan w:val="2"/>
            <w:tcBorders/>
            <w:shd w:fill="auto" w:val="clear"/>
            <w:vAlign w:val="bottom"/>
          </w:tcPr>
          <w:p>
            <w:pPr>
              <w:pStyle w:val="TableContents"/>
              <w:spacing w:before="0" w:after="0"/>
              <w:ind w:left="0" w:right="0" w:hanging="0"/>
              <w:jc w:val="center"/>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6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2018 and</w:t>
            </w:r>
          </w:p>
        </w:tc>
        <w:tc>
          <w:tcPr>
            <w:tcW w:w="183" w:type="dxa"/>
            <w:tcBorders/>
            <w:shd w:fill="auto" w:val="clear"/>
            <w:vAlign w:val="bottom"/>
          </w:tcPr>
          <w:p>
            <w:pPr>
              <w:pStyle w:val="TableContents"/>
              <w:spacing w:before="0" w:after="0"/>
              <w:ind w:left="0" w:right="0" w:hanging="0"/>
              <w:jc w:val="center"/>
              <w:rPr/>
            </w:pPr>
            <w:r>
              <w:rPr/>
              <w:t> </w:t>
            </w:r>
          </w:p>
        </w:tc>
        <w:tc>
          <w:tcPr>
            <w:tcW w:w="756" w:type="dxa"/>
            <w:gridSpan w:val="2"/>
            <w:tcBorders/>
            <w:shd w:fill="auto" w:val="clear"/>
            <w:vAlign w:val="bottom"/>
          </w:tcPr>
          <w:p>
            <w:pPr>
              <w:pStyle w:val="TableContents"/>
              <w:spacing w:before="0" w:after="0"/>
              <w:ind w:left="0" w:right="0" w:hanging="0"/>
              <w:jc w:val="center"/>
              <w:rPr/>
            </w:pPr>
            <w:r>
              <w:rPr/>
              <w:t> </w:t>
            </w:r>
          </w:p>
        </w:tc>
        <w:tc>
          <w:tcPr>
            <w:tcW w:w="946" w:type="dxa"/>
            <w:tcBorders/>
            <w:shd w:fill="auto" w:val="clear"/>
            <w:vAlign w:val="bottom"/>
          </w:tcPr>
          <w:p>
            <w:pPr>
              <w:pStyle w:val="TableContents"/>
              <w:spacing w:before="0" w:after="0"/>
              <w:ind w:left="0" w:right="0" w:hanging="0"/>
              <w:jc w:val="center"/>
              <w:rPr/>
            </w:pPr>
            <w:r>
              <w:rPr/>
              <w:t> </w:t>
            </w:r>
          </w:p>
        </w:tc>
      </w:tr>
      <w:tr>
        <w:trPr/>
        <w:tc>
          <w:tcPr>
            <w:tcW w:w="2389"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83" w:type="dxa"/>
            <w:tcBorders/>
            <w:shd w:fill="auto" w:val="clear"/>
            <w:vAlign w:val="bottom"/>
          </w:tcPr>
          <w:p>
            <w:pPr>
              <w:pStyle w:val="TableContents"/>
              <w:spacing w:before="0" w:after="0"/>
              <w:ind w:left="0" w:right="0" w:hanging="0"/>
              <w:jc w:val="center"/>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2014</w:t>
            </w:r>
          </w:p>
        </w:tc>
        <w:tc>
          <w:tcPr>
            <w:tcW w:w="183" w:type="dxa"/>
            <w:tcBorders/>
            <w:shd w:fill="auto" w:val="clear"/>
            <w:vAlign w:val="bottom"/>
          </w:tcPr>
          <w:p>
            <w:pPr>
              <w:pStyle w:val="TableContents"/>
              <w:spacing w:before="0" w:after="0"/>
              <w:ind w:left="0" w:right="0" w:hanging="0"/>
              <w:jc w:val="center"/>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2015</w:t>
            </w:r>
          </w:p>
        </w:tc>
        <w:tc>
          <w:tcPr>
            <w:tcW w:w="183" w:type="dxa"/>
            <w:tcBorders/>
            <w:shd w:fill="auto" w:val="clear"/>
            <w:vAlign w:val="bottom"/>
          </w:tcPr>
          <w:p>
            <w:pPr>
              <w:pStyle w:val="TableContents"/>
              <w:spacing w:before="0" w:after="0"/>
              <w:ind w:left="0" w:right="0" w:hanging="0"/>
              <w:jc w:val="center"/>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2016</w:t>
            </w:r>
          </w:p>
        </w:tc>
        <w:tc>
          <w:tcPr>
            <w:tcW w:w="183" w:type="dxa"/>
            <w:tcBorders/>
            <w:shd w:fill="auto" w:val="clear"/>
            <w:vAlign w:val="bottom"/>
          </w:tcPr>
          <w:p>
            <w:pPr>
              <w:pStyle w:val="TableContents"/>
              <w:spacing w:before="0" w:after="0"/>
              <w:ind w:left="0" w:right="0" w:hanging="0"/>
              <w:jc w:val="center"/>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2017</w:t>
            </w:r>
          </w:p>
        </w:tc>
        <w:tc>
          <w:tcPr>
            <w:tcW w:w="183" w:type="dxa"/>
            <w:tcBorders/>
            <w:shd w:fill="auto" w:val="clear"/>
            <w:vAlign w:val="bottom"/>
          </w:tcPr>
          <w:p>
            <w:pPr>
              <w:pStyle w:val="TableContents"/>
              <w:spacing w:before="0" w:after="0"/>
              <w:ind w:left="0" w:right="0" w:hanging="0"/>
              <w:jc w:val="center"/>
              <w:rPr/>
            </w:pPr>
            <w:r>
              <w:rPr/>
              <w:t> </w:t>
            </w:r>
          </w:p>
        </w:tc>
        <w:tc>
          <w:tcPr>
            <w:tcW w:w="7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Thereafter</w:t>
            </w:r>
          </w:p>
        </w:tc>
        <w:tc>
          <w:tcPr>
            <w:tcW w:w="183" w:type="dxa"/>
            <w:tcBorders/>
            <w:shd w:fill="auto" w:val="clear"/>
            <w:vAlign w:val="bottom"/>
          </w:tcPr>
          <w:p>
            <w:pPr>
              <w:pStyle w:val="TableContents"/>
              <w:spacing w:before="0" w:after="0"/>
              <w:ind w:left="0" w:right="0" w:hanging="0"/>
              <w:jc w:val="center"/>
              <w:rPr/>
            </w:pPr>
            <w:r>
              <w:rPr/>
              <w:t> </w:t>
            </w:r>
          </w:p>
        </w:tc>
        <w:tc>
          <w:tcPr>
            <w:tcW w:w="7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946" w:type="dxa"/>
            <w:tcBorders/>
            <w:shd w:fill="auto" w:val="clear"/>
            <w:vAlign w:val="bottom"/>
          </w:tcPr>
          <w:p>
            <w:pPr>
              <w:pStyle w:val="TableContents"/>
              <w:spacing w:before="0" w:after="0"/>
              <w:ind w:left="0" w:right="0" w:hanging="0"/>
              <w:jc w:val="center"/>
              <w:rPr/>
            </w:pPr>
            <w:r>
              <w:rPr/>
              <w:t> </w:t>
            </w:r>
          </w:p>
        </w:tc>
      </w:tr>
      <w:tr>
        <w:trPr/>
        <w:tc>
          <w:tcPr>
            <w:tcW w:w="2389" w:type="dxa"/>
            <w:tcBorders/>
            <w:shd w:fill="CCEEFF" w:val="clear"/>
          </w:tcPr>
          <w:p>
            <w:pPr>
              <w:pStyle w:val="TableContents"/>
              <w:spacing w:before="0" w:after="0"/>
              <w:ind w:left="0" w:right="0" w:hanging="0"/>
              <w:rPr/>
            </w:pPr>
            <w:r>
              <w:rPr>
                <w:rFonts w:ascii="Times New Roman" w:hAnsi="Times New Roman"/>
                <w:sz w:val="17"/>
              </w:rPr>
              <w:t>Long-term debt, including current maturities and related interest payments</w:t>
            </w:r>
            <w:r>
              <w:rPr/>
              <w:t xml:space="preserve"> </w:t>
            </w:r>
            <w:r>
              <w:rPr>
                <w:sz w:val="11"/>
              </w:rPr>
              <w:t>(1)</w:t>
            </w:r>
          </w:p>
        </w:tc>
        <w:tc>
          <w:tcPr>
            <w:tcW w:w="183"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83"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w:t>
            </w:r>
          </w:p>
        </w:tc>
        <w:tc>
          <w:tcPr>
            <w:tcW w:w="183"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900</w:t>
            </w:r>
          </w:p>
        </w:tc>
        <w:tc>
          <w:tcPr>
            <w:tcW w:w="183"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506</w:t>
            </w:r>
          </w:p>
        </w:tc>
        <w:tc>
          <w:tcPr>
            <w:tcW w:w="183"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w:t>
            </w:r>
          </w:p>
        </w:tc>
        <w:tc>
          <w:tcPr>
            <w:tcW w:w="183"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8,217</w:t>
            </w:r>
          </w:p>
        </w:tc>
        <w:tc>
          <w:tcPr>
            <w:tcW w:w="183"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11,328</w:t>
            </w:r>
          </w:p>
        </w:tc>
        <w:tc>
          <w:tcPr>
            <w:tcW w:w="946" w:type="dxa"/>
            <w:tcBorders/>
            <w:shd w:fill="CCEEFF" w:val="clear"/>
            <w:vAlign w:val="bottom"/>
          </w:tcPr>
          <w:p>
            <w:pPr>
              <w:pStyle w:val="TableContents"/>
              <w:spacing w:before="0" w:after="0"/>
              <w:ind w:left="0" w:right="0" w:hanging="0"/>
              <w:rPr/>
            </w:pPr>
            <w:r>
              <w:rPr/>
              <w:t> </w:t>
            </w:r>
          </w:p>
        </w:tc>
      </w:tr>
      <w:tr>
        <w:trPr/>
        <w:tc>
          <w:tcPr>
            <w:tcW w:w="2389" w:type="dxa"/>
            <w:tcBorders/>
            <w:shd w:fill="auto" w:val="clear"/>
            <w:vAlign w:val="center"/>
          </w:tcPr>
          <w:p>
            <w:pPr>
              <w:pStyle w:val="TableContents"/>
              <w:spacing w:before="0" w:after="0"/>
              <w:ind w:left="0" w:right="0" w:hanging="0"/>
              <w:rPr/>
            </w:pPr>
            <w:r>
              <w:rPr>
                <w:rFonts w:ascii="Times New Roman" w:hAnsi="Times New Roman"/>
                <w:sz w:val="17"/>
              </w:rPr>
              <w:t>Leases</w:t>
            </w:r>
            <w:r>
              <w:rPr/>
              <w:t xml:space="preserve"> </w:t>
            </w:r>
            <w:r>
              <w:rPr>
                <w:sz w:val="11"/>
              </w:rPr>
              <w:t>(2)</w:t>
            </w:r>
          </w:p>
        </w:tc>
        <w:tc>
          <w:tcPr>
            <w:tcW w:w="183"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83"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83"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183"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83"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83"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w:t>
            </w:r>
          </w:p>
        </w:tc>
        <w:tc>
          <w:tcPr>
            <w:tcW w:w="183"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w:t>
            </w:r>
          </w:p>
        </w:tc>
        <w:tc>
          <w:tcPr>
            <w:tcW w:w="946" w:type="dxa"/>
            <w:tcBorders/>
            <w:shd w:fill="auto" w:val="clear"/>
            <w:vAlign w:val="bottom"/>
          </w:tcPr>
          <w:p>
            <w:pPr>
              <w:pStyle w:val="TableContents"/>
              <w:spacing w:before="0" w:after="0"/>
              <w:ind w:left="0" w:right="0" w:hanging="0"/>
              <w:rPr/>
            </w:pPr>
            <w:r>
              <w:rPr/>
              <w:t> </w:t>
            </w:r>
          </w:p>
        </w:tc>
      </w:tr>
      <w:tr>
        <w:trPr/>
        <w:tc>
          <w:tcPr>
            <w:tcW w:w="2389" w:type="dxa"/>
            <w:tcBorders/>
            <w:shd w:fill="CCEEFF" w:val="clear"/>
            <w:vAlign w:val="center"/>
          </w:tcPr>
          <w:p>
            <w:pPr>
              <w:pStyle w:val="TableContents"/>
              <w:spacing w:before="0" w:after="0"/>
              <w:ind w:left="0" w:right="0" w:hanging="0"/>
              <w:rPr/>
            </w:pPr>
            <w:r>
              <w:rPr>
                <w:rFonts w:ascii="Times New Roman" w:hAnsi="Times New Roman"/>
                <w:sz w:val="17"/>
              </w:rPr>
              <w:t>Other obligations</w:t>
            </w:r>
            <w:r>
              <w:rPr/>
              <w:t xml:space="preserve"> </w:t>
            </w:r>
            <w:r>
              <w:rPr>
                <w:sz w:val="11"/>
              </w:rPr>
              <w:t>(3)</w:t>
            </w:r>
          </w:p>
        </w:tc>
        <w:tc>
          <w:tcPr>
            <w:tcW w:w="183"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83"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183"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83"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83"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83"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83" w:type="dxa"/>
            <w:tcBorders/>
            <w:shd w:fill="CCEEFF" w:val="clear"/>
            <w:vAlign w:val="bottom"/>
          </w:tcPr>
          <w:p>
            <w:pPr>
              <w:pStyle w:val="TableContents"/>
              <w:spacing w:before="0" w:after="0"/>
              <w:ind w:left="0" w:right="0" w:hanging="0"/>
              <w:rPr/>
            </w:pPr>
            <w:r>
              <w:rPr/>
              <w:t> </w:t>
            </w:r>
          </w:p>
        </w:tc>
        <w:tc>
          <w:tcPr>
            <w:tcW w:w="7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559</w:t>
            </w:r>
          </w:p>
        </w:tc>
        <w:tc>
          <w:tcPr>
            <w:tcW w:w="946" w:type="dxa"/>
            <w:tcBorders/>
            <w:shd w:fill="CCEEFF" w:val="clear"/>
            <w:vAlign w:val="bottom"/>
          </w:tcPr>
          <w:p>
            <w:pPr>
              <w:pStyle w:val="TableContents"/>
              <w:spacing w:before="0" w:after="0"/>
              <w:ind w:left="0" w:right="0" w:hanging="0"/>
              <w:rPr/>
            </w:pPr>
            <w:r>
              <w:rPr/>
              <w:t> </w:t>
            </w:r>
          </w:p>
        </w:tc>
      </w:tr>
      <w:tr>
        <w:trPr/>
        <w:tc>
          <w:tcPr>
            <w:tcW w:w="238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83"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442</w:t>
            </w:r>
          </w:p>
        </w:tc>
        <w:tc>
          <w:tcPr>
            <w:tcW w:w="183"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734</w:t>
            </w:r>
          </w:p>
        </w:tc>
        <w:tc>
          <w:tcPr>
            <w:tcW w:w="183"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1,106</w:t>
            </w:r>
          </w:p>
        </w:tc>
        <w:tc>
          <w:tcPr>
            <w:tcW w:w="183"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677</w:t>
            </w:r>
          </w:p>
        </w:tc>
        <w:tc>
          <w:tcPr>
            <w:tcW w:w="183" w:type="dxa"/>
            <w:tcBorders/>
            <w:shd w:fill="auto" w:val="clear"/>
            <w:vAlign w:val="bottom"/>
          </w:tcPr>
          <w:p>
            <w:pPr>
              <w:pStyle w:val="TableContents"/>
              <w:spacing w:before="0" w:after="0"/>
              <w:ind w:left="0" w:right="0" w:hanging="0"/>
              <w:rPr/>
            </w:pPr>
            <w:r>
              <w:rPr/>
              <w:t> </w:t>
            </w:r>
          </w:p>
        </w:tc>
        <w:tc>
          <w:tcPr>
            <w:tcW w:w="7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1,134</w:t>
            </w:r>
          </w:p>
        </w:tc>
        <w:tc>
          <w:tcPr>
            <w:tcW w:w="183"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8,816</w:t>
            </w:r>
          </w:p>
        </w:tc>
        <w:tc>
          <w:tcPr>
            <w:tcW w:w="183" w:type="dxa"/>
            <w:tcBorders/>
            <w:shd w:fill="auto" w:val="clear"/>
            <w:vAlign w:val="bottom"/>
          </w:tcPr>
          <w:p>
            <w:pPr>
              <w:pStyle w:val="TableContents"/>
              <w:spacing w:before="0" w:after="0"/>
              <w:ind w:left="0" w:right="0" w:hanging="0"/>
              <w:rPr/>
            </w:pPr>
            <w:r>
              <w:rPr/>
              <w:t> </w:t>
            </w:r>
          </w:p>
        </w:tc>
        <w:tc>
          <w:tcPr>
            <w:tcW w:w="7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12,909</w:t>
            </w:r>
          </w:p>
        </w:tc>
        <w:tc>
          <w:tcPr>
            <w:tcW w:w="946" w:type="dxa"/>
            <w:tcBorders/>
            <w:shd w:fill="auto" w:val="clear"/>
            <w:vAlign w:val="bottom"/>
          </w:tcPr>
          <w:p>
            <w:pPr>
              <w:pStyle w:val="TableContents"/>
              <w:spacing w:before="0" w:after="0"/>
              <w:ind w:left="0" w:right="0" w:hanging="0"/>
              <w:rPr/>
            </w:pPr>
            <w:r>
              <w:rPr/>
              <w:t> </w:t>
            </w:r>
          </w:p>
        </w:tc>
      </w:tr>
      <w:tr>
        <w:trPr/>
        <w:tc>
          <w:tcPr>
            <w:tcW w:w="2389" w:type="dxa"/>
            <w:tcBorders/>
            <w:shd w:fill="CCEEFF" w:val="clear"/>
            <w:vAlign w:val="bottom"/>
          </w:tcPr>
          <w:p>
            <w:pPr>
              <w:pStyle w:val="TableContents"/>
              <w:spacing w:before="0" w:after="0"/>
              <w:ind w:left="0" w:right="0" w:hanging="0"/>
              <w:rPr/>
            </w:pPr>
            <w:r>
              <w:rPr>
                <w:rFonts w:ascii="Times New Roman" w:hAnsi="Times New Roman"/>
                <w:sz w:val="17"/>
              </w:rPr>
              <w:t>Crude oil, natural gas, NGL and other purchases</w:t>
            </w:r>
            <w:r>
              <w:rPr/>
              <w:t xml:space="preserve"> </w:t>
            </w:r>
            <w:r>
              <w:rPr>
                <w:sz w:val="11"/>
              </w:rPr>
              <w:t>(4)</w:t>
            </w:r>
          </w:p>
        </w:tc>
        <w:tc>
          <w:tcPr>
            <w:tcW w:w="183"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5,620</w:t>
            </w:r>
          </w:p>
        </w:tc>
        <w:tc>
          <w:tcPr>
            <w:tcW w:w="183"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4,919</w:t>
            </w:r>
          </w:p>
        </w:tc>
        <w:tc>
          <w:tcPr>
            <w:tcW w:w="183"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3,257</w:t>
            </w:r>
          </w:p>
        </w:tc>
        <w:tc>
          <w:tcPr>
            <w:tcW w:w="183"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3,036</w:t>
            </w:r>
          </w:p>
        </w:tc>
        <w:tc>
          <w:tcPr>
            <w:tcW w:w="183" w:type="dxa"/>
            <w:tcBorders/>
            <w:shd w:fill="CCEEFF"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2,344</w:t>
            </w:r>
          </w:p>
        </w:tc>
        <w:tc>
          <w:tcPr>
            <w:tcW w:w="183"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4,836</w:t>
            </w:r>
          </w:p>
        </w:tc>
        <w:tc>
          <w:tcPr>
            <w:tcW w:w="183" w:type="dxa"/>
            <w:tcBorders/>
            <w:shd w:fill="CCEEFF" w:val="clear"/>
            <w:vAlign w:val="bottom"/>
          </w:tcPr>
          <w:p>
            <w:pPr>
              <w:pStyle w:val="TableContents"/>
              <w:spacing w:before="0" w:after="0"/>
              <w:ind w:left="0" w:right="0" w:hanging="0"/>
              <w:rPr/>
            </w:pPr>
            <w:r>
              <w:rPr/>
              <w:t> </w:t>
            </w:r>
          </w:p>
        </w:tc>
        <w:tc>
          <w:tcPr>
            <w:tcW w:w="7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24,012</w:t>
            </w:r>
          </w:p>
        </w:tc>
        <w:tc>
          <w:tcPr>
            <w:tcW w:w="946" w:type="dxa"/>
            <w:tcBorders/>
            <w:shd w:fill="CCEEFF" w:val="clear"/>
            <w:vAlign w:val="bottom"/>
          </w:tcPr>
          <w:p>
            <w:pPr>
              <w:pStyle w:val="TableContents"/>
              <w:spacing w:before="0" w:after="0"/>
              <w:ind w:left="0" w:right="0" w:hanging="0"/>
              <w:rPr/>
            </w:pPr>
            <w:r>
              <w:rPr/>
              <w:t> </w:t>
            </w:r>
          </w:p>
        </w:tc>
      </w:tr>
      <w:tr>
        <w:trPr/>
        <w:tc>
          <w:tcPr>
            <w:tcW w:w="238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18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6,062</w:t>
            </w:r>
          </w:p>
        </w:tc>
        <w:tc>
          <w:tcPr>
            <w:tcW w:w="18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5,653</w:t>
            </w:r>
          </w:p>
        </w:tc>
        <w:tc>
          <w:tcPr>
            <w:tcW w:w="18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4,363</w:t>
            </w:r>
          </w:p>
        </w:tc>
        <w:tc>
          <w:tcPr>
            <w:tcW w:w="18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3,713</w:t>
            </w:r>
          </w:p>
        </w:tc>
        <w:tc>
          <w:tcPr>
            <w:tcW w:w="18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3,478</w:t>
            </w:r>
          </w:p>
        </w:tc>
        <w:tc>
          <w:tcPr>
            <w:tcW w:w="183" w:type="dxa"/>
            <w:tcBorders/>
            <w:shd w:fill="auto" w:val="clear"/>
            <w:vAlign w:val="bottom"/>
          </w:tcPr>
          <w:p>
            <w:pPr>
              <w:pStyle w:val="TableContents"/>
              <w:spacing w:before="0" w:after="0"/>
              <w:ind w:left="0" w:right="0" w:hanging="0"/>
              <w:rPr/>
            </w:pPr>
            <w:r>
              <w:rPr/>
              <w:t> </w:t>
            </w:r>
          </w:p>
        </w:tc>
        <w:tc>
          <w:tcPr>
            <w:tcW w:w="1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13,652</w:t>
            </w:r>
          </w:p>
        </w:tc>
        <w:tc>
          <w:tcPr>
            <w:tcW w:w="183" w:type="dxa"/>
            <w:tcBorders/>
            <w:shd w:fill="auto" w:val="clear"/>
            <w:vAlign w:val="bottom"/>
          </w:tcPr>
          <w:p>
            <w:pPr>
              <w:pStyle w:val="TableContents"/>
              <w:spacing w:before="0" w:after="0"/>
              <w:ind w:left="0" w:right="0" w:hanging="0"/>
              <w:rPr/>
            </w:pPr>
            <w:r>
              <w:rPr/>
              <w:t> </w:t>
            </w:r>
          </w:p>
        </w:tc>
        <w:tc>
          <w:tcPr>
            <w:tcW w:w="1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4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36,921</w:t>
            </w:r>
          </w:p>
        </w:tc>
        <w:tc>
          <w:tcPr>
            <w:tcW w:w="94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debt service payments, interest payments due on our senior notes, interest payments on long-term borrowings outstanding under the PNG credit agreement and the commitment fee on assumed available capacity on the PAA and PNG revolving credit facilities. Although there are outstanding short-term borrowings on the PAA and PNG revolving credit facilities and our commercial paper program at September 30, 2013, we historically repay and borrow at varying amounts.  As such, we have included only the maximum commitment fee (as if no short-term borrowings were outstanding on the facilities) in the amounts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Leases are primarily for (i) surface rentals, (ii) office rent, (iii) pipeline assets and (iv) trucks, trailers and railcars.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Includes (i) other long-term liabilities, (ii) storage and transportation agreements and (iii) commitments related to our capital expansion projects, including projected contributions for our share of the capital spending of our equity-method investments.  Excludes a long-term liability of approximately $2 million related to derivative activity included in Crude oil, natural gas, NGL and other purchases.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Amounts are primarily based on estimated volumes and market prices based on average activity during September 2013.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71" w:name="PB_45_133259_141"/>
      <w:bookmarkEnd w:id="7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Letters of Credit.</w:t>
      </w:r>
      <w:r>
        <w:rPr>
          <w:rFonts w:ascii="Times New Roman" w:hAnsi="Times New Roman"/>
        </w:rPr>
        <w:t xml:space="preserve">  </w:t>
      </w:r>
      <w:r>
        <w:rPr>
          <w:rFonts w:ascii="Times New Roman" w:hAnsi="Times New Roman"/>
          <w:sz w:val="17"/>
        </w:rPr>
        <w:t>In connection with our crude oil supply and logistics activities, we provide certain suppliers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Additionally, we issue letters of credit to support insurance programs and construction activities.  At September 30, 2013 and December 31, 2012, we had outstanding letters of credit of approximately $42 million and $24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Off-Balance Sheet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no off-balance sheet arrangements as defined by Item 303 of Regulation S-K.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Recent Accounting Pronouncements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2 to our condensed consolidated financial statements.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Critical Accounting Policies and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additional discussion regarding our critical accounting policies and estimates, see Critical Accounting Policies and Estimates under Item 7 of our 2012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occurrence of a natural disaster, catastrophe, terrorist attack or other event, including attacks on our electronic and computer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tightened capital markets or other factors that increase our cost of capital or limit our access to capital;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72" w:name="PB_46_133333_7608"/>
      <w:bookmarkEnd w:id="7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non-utilization of our assets and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our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factors described herein, as well as factors that are unknown or unpredictable, could also have a material adverse effect on future results.  Please read Risk Factors discussed in Item 1A of our 2012 Annual Report on Form 10-K.  Except as required by applicable securities laws, we do not intend to update these forward-looking statements and information.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3.  QUANTITATIVE AND QUALITATIVE DISCLOSURES ABOUT MARKET RISK</w:t>
      </w:r>
      <w:bookmarkStart w:id="73" w:name="Item3_QuantitativeAndQualitativeD_133911"/>
      <w:bookmarkEnd w:id="7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Commodity Price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use derivative instruments to hedge commodity price risk associated with the following commodities: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47</w:t>
      </w:r>
      <w:bookmarkStart w:id="74" w:name="PB_47_133359_8146"/>
      <w:bookmarkEnd w:id="7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Crude oil and refined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crude oil and refined products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Natural gas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i/>
          <w:sz w:val="17"/>
          <w:u w:val="single"/>
        </w:rPr>
        <w:t>NGL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utilize NGL derivatives, primarily butane and propane derivatives, to hedge commodity price risk inherent in our Supply and Logistics segment. Our objectives for these derivatives include hedging anticipated purchases and sales.  We manage these exposures with various instruments including exchange-traded and over-the-counter futures, forwards, swaps and options.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See Note 11 to our condensed consolidated financial statements for further discussion regarding our hedging strategies and objectives.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 of our commodity derivatives and the change in fair value as of September 30, 2013 that would be expected from a 10% price increase or decrease is shown in the table below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4"/>
        <w:gridCol w:w="207"/>
        <w:gridCol w:w="217"/>
        <w:gridCol w:w="1150"/>
        <w:gridCol w:w="221"/>
        <w:gridCol w:w="260"/>
        <w:gridCol w:w="1254"/>
        <w:gridCol w:w="221"/>
        <w:gridCol w:w="263"/>
        <w:gridCol w:w="1261"/>
        <w:gridCol w:w="147"/>
      </w:tblGrid>
      <w:tr>
        <w:trPr/>
        <w:tc>
          <w:tcPr>
            <w:tcW w:w="500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67" w:type="dxa"/>
            <w:gridSpan w:val="2"/>
            <w:tcBorders/>
            <w:shd w:fill="auto" w:val="clear"/>
            <w:vAlign w:val="bottom"/>
          </w:tcPr>
          <w:p>
            <w:pPr>
              <w:pStyle w:val="TableContents"/>
              <w:spacing w:before="0" w:after="0"/>
              <w:ind w:left="0" w:right="0" w:hanging="0"/>
              <w:jc w:val="center"/>
              <w:rPr/>
            </w:pPr>
            <w:r>
              <w:rPr/>
              <w:t> </w:t>
            </w:r>
          </w:p>
        </w:tc>
        <w:tc>
          <w:tcPr>
            <w:tcW w:w="221" w:type="dxa"/>
            <w:tcBorders/>
            <w:shd w:fill="auto" w:val="clear"/>
            <w:vAlign w:val="bottom"/>
          </w:tcPr>
          <w:p>
            <w:pPr>
              <w:pStyle w:val="TableContents"/>
              <w:spacing w:before="0" w:after="0"/>
              <w:ind w:left="0" w:right="0" w:hanging="0"/>
              <w:jc w:val="center"/>
              <w:rPr/>
            </w:pPr>
            <w:r>
              <w:rPr/>
              <w:t> </w:t>
            </w:r>
          </w:p>
        </w:tc>
        <w:tc>
          <w:tcPr>
            <w:tcW w:w="151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221" w:type="dxa"/>
            <w:tcBorders/>
            <w:shd w:fill="auto" w:val="clear"/>
            <w:vAlign w:val="bottom"/>
          </w:tcPr>
          <w:p>
            <w:pPr>
              <w:pStyle w:val="TableContents"/>
              <w:spacing w:before="0" w:after="0"/>
              <w:ind w:left="0" w:right="0" w:hanging="0"/>
              <w:jc w:val="center"/>
              <w:rPr/>
            </w:pPr>
            <w:r>
              <w:rPr/>
              <w:t> </w:t>
            </w:r>
          </w:p>
        </w:tc>
        <w:tc>
          <w:tcPr>
            <w:tcW w:w="152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Effect of 10%</w:t>
            </w:r>
          </w:p>
        </w:tc>
        <w:tc>
          <w:tcPr>
            <w:tcW w:w="147" w:type="dxa"/>
            <w:tcBorders/>
            <w:shd w:fill="auto" w:val="clear"/>
            <w:vAlign w:val="bottom"/>
          </w:tcPr>
          <w:p>
            <w:pPr>
              <w:pStyle w:val="TableContents"/>
              <w:spacing w:before="0" w:after="0"/>
              <w:ind w:left="0" w:right="0" w:hanging="0"/>
              <w:jc w:val="center"/>
              <w:rPr/>
            </w:pPr>
            <w:r>
              <w:rPr/>
              <w:t> </w:t>
            </w:r>
          </w:p>
        </w:tc>
      </w:tr>
      <w:tr>
        <w:trPr/>
        <w:tc>
          <w:tcPr>
            <w:tcW w:w="500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3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Fair Value</w:t>
            </w:r>
          </w:p>
        </w:tc>
        <w:tc>
          <w:tcPr>
            <w:tcW w:w="221" w:type="dxa"/>
            <w:tcBorders/>
            <w:shd w:fill="auto" w:val="clear"/>
            <w:vAlign w:val="bottom"/>
          </w:tcPr>
          <w:p>
            <w:pPr>
              <w:pStyle w:val="TableContents"/>
              <w:spacing w:before="0" w:after="0"/>
              <w:ind w:left="0" w:right="0" w:hanging="0"/>
              <w:jc w:val="center"/>
              <w:rPr/>
            </w:pPr>
            <w:r>
              <w:rPr/>
              <w:t> </w:t>
            </w:r>
          </w:p>
        </w:tc>
        <w:tc>
          <w:tcPr>
            <w:tcW w:w="15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Increase</w:t>
            </w:r>
          </w:p>
        </w:tc>
        <w:tc>
          <w:tcPr>
            <w:tcW w:w="221" w:type="dxa"/>
            <w:tcBorders/>
            <w:shd w:fill="auto" w:val="clear"/>
            <w:vAlign w:val="bottom"/>
          </w:tcPr>
          <w:p>
            <w:pPr>
              <w:pStyle w:val="TableContents"/>
              <w:spacing w:before="0" w:after="0"/>
              <w:ind w:left="0" w:right="0" w:hanging="0"/>
              <w:jc w:val="center"/>
              <w:rPr/>
            </w:pPr>
            <w:r>
              <w:rPr/>
              <w:t> </w:t>
            </w:r>
          </w:p>
        </w:tc>
        <w:tc>
          <w:tcPr>
            <w:tcW w:w="152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Price Decrease</w:t>
            </w:r>
          </w:p>
        </w:tc>
        <w:tc>
          <w:tcPr>
            <w:tcW w:w="147" w:type="dxa"/>
            <w:tcBorders/>
            <w:shd w:fill="auto" w:val="clear"/>
            <w:vAlign w:val="bottom"/>
          </w:tcPr>
          <w:p>
            <w:pPr>
              <w:pStyle w:val="TableContents"/>
              <w:spacing w:before="0" w:after="0"/>
              <w:ind w:left="0" w:right="0" w:hanging="0"/>
              <w:jc w:val="center"/>
              <w:rPr/>
            </w:pPr>
            <w:r>
              <w:rPr/>
              <w:t> </w:t>
            </w:r>
          </w:p>
        </w:tc>
      </w:tr>
      <w:tr>
        <w:trPr/>
        <w:tc>
          <w:tcPr>
            <w:tcW w:w="50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and related products</w:t>
            </w:r>
          </w:p>
        </w:tc>
        <w:tc>
          <w:tcPr>
            <w:tcW w:w="207" w:type="dxa"/>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21" w:type="dxa"/>
            <w:tcBorders/>
            <w:shd w:fill="CCEEFF" w:val="clear"/>
            <w:vAlign w:val="bottom"/>
          </w:tcPr>
          <w:p>
            <w:pPr>
              <w:pStyle w:val="TableContents"/>
              <w:spacing w:before="0" w:after="0"/>
              <w:ind w:left="0" w:right="0" w:hanging="0"/>
              <w:rPr/>
            </w:pPr>
            <w:r>
              <w:rPr/>
              <w:t> </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w:t>
            </w:r>
          </w:p>
        </w:tc>
        <w:tc>
          <w:tcPr>
            <w:tcW w:w="207" w:type="dxa"/>
            <w:tcBorders/>
            <w:shd w:fill="auto" w:val="clear"/>
            <w:vAlign w:val="bottom"/>
          </w:tcPr>
          <w:p>
            <w:pPr>
              <w:pStyle w:val="TableContents"/>
              <w:spacing w:before="0" w:after="0"/>
              <w:ind w:left="0" w:right="0" w:hanging="0"/>
              <w:rPr/>
            </w:pPr>
            <w:r>
              <w:rPr/>
              <w:t> </w:t>
            </w:r>
          </w:p>
        </w:tc>
        <w:tc>
          <w:tcPr>
            <w:tcW w:w="13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47" w:type="dxa"/>
            <w:tcBorders/>
            <w:shd w:fill="auto" w:val="clear"/>
            <w:vAlign w:val="bottom"/>
          </w:tcPr>
          <w:p>
            <w:pPr>
              <w:pStyle w:val="TableContents"/>
              <w:spacing w:before="0" w:after="0"/>
              <w:ind w:left="0" w:right="0" w:hanging="0"/>
              <w:rPr/>
            </w:pPr>
            <w:r>
              <w:rPr/>
              <w:t> </w:t>
            </w:r>
          </w:p>
        </w:tc>
      </w:tr>
      <w:tr>
        <w:trPr/>
        <w:tc>
          <w:tcPr>
            <w:tcW w:w="50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and other</w:t>
            </w:r>
          </w:p>
        </w:tc>
        <w:tc>
          <w:tcPr>
            <w:tcW w:w="207" w:type="dxa"/>
            <w:tcBorders/>
            <w:shd w:fill="CCEEFF" w:val="clear"/>
            <w:vAlign w:val="bottom"/>
          </w:tcPr>
          <w:p>
            <w:pPr>
              <w:pStyle w:val="TableContents"/>
              <w:spacing w:before="0" w:after="0"/>
              <w:ind w:left="0" w:right="0" w:hanging="0"/>
              <w:rPr/>
            </w:pPr>
            <w:r>
              <w:rPr/>
              <w:t> </w:t>
            </w:r>
          </w:p>
        </w:tc>
        <w:tc>
          <w:tcPr>
            <w:tcW w:w="13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1"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47" w:type="dxa"/>
            <w:tcBorders/>
            <w:shd w:fill="CCEEFF" w:val="clear"/>
            <w:vAlign w:val="bottom"/>
          </w:tcPr>
          <w:p>
            <w:pPr>
              <w:pStyle w:val="TableContents"/>
              <w:spacing w:before="0" w:after="0"/>
              <w:ind w:left="0" w:right="0" w:hanging="0"/>
              <w:rPr/>
            </w:pPr>
            <w:r>
              <w:rPr/>
              <w:t> </w:t>
            </w:r>
          </w:p>
        </w:tc>
      </w:tr>
      <w:tr>
        <w:trPr/>
        <w:tc>
          <w:tcPr>
            <w:tcW w:w="50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fair value</w:t>
            </w:r>
          </w:p>
        </w:tc>
        <w:tc>
          <w:tcPr>
            <w:tcW w:w="207" w:type="dxa"/>
            <w:tcBorders/>
            <w:shd w:fill="auto" w:val="clear"/>
            <w:vAlign w:val="bottom"/>
          </w:tcPr>
          <w:p>
            <w:pPr>
              <w:pStyle w:val="TableContents"/>
              <w:spacing w:before="0" w:after="0"/>
              <w:ind w:left="0" w:right="0" w:hanging="0"/>
              <w:rPr/>
            </w:pPr>
            <w:r>
              <w:rPr/>
              <w:t> </w:t>
            </w:r>
          </w:p>
        </w:tc>
        <w:tc>
          <w:tcPr>
            <w:tcW w:w="21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4" w:type="dxa"/>
            <w:gridSpan w:val="2"/>
            <w:tcBorders/>
            <w:shd w:fill="auto" w:val="clear"/>
            <w:vAlign w:val="bottom"/>
          </w:tcPr>
          <w:p>
            <w:pPr>
              <w:pStyle w:val="TableContents"/>
              <w:spacing w:before="0" w:after="0"/>
              <w:ind w:left="0" w:right="0" w:hanging="0"/>
              <w:jc w:val="right"/>
              <w:rPr/>
            </w:pPr>
            <w:r>
              <w:rPr/>
              <w:t> </w:t>
            </w:r>
          </w:p>
        </w:tc>
        <w:tc>
          <w:tcPr>
            <w:tcW w:w="221" w:type="dxa"/>
            <w:tcBorders/>
            <w:shd w:fill="auto" w:val="clear"/>
            <w:vAlign w:val="bottom"/>
          </w:tcPr>
          <w:p>
            <w:pPr>
              <w:pStyle w:val="TableContents"/>
              <w:spacing w:before="0" w:after="0"/>
              <w:ind w:left="0" w:right="0" w:hanging="0"/>
              <w:rPr/>
            </w:pPr>
            <w:r>
              <w:rPr/>
              <w:t> </w:t>
            </w:r>
          </w:p>
        </w:tc>
        <w:tc>
          <w:tcPr>
            <w:tcW w:w="1524" w:type="dxa"/>
            <w:gridSpan w:val="2"/>
            <w:tcBorders/>
            <w:shd w:fill="auto" w:val="clear"/>
            <w:vAlign w:val="bottom"/>
          </w:tcPr>
          <w:p>
            <w:pPr>
              <w:pStyle w:val="TableContents"/>
              <w:spacing w:before="0" w:after="0"/>
              <w:ind w:left="0" w:right="0" w:hanging="0"/>
              <w:jc w:val="right"/>
              <w:rPr/>
            </w:pPr>
            <w:r>
              <w:rPr/>
              <w:t> </w:t>
            </w:r>
          </w:p>
        </w:tc>
        <w:tc>
          <w:tcPr>
            <w:tcW w:w="14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Interest Rate Risk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use of variable rate debt and any forecasted issuances of fixed rate debt expose us to interest rate risk. Therefore, from time to time we use interest rate derivatives to hedge interest rate risk associated with anticipated debt issuances and, in certain cases, outstanding debt instruments.  All of our senior notes are fixed rate notes and thus are not subject to interest rate risk. The majority of our variable rate debt at September 30, 2013, approximately $570 million (which excludes $100 million of variable rate debt when giving consideration to our interest rate derivatives that swap floating-rate debt for fixed), is subject to interest rate re-sets, which range from one week to three months. The average interest rate of approximately 1.7% is based upon rates in effect during the nine months ended September 30, 2013 without giving consideration to our interest rate swaps. The fair value of our interest rate derivatives is an unrealized gain of approximately $16 million as of September 30, 2013. A 10% increase in the forward LIBOR curve as of September 30, 2013 would result in an increase of approximately $18 million to the fair value of our interest rate derivatives. A 10% decrease in the forward LIBOR curve as of September 30, 2013 would result in a decrease of approximately $18 million to the fair value of our interest rate derivatives. See Note 11 to our condensed consolidated financial statements for a discussion of our interest rate risk hedging activities.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48</w:t>
      </w:r>
      <w:bookmarkStart w:id="75" w:name="PB_48_133527_7091"/>
      <w:bookmarkEnd w:id="7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4.  CONTROLS AND PROCEDURES</w:t>
      </w:r>
      <w:bookmarkStart w:id="76" w:name="Item4_ControlsAndProcedures_133916"/>
      <w:bookmarkEnd w:id="76"/>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Disclosure Controls and Procedures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Changes in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the information concerning our DCP, we are required to disclose certain changes in our internal control over financial reporting. Although we have made various enhancements to our controls, there have been no changes in our internal control over financial reporting during the period covered by this report that have materially affected, or are reasonably likely to materially affect, our internal control over financial reporting.</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Certifications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49</w:t>
      </w:r>
      <w:bookmarkStart w:id="77" w:name="PB_49_133538_455"/>
      <w:bookmarkEnd w:id="7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PART II. OTHER INFORMATION</w:t>
      </w:r>
      <w:bookmarkStart w:id="78" w:name="Partii_OtherInformation_130845"/>
      <w:bookmarkEnd w:id="78"/>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Item 1.</w:t>
      </w:r>
      <w:r>
        <w:rPr>
          <w:rFonts w:ascii="Times New Roman" w:hAnsi="Times New Roman"/>
        </w:rPr>
        <w:t xml:space="preserve">                                  </w:t>
      </w:r>
      <w:r>
        <w:rPr>
          <w:rFonts w:ascii="Times New Roman" w:hAnsi="Times New Roman"/>
          <w:b/>
          <w:sz w:val="17"/>
        </w:rPr>
        <w:t>LEGAL PROCEEDINGS</w:t>
      </w:r>
      <w:bookmarkStart w:id="79" w:name="Item1_LegalProceedings_130857"/>
      <w:bookmarkEnd w:id="7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information required by this item is included under the caption Litigation in Note 12 to our condensed consolidated financial statements, and is incorporated herein by reference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1A.</w:t>
      </w:r>
      <w:r>
        <w:rPr>
          <w:rFonts w:ascii="Times New Roman" w:hAnsi="Times New Roman"/>
        </w:rPr>
        <w:t xml:space="preserve">                      </w:t>
      </w:r>
      <w:r>
        <w:rPr>
          <w:rFonts w:ascii="Times New Roman" w:hAnsi="Times New Roman"/>
          <w:b/>
          <w:sz w:val="17"/>
        </w:rPr>
        <w:t>RISK FACTORS</w:t>
      </w:r>
      <w:bookmarkStart w:id="80" w:name="Item1a_RiskFactors_130859"/>
      <w:bookmarkEnd w:id="80"/>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a discussion regarding our risk factors, see Item 1A of our 2012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2.</w:t>
      </w:r>
      <w:r>
        <w:rPr>
          <w:rFonts w:ascii="Times New Roman" w:hAnsi="Times New Roman"/>
        </w:rPr>
        <w:t xml:space="preserve">                               </w:t>
      </w:r>
      <w:r>
        <w:rPr>
          <w:rFonts w:ascii="Times New Roman" w:hAnsi="Times New Roman"/>
          <w:b/>
          <w:sz w:val="17"/>
        </w:rPr>
        <w:t>UNREGISTERED SALES OF EQUITY SECURITIES AND USE OF PROCEEDS</w:t>
      </w:r>
      <w:bookmarkStart w:id="81" w:name="Item2_UnregisteredSalesOfEquitySe_130904"/>
      <w:bookmarkEnd w:id="8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3.</w:t>
      </w:r>
      <w:r>
        <w:rPr>
          <w:rFonts w:ascii="Times New Roman" w:hAnsi="Times New Roman"/>
        </w:rPr>
        <w:t xml:space="preserve">                               </w:t>
      </w:r>
      <w:r>
        <w:rPr>
          <w:rFonts w:ascii="Times New Roman" w:hAnsi="Times New Roman"/>
          <w:b/>
          <w:sz w:val="17"/>
        </w:rPr>
        <w:t>DEFAULTS UPON SENIOR SECURITIES</w:t>
      </w:r>
      <w:bookmarkStart w:id="82" w:name="Item3_DefaultsUponSeniorSecuritie_130906"/>
      <w:bookmarkEnd w:id="82"/>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4.</w:t>
      </w:r>
      <w:r>
        <w:rPr>
          <w:rFonts w:ascii="Times New Roman" w:hAnsi="Times New Roman"/>
        </w:rPr>
        <w:t xml:space="preserve">                               </w:t>
      </w:r>
      <w:r>
        <w:rPr>
          <w:rFonts w:ascii="Times New Roman" w:hAnsi="Times New Roman"/>
          <w:b/>
          <w:sz w:val="17"/>
        </w:rPr>
        <w:t>MINE SAFETY DISCLOSURES</w:t>
      </w:r>
      <w:bookmarkStart w:id="83" w:name="Item4_MineSafetyDisclosures_130907"/>
      <w:bookmarkEnd w:id="83"/>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5.</w:t>
      </w:r>
      <w:r>
        <w:rPr>
          <w:rFonts w:ascii="Times New Roman" w:hAnsi="Times New Roman"/>
        </w:rPr>
        <w:t xml:space="preserve">                               </w:t>
      </w:r>
      <w:r>
        <w:rPr>
          <w:rFonts w:ascii="Times New Roman" w:hAnsi="Times New Roman"/>
          <w:b/>
          <w:sz w:val="17"/>
        </w:rPr>
        <w:t>OTHER INFORMATION</w:t>
      </w:r>
      <w:bookmarkStart w:id="84" w:name="Item5_OtherInformation_130909"/>
      <w:bookmarkEnd w:id="8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None.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6.</w:t>
      </w:r>
      <w:r>
        <w:rPr>
          <w:rFonts w:ascii="Times New Roman" w:hAnsi="Times New Roman"/>
        </w:rPr>
        <w:t xml:space="preserve">                                  </w:t>
      </w:r>
      <w:r>
        <w:rPr>
          <w:rFonts w:ascii="Times New Roman" w:hAnsi="Times New Roman"/>
          <w:b/>
          <w:sz w:val="17"/>
        </w:rPr>
        <w:t>EXHIBITS</w:t>
      </w:r>
      <w:bookmarkStart w:id="85" w:name="Item6_Exhibits_130911"/>
      <w:bookmarkEnd w:id="85"/>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exhibits listed on the accompanying Exhibit Index are filed or incorporated by reference as part of this report, and such Exhibit Index is incorporated herein by reference.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50</w:t>
      </w:r>
      <w:bookmarkStart w:id="86" w:name="PB_50_130836_141"/>
      <w:bookmarkEnd w:id="8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bookmarkStart w:id="87" w:name="Signatures_131217"/>
      <w:bookmarkEnd w:id="87"/>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416"/>
        <w:gridCol w:w="4687"/>
      </w:tblGrid>
      <w:tr>
        <w:trPr/>
        <w:tc>
          <w:tcPr>
            <w:tcW w:w="5102" w:type="dxa"/>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6, 2013</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Greg L. Armstrong, </w:t>
            </w:r>
            <w:r>
              <w:rPr>
                <w:rFonts w:ascii="Times New Roman" w:hAnsi="Times New Roman"/>
                <w:i/>
                <w:sz w:val="17"/>
              </w:rPr>
              <w:t>Chairman of the Board,</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Executive Officer and Director</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Executive Officer)</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jc w:val="center"/>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6, 2013</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Al Swanson</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Al Swanson, </w:t>
            </w:r>
            <w:r>
              <w:rPr>
                <w:rFonts w:ascii="Times New Roman" w:hAnsi="Times New Roman"/>
                <w:i/>
                <w:sz w:val="17"/>
              </w:rPr>
              <w:t>Executive Vice President and</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Financial Officer</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(Principal Financial Officer)</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6, 2013</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87"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 Chris Herbold</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Chris Herbold, </w:t>
            </w:r>
            <w:r>
              <w:rPr>
                <w:rFonts w:ascii="Times New Roman" w:hAnsi="Times New Roman"/>
                <w:i/>
                <w:sz w:val="17"/>
              </w:rPr>
              <w:t>Vice President- Accounting and</w:t>
            </w:r>
          </w:p>
        </w:tc>
      </w:tr>
      <w:tr>
        <w:trPr/>
        <w:tc>
          <w:tcPr>
            <w:tcW w:w="5102"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687" w:type="dxa"/>
            <w:tcBorders/>
            <w:shd w:fill="auto" w:val="clear"/>
          </w:tcPr>
          <w:p>
            <w:pPr>
              <w:pStyle w:val="TableContents"/>
              <w:spacing w:before="0" w:after="0"/>
              <w:ind w:left="0" w:right="0" w:hanging="0"/>
              <w:jc w:val="center"/>
              <w:rPr>
                <w:rFonts w:ascii="Times New Roman" w:hAnsi="Times New Roman"/>
                <w:i/>
                <w:sz w:val="17"/>
              </w:rPr>
            </w:pPr>
            <w:r>
              <w:rPr>
                <w:rFonts w:ascii="Times New Roman" w:hAnsi="Times New Roman"/>
                <w:i/>
                <w:sz w:val="17"/>
              </w:rPr>
              <w:t>Chief Accounting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51</w:t>
      </w:r>
      <w:bookmarkStart w:id="88" w:name="PB_51_131211_7608"/>
      <w:bookmarkEnd w:id="8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9"/>
        <w:gridCol w:w="205"/>
        <w:gridCol w:w="411"/>
        <w:gridCol w:w="205"/>
        <w:gridCol w:w="8355"/>
      </w:tblGrid>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Amended and Restated Agreement of Limited Partnership of Plains All American Pipeline, L.P. dated as of May 17, 2012 (incorporated by reference to Exhibit 3.1 to the Current Report on Form 8-K filed May 23, 2012).</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October 1, 2012 to the Fourth Amended and Restated Agreement of Limited Partnership of Plains All American Pipeline, L.P. (incorporated by reference to Exhibit 3.1 to the Current Report on Form 8-K filed October 2, 2012).</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1 dated December 31, 2010 to the Third Amended and Restated Agreement of Limited Partnership of Plains Marketing, L.P. (incorporated by reference to Exhibit 3.9 to the Annual Report on Form 10-K for the year ended December 31, 2010).</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Amendment No. 2 dated January 1, 2011 to the Third Amended and Restated Agreement of Limited Partnership of Plains Marketing, L.P. (incorporated by reference to Exhibit 3.10 to the Annual Report on Form 10-K for the year ended December 31, 2010).</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Amended and Restated Limited Liability Company Agreement of Plains All American GP LLC dated October 21, 2013 (incorporated by reference to Exhibit 3.2 to the Current Report on Form 8-K filed October 25, 2013).</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3.8</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Seventh Amended and Restated Limited Partnership Agreement of Plains AAP, L.P. dated October 21, 2013, 2010 (incorporated by reference to Exhibit 3.1 to the Current Report on Form 8-K filed October 25, 2013).</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3.9</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3.10</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(f/k/a Pacific Energy Finance Corporation, successor-by-merger to PAA Finance Corp.) (incorporated by reference to Exhibit 3.11 to the Annual Report on Form 10-K for the year ended December 31, 2006).</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Limited Liability Company Agreement of PAA GP LLC dated December 28, 2007 (incorporated by reference to Exhibit 3.3 to the Current Report on Form 8-K filed January 4, 2008).</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as trustee (incorporated by reference to Exhibit 4.1 to the Quarterly Report on Form 10-Q for the quarter ended September 30, 2002).</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4.2</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as trustee (incorporated by reference to Exhibit 4.4 to the Annual Report on Form 10-K for the year ended December 31, 2003).</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the Registration Statement on Form S-4, File No. 333-121168).</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pPr>
            <w:r>
              <w:rPr/>
              <w:t> </w:t>
            </w:r>
          </w:p>
        </w:tc>
      </w:tr>
      <w:tr>
        <w:trPr/>
        <w:tc>
          <w:tcPr>
            <w:tcW w:w="102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w:t>
            </w:r>
          </w:p>
        </w:tc>
      </w:tr>
      <w:tr>
        <w:trPr/>
        <w:tc>
          <w:tcPr>
            <w:tcW w:w="1029"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Wachovia Bank, National Association, as trustee (incorporated by reference to Exhibit 4.1 to the Current Report on Form 8-K filed May 31, 2005).</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52</w:t>
      </w:r>
      <w:bookmarkStart w:id="89" w:name="PB_52_131339_8146"/>
      <w:bookmarkEnd w:id="8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31"/>
        <w:gridCol w:w="205"/>
        <w:gridCol w:w="410"/>
        <w:gridCol w:w="205"/>
        <w:gridCol w:w="8354"/>
      </w:tblGrid>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4.5</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the Current Report on Form 8-K filed May 12, 2006).</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4.6</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the Current Report on Form 8-K filed October 30, 2006).</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the Current Report on Form 8-K filed October 30, 2006).</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Thirteenth Supplemental Indenture (Series A and Series B 6.5% Senior Notes due 2018) dated April 23, 2008 among Plains All American Pipeline, L.P., PAA Finance Corp., the Subsidiary Guarantors named therein and U.S. Bank National Association, as trustee (incorporated by reference to Exhibit 4.1 to the Current Report on Form 8-K filed April 23, 2008).</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4.9</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Fifteenth Supplemental Indenture (8.75% Senior Notes due 2019) dated April 20, 2009 among Plains All American Pipeline, L.P., PAA Finance Corp., the Subsidiary Guarantors named therein and U.S. Bank National Association, as trustee (incorporated by reference to Exhibit 4.1 to the Current Report on Form 8-K filed April 20, 2009).</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4.10</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Seventeenth Supplemental Indenture (5.75% Senior Notes due 2020) dated September 4, 2009 among Plains All American Pipeline, L.P., PAA Finance Corp., the Subsidiary Guarantors named therein and U.S. Bank National Association, as trustee (incorporated by reference to Exhibit 4.1 to the Current Report on Form 8-K filed September 4, 2009).</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4.11</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Eighteenth Supplemental Indenture (3.95% Senior Notes due 2015) dated July 14, 2010 among Plains All American Pipeline, L.P., PAA Finance Corp., the Subsidiary Guarantors named therein and U.S. Bank National Association, as trustee (incorporated by reference to Exhibit 4.1 to the Current Report on Form 8-K filed July 13, 2010).</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Nineteenth Supplemental Indenture (5.00% Senior Notes due 2021) dated January 14, 2011 among Plains All American Pipeline, L.P., PAA Finance Corp., the Subsidiary Guarantors named therein and U.S. Bank National Association, as trustee (incorporated by reference to Exhibit 4.1 to the Current Report on Form 8-K filed January 11, 2011).</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4.13</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Twentieth Supplemental Indenture (3.65% Senior Notes due 2022) dated March 22, 2012 among Plains All American Pipeline, L.P., PAA Finance Corp. and U.S. Bank National Association, as trustee (incorporated by reference to Exhibit 4.1 to the Current Report on Form 8-K filed March 26, 2012).</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Twenty-First Supplemental Indenture (5.15% Senior Notes due 2042) dated March 22, 2012 among Plains All American Pipeline, L.P., PAA Finance Corp. and U.S. Bank National Association, as trustee (incorporated by reference to Exhibit 4.3 to the Current Report on Form 8-K filed March 26, 2012).</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Twenty-Second Supplemental Indenture (2.85% Senior Notes due 2023) dated December 10, 2012, by and among Plains All American Pipeline, L.P., PAA Finance Corp., and U.S. Bank National Association, as trustee (incorporated by reference to Exhibit 4.1 to the Current Report on Form 8-K filed December 12, 2012).</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4.16</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Twenty-Third Supplemental Indenture (4.30% Senior Notes due 2043) dated December 10, 2012, by and among Plains All American Pipeline, L.P., PAA Finance Corp., and U.S. Bank National Association, as trustee (incorporated by reference to Exhibit 4.3 to the Current Report on Form 8-K filed December 12, 2012).</w:t>
            </w:r>
          </w:p>
        </w:tc>
      </w:tr>
      <w:tr>
        <w:trPr/>
        <w:tc>
          <w:tcPr>
            <w:tcW w:w="1031"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pPr>
            <w:r>
              <w:rPr/>
              <w:t> </w:t>
            </w:r>
          </w:p>
        </w:tc>
      </w:tr>
      <w:tr>
        <w:trPr/>
        <w:tc>
          <w:tcPr>
            <w:tcW w:w="103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4.17</w:t>
            </w:r>
          </w:p>
        </w:tc>
        <w:tc>
          <w:tcPr>
            <w:tcW w:w="205" w:type="dxa"/>
            <w:tcBorders/>
            <w:shd w:fill="auto" w:val="clear"/>
            <w:vAlign w:val="bottom"/>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Twenty-Fourth Supplemental Indenture dated August 15, 2013, by and among Plains All American Pipeline, L.P., PAA Finance Corp., and U.S. Bank National Association, as trustee (incorporated by reference to Exhibit 4.1 to the Current Report on Form 8-K filed August 15,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53</w:t>
      </w:r>
      <w:bookmarkStart w:id="90" w:name="PB_53_131348_7091"/>
      <w:bookmarkEnd w:id="9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30"/>
        <w:gridCol w:w="205"/>
        <w:gridCol w:w="412"/>
        <w:gridCol w:w="205"/>
        <w:gridCol w:w="8353"/>
      </w:tblGrid>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10. 1</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Form of PAA LTIP Grant Letter for Officers (February 2013) (incorporated by reference to Exhibit 10.1 to the Quarterly Report on Form 10-Q for the quarter ended March 31, 2013).</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10. 2</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rFonts w:ascii="Times New Roman" w:hAnsi="Times New Roman"/>
                <w:sz w:val="17"/>
              </w:rPr>
              <w:t xml:space="preserve">Administrative Agreement by and among Plains GP Holdings, L.P., PAA GP Holdings LLC, Plains All American Pipeline, L.P. and Plains All American GP LLC, dated October 21, 2013 </w:t>
            </w:r>
            <w:r>
              <w:rPr>
                <w:sz w:val="17"/>
              </w:rPr>
              <w:t>(incorporated by reference to Exhibit 10.1 to the Current Report on Form 8-K filed October 25, 2013).</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10. 3</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rFonts w:ascii="Times New Roman" w:hAnsi="Times New Roman"/>
                <w:sz w:val="17"/>
              </w:rPr>
              <w:t xml:space="preserve">Waiver Agreement dated October 21, 2013 to the Amended and Restated Employment Agreement dated June 30, 2001 of Greg L. Armstrong </w:t>
            </w:r>
            <w:r>
              <w:rPr>
                <w:sz w:val="17"/>
              </w:rPr>
              <w:t>(incorporated by reference to Exhibit 10.2 to the Current Report on Form 8-K filed October 25, 2013).</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10. 4</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rFonts w:ascii="Times New Roman" w:hAnsi="Times New Roman"/>
                <w:sz w:val="17"/>
              </w:rPr>
              <w:t xml:space="preserve">Waiver Agreement dated October 21, 2013 to the Amended and Restated Employment Agreement dated June 30, 2001 of Harry N. Pefanis </w:t>
            </w:r>
            <w:r>
              <w:rPr>
                <w:sz w:val="17"/>
              </w:rPr>
              <w:t>(incorporated by reference to Exhibit 10.3 to the Current Report on Form 8-K filed October 25, 2013).</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10. 5</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rFonts w:ascii="Times New Roman" w:hAnsi="Times New Roman"/>
                <w:sz w:val="17"/>
              </w:rPr>
              <w:t xml:space="preserve">Form of Amendment to the Plains AAP, L.P. Class B Restricted Units Agreement, dated October 18, 2013 </w:t>
            </w:r>
            <w:r>
              <w:rPr>
                <w:sz w:val="17"/>
              </w:rPr>
              <w:t>(incorporated by reference to Exhibit 10.4 to the Current Report on Form 8-K filed October 25, 2013).</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12.1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Computation of Ratio of Earnings to Fixed Charges</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31.1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31.2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32.1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32.2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101.INS</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Instance Document</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101.SCH</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Schema Document</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101.CAL</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Calculation Linkbase Document</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101.DEF</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Definition Linkbase Document</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101.LAB</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Label Linkbase Document</w:t>
            </w:r>
          </w:p>
        </w:tc>
      </w:tr>
      <w:tr>
        <w:trPr/>
        <w:tc>
          <w:tcPr>
            <w:tcW w:w="1030"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pPr>
            <w:r>
              <w:rPr/>
              <w:t> </w:t>
            </w:r>
          </w:p>
        </w:tc>
      </w:tr>
      <w:tr>
        <w:trPr/>
        <w:tc>
          <w:tcPr>
            <w:tcW w:w="10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101.PRE</w:t>
            </w:r>
          </w:p>
        </w:tc>
        <w:tc>
          <w:tcPr>
            <w:tcW w:w="205" w:type="dxa"/>
            <w:tcBorders/>
            <w:shd w:fill="auto" w:val="clear"/>
            <w:vAlign w:val="bottom"/>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5" w:type="dxa"/>
            <w:tcBorders/>
            <w:shd w:fill="auto" w:val="clear"/>
            <w:vAlign w:val="bottom"/>
          </w:tcPr>
          <w:p>
            <w:pPr>
              <w:pStyle w:val="TableContents"/>
              <w:spacing w:before="0" w:after="0"/>
              <w:ind w:left="0" w:right="0" w:hanging="0"/>
              <w:rPr/>
            </w:pPr>
            <w:r>
              <w:rPr/>
              <w:t> </w:t>
            </w:r>
          </w:p>
        </w:tc>
        <w:tc>
          <w:tcPr>
            <w:tcW w:w="83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XBRL Taxonomy Extension Presentation Linkbase Document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sz w:val="17"/>
        </w:rPr>
      </w:pPr>
      <w:r>
        <w:rPr>
          <w:rFonts w:ascii="Times New Roman" w:hAnsi="Times New Roman"/>
          <w:sz w:val="17"/>
        </w:rPr>
        <w:t>          Filed herewith.</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Furnished herewith.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54</w:t>
      </w:r>
      <w:bookmarkStart w:id="91" w:name="PB_54_131408_455"/>
      <w:bookmarkEnd w:id="91"/>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2" w:name="a13-19355_1ex12d1.htm"/>
      <w:bookmarkStart w:id="93" w:name="ksa1319355_1ex12d1"/>
      <w:bookmarkEnd w:id="92"/>
      <w:bookmarkEnd w:id="93"/>
      <w:r>
        <w:rPr>
          <w:rFonts w:ascii="Times New Roman" w:hAnsi="Times New Roman"/>
          <w:b/>
          <w:sz w:val="17"/>
        </w:rPr>
        <w:t>EXHIBIT 12.1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STATEMENT OF COMPUTATION OF RATIO OF EARNINGS TO FIXED CHARGES</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168"/>
        <w:gridCol w:w="195"/>
        <w:gridCol w:w="167"/>
        <w:gridCol w:w="987"/>
        <w:gridCol w:w="220"/>
        <w:gridCol w:w="137"/>
        <w:gridCol w:w="792"/>
        <w:gridCol w:w="220"/>
        <w:gridCol w:w="137"/>
        <w:gridCol w:w="792"/>
        <w:gridCol w:w="220"/>
        <w:gridCol w:w="136"/>
        <w:gridCol w:w="723"/>
        <w:gridCol w:w="220"/>
        <w:gridCol w:w="137"/>
        <w:gridCol w:w="723"/>
        <w:gridCol w:w="220"/>
        <w:gridCol w:w="137"/>
        <w:gridCol w:w="722"/>
        <w:gridCol w:w="152"/>
      </w:tblGrid>
      <w:tr>
        <w:trPr/>
        <w:tc>
          <w:tcPr>
            <w:tcW w:w="316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20" w:type="dxa"/>
            <w:tcBorders/>
            <w:shd w:fill="auto" w:val="clear"/>
            <w:vAlign w:val="bottom"/>
          </w:tcPr>
          <w:p>
            <w:pPr>
              <w:pStyle w:val="TableContents"/>
              <w:spacing w:before="0" w:after="0"/>
              <w:ind w:left="0" w:right="0" w:hanging="0"/>
              <w:jc w:val="center"/>
              <w:rPr/>
            </w:pPr>
            <w:r>
              <w:rPr/>
              <w:t> </w:t>
            </w:r>
          </w:p>
        </w:tc>
        <w:tc>
          <w:tcPr>
            <w:tcW w:w="929"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929"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859"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860"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859" w:type="dxa"/>
            <w:gridSpan w:val="2"/>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r>
      <w:tr>
        <w:trPr/>
        <w:tc>
          <w:tcPr>
            <w:tcW w:w="316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1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20" w:type="dxa"/>
            <w:tcBorders/>
            <w:shd w:fill="auto" w:val="clear"/>
            <w:vAlign w:val="bottom"/>
          </w:tcPr>
          <w:p>
            <w:pPr>
              <w:pStyle w:val="TableContents"/>
              <w:spacing w:before="0" w:after="0"/>
              <w:ind w:left="0" w:right="0" w:hanging="0"/>
              <w:jc w:val="center"/>
              <w:rPr/>
            </w:pPr>
            <w:r>
              <w:rPr/>
              <w:t> </w:t>
            </w:r>
          </w:p>
        </w:tc>
        <w:tc>
          <w:tcPr>
            <w:tcW w:w="929"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929"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859"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860" w:type="dxa"/>
            <w:gridSpan w:val="2"/>
            <w:tcBorders/>
            <w:shd w:fill="auto" w:val="clear"/>
            <w:vAlign w:val="bottom"/>
          </w:tcPr>
          <w:p>
            <w:pPr>
              <w:pStyle w:val="TableContents"/>
              <w:spacing w:before="0" w:after="0"/>
              <w:ind w:left="0" w:right="0" w:hanging="0"/>
              <w:jc w:val="center"/>
              <w:rPr/>
            </w:pPr>
            <w:r>
              <w:rPr/>
              <w:t> </w:t>
            </w:r>
          </w:p>
        </w:tc>
        <w:tc>
          <w:tcPr>
            <w:tcW w:w="220" w:type="dxa"/>
            <w:tcBorders/>
            <w:shd w:fill="auto" w:val="clear"/>
            <w:vAlign w:val="bottom"/>
          </w:tcPr>
          <w:p>
            <w:pPr>
              <w:pStyle w:val="TableContents"/>
              <w:spacing w:before="0" w:after="0"/>
              <w:ind w:left="0" w:right="0" w:hanging="0"/>
              <w:jc w:val="center"/>
              <w:rPr/>
            </w:pPr>
            <w:r>
              <w:rPr/>
              <w:t> </w:t>
            </w:r>
          </w:p>
        </w:tc>
        <w:tc>
          <w:tcPr>
            <w:tcW w:w="859" w:type="dxa"/>
            <w:gridSpan w:val="2"/>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r>
      <w:tr>
        <w:trPr/>
        <w:tc>
          <w:tcPr>
            <w:tcW w:w="316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20" w:type="dxa"/>
            <w:tcBorders/>
            <w:shd w:fill="auto" w:val="clear"/>
            <w:vAlign w:val="bottom"/>
          </w:tcPr>
          <w:p>
            <w:pPr>
              <w:pStyle w:val="TableContents"/>
              <w:spacing w:before="0" w:after="0"/>
              <w:ind w:left="0" w:right="0" w:hanging="0"/>
              <w:jc w:val="center"/>
              <w:rPr/>
            </w:pPr>
            <w:r>
              <w:rPr/>
              <w:t> </w:t>
            </w:r>
          </w:p>
        </w:tc>
        <w:tc>
          <w:tcPr>
            <w:tcW w:w="5316" w:type="dxa"/>
            <w:gridSpan w:val="1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Year Ended December 31,</w:t>
            </w:r>
          </w:p>
        </w:tc>
        <w:tc>
          <w:tcPr>
            <w:tcW w:w="152" w:type="dxa"/>
            <w:tcBorders/>
            <w:shd w:fill="auto" w:val="clear"/>
            <w:vAlign w:val="bottom"/>
          </w:tcPr>
          <w:p>
            <w:pPr>
              <w:pStyle w:val="TableContents"/>
              <w:spacing w:before="0" w:after="0"/>
              <w:ind w:left="0" w:right="0" w:hanging="0"/>
              <w:jc w:val="center"/>
              <w:rPr/>
            </w:pPr>
            <w:r>
              <w:rPr/>
              <w:t> </w:t>
            </w:r>
          </w:p>
        </w:tc>
      </w:tr>
      <w:tr>
        <w:trPr/>
        <w:tc>
          <w:tcPr>
            <w:tcW w:w="316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jc w:val="center"/>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0" w:type="dxa"/>
            <w:tcBorders/>
            <w:shd w:fill="auto" w:val="clear"/>
            <w:vAlign w:val="bottom"/>
          </w:tcPr>
          <w:p>
            <w:pPr>
              <w:pStyle w:val="TableContents"/>
              <w:spacing w:before="0" w:after="0"/>
              <w:ind w:left="0" w:right="0" w:hanging="0"/>
              <w:jc w:val="center"/>
              <w:rPr/>
            </w:pPr>
            <w:r>
              <w:rPr/>
              <w:t> </w:t>
            </w:r>
          </w:p>
        </w:tc>
        <w:tc>
          <w:tcPr>
            <w:tcW w:w="92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0" w:type="dxa"/>
            <w:tcBorders/>
            <w:shd w:fill="auto" w:val="clear"/>
            <w:vAlign w:val="bottom"/>
          </w:tcPr>
          <w:p>
            <w:pPr>
              <w:pStyle w:val="TableContents"/>
              <w:spacing w:before="0" w:after="0"/>
              <w:ind w:left="0" w:right="0" w:hanging="0"/>
              <w:jc w:val="center"/>
              <w:rPr/>
            </w:pPr>
            <w:r>
              <w:rPr/>
              <w:t> </w:t>
            </w:r>
          </w:p>
        </w:tc>
        <w:tc>
          <w:tcPr>
            <w:tcW w:w="92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20" w:type="dxa"/>
            <w:tcBorders/>
            <w:shd w:fill="auto" w:val="clear"/>
            <w:vAlign w:val="bottom"/>
          </w:tcPr>
          <w:p>
            <w:pPr>
              <w:pStyle w:val="TableContents"/>
              <w:spacing w:before="0" w:after="0"/>
              <w:ind w:left="0" w:right="0" w:hanging="0"/>
              <w:jc w:val="center"/>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20" w:type="dxa"/>
            <w:tcBorders/>
            <w:shd w:fill="auto" w:val="clear"/>
            <w:vAlign w:val="bottom"/>
          </w:tcPr>
          <w:p>
            <w:pPr>
              <w:pStyle w:val="TableContents"/>
              <w:spacing w:before="0" w:after="0"/>
              <w:ind w:left="0" w:right="0" w:hanging="0"/>
              <w:jc w:val="center"/>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20" w:type="dxa"/>
            <w:tcBorders/>
            <w:shd w:fill="auto" w:val="clear"/>
            <w:vAlign w:val="bottom"/>
          </w:tcPr>
          <w:p>
            <w:pPr>
              <w:pStyle w:val="TableContents"/>
              <w:spacing w:before="0" w:after="0"/>
              <w:ind w:left="0" w:right="0" w:hanging="0"/>
              <w:jc w:val="center"/>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52" w:type="dxa"/>
            <w:tcBorders/>
            <w:shd w:fill="auto" w:val="clear"/>
            <w:vAlign w:val="bottom"/>
          </w:tcPr>
          <w:p>
            <w:pPr>
              <w:pStyle w:val="TableContents"/>
              <w:spacing w:before="0" w:after="0"/>
              <w:ind w:left="0" w:right="0" w:hanging="0"/>
              <w:jc w:val="center"/>
              <w:rPr/>
            </w:pPr>
            <w:r>
              <w:rPr/>
              <w:t> </w:t>
            </w:r>
          </w:p>
        </w:tc>
      </w:tr>
      <w:tr>
        <w:trPr/>
        <w:tc>
          <w:tcPr>
            <w:tcW w:w="3168" w:type="dxa"/>
            <w:tcBorders/>
            <w:shd w:fill="CCEEFF" w:val="clear"/>
            <w:vAlign w:val="bottom"/>
          </w:tcPr>
          <w:p>
            <w:pPr>
              <w:pStyle w:val="TableContents"/>
              <w:spacing w:before="0" w:after="0"/>
              <w:ind w:left="0" w:right="0" w:hanging="0"/>
              <w:rPr/>
            </w:pPr>
            <w:r>
              <w:rPr>
                <w:rFonts w:ascii="Times New Roman" w:hAnsi="Times New Roman"/>
                <w:b/>
                <w:sz w:val="17"/>
              </w:rPr>
              <w:t xml:space="preserve">EARNINGS </w:t>
            </w:r>
            <w:r>
              <w:rPr>
                <w:b/>
                <w:sz w:val="11"/>
              </w:rPr>
              <w:t>(1)</w:t>
            </w:r>
          </w:p>
        </w:tc>
        <w:tc>
          <w:tcPr>
            <w:tcW w:w="195"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r>
      <w:tr>
        <w:trPr/>
        <w:tc>
          <w:tcPr>
            <w:tcW w:w="3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Pre-tax income from continuing operations before noncontrolling interest and income from equity investees</w:t>
            </w:r>
          </w:p>
        </w:tc>
        <w:tc>
          <w:tcPr>
            <w:tcW w:w="195"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1,111</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1,143</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1,026</w:t>
            </w:r>
          </w:p>
        </w:tc>
        <w:tc>
          <w:tcPr>
            <w:tcW w:w="220"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w:t>
            </w:r>
          </w:p>
        </w:tc>
        <w:tc>
          <w:tcPr>
            <w:tcW w:w="152" w:type="dxa"/>
            <w:tcBorders/>
            <w:shd w:fill="auto" w:val="clear"/>
            <w:vAlign w:val="bottom"/>
          </w:tcPr>
          <w:p>
            <w:pPr>
              <w:pStyle w:val="TableContents"/>
              <w:spacing w:before="0" w:after="0"/>
              <w:ind w:left="0" w:right="0" w:hanging="0"/>
              <w:rPr/>
            </w:pPr>
            <w:r>
              <w:rPr/>
              <w:t> </w:t>
            </w:r>
          </w:p>
        </w:tc>
      </w:tr>
      <w:tr>
        <w:trPr/>
        <w:tc>
          <w:tcPr>
            <w:tcW w:w="3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Fixed charges</w:t>
            </w:r>
          </w:p>
        </w:tc>
        <w:tc>
          <w:tcPr>
            <w:tcW w:w="195"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220"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20"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2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2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52" w:type="dxa"/>
            <w:tcBorders/>
            <w:shd w:fill="CCEEFF" w:val="clear"/>
            <w:vAlign w:val="bottom"/>
          </w:tcPr>
          <w:p>
            <w:pPr>
              <w:pStyle w:val="TableContents"/>
              <w:spacing w:before="0" w:after="0"/>
              <w:ind w:left="0" w:right="0" w:hanging="0"/>
              <w:rPr/>
            </w:pPr>
            <w:r>
              <w:rPr/>
              <w:t> </w:t>
            </w:r>
          </w:p>
        </w:tc>
      </w:tr>
      <w:tr>
        <w:trPr/>
        <w:tc>
          <w:tcPr>
            <w:tcW w:w="3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Distributed income of equity investees</w:t>
            </w:r>
          </w:p>
        </w:tc>
        <w:tc>
          <w:tcPr>
            <w:tcW w:w="195"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20"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20"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2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2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52" w:type="dxa"/>
            <w:tcBorders/>
            <w:shd w:fill="auto" w:val="clear"/>
            <w:vAlign w:val="bottom"/>
          </w:tcPr>
          <w:p>
            <w:pPr>
              <w:pStyle w:val="TableContents"/>
              <w:spacing w:before="0" w:after="0"/>
              <w:ind w:left="0" w:right="0" w:hanging="0"/>
              <w:rPr/>
            </w:pPr>
            <w:r>
              <w:rPr/>
              <w:t> </w:t>
            </w:r>
          </w:p>
        </w:tc>
      </w:tr>
      <w:tr>
        <w:trPr/>
        <w:tc>
          <w:tcPr>
            <w:tcW w:w="3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Amortization of capitalized interest</w:t>
            </w:r>
          </w:p>
        </w:tc>
        <w:tc>
          <w:tcPr>
            <w:tcW w:w="195"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0"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52" w:type="dxa"/>
            <w:tcBorders/>
            <w:shd w:fill="CCEEFF" w:val="clear"/>
            <w:vAlign w:val="bottom"/>
          </w:tcPr>
          <w:p>
            <w:pPr>
              <w:pStyle w:val="TableContents"/>
              <w:spacing w:before="0" w:after="0"/>
              <w:ind w:left="0" w:right="0" w:hanging="0"/>
              <w:rPr/>
            </w:pPr>
            <w:r>
              <w:rPr/>
              <w:t> </w:t>
            </w:r>
          </w:p>
        </w:tc>
      </w:tr>
      <w:tr>
        <w:trPr/>
        <w:tc>
          <w:tcPr>
            <w:tcW w:w="3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Capitalized interest</w:t>
            </w:r>
          </w:p>
        </w:tc>
        <w:tc>
          <w:tcPr>
            <w:tcW w:w="195"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5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Earnings</w:t>
            </w:r>
          </w:p>
        </w:tc>
        <w:tc>
          <w:tcPr>
            <w:tcW w:w="195"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1,432</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1,529</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1,354</w:t>
            </w:r>
          </w:p>
        </w:tc>
        <w:tc>
          <w:tcPr>
            <w:tcW w:w="220"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851</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688</w:t>
            </w:r>
          </w:p>
        </w:tc>
        <w:tc>
          <w:tcPr>
            <w:tcW w:w="152" w:type="dxa"/>
            <w:tcBorders/>
            <w:shd w:fill="CCEEFF" w:val="clear"/>
            <w:vAlign w:val="bottom"/>
          </w:tcPr>
          <w:p>
            <w:pPr>
              <w:pStyle w:val="TableContents"/>
              <w:spacing w:before="0" w:after="0"/>
              <w:ind w:left="0" w:right="0" w:hanging="0"/>
              <w:rPr/>
            </w:pPr>
            <w:r>
              <w:rPr/>
              <w:t> </w:t>
            </w:r>
          </w:p>
        </w:tc>
      </w:tr>
      <w:tr>
        <w:trPr/>
        <w:tc>
          <w:tcPr>
            <w:tcW w:w="316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r>
      <w:tr>
        <w:trPr/>
        <w:tc>
          <w:tcPr>
            <w:tcW w:w="3168" w:type="dxa"/>
            <w:tcBorders/>
            <w:shd w:fill="CCEEFF" w:val="clear"/>
            <w:vAlign w:val="bottom"/>
          </w:tcPr>
          <w:p>
            <w:pPr>
              <w:pStyle w:val="TableContents"/>
              <w:spacing w:before="0" w:after="0"/>
              <w:ind w:left="0" w:right="0" w:hanging="0"/>
              <w:rPr/>
            </w:pPr>
            <w:r>
              <w:rPr>
                <w:rFonts w:ascii="Times New Roman" w:hAnsi="Times New Roman"/>
                <w:b/>
                <w:sz w:val="17"/>
              </w:rPr>
              <w:t xml:space="preserve">FIXED CHARGES </w:t>
            </w:r>
            <w:r>
              <w:rPr>
                <w:b/>
                <w:sz w:val="11"/>
              </w:rPr>
              <w:t>(1)</w:t>
            </w:r>
          </w:p>
        </w:tc>
        <w:tc>
          <w:tcPr>
            <w:tcW w:w="195"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r>
      <w:tr>
        <w:trPr/>
        <w:tc>
          <w:tcPr>
            <w:tcW w:w="3168" w:type="dxa"/>
            <w:tcBorders/>
            <w:shd w:fill="auto" w:val="clear"/>
            <w:vAlign w:val="bottom"/>
          </w:tcPr>
          <w:p>
            <w:pPr>
              <w:pStyle w:val="TableContents"/>
              <w:spacing w:before="0" w:after="0"/>
              <w:ind w:left="0" w:right="0" w:hanging="0"/>
              <w:rPr/>
            </w:pPr>
            <w:r>
              <w:rPr>
                <w:rFonts w:ascii="Times New Roman" w:hAnsi="Times New Roman"/>
                <w:sz w:val="17"/>
              </w:rPr>
              <w:t xml:space="preserve">Interest expensed and capitalized </w:t>
            </w:r>
            <w:r>
              <w:rPr>
                <w:sz w:val="11"/>
              </w:rPr>
              <w:t>(2)</w:t>
            </w:r>
          </w:p>
        </w:tc>
        <w:tc>
          <w:tcPr>
            <w:tcW w:w="195"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336</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220" w:type="dxa"/>
            <w:tcBorders/>
            <w:shd w:fill="auto" w:val="clear"/>
            <w:vAlign w:val="bottom"/>
          </w:tcPr>
          <w:p>
            <w:pPr>
              <w:pStyle w:val="TableContents"/>
              <w:spacing w:before="0" w:after="0"/>
              <w:ind w:left="0" w:right="0" w:hanging="0"/>
              <w:rPr/>
            </w:pPr>
            <w:r>
              <w:rPr/>
              <w:t> </w:t>
            </w:r>
          </w:p>
        </w:tc>
        <w:tc>
          <w:tcPr>
            <w:tcW w:w="1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20"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52" w:type="dxa"/>
            <w:tcBorders/>
            <w:shd w:fill="auto" w:val="clear"/>
            <w:vAlign w:val="bottom"/>
          </w:tcPr>
          <w:p>
            <w:pPr>
              <w:pStyle w:val="TableContents"/>
              <w:spacing w:before="0" w:after="0"/>
              <w:ind w:left="0" w:right="0" w:hanging="0"/>
              <w:rPr/>
            </w:pPr>
            <w:r>
              <w:rPr/>
              <w:t> </w:t>
            </w:r>
          </w:p>
        </w:tc>
      </w:tr>
      <w:tr>
        <w:trPr/>
        <w:tc>
          <w:tcPr>
            <w:tcW w:w="3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Amortization of debt expense</w:t>
            </w:r>
          </w:p>
        </w:tc>
        <w:tc>
          <w:tcPr>
            <w:tcW w:w="195"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0"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0"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2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2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52" w:type="dxa"/>
            <w:tcBorders/>
            <w:shd w:fill="CCEEFF" w:val="clear"/>
            <w:vAlign w:val="bottom"/>
          </w:tcPr>
          <w:p>
            <w:pPr>
              <w:pStyle w:val="TableContents"/>
              <w:spacing w:before="0" w:after="0"/>
              <w:ind w:left="0" w:right="0" w:hanging="0"/>
              <w:rPr/>
            </w:pPr>
            <w:r>
              <w:rPr/>
              <w:t> </w:t>
            </w:r>
          </w:p>
        </w:tc>
      </w:tr>
      <w:tr>
        <w:trPr/>
        <w:tc>
          <w:tcPr>
            <w:tcW w:w="3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Portion of rent expense related to interest (33.33%)</w:t>
            </w:r>
          </w:p>
        </w:tc>
        <w:tc>
          <w:tcPr>
            <w:tcW w:w="195" w:type="dxa"/>
            <w:tcBorders/>
            <w:shd w:fill="auto"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20" w:type="dxa"/>
            <w:tcBorders/>
            <w:shd w:fill="auto" w:val="clear"/>
            <w:vAlign w:val="bottom"/>
          </w:tcPr>
          <w:p>
            <w:pPr>
              <w:pStyle w:val="TableContents"/>
              <w:spacing w:before="0" w:after="0"/>
              <w:ind w:left="0" w:right="0" w:hanging="0"/>
              <w:rPr/>
            </w:pPr>
            <w:r>
              <w:rPr/>
              <w:t> </w:t>
            </w:r>
          </w:p>
        </w:tc>
        <w:tc>
          <w:tcPr>
            <w:tcW w:w="9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20" w:type="dxa"/>
            <w:tcBorders/>
            <w:shd w:fill="auto" w:val="clear"/>
            <w:vAlign w:val="bottom"/>
          </w:tcPr>
          <w:p>
            <w:pPr>
              <w:pStyle w:val="TableContents"/>
              <w:spacing w:before="0" w:after="0"/>
              <w:ind w:left="0" w:right="0" w:hanging="0"/>
              <w:rPr/>
            </w:pPr>
            <w:r>
              <w:rPr/>
              <w:t> </w:t>
            </w:r>
          </w:p>
        </w:tc>
        <w:tc>
          <w:tcPr>
            <w:tcW w:w="92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0" w:type="dxa"/>
            <w:tcBorders/>
            <w:shd w:fill="auto"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2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20" w:type="dxa"/>
            <w:tcBorders/>
            <w:shd w:fill="auto"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52" w:type="dxa"/>
            <w:tcBorders/>
            <w:shd w:fill="auto" w:val="clear"/>
            <w:vAlign w:val="bottom"/>
          </w:tcPr>
          <w:p>
            <w:pPr>
              <w:pStyle w:val="TableContents"/>
              <w:spacing w:before="0" w:after="0"/>
              <w:ind w:left="0" w:right="0" w:hanging="0"/>
              <w:rPr/>
            </w:pPr>
            <w:r>
              <w:rPr/>
              <w:t> </w:t>
            </w:r>
          </w:p>
        </w:tc>
      </w:tr>
      <w:tr>
        <w:trPr/>
        <w:tc>
          <w:tcPr>
            <w:tcW w:w="3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Fixed Charges</w:t>
            </w:r>
          </w:p>
        </w:tc>
        <w:tc>
          <w:tcPr>
            <w:tcW w:w="195"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328</w:t>
            </w:r>
          </w:p>
        </w:tc>
        <w:tc>
          <w:tcPr>
            <w:tcW w:w="220" w:type="dxa"/>
            <w:tcBorders/>
            <w:shd w:fill="CCEEFF" w:val="clear"/>
            <w:vAlign w:val="bottom"/>
          </w:tcPr>
          <w:p>
            <w:pPr>
              <w:pStyle w:val="TableContents"/>
              <w:spacing w:before="0" w:after="0"/>
              <w:ind w:left="0" w:right="0" w:hanging="0"/>
              <w:rPr/>
            </w:pPr>
            <w:r>
              <w:rPr/>
              <w:t> </w:t>
            </w:r>
          </w:p>
        </w:tc>
        <w:tc>
          <w:tcPr>
            <w:tcW w:w="13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20" w:type="dxa"/>
            <w:tcBorders/>
            <w:shd w:fill="CCEEFF" w:val="clear"/>
            <w:vAlign w:val="bottom"/>
          </w:tcPr>
          <w:p>
            <w:pPr>
              <w:pStyle w:val="TableContents"/>
              <w:spacing w:before="0" w:after="0"/>
              <w:ind w:left="0" w:right="0" w:hanging="0"/>
              <w:rPr/>
            </w:pPr>
            <w:r>
              <w:rPr/>
              <w:t> </w:t>
            </w:r>
          </w:p>
        </w:tc>
        <w:tc>
          <w:tcPr>
            <w:tcW w:w="1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52" w:type="dxa"/>
            <w:tcBorders/>
            <w:shd w:fill="CCEEFF" w:val="clear"/>
            <w:vAlign w:val="bottom"/>
          </w:tcPr>
          <w:p>
            <w:pPr>
              <w:pStyle w:val="TableContents"/>
              <w:spacing w:before="0" w:after="0"/>
              <w:ind w:left="0" w:right="0" w:hanging="0"/>
              <w:rPr/>
            </w:pPr>
            <w:r>
              <w:rPr/>
              <w:t> </w:t>
            </w:r>
          </w:p>
        </w:tc>
      </w:tr>
      <w:tr>
        <w:trPr/>
        <w:tc>
          <w:tcPr>
            <w:tcW w:w="3168"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r>
      <w:tr>
        <w:trPr/>
        <w:tc>
          <w:tcPr>
            <w:tcW w:w="3168" w:type="dxa"/>
            <w:tcBorders/>
            <w:shd w:fill="CCEEFF" w:val="clear"/>
            <w:vAlign w:val="bottom"/>
          </w:tcPr>
          <w:p>
            <w:pPr>
              <w:pStyle w:val="TableContents"/>
              <w:spacing w:before="0" w:after="0"/>
              <w:ind w:left="0" w:right="0" w:hanging="0"/>
              <w:rPr/>
            </w:pPr>
            <w:r>
              <w:rPr>
                <w:rFonts w:ascii="Times New Roman" w:hAnsi="Times New Roman"/>
                <w:b/>
                <w:sz w:val="17"/>
              </w:rPr>
              <w:t xml:space="preserve">RATIO OF EARNINGS TO FIXED CHARGES </w:t>
            </w:r>
            <w:r>
              <w:rPr>
                <w:b/>
                <w:sz w:val="11"/>
              </w:rPr>
              <w:t>(3)</w:t>
            </w:r>
          </w:p>
        </w:tc>
        <w:tc>
          <w:tcPr>
            <w:tcW w:w="195"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2.60</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x</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b/>
          <w:sz w:val="11"/>
        </w:rPr>
        <w:t>(1)</w:t>
      </w:r>
      <w:r>
        <w:rPr>
          <w:rFonts w:ascii="Times New Roman" w:hAnsi="Times New Roman"/>
        </w:rPr>
        <w:t xml:space="preserve">             </w:t>
      </w:r>
      <w:r>
        <w:rPr>
          <w:rFonts w:ascii="Times New Roman" w:hAnsi="Times New Roman"/>
          <w:sz w:val="17"/>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(2)</w:t>
      </w:r>
      <w:r>
        <w:rPr>
          <w:rFonts w:ascii="Times New Roman" w:hAnsi="Times New Roman"/>
        </w:rPr>
        <w:t xml:space="preserve">             </w:t>
      </w:r>
      <w:r>
        <w:rPr>
          <w:rFonts w:ascii="Times New Roman" w:hAnsi="Times New Roman"/>
          <w:sz w:val="17"/>
        </w:rPr>
        <w:t>Includes interest costs attributable to borrowings for hedged inventory purchases of $21 million for the nine months ended September 30, 2013 and $12 million, $20 million, $17 million, $11 million and $21 million for the years ended December 31, 2012, 2011, 2010, 2009 and 2008,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1"/>
        </w:rPr>
        <w:t>(3)</w:t>
      </w:r>
      <w:r>
        <w:rPr>
          <w:rFonts w:ascii="Times New Roman" w:hAnsi="Times New Roman"/>
        </w:rPr>
        <w:t xml:space="preserve">             </w:t>
      </w:r>
      <w:r>
        <w:rPr>
          <w:rFonts w:ascii="Times New Roman" w:hAnsi="Times New Roman"/>
          <w:sz w:val="17"/>
        </w:rPr>
        <w:t>Ratios may not recalculate due to rounding.</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4" w:name="a13-19355_1ex31d1.htm"/>
      <w:bookmarkStart w:id="95" w:name="ksa1319355_1ex31d1"/>
      <w:bookmarkEnd w:id="94"/>
      <w:bookmarkEnd w:id="95"/>
      <w:r>
        <w:rPr>
          <w:rFonts w:ascii="Times New Roman" w:hAnsi="Times New Roman"/>
          <w:b/>
          <w:sz w:val="17"/>
        </w:rPr>
        <w:t>EXHIBIT 31.1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November 6, 2013</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pPr>
            <w:r>
              <w:rPr>
                <w:rFonts w:ascii="Times New Roman" w:hAnsi="Times New Roman"/>
                <w:sz w:val="17"/>
              </w:rPr>
              <w:t xml:space="preserve">/s/ </w:t>
            </w:r>
            <w:r>
              <w:rPr>
                <w:sz w:val="17"/>
              </w:rPr>
              <w:t>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Executive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6" w:name="a13-19355_1ex31d2.htm"/>
      <w:bookmarkStart w:id="97" w:name="ksa1319355_1ex31d2"/>
      <w:bookmarkEnd w:id="96"/>
      <w:bookmarkEnd w:id="97"/>
      <w:r>
        <w:rPr>
          <w:rFonts w:ascii="Times New Roman" w:hAnsi="Times New Roman"/>
          <w:b/>
          <w:sz w:val="17"/>
        </w:rPr>
        <w:t>EXHIBIT 31.2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  I have reviewed this quarterly report on Form 10-Q of 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November 6, 2013</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8" w:space="0" w:color="000000"/>
            </w:tcBorders>
            <w:shd w:fill="auto" w:val="clear"/>
          </w:tcPr>
          <w:p>
            <w:pPr>
              <w:pStyle w:val="TableContents"/>
              <w:spacing w:before="0" w:after="0"/>
              <w:ind w:left="0" w:right="0" w:hanging="0"/>
              <w:rPr/>
            </w:pPr>
            <w:r>
              <w:rPr>
                <w:rFonts w:ascii="Times New Roman" w:hAnsi="Times New Roman"/>
                <w:sz w:val="17"/>
              </w:rPr>
              <w:t xml:space="preserve">/s/ </w:t>
            </w:r>
            <w:r>
              <w:rPr>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tcBorders/>
            <w:shd w:fill="auto" w:val="clear"/>
            <w:tcMar>
              <w:bottom w:w="0" w:type="dxa"/>
            </w:tcMar>
          </w:tcPr>
          <w:p>
            <w:pPr>
              <w:pStyle w:val="TableContents"/>
              <w:spacing w:before="0" w:after="0"/>
              <w:ind w:left="0" w:right="0" w:hanging="0"/>
              <w:rPr/>
            </w:pPr>
            <w:r>
              <w:rPr/>
              <w:t> </w:t>
            </w:r>
          </w:p>
        </w:tc>
      </w:tr>
      <w:tr>
        <w:trPr/>
        <w:tc>
          <w:tcPr>
            <w:tcW w:w="5102"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c>
          <w:tcPr>
            <w:tcW w:w="5103" w:type="dxa"/>
            <w:tcBorders/>
            <w:shd w:fill="auto" w:val="clear"/>
            <w:tcMar>
              <w:bottom w:w="0"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98" w:name="a13-19355_1ex32d1.htm"/>
      <w:bookmarkStart w:id="99" w:name="ksa1319355_1ex32d1"/>
      <w:bookmarkEnd w:id="98"/>
      <w:bookmarkEnd w:id="99"/>
      <w:r>
        <w:rPr>
          <w:rFonts w:ascii="Times New Roman" w:hAnsi="Times New Roman"/>
          <w:b/>
          <w:sz w:val="17"/>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EXECUTIVE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Greg L. Armstrong, Chief Executive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10-Q for the period ended September 30, 2013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sz w:val="17"/>
              </w:rPr>
              <w:t xml:space="preserve">/s/ </w:t>
            </w:r>
            <w:r>
              <w:rPr>
                <w:sz w:val="17"/>
              </w:rPr>
              <w:t>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6, 2013</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00" w:name="a13-19355_1ex32d2.htm"/>
      <w:bookmarkStart w:id="101" w:name="ksa1319355_1ex32d2"/>
      <w:bookmarkEnd w:id="100"/>
      <w:bookmarkEnd w:id="101"/>
      <w:r>
        <w:rPr>
          <w:rFonts w:ascii="Times New Roman" w:hAnsi="Times New Roman"/>
          <w:b/>
          <w:sz w:val="17"/>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CERTIFICATION OF</w:t>
      </w:r>
    </w:p>
    <w:p>
      <w:pPr>
        <w:pStyle w:val="TextBody"/>
        <w:spacing w:before="0" w:after="0"/>
        <w:ind w:left="0" w:right="0" w:hanging="0"/>
        <w:jc w:val="center"/>
        <w:rPr>
          <w:rFonts w:ascii="Times New Roman" w:hAnsi="Times New Roman"/>
          <w:b/>
          <w:sz w:val="17"/>
        </w:rPr>
      </w:pPr>
      <w:r>
        <w:rPr>
          <w:rFonts w:ascii="Times New Roman" w:hAnsi="Times New Roman"/>
          <w:b/>
          <w:sz w:val="17"/>
        </w:rPr>
        <w:t>CHIEF FINANCIAL OFFICER</w:t>
      </w:r>
    </w:p>
    <w:p>
      <w:pPr>
        <w:pStyle w:val="TextBody"/>
        <w:spacing w:before="0" w:after="0"/>
        <w:ind w:left="0" w:right="0" w:hanging="0"/>
        <w:jc w:val="center"/>
        <w:rPr>
          <w:rFonts w:ascii="Times New Roman" w:hAnsi="Times New Roman"/>
          <w:b/>
          <w:sz w:val="17"/>
        </w:rPr>
      </w:pPr>
      <w:r>
        <w:rPr>
          <w:rFonts w:ascii="Times New Roman" w:hAnsi="Times New Roman"/>
          <w:b/>
          <w:sz w:val="17"/>
        </w:rPr>
        <w:t>OF 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18 U.S.C. 1350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 Al Swanson, Chief Financial Officer of Plains All American Pipeline, L.P. (the Company), hereby certify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the accompanying report on Form 10-Q for the period ended September 30, 2013 and filed with the Securities and Exchange Commission on the date hereof (the Report) by the Company fully complies with the requirements of Section 13(a) or 15(d) of the Securities Exchange Act of 1934, as amended;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t> </w:t>
            </w:r>
          </w:p>
        </w:tc>
        <w:tc>
          <w:tcPr>
            <w:tcW w:w="5103"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sz w:val="17"/>
              </w:rPr>
              <w:t xml:space="preserve">/s/ </w:t>
            </w:r>
            <w:r>
              <w:rPr>
                <w:sz w:val="17"/>
              </w:rPr>
              <w:t>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6, 2013</w:t>
            </w:r>
          </w:p>
        </w:tc>
      </w:tr>
    </w:tbl>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59</Pages>
  <Words>31770</Words>
  <CharactersWithSpaces>199924</CharactersWithSpaces>
  <Paragraphs>10836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