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6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68790"/>
                    </a:xfrm>
                    <a:prstGeom prst="rect">
                      <a:avLst/>
                    </a:prstGeom>
                    <a:noFill/>
                  </pic:spPr>
                </pic:pic>
              </a:graphicData>
            </a:graphic>
          </wp:anchor>
        </w:drawing>
      </w:r>
    </w:p>
    <w:p>
      <w:pPr>
        <w:spacing w:after="0" w:line="43" w:lineRule="exact"/>
        <w:rPr>
          <w:sz w:val="24"/>
          <w:szCs w:val="24"/>
          <w:color w:val="auto"/>
        </w:rPr>
      </w:pPr>
    </w:p>
    <w:p>
      <w:pPr>
        <w:sectPr>
          <w:pgSz w:w="11900" w:h="16913" w:orient="portrait"/>
          <w:cols w:equalWidth="0" w:num="2">
            <w:col w:w="2300" w:space="42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12"/>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6"/>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8"/>
                <w:szCs w:val="8"/>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11"/>
            <w:vMerge w:val="restart"/>
          </w:tcPr>
          <w:p>
            <w:pPr>
              <w:ind w:left="60"/>
              <w:spacing w:after="0" w:line="137"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ind w:left="200"/>
              <w:spacing w:after="0" w:line="137" w:lineRule="exact"/>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gridSpan w:val="2"/>
            <w:vMerge w:val="restart"/>
          </w:tcPr>
          <w:p>
            <w:pPr>
              <w:ind w:left="40"/>
              <w:spacing w:after="0" w:line="13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11"/>
            <w:vMerge w:val="continue"/>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54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06/30/2017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80" w:type="dxa"/>
            <w:vAlign w:val="bottom"/>
            <w:gridSpan w:val="3"/>
            <w:vMerge w:val="restart"/>
          </w:tcPr>
          <w:p>
            <w:pPr>
              <w:jc w:val="center"/>
              <w:ind w:left="159"/>
              <w:spacing w:after="0"/>
              <w:rPr>
                <w:sz w:val="20"/>
                <w:szCs w:val="20"/>
                <w:color w:val="auto"/>
              </w:rPr>
            </w:pPr>
            <w:r>
              <w:rPr>
                <w:rFonts w:ascii="Arial" w:cs="Arial" w:eastAsia="Arial" w:hAnsi="Arial"/>
                <w:sz w:val="17"/>
                <w:szCs w:val="17"/>
                <w:color w:val="0000FF"/>
                <w:w w:val="87"/>
              </w:rPr>
              <w:t>See remarks</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7"/>
            <w:vMerge w:val="restart"/>
          </w:tcPr>
          <w:p>
            <w:pPr>
              <w:spacing w:after="0"/>
              <w:rPr>
                <w:sz w:val="20"/>
                <w:szCs w:val="20"/>
                <w:color w:val="auto"/>
              </w:rPr>
            </w:pPr>
            <w:r>
              <w:rPr>
                <w:rFonts w:ascii="Arial" w:cs="Arial" w:eastAsia="Arial" w:hAnsi="Arial"/>
                <w:sz w:val="17"/>
                <w:szCs w:val="17"/>
                <w:color w:val="0000FF"/>
              </w:rPr>
              <w:t>1800 AVENUE OF THE STARS, SUITE 300</w:t>
            </w:r>
          </w:p>
        </w:tc>
        <w:tc>
          <w:tcPr>
            <w:tcW w:w="154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gridSpan w:val="2"/>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gridSpan w:val="2"/>
          </w:tcPr>
          <w:p>
            <w:pPr>
              <w:spacing w:after="0"/>
              <w:rPr>
                <w:sz w:val="19"/>
                <w:szCs w:val="19"/>
                <w:color w:val="auto"/>
              </w:rPr>
            </w:pPr>
          </w:p>
        </w:tc>
        <w:tc>
          <w:tcPr>
            <w:tcW w:w="1180" w:type="dxa"/>
            <w:vAlign w:val="bottom"/>
            <w:tcBorders>
              <w:bottom w:val="single" w:sz="8" w:color="2C2C2C"/>
            </w:tcBorders>
            <w:gridSpan w:val="4"/>
          </w:tcPr>
          <w:p>
            <w:pPr>
              <w:spacing w:after="0"/>
              <w:rPr>
                <w:sz w:val="19"/>
                <w:szCs w:val="19"/>
                <w:color w:val="auto"/>
              </w:rPr>
            </w:pPr>
          </w:p>
        </w:tc>
        <w:tc>
          <w:tcPr>
            <w:tcW w:w="980" w:type="dxa"/>
            <w:vAlign w:val="bottom"/>
            <w:tcBorders>
              <w:bottom w:val="single" w:sz="8" w:color="2C2C2C"/>
            </w:tcBorders>
            <w:gridSpan w:val="2"/>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gridSpan w:val="2"/>
          </w:tcPr>
          <w:p>
            <w:pPr>
              <w:spacing w:after="0"/>
              <w:rPr>
                <w:sz w:val="19"/>
                <w:szCs w:val="19"/>
                <w:color w:val="auto"/>
              </w:rPr>
            </w:pPr>
          </w:p>
        </w:tc>
        <w:tc>
          <w:tcPr>
            <w:tcW w:w="3160" w:type="dxa"/>
            <w:vAlign w:val="bottom"/>
            <w:tcBorders>
              <w:bottom w:val="single" w:sz="8" w:color="2C2C2C"/>
            </w:tcBorders>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12"/>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3120" w:type="dxa"/>
            <w:vAlign w:val="bottom"/>
            <w:gridSpan w:val="9"/>
          </w:tcPr>
          <w:p>
            <w:pPr>
              <w:ind w:left="20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Form: Direct</w:t>
            </w:r>
          </w:p>
        </w:tc>
        <w:tc>
          <w:tcPr>
            <w:tcW w:w="1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tcPr>
          <w:p>
            <w:pPr>
              <w:ind w:left="5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3"/>
          </w:tcPr>
          <w:p>
            <w:pPr>
              <w:ind w:left="360"/>
              <w:spacing w:after="0" w:line="132" w:lineRule="exact"/>
              <w:rPr>
                <w:sz w:val="20"/>
                <w:szCs w:val="20"/>
                <w:color w:val="auto"/>
              </w:rPr>
            </w:pPr>
            <w:r>
              <w:rPr>
                <w:rFonts w:ascii="Arial" w:cs="Arial" w:eastAsia="Arial" w:hAnsi="Arial"/>
                <w:sz w:val="12"/>
                <w:szCs w:val="12"/>
                <w:b w:val="1"/>
                <w:bCs w:val="1"/>
                <w:color w:val="auto"/>
              </w:rPr>
              <w:t>(D) or Indirect</w:t>
            </w:r>
          </w:p>
        </w:tc>
        <w:tc>
          <w:tcPr>
            <w:tcW w:w="120" w:type="dxa"/>
            <w:vAlign w:val="bottom"/>
          </w:tcPr>
          <w:p>
            <w:pPr>
              <w:spacing w:after="0"/>
              <w:rPr>
                <w:sz w:val="11"/>
                <w:szCs w:val="11"/>
                <w:color w:val="auto"/>
              </w:rPr>
            </w:pP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2"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20" w:type="dxa"/>
            <w:vAlign w:val="bottom"/>
          </w:tcPr>
          <w:p>
            <w:pPr>
              <w:spacing w:after="0"/>
              <w:rPr>
                <w:sz w:val="11"/>
                <w:szCs w:val="11"/>
                <w:color w:val="auto"/>
              </w:rPr>
            </w:pPr>
          </w:p>
        </w:tc>
        <w:tc>
          <w:tcPr>
            <w:tcW w:w="4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5"/>
            <w:vMerge w:val="restart"/>
          </w:tcPr>
          <w:p>
            <w:pPr>
              <w:jc w:val="right"/>
              <w:ind w:right="160"/>
              <w:spacing w:after="0"/>
              <w:rPr>
                <w:sz w:val="20"/>
                <w:szCs w:val="20"/>
                <w:color w:val="auto"/>
              </w:rPr>
            </w:pPr>
            <w:r>
              <w:rPr>
                <w:rFonts w:ascii="Arial" w:cs="Arial" w:eastAsia="Arial" w:hAnsi="Arial"/>
                <w:sz w:val="17"/>
                <w:szCs w:val="17"/>
                <w:color w:val="0000FF"/>
              </w:rPr>
              <w:t>06/30/2017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374,790</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374,790</w:t>
            </w:r>
          </w:p>
        </w:tc>
        <w:tc>
          <w:tcPr>
            <w:tcW w:w="640" w:type="dxa"/>
            <w:vAlign w:val="bottom"/>
          </w:tcPr>
          <w:p>
            <w:pPr>
              <w:spacing w:after="0"/>
              <w:rPr>
                <w:sz w:val="22"/>
                <w:szCs w:val="22"/>
                <w:color w:val="auto"/>
              </w:rPr>
            </w:pPr>
          </w:p>
        </w:tc>
        <w:tc>
          <w:tcPr>
            <w:tcW w:w="2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60"/>
              <w:spacing w:after="0"/>
              <w:rPr>
                <w:sz w:val="20"/>
                <w:szCs w:val="20"/>
                <w:color w:val="auto"/>
              </w:rPr>
            </w:pPr>
            <w:r>
              <w:rPr>
                <w:rFonts w:ascii="Arial" w:cs="Arial" w:eastAsia="Arial" w:hAnsi="Arial"/>
                <w:sz w:val="17"/>
                <w:szCs w:val="17"/>
                <w:color w:val="0000FF"/>
              </w:rPr>
              <w:t>06/30/2017</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J</w:t>
            </w:r>
          </w:p>
        </w:tc>
        <w:tc>
          <w:tcPr>
            <w:tcW w:w="86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374,790</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7"/>
              </w:rPr>
              <w:t>257,624</w:t>
            </w:r>
          </w:p>
        </w:tc>
        <w:tc>
          <w:tcPr>
            <w:tcW w:w="6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gridSpan w:val="2"/>
          </w:tcPr>
          <w:p>
            <w:pPr>
              <w:jc w:val="center"/>
              <w:ind w:right="217"/>
              <w:spacing w:after="0" w:line="315"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(4)</w:t>
            </w:r>
          </w:p>
        </w:tc>
        <w:tc>
          <w:tcPr>
            <w:tcW w:w="1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2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Acquired (A)</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5"/>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rPr>
              <w:t>Class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7" w:lineRule="exact"/>
              <w:rPr>
                <w:sz w:val="20"/>
                <w:szCs w:val="20"/>
                <w:color w:val="auto"/>
              </w:rPr>
            </w:pPr>
            <w:r>
              <w:rPr>
                <w:rFonts w:ascii="Arial" w:cs="Arial" w:eastAsia="Arial" w:hAnsi="Arial"/>
                <w:sz w:val="13"/>
                <w:szCs w:val="13"/>
                <w:color w:val="0000FF"/>
                <w:w w:val="93"/>
              </w:rPr>
              <w:t>Shares/Class</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860" w:type="dxa"/>
            <w:vAlign w:val="bottom"/>
            <w:gridSpan w:val="2"/>
            <w:vMerge w:val="restart"/>
          </w:tcPr>
          <w:p>
            <w:pPr>
              <w:ind w:left="4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1"/>
              </w:rPr>
              <w:t>374,790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1"/>
                <w:szCs w:val="11"/>
                <w:color w:val="008000"/>
                <w:w w:val="88"/>
              </w:rPr>
              <w:t>(5)</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1100" w:type="dxa"/>
            <w:vAlign w:val="bottom"/>
            <w:gridSpan w:val="3"/>
            <w:vMerge w:val="restart"/>
          </w:tcPr>
          <w:p>
            <w:pPr>
              <w:ind w:left="320"/>
              <w:spacing w:after="0" w:line="145" w:lineRule="exact"/>
              <w:rPr>
                <w:sz w:val="20"/>
                <w:szCs w:val="20"/>
                <w:color w:val="auto"/>
              </w:rPr>
            </w:pPr>
            <w:r>
              <w:rPr>
                <w:rFonts w:ascii="Arial" w:cs="Arial" w:eastAsia="Arial" w:hAnsi="Arial"/>
                <w:sz w:val="13"/>
                <w:szCs w:val="13"/>
                <w:color w:val="0000FF"/>
              </w:rPr>
              <w:t>06/30/2017</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jc w:val="right"/>
              <w:ind w:right="1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340"/>
              <w:spacing w:after="0" w:line="145" w:lineRule="exact"/>
              <w:rPr>
                <w:sz w:val="20"/>
                <w:szCs w:val="20"/>
                <w:color w:val="auto"/>
              </w:rPr>
            </w:pPr>
            <w:r>
              <w:rPr>
                <w:rFonts w:ascii="Arial" w:cs="Arial" w:eastAsia="Arial" w:hAnsi="Arial"/>
                <w:sz w:val="13"/>
                <w:szCs w:val="13"/>
                <w:color w:val="0000FF"/>
              </w:rPr>
              <w:t>374,790</w:t>
            </w:r>
          </w:p>
        </w:tc>
        <w:tc>
          <w:tcPr>
            <w:tcW w:w="6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restart"/>
          </w:tcPr>
          <w:p>
            <w:pPr>
              <w:ind w:left="220"/>
              <w:spacing w:after="0" w:line="145" w:lineRule="exact"/>
              <w:rPr>
                <w:sz w:val="20"/>
                <w:szCs w:val="20"/>
                <w:color w:val="auto"/>
              </w:rPr>
            </w:pPr>
            <w:r>
              <w:rPr>
                <w:rFonts w:ascii="Arial" w:cs="Arial" w:eastAsia="Arial" w:hAnsi="Arial"/>
                <w:sz w:val="13"/>
                <w:szCs w:val="13"/>
                <w:color w:val="0000FF"/>
              </w:rPr>
              <w:t>A</w:t>
            </w:r>
          </w:p>
        </w:tc>
        <w:tc>
          <w:tcPr>
            <w:tcW w:w="6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22,261,457</w:t>
            </w:r>
          </w:p>
        </w:tc>
        <w:tc>
          <w:tcPr>
            <w:tcW w:w="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I</w:t>
            </w: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3"/>
            <w:vMerge w:val="restart"/>
          </w:tcPr>
          <w:p>
            <w:pPr>
              <w:spacing w:after="0" w:line="162" w:lineRule="exact"/>
              <w:rPr>
                <w:sz w:val="20"/>
                <w:szCs w:val="20"/>
                <w:color w:val="auto"/>
              </w:rPr>
            </w:pPr>
            <w:r>
              <w:rPr>
                <w:rFonts w:ascii="Arial" w:cs="Arial" w:eastAsia="Arial" w:hAnsi="Arial"/>
                <w:sz w:val="12"/>
                <w:szCs w:val="12"/>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6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1800 AVENUE OF THE STARS, SUITE 300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-5234305</wp:posOffset>
            </wp:positionV>
            <wp:extent cx="24130"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0715"/>
                    </a:xfrm>
                    <a:prstGeom prst="rect">
                      <a:avLst/>
                    </a:prstGeom>
                    <a:noFill/>
                  </pic:spPr>
                </pic:pic>
              </a:graphicData>
            </a:graphic>
          </wp:anchor>
        </w:drawing>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KAFU Holdings II, L.P.</w:t>
        </w:r>
      </w:hyperlink>
    </w:p>
    <w:p>
      <w:pPr>
        <w:sectPr>
          <w:pgSz w:w="11900" w:h="16913" w:orient="portrait"/>
          <w:cols w:equalWidth="0" w:num="1">
            <w:col w:w="11520"/>
          </w:cols>
          <w:pgMar w:left="240" w:top="223" w:right="139" w:bottom="0" w:gutter="0" w:footer="0" w:header="0"/>
          <w:type w:val="continuous"/>
        </w:sectPr>
      </w:pPr>
    </w:p>
    <w:p>
      <w:pPr>
        <w:spacing w:after="0" w:line="31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913" w:orient="portrait"/>
          <w:cols w:equalWidth="0" w:num="1">
            <w:col w:w="11520"/>
          </w:cols>
          <w:pgMar w:left="240" w:top="223" w:right="1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142875</wp:posOffset>
            </wp:positionH>
            <wp:positionV relativeFrom="page">
              <wp:posOffset>88900</wp:posOffset>
            </wp:positionV>
            <wp:extent cx="2920365" cy="2915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0365" cy="2915920"/>
                    </a:xfrm>
                    <a:prstGeom prst="rect">
                      <a:avLst/>
                    </a:prstGeom>
                    <a:noFill/>
                  </pic:spPr>
                </pic:pic>
              </a:graphicData>
            </a:graphic>
          </wp:anchor>
        </w:drawing>
        <w:t>1800 AVENUE OF THE STARS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3RD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080" w:type="dxa"/>
            <w:vAlign w:val="bottom"/>
          </w:tcPr>
          <w:p>
            <w:pPr>
              <w:ind w:left="16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90067</w:t>
            </w: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KAYNE ANDERSON CAPITAL ADVISORS LP</w:t>
        </w:r>
      </w:hyperlink>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1"/>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6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3"/>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firstLine="5"/>
        <w:spacing w:after="0" w:line="238" w:lineRule="auto"/>
        <w:tabs>
          <w:tab w:leader="none" w:pos="13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and KACALP, has the right at any time (without expiration) to immediately exchange (the "Exchange Right") its Class A units in AAP together with a like number of Class B shares and the GP Units, for a like number of Class A shares of the Issuer. On June 30, 2017, KAFU Holdings (QP), L.P. exercised the Exchange Right with respect to 374,790 Class A Units.</w:t>
      </w:r>
    </w:p>
    <w:p>
      <w:pPr>
        <w:spacing w:after="0" w:line="33" w:lineRule="exact"/>
        <w:rPr>
          <w:rFonts w:ascii="Arial" w:cs="Arial" w:eastAsia="Arial" w:hAnsi="Arial"/>
          <w:sz w:val="13"/>
          <w:szCs w:val="13"/>
          <w:color w:val="008000"/>
        </w:rPr>
      </w:pPr>
    </w:p>
    <w:p>
      <w:pPr>
        <w:ind w:right="140" w:firstLine="5"/>
        <w:spacing w:after="0" w:line="297" w:lineRule="auto"/>
        <w:tabs>
          <w:tab w:leader="none" w:pos="13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ind w:left="140" w:hanging="135"/>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Kayne Anderson Capital Advisors, L.P.</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redemption right provided for in the limited partnership agreement of AAP with respect to 959 Class A units. As a result, such Class A units were cancelled and</w:t>
      </w:r>
    </w:p>
    <w:p>
      <w:pPr>
        <w:spacing w:after="0" w:line="16" w:lineRule="exact"/>
        <w:rPr>
          <w:rFonts w:ascii="Arial" w:cs="Arial" w:eastAsia="Arial" w:hAnsi="Arial"/>
          <w:sz w:val="12"/>
          <w:szCs w:val="12"/>
          <w:color w:val="008000"/>
        </w:rPr>
      </w:pPr>
    </w:p>
    <w:p>
      <w:pPr>
        <w:ind w:right="120" w:firstLine="5"/>
        <w:spacing w:after="0"/>
        <w:tabs>
          <w:tab w:leader="none" w:pos="2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Common Units of Plains All American Pipeline, L.P. were distributed by AAP to KAFU. The number of derivative securities owned reflects both the exchange transaction reported herein and the simultaneous redemption transaction.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07/05/2017</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40"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2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5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590087" TargetMode="External"/><Relationship Id="rId18"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2019-12-24T06:45:29Z</dcterms:created>
  <dcterms:modified xsi:type="dcterms:W3CDTF">2019-12-24T06:45:29Z</dcterms:modified>
</cp:coreProperties>
</file>