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PAA GP Holdings LLC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ind w:left="7"/>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0000FF"/>
        </w:rPr>
        <w:t xml:space="preserve">PAA </w:t>
      </w:r>
      <w:r>
        <w:rPr>
          <w:rFonts w:ascii="Times New Roman" w:cs="Times New Roman" w:eastAsia="Times New Roman" w:hAnsi="Times New Roman"/>
          <w:sz w:val="21"/>
          <w:szCs w:val="21"/>
          <w:color w:val="000000"/>
        </w:rPr>
        <w:t>]</w:t>
      </w:r>
    </w:p>
    <w:p>
      <w:pPr>
        <w:spacing w:after="0" w:line="22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0000FF"/>
        </w:rPr>
        <w:t>06/29/2018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12" w:lineRule="exact"/>
        <w:rPr>
          <w:sz w:val="24"/>
          <w:szCs w:val="24"/>
          <w:color w:val="auto"/>
        </w:rPr>
      </w:pPr>
    </w:p>
    <w:p>
      <w:pPr>
        <w:sectPr>
          <w:pgSz w:w="11900" w:h="16838" w:orient="portrait"/>
          <w:cols w:equalWidth="0" w:num="3">
            <w:col w:w="3353" w:space="720"/>
            <w:col w:w="3727" w:space="257"/>
            <w:col w:w="3363"/>
          </w:cols>
          <w:pgMar w:left="240" w:top="220" w:right="239" w:bottom="0" w:gutter="0" w:footer="0" w:header="0"/>
          <w:type w:val="continuous"/>
        </w:sect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48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560" w:type="dxa"/>
            <w:vAlign w:val="bottom"/>
            <w:tcBorders>
              <w:right w:val="single" w:sz="8" w:color="9A9A9A"/>
            </w:tcBorders>
            <w:shd w:val="clear" w:color="auto" w:fill="9A9A9A"/>
          </w:tcPr>
          <w:p>
            <w:pPr>
              <w:spacing w:after="0"/>
              <w:rPr>
                <w:sz w:val="3"/>
                <w:szCs w:val="3"/>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900" w:type="dxa"/>
            <w:vAlign w:val="bottom"/>
            <w:gridSpan w:val="10"/>
            <w:vMerge w:val="continue"/>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TX</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2980" w:type="dxa"/>
            <w:vAlign w:val="bottom"/>
            <w:gridSpan w:val="5"/>
          </w:tcPr>
          <w:p>
            <w:pPr>
              <w:ind w:left="180"/>
              <w:spacing w:after="0" w:line="152"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53"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8"/>
                <w:szCs w:val="18"/>
                <w:color w:val="0000FF"/>
              </w:rPr>
              <w:t>06/29/2018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7"/>
                <w:szCs w:val="27"/>
                <w:color w:val="0000FF"/>
                <w:vertAlign w:val="subscript"/>
              </w:rPr>
              <w:t>J</w:t>
            </w:r>
            <w:r>
              <w:rPr>
                <w:rFonts w:ascii="Times New Roman" w:cs="Times New Roman" w:eastAsia="Times New Roman" w:hAnsi="Times New Roman"/>
                <w:sz w:val="11"/>
                <w:szCs w:val="11"/>
                <w:color w:val="008000"/>
              </w:rPr>
              <w:t>(1)(2)</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520,709</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1"/>
                <w:szCs w:val="11"/>
                <w:color w:val="008000"/>
              </w:rPr>
              <w:t>(1)(2)</w:t>
            </w: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rPr>
              <w:t>281,212,832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Plains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gridSpan w:val="9"/>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AAP,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10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vMerge w:val="continue"/>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PAA GP Holdings LLC</w:t>
              </w:r>
            </w:hyperlink>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spacing w:after="0" w:line="230" w:lineRule="exact"/>
              <w:rPr>
                <w:rFonts w:ascii="Times New Roman" w:cs="Times New Roman" w:eastAsia="Times New Roman" w:hAnsi="Times New Roman"/>
                <w:sz w:val="22"/>
                <w:szCs w:val="22"/>
                <w:color w:val="0000EE"/>
                <w:w w:val="95"/>
              </w:rPr>
            </w:pPr>
            <w:hyperlink r:id="rId14">
              <w:r>
                <w:rPr>
                  <w:rFonts w:ascii="Times New Roman" w:cs="Times New Roman" w:eastAsia="Times New Roman" w:hAnsi="Times New Roman"/>
                  <w:sz w:val="22"/>
                  <w:szCs w:val="22"/>
                  <w:color w:val="0000EE"/>
                  <w:w w:val="95"/>
                </w:rPr>
                <w:t>Plains AAP, L.P.</w:t>
              </w:r>
            </w:hyperlink>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8"/>
          </w:tcPr>
          <w:p>
            <w:pPr>
              <w:spacing w:after="0" w:line="230" w:lineRule="exact"/>
              <w:rPr>
                <w:rFonts w:ascii="Times New Roman" w:cs="Times New Roman" w:eastAsia="Times New Roman" w:hAnsi="Times New Roman"/>
                <w:sz w:val="22"/>
                <w:szCs w:val="22"/>
                <w:color w:val="0000EE"/>
              </w:rPr>
            </w:pPr>
            <w:hyperlink r:id="rId15">
              <w:r>
                <w:rPr>
                  <w:rFonts w:ascii="Times New Roman" w:cs="Times New Roman" w:eastAsia="Times New Roman" w:hAnsi="Times New Roman"/>
                  <w:sz w:val="22"/>
                  <w:szCs w:val="22"/>
                  <w:color w:val="0000EE"/>
                </w:rPr>
                <w:t>Plains All American GP LLC</w:t>
              </w:r>
            </w:hyperlink>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420"/>
          </w:cols>
          <w:pgMar w:left="240" w:top="220" w:right="23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333 CLAY STREET, SUITE 1600</w:t>
      </w:r>
    </w:p>
    <w:p>
      <w:pPr>
        <w:sectPr>
          <w:pgSz w:w="11900" w:h="16838" w:orient="portrait"/>
          <w:cols w:equalWidth="0" w:num="1">
            <w:col w:w="11420"/>
          </w:cols>
          <w:pgMar w:left="240" w:top="22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2560" w:type="dxa"/>
            <w:vAlign w:val="bottom"/>
            <w:tcBorders>
              <w:bottom w:val="single" w:sz="8" w:color="0000EE"/>
            </w:tcBorders>
            <w:gridSpan w:val="2"/>
          </w:tcPr>
          <w:p>
            <w:pPr>
              <w:spacing w:after="0" w:line="230" w:lineRule="exact"/>
              <w:rPr>
                <w:rFonts w:ascii="Times New Roman" w:cs="Times New Roman" w:eastAsia="Times New Roman" w:hAnsi="Times New Roman"/>
                <w:sz w:val="22"/>
                <w:szCs w:val="22"/>
                <w:color w:val="0000EE"/>
                <w:w w:val="97"/>
              </w:rPr>
            </w:pPr>
            <w:hyperlink r:id="rId16">
              <w:r>
                <w:rPr>
                  <w:rFonts w:ascii="Times New Roman" w:cs="Times New Roman" w:eastAsia="Times New Roman" w:hAnsi="Times New Roman"/>
                  <w:sz w:val="22"/>
                  <w:szCs w:val="22"/>
                  <w:color w:val="0000EE"/>
                  <w:w w:val="97"/>
                </w:rPr>
                <w:t>PLAINS GP HOLDINGS LP</w:t>
              </w:r>
            </w:hyperlink>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0"/>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8" w:lineRule="exact"/>
        <w:rPr>
          <w:rFonts w:ascii="Times New Roman" w:cs="Times New Roman" w:eastAsia="Times New Roman" w:hAnsi="Times New Roman"/>
          <w:sz w:val="14"/>
          <w:szCs w:val="14"/>
          <w:color w:val="008000"/>
        </w:rPr>
      </w:pPr>
    </w:p>
    <w:p>
      <w:pPr>
        <w:ind w:left="20" w:right="28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June 29, 2018, KAFU Holdings (QP), L.P. exercised the Redemption Right with respect to 520,709 AAP Class A units, resulting in the cancellation of such AAP Class A units and the distribution of 520,709 Common Units from AAP to the redeeming partners.</w:t>
      </w:r>
    </w:p>
    <w:p>
      <w:pPr>
        <w:spacing w:after="0" w:line="27" w:lineRule="exact"/>
        <w:rPr>
          <w:rFonts w:ascii="Times New Roman" w:cs="Times New Roman" w:eastAsia="Times New Roman" w:hAnsi="Times New Roman"/>
          <w:sz w:val="14"/>
          <w:szCs w:val="14"/>
          <w:color w:val="008000"/>
        </w:rPr>
      </w:pPr>
    </w:p>
    <w:p>
      <w:pPr>
        <w:ind w:left="20" w:right="16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Ann F. Gullion, Assistant</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07/02/2018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5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2020-01-13T14:55:12Z</dcterms:created>
  <dcterms:modified xsi:type="dcterms:W3CDTF">2020-01-13T14:55:12Z</dcterms:modified>
</cp:coreProperties>
</file>