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PLAINS GP HOLDINGS, L.P.</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Class A Shares, Representing Limited Partner Interests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72651A108</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December 31, 2014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536"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80" w:type="dxa"/>
            <w:vAlign w:val="bottom"/>
            <w:gridSpan w:val="6"/>
          </w:tcPr>
          <w:p>
            <w:pPr>
              <w:spacing w:after="0"/>
              <w:rPr>
                <w:sz w:val="20"/>
                <w:szCs w:val="20"/>
                <w:color w:val="auto"/>
              </w:rPr>
            </w:pPr>
            <w:r>
              <w:rPr>
                <w:rFonts w:ascii="Courier New" w:cs="Courier New" w:eastAsia="Courier New" w:hAnsi="Courier New"/>
                <w:sz w:val="18"/>
                <w:szCs w:val="18"/>
                <w:color w:val="auto"/>
                <w:w w:val="98"/>
              </w:rPr>
              <w:t>*The  remainder of this cover page shall</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be</w:t>
            </w:r>
          </w:p>
        </w:tc>
        <w:tc>
          <w:tcPr>
            <w:tcW w:w="3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filled out for a reporting person's</w:t>
            </w: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initial</w:t>
            </w:r>
          </w:p>
        </w:tc>
        <w:tc>
          <w:tcPr>
            <w:tcW w:w="2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filing on this form</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with respect</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3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subject class of securities,</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c>
          <w:tcPr>
            <w:tcW w:w="1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  subsequent</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amendment</w:t>
            </w:r>
          </w:p>
        </w:tc>
        <w:tc>
          <w:tcPr>
            <w:tcW w:w="128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containing</w:t>
            </w:r>
          </w:p>
        </w:tc>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information which  would  alter</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disclosures provided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prior</w:t>
            </w:r>
          </w:p>
        </w:tc>
        <w:tc>
          <w:tcPr>
            <w:tcW w:w="1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cover page.</w:t>
            </w:r>
          </w:p>
        </w:tc>
        <w:tc>
          <w:tcPr>
            <w:tcW w:w="3320" w:type="dxa"/>
            <w:vAlign w:val="bottom"/>
          </w:tcPr>
          <w:p>
            <w:pPr>
              <w:spacing w:after="0"/>
              <w:rPr>
                <w:sz w:val="17"/>
                <w:szCs w:val="17"/>
                <w:color w:val="auto"/>
              </w:rPr>
            </w:pPr>
          </w:p>
        </w:tc>
      </w:tr>
    </w:tbl>
    <w:p>
      <w:pPr>
        <w:spacing w:after="0" w:line="200" w:lineRule="exact"/>
        <w:rPr>
          <w:sz w:val="24"/>
          <w:szCs w:val="24"/>
          <w:color w:val="auto"/>
        </w:rPr>
      </w:pPr>
    </w:p>
    <w:p>
      <w:pPr>
        <w:spacing w:after="0" w:line="209" w:lineRule="exact"/>
        <w:rPr>
          <w:sz w:val="24"/>
          <w:szCs w:val="24"/>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Page 1 of 9</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8"/>
              </w:rPr>
              <w:t>-----------------------</w:t>
            </w:r>
          </w:p>
        </w:tc>
        <w:tc>
          <w:tcPr>
            <w:tcW w:w="1220" w:type="dxa"/>
            <w:vAlign w:val="bottom"/>
          </w:tcPr>
          <w:p>
            <w:pPr>
              <w:spacing w:after="0"/>
              <w:rPr>
                <w:sz w:val="17"/>
                <w:szCs w:val="17"/>
                <w:color w:val="auto"/>
              </w:rPr>
            </w:pP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CUSIP No. 72651A108</w:t>
            </w:r>
          </w:p>
        </w:tc>
        <w:tc>
          <w:tcPr>
            <w:tcW w:w="12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2"/>
              </w:rPr>
              <w:t>13G</w:t>
            </w: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8"/>
              </w:rPr>
              <w:t>-----------------------</w:t>
            </w:r>
          </w:p>
        </w:tc>
        <w:tc>
          <w:tcPr>
            <w:tcW w:w="1220" w:type="dxa"/>
            <w:vAlign w:val="bottom"/>
          </w:tcPr>
          <w:p>
            <w:pPr>
              <w:spacing w:after="0"/>
              <w:rPr>
                <w:sz w:val="17"/>
                <w:szCs w:val="17"/>
                <w:color w:val="auto"/>
              </w:rPr>
            </w:pP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hanging="527"/>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1160"/>
        <w:spacing w:after="0"/>
        <w:tabs>
          <w:tab w:leader="none" w:pos="2100" w:val="left"/>
        </w:tabs>
        <w:rPr>
          <w:sz w:val="20"/>
          <w:szCs w:val="20"/>
          <w:color w:val="auto"/>
        </w:rPr>
      </w:pPr>
      <w:r>
        <w:rPr>
          <w:rFonts w:ascii="Courier New" w:cs="Courier New" w:eastAsia="Courier New" w:hAnsi="Courier New"/>
          <w:sz w:val="18"/>
          <w:szCs w:val="18"/>
          <w:color w:val="auto"/>
        </w:rPr>
        <w:t>Goldman</w:t>
      </w:r>
      <w:r>
        <w:rPr>
          <w:sz w:val="20"/>
          <w:szCs w:val="20"/>
          <w:color w:val="auto"/>
        </w:rPr>
        <w:tab/>
      </w:r>
      <w:r>
        <w:rPr>
          <w:rFonts w:ascii="Courier New" w:cs="Courier New" w:eastAsia="Courier New" w:hAnsi="Courier New"/>
          <w:sz w:val="16"/>
          <w:szCs w:val="16"/>
          <w:color w:val="auto"/>
        </w:rPr>
        <w:t>Sachs Asset Management</w:t>
      </w:r>
    </w:p>
    <w:p>
      <w:pPr>
        <w:spacing w:after="0" w:line="4" w:lineRule="exact"/>
        <w:rPr>
          <w:sz w:val="24"/>
          <w:szCs w:val="24"/>
          <w:color w:val="auto"/>
        </w:rPr>
      </w:pPr>
    </w:p>
    <w:p>
      <w:pPr>
        <w:ind w:left="1160" w:right="2619"/>
        <w:spacing w:after="0" w:line="268" w:lineRule="auto"/>
        <w:rPr>
          <w:sz w:val="20"/>
          <w:szCs w:val="20"/>
          <w:color w:val="auto"/>
        </w:rPr>
      </w:pPr>
      <w:r>
        <w:rPr>
          <w:rFonts w:ascii="Courier New" w:cs="Courier New" w:eastAsia="Courier New" w:hAnsi="Courier New"/>
          <w:sz w:val="16"/>
          <w:szCs w:val="16"/>
          <w:color w:val="auto"/>
        </w:rPr>
        <w:t>(Goldman Sachs Asset Management, L.P., together with GS Investment Strategies, LLC, "Goldman Sachs Asset Management")</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ind w:left="6740"/>
        <w:spacing w:after="0" w:line="238" w:lineRule="auto"/>
        <w:rPr>
          <w:sz w:val="20"/>
          <w:szCs w:val="20"/>
          <w:color w:val="auto"/>
        </w:rPr>
      </w:pPr>
      <w:r>
        <w:rPr>
          <w:rFonts w:ascii="Courier New" w:cs="Courier New" w:eastAsia="Courier New" w:hAnsi="Courier New"/>
          <w:sz w:val="18"/>
          <w:szCs w:val="18"/>
          <w:color w:val="auto"/>
        </w:rPr>
        <w:t>(b) [_]</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38" w:orient="portrait"/>
          <w:cols w:equalWidth="0" w:num="1">
            <w:col w:w="10219"/>
          </w:cols>
          <w:pgMar w:left="240" w:top="447" w:right="1440" w:bottom="51"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527"/>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16,610,856</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With:</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16,610,856</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527"/>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16,610,856</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180" w:right="2739" w:hanging="7172"/>
        <w:spacing w:after="0" w:line="399" w:lineRule="auto"/>
        <w:tabs>
          <w:tab w:leader="none" w:pos="64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8.1 %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9</w:t>
      </w:r>
    </w:p>
    <w:p>
      <w:pPr>
        <w:sectPr>
          <w:pgSz w:w="11900" w:h="16838" w:orient="portrait"/>
          <w:cols w:equalWidth="0" w:num="1">
            <w:col w:w="10219"/>
          </w:cols>
          <w:pgMar w:left="240" w:top="344" w:right="1440" w:bottom="1440" w:gutter="0" w:footer="0" w:header="0"/>
        </w:sectPr>
      </w:pPr>
    </w:p>
    <w:bookmarkStart w:id="2" w:name="page3"/>
    <w:bookmarkEnd w:id="2"/>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PLAINS GP HOLDINGS, L.P.</w:t>
      </w:r>
    </w:p>
    <w:p>
      <w:pPr>
        <w:spacing w:after="0" w:line="200" w:lineRule="exact"/>
        <w:rPr>
          <w:sz w:val="20"/>
          <w:szCs w:val="20"/>
          <w:color w:val="auto"/>
        </w:rPr>
      </w:pPr>
    </w:p>
    <w:p>
      <w:pPr>
        <w:sectPr>
          <w:pgSz w:w="11900" w:h="16838" w:orient="portrait"/>
          <w:cols w:equalWidth="0" w:num="2">
            <w:col w:w="1280" w:space="720"/>
            <w:col w:w="8219"/>
          </w:cols>
          <w:pgMar w:left="240" w:top="717" w:right="1440" w:bottom="97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Address of Issuer's Principal Executive Offices: 333 Clay Street, Suite 1600 Houston, TX 77002</w:t>
      </w:r>
    </w:p>
    <w:p>
      <w:pPr>
        <w:spacing w:after="0" w:line="200" w:lineRule="exact"/>
        <w:rPr>
          <w:sz w:val="20"/>
          <w:szCs w:val="20"/>
          <w:color w:val="auto"/>
        </w:rPr>
      </w:pPr>
    </w:p>
    <w:p>
      <w:pPr>
        <w:sectPr>
          <w:pgSz w:w="11900" w:h="16838" w:orient="portrait"/>
          <w:cols w:equalWidth="0" w:num="2">
            <w:col w:w="1280" w:space="720"/>
            <w:col w:w="8219"/>
          </w:cols>
          <w:pgMar w:left="240" w:top="717" w:right="1440" w:bottom="97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of Persons Filing:</w:t>
      </w:r>
    </w:p>
    <w:p>
      <w:pPr>
        <w:spacing w:after="0" w:line="200" w:lineRule="exact"/>
        <w:rPr>
          <w:sz w:val="20"/>
          <w:szCs w:val="20"/>
          <w:color w:val="auto"/>
        </w:rPr>
      </w:pPr>
    </w:p>
    <w:p>
      <w:pPr>
        <w:sectPr>
          <w:pgSz w:w="11900" w:h="16838" w:orient="portrait"/>
          <w:cols w:equalWidth="0" w:num="2">
            <w:col w:w="1280" w:space="720"/>
            <w:col w:w="8219"/>
          </w:cols>
          <w:pgMar w:left="240" w:top="717" w:right="1440" w:bottom="970" w:gutter="0" w:footer="0" w:header="0"/>
          <w:type w:val="continuous"/>
        </w:sectPr>
      </w:pPr>
    </w:p>
    <w:p>
      <w:pPr>
        <w:spacing w:after="0" w:line="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GOLDMAN SACHS ASSET MANAGEMENT</w:t>
      </w:r>
    </w:p>
    <w:p>
      <w:pPr>
        <w:sectPr>
          <w:pgSz w:w="11900" w:h="16838" w:orient="portrait"/>
          <w:cols w:equalWidth="0" w:num="1">
            <w:col w:w="10219"/>
          </w:cols>
          <w:pgMar w:left="240" w:top="717" w:right="1440" w:bottom="97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ectPr>
          <w:pgSz w:w="11900" w:h="16838" w:orient="portrait"/>
          <w:cols w:equalWidth="0" w:num="2">
            <w:col w:w="1280" w:space="720"/>
            <w:col w:w="8219"/>
          </w:cols>
          <w:pgMar w:left="240" w:top="717" w:right="1440" w:bottom="970" w:gutter="0" w:footer="0" w:header="0"/>
          <w:type w:val="continuous"/>
        </w:sectPr>
      </w:pPr>
    </w:p>
    <w:p>
      <w:pPr>
        <w:spacing w:after="0" w:line="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Goldman Sachs Asset Management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200 West Street</w:t>
      </w:r>
    </w:p>
    <w:p>
      <w:pPr>
        <w:ind w:left="2000"/>
        <w:spacing w:after="0" w:line="238" w:lineRule="auto"/>
        <w:tabs>
          <w:tab w:leader="none" w:pos="3460" w:val="left"/>
        </w:tabs>
        <w:rPr>
          <w:sz w:val="20"/>
          <w:szCs w:val="20"/>
          <w:color w:val="auto"/>
        </w:rPr>
      </w:pPr>
      <w:r>
        <w:rPr>
          <w:rFonts w:ascii="Courier New" w:cs="Courier New" w:eastAsia="Courier New" w:hAnsi="Courier New"/>
          <w:sz w:val="18"/>
          <w:szCs w:val="18"/>
          <w:color w:val="auto"/>
        </w:rPr>
        <w:t>New York, NY</w:t>
        <w:tab/>
        <w:t>10282</w:t>
      </w:r>
    </w:p>
    <w:p>
      <w:pPr>
        <w:sectPr>
          <w:pgSz w:w="11900" w:h="16838" w:orient="portrait"/>
          <w:cols w:equalWidth="0" w:num="1">
            <w:col w:w="10219"/>
          </w:cols>
          <w:pgMar w:left="240" w:top="717" w:right="1440" w:bottom="97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ASSET MANAGEMENT, L.P. - Delaware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GS INVESTMENT STRATEGIES, LLC - Delaware</w:t>
      </w:r>
    </w:p>
    <w:p>
      <w:pPr>
        <w:spacing w:after="0" w:line="200" w:lineRule="exact"/>
        <w:rPr>
          <w:sz w:val="20"/>
          <w:szCs w:val="20"/>
          <w:color w:val="auto"/>
        </w:rPr>
      </w:pPr>
    </w:p>
    <w:p>
      <w:pPr>
        <w:sectPr>
          <w:pgSz w:w="11900" w:h="16838" w:orient="portrait"/>
          <w:cols w:equalWidth="0" w:num="2">
            <w:col w:w="1280" w:space="720"/>
            <w:col w:w="8219"/>
          </w:cols>
          <w:pgMar w:left="240" w:top="717" w:right="1440" w:bottom="97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A Shares, Representing Limited Partner Interests</w:t>
      </w:r>
    </w:p>
    <w:p>
      <w:pPr>
        <w:spacing w:after="0" w:line="200" w:lineRule="exact"/>
        <w:rPr>
          <w:sz w:val="20"/>
          <w:szCs w:val="20"/>
          <w:color w:val="auto"/>
        </w:rPr>
      </w:pPr>
    </w:p>
    <w:p>
      <w:pPr>
        <w:sectPr>
          <w:pgSz w:w="11900" w:h="16838" w:orient="portrait"/>
          <w:cols w:equalWidth="0" w:num="2">
            <w:col w:w="1280" w:space="720"/>
            <w:col w:w="8219"/>
          </w:cols>
          <w:pgMar w:left="240" w:top="717" w:right="1440" w:bottom="97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72651A108</w:t>
      </w:r>
    </w:p>
    <w:p>
      <w:pPr>
        <w:spacing w:after="0" w:line="200" w:lineRule="exact"/>
        <w:rPr>
          <w:sz w:val="20"/>
          <w:szCs w:val="20"/>
          <w:color w:val="auto"/>
        </w:rPr>
      </w:pPr>
    </w:p>
    <w:p>
      <w:pPr>
        <w:sectPr>
          <w:pgSz w:w="11900" w:h="16838" w:orient="portrait"/>
          <w:cols w:equalWidth="0" w:num="2">
            <w:col w:w="1280" w:space="720"/>
            <w:col w:w="8219"/>
          </w:cols>
          <w:pgMar w:left="240" w:top="717" w:right="1440" w:bottom="97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ind w:right="2319"/>
        <w:spacing w:after="0" w:line="290" w:lineRule="auto"/>
        <w:rPr>
          <w:sz w:val="20"/>
          <w:szCs w:val="20"/>
          <w:color w:val="auto"/>
        </w:rPr>
      </w:pPr>
      <w:r>
        <w:rPr>
          <w:rFonts w:ascii="Courier New" w:cs="Courier New" w:eastAsia="Courier New" w:hAnsi="Courier New"/>
          <w:sz w:val="16"/>
          <w:szCs w:val="16"/>
          <w:color w:val="auto"/>
        </w:rPr>
        <w:t>If this statement is filed pursuant to Rules 13d-1(b) or 13d-2(b) or (c), check whether the person filing is a:</w:t>
      </w:r>
    </w:p>
    <w:p>
      <w:pPr>
        <w:spacing w:after="0" w:line="170" w:lineRule="exact"/>
        <w:rPr>
          <w:sz w:val="20"/>
          <w:szCs w:val="20"/>
          <w:color w:val="auto"/>
        </w:rPr>
      </w:pPr>
    </w:p>
    <w:p>
      <w:pPr>
        <w:sectPr>
          <w:pgSz w:w="11900" w:h="16838" w:orient="portrait"/>
          <w:cols w:equalWidth="0" w:num="2">
            <w:col w:w="1280" w:space="720"/>
            <w:col w:w="8219"/>
          </w:cols>
          <w:pgMar w:left="240" w:top="717" w:right="1440" w:bottom="970" w:gutter="0" w:footer="0" w:header="0"/>
          <w:type w:val="continuous"/>
        </w:sectPr>
      </w:pPr>
    </w:p>
    <w:p>
      <w:pPr>
        <w:ind w:left="1060"/>
        <w:spacing w:after="0"/>
        <w:rPr>
          <w:sz w:val="20"/>
          <w:szCs w:val="20"/>
          <w:color w:val="auto"/>
        </w:rPr>
      </w:pPr>
      <w:r>
        <w:rPr>
          <w:rFonts w:ascii="Courier New" w:cs="Courier New" w:eastAsia="Courier New" w:hAnsi="Courier New"/>
          <w:sz w:val="16"/>
          <w:szCs w:val="16"/>
          <w:color w:val="auto"/>
        </w:rPr>
        <w:t>(a).[_]</w:t>
      </w:r>
    </w:p>
    <w:p>
      <w:pPr>
        <w:spacing w:after="0" w:line="20" w:lineRule="exact"/>
        <w:rPr>
          <w:sz w:val="20"/>
          <w:szCs w:val="20"/>
          <w:color w:val="auto"/>
        </w:rPr>
      </w:pPr>
      <w:r>
        <w:rPr>
          <w:sz w:val="20"/>
          <w:szCs w:val="20"/>
          <w:color w:val="auto"/>
        </w:rPr>
        <w:br w:type="column"/>
      </w:r>
    </w:p>
    <w:p>
      <w:pPr>
        <w:ind w:right="2419"/>
        <w:spacing w:after="0" w:line="235" w:lineRule="auto"/>
        <w:rPr>
          <w:sz w:val="20"/>
          <w:szCs w:val="20"/>
          <w:color w:val="auto"/>
        </w:rPr>
      </w:pPr>
      <w:r>
        <w:rPr>
          <w:rFonts w:ascii="Courier New" w:cs="Courier New" w:eastAsia="Courier New" w:hAnsi="Courier New"/>
          <w:sz w:val="18"/>
          <w:szCs w:val="18"/>
          <w:color w:val="auto"/>
        </w:rPr>
        <w:t>Broker or dealer registered under Section 15 of the Act (15 U.S.C. 78o).</w:t>
      </w:r>
    </w:p>
    <w:p>
      <w:pPr>
        <w:spacing w:after="0" w:line="200" w:lineRule="exact"/>
        <w:rPr>
          <w:sz w:val="20"/>
          <w:szCs w:val="20"/>
          <w:color w:val="auto"/>
        </w:rPr>
      </w:pPr>
    </w:p>
    <w:p>
      <w:pPr>
        <w:sectPr>
          <w:pgSz w:w="11900" w:h="16838" w:orient="portrait"/>
          <w:cols w:equalWidth="0" w:num="2">
            <w:col w:w="1800" w:space="200"/>
            <w:col w:w="8219"/>
          </w:cols>
          <w:pgMar w:left="240" w:top="717" w:right="1440" w:bottom="97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(b).[_]</w:t>
      </w:r>
    </w:p>
    <w:p>
      <w:pPr>
        <w:spacing w:after="0" w:line="20" w:lineRule="exact"/>
        <w:rPr>
          <w:sz w:val="20"/>
          <w:szCs w:val="20"/>
          <w:color w:val="auto"/>
        </w:rPr>
      </w:pPr>
      <w:r>
        <w:rPr>
          <w:sz w:val="20"/>
          <w:szCs w:val="20"/>
          <w:color w:val="auto"/>
        </w:rPr>
        <w:br w:type="column"/>
      </w:r>
    </w:p>
    <w:p>
      <w:pPr>
        <w:ind w:right="3479"/>
        <w:spacing w:after="0" w:line="235" w:lineRule="auto"/>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200" w:lineRule="exact"/>
        <w:rPr>
          <w:sz w:val="20"/>
          <w:szCs w:val="20"/>
          <w:color w:val="auto"/>
        </w:rPr>
      </w:pPr>
    </w:p>
    <w:p>
      <w:pPr>
        <w:sectPr>
          <w:pgSz w:w="11900" w:h="16838" w:orient="portrait"/>
          <w:cols w:equalWidth="0" w:num="2">
            <w:col w:w="1800" w:space="200"/>
            <w:col w:w="8219"/>
          </w:cols>
          <w:pgMar w:left="240" w:top="717" w:right="1440" w:bottom="97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(c).[_]</w:t>
      </w:r>
    </w:p>
    <w:p>
      <w:pPr>
        <w:spacing w:after="0" w:line="20" w:lineRule="exact"/>
        <w:rPr>
          <w:sz w:val="20"/>
          <w:szCs w:val="20"/>
          <w:color w:val="auto"/>
        </w:rPr>
      </w:pPr>
      <w:r>
        <w:rPr>
          <w:sz w:val="20"/>
          <w:szCs w:val="20"/>
          <w:color w:val="auto"/>
        </w:rPr>
        <w:br w:type="column"/>
      </w:r>
    </w:p>
    <w:p>
      <w:pPr>
        <w:ind w:right="1999"/>
        <w:spacing w:after="0" w:line="235" w:lineRule="auto"/>
        <w:rPr>
          <w:sz w:val="20"/>
          <w:szCs w:val="20"/>
          <w:color w:val="auto"/>
        </w:rPr>
      </w:pPr>
      <w:r>
        <w:rPr>
          <w:rFonts w:ascii="Courier New" w:cs="Courier New" w:eastAsia="Courier New" w:hAnsi="Courier New"/>
          <w:sz w:val="18"/>
          <w:szCs w:val="18"/>
          <w:color w:val="auto"/>
        </w:rPr>
        <w:t>Insurance company as defined in Section 3(a)(19) of the Act (15 U.S.C. 78c).</w:t>
      </w:r>
    </w:p>
    <w:p>
      <w:pPr>
        <w:spacing w:after="0" w:line="200" w:lineRule="exact"/>
        <w:rPr>
          <w:sz w:val="20"/>
          <w:szCs w:val="20"/>
          <w:color w:val="auto"/>
        </w:rPr>
      </w:pPr>
    </w:p>
    <w:p>
      <w:pPr>
        <w:sectPr>
          <w:pgSz w:w="11900" w:h="16838" w:orient="portrait"/>
          <w:cols w:equalWidth="0" w:num="2">
            <w:col w:w="1800" w:space="200"/>
            <w:col w:w="8219"/>
          </w:cols>
          <w:pgMar w:left="240" w:top="717" w:right="1440" w:bottom="970" w:gutter="0" w:footer="0" w:header="0"/>
          <w:type w:val="continuous"/>
        </w:sectPr>
      </w:pP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(d).[_]</w:t>
      </w:r>
    </w:p>
    <w:p>
      <w:pPr>
        <w:spacing w:after="0" w:line="20" w:lineRule="exact"/>
        <w:rPr>
          <w:sz w:val="20"/>
          <w:szCs w:val="20"/>
          <w:color w:val="auto"/>
        </w:rPr>
      </w:pPr>
      <w:r>
        <w:rPr>
          <w:sz w:val="20"/>
          <w:szCs w:val="20"/>
          <w:color w:val="auto"/>
        </w:rPr>
        <w:br w:type="column"/>
      </w:r>
    </w:p>
    <w:p>
      <w:pPr>
        <w:ind w:right="2739"/>
        <w:spacing w:after="0" w:line="290" w:lineRule="auto"/>
        <w:rPr>
          <w:sz w:val="20"/>
          <w:szCs w:val="20"/>
          <w:color w:val="auto"/>
        </w:rPr>
      </w:pPr>
      <w:r>
        <w:rPr>
          <w:rFonts w:ascii="Courier New" w:cs="Courier New" w:eastAsia="Courier New" w:hAnsi="Courier New"/>
          <w:sz w:val="16"/>
          <w:szCs w:val="16"/>
          <w:color w:val="auto"/>
        </w:rPr>
        <w:t>Investment company registered under Section 8 of the Investment Company Act of 1940 (15 U.S.C. 80a-8).</w:t>
      </w:r>
    </w:p>
    <w:p>
      <w:pPr>
        <w:spacing w:after="0" w:line="164" w:lineRule="exact"/>
        <w:rPr>
          <w:sz w:val="20"/>
          <w:szCs w:val="20"/>
          <w:color w:val="auto"/>
        </w:rPr>
      </w:pPr>
    </w:p>
    <w:p>
      <w:pPr>
        <w:sectPr>
          <w:pgSz w:w="11900" w:h="16838" w:orient="portrait"/>
          <w:cols w:equalWidth="0" w:num="2">
            <w:col w:w="1800" w:space="200"/>
            <w:col w:w="8219"/>
          </w:cols>
          <w:pgMar w:left="240" w:top="717" w:right="1440" w:bottom="970" w:gutter="0" w:footer="0" w:header="0"/>
          <w:type w:val="continuous"/>
        </w:sectPr>
      </w:pP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An investment adviser in accordance with</w:t>
      </w:r>
    </w:p>
    <w:p>
      <w:pPr>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Goldman Sachs Asset Management, L.P.</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GS Investment Strategies, LLC</w:t>
      </w:r>
    </w:p>
    <w:p>
      <w:pPr>
        <w:spacing w:after="0" w:line="200" w:lineRule="exact"/>
        <w:rPr>
          <w:sz w:val="20"/>
          <w:szCs w:val="20"/>
          <w:color w:val="auto"/>
        </w:rPr>
      </w:pPr>
    </w:p>
    <w:p>
      <w:pPr>
        <w:sectPr>
          <w:pgSz w:w="11900" w:h="16838" w:orient="portrait"/>
          <w:cols w:equalWidth="0" w:num="2">
            <w:col w:w="1800" w:space="200"/>
            <w:col w:w="8219"/>
          </w:cols>
          <w:pgMar w:left="240" w:top="717" w:right="1440" w:bottom="970" w:gutter="0" w:footer="0" w:header="0"/>
          <w:type w:val="continuous"/>
        </w:sectPr>
      </w:pPr>
    </w:p>
    <w:p>
      <w:pPr>
        <w:spacing w:after="0" w:line="7" w:lineRule="exact"/>
        <w:rPr>
          <w:sz w:val="20"/>
          <w:szCs w:val="20"/>
          <w:color w:val="auto"/>
        </w:rPr>
      </w:pPr>
    </w:p>
    <w:p>
      <w:pPr>
        <w:ind w:left="2000" w:right="2319" w:hanging="947"/>
        <w:spacing w:after="0" w:line="235" w:lineRule="auto"/>
        <w:tabs>
          <w:tab w:leader="none" w:pos="1980" w:val="left"/>
        </w:tabs>
        <w:rPr>
          <w:sz w:val="20"/>
          <w:szCs w:val="20"/>
          <w:color w:val="auto"/>
        </w:rPr>
      </w:pPr>
      <w:r>
        <w:rPr>
          <w:rFonts w:ascii="Courier New" w:cs="Courier New" w:eastAsia="Courier New" w:hAnsi="Courier New"/>
          <w:sz w:val="18"/>
          <w:szCs w:val="18"/>
          <w:color w:val="auto"/>
        </w:rPr>
        <w:t>(f).[_]</w:t>
        <w:tab/>
        <w:t>An employee benefit plan or endowment fund in accordance with Rule 13d-1(b)(1)(ii)(F);</w:t>
      </w:r>
    </w:p>
    <w:p>
      <w:pPr>
        <w:spacing w:after="0" w:line="208" w:lineRule="exact"/>
        <w:rPr>
          <w:sz w:val="20"/>
          <w:szCs w:val="20"/>
          <w:color w:val="auto"/>
        </w:rPr>
      </w:pPr>
    </w:p>
    <w:p>
      <w:pPr>
        <w:ind w:left="2000" w:right="2319" w:hanging="947"/>
        <w:spacing w:after="0" w:line="235" w:lineRule="auto"/>
        <w:tabs>
          <w:tab w:leader="none" w:pos="1980" w:val="left"/>
        </w:tabs>
        <w:rPr>
          <w:sz w:val="20"/>
          <w:szCs w:val="20"/>
          <w:color w:val="auto"/>
        </w:rPr>
      </w:pPr>
      <w:r>
        <w:rPr>
          <w:rFonts w:ascii="Courier New" w:cs="Courier New" w:eastAsia="Courier New" w:hAnsi="Courier New"/>
          <w:sz w:val="18"/>
          <w:szCs w:val="18"/>
          <w:color w:val="auto"/>
        </w:rPr>
        <w:t>(g).[_]</w:t>
        <w:tab/>
        <w:t>A parent holding company or control person in accordance with Rule 13d-1(b)(1)(ii)(G);</w:t>
      </w:r>
    </w:p>
    <w:p>
      <w:pPr>
        <w:spacing w:after="0" w:line="208" w:lineRule="exact"/>
        <w:rPr>
          <w:sz w:val="20"/>
          <w:szCs w:val="20"/>
          <w:color w:val="auto"/>
        </w:rPr>
      </w:pPr>
    </w:p>
    <w:p>
      <w:pPr>
        <w:ind w:left="2000" w:right="2419" w:hanging="947"/>
        <w:spacing w:after="0" w:line="235" w:lineRule="auto"/>
        <w:tabs>
          <w:tab w:leader="none" w:pos="1980" w:val="left"/>
        </w:tabs>
        <w:rPr>
          <w:sz w:val="20"/>
          <w:szCs w:val="20"/>
          <w:color w:val="auto"/>
        </w:rPr>
      </w:pPr>
      <w:r>
        <w:rPr>
          <w:rFonts w:ascii="Courier New" w:cs="Courier New" w:eastAsia="Courier New" w:hAnsi="Courier New"/>
          <w:sz w:val="18"/>
          <w:szCs w:val="18"/>
          <w:color w:val="auto"/>
        </w:rPr>
        <w:t>(h).[_]</w:t>
        <w:tab/>
        <w:t>A savings association as defined in Section 3(b) of the Federal Deposit Insurance Act (12 U.S.C. 1813);</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840" w:type="dxa"/>
            <w:vAlign w:val="bottom"/>
          </w:tcPr>
          <w:p>
            <w:pPr>
              <w:spacing w:after="0"/>
              <w:rPr>
                <w:sz w:val="20"/>
                <w:szCs w:val="20"/>
                <w:color w:val="auto"/>
              </w:rPr>
            </w:pPr>
            <w:r>
              <w:rPr>
                <w:rFonts w:ascii="Courier New" w:cs="Courier New" w:eastAsia="Courier New" w:hAnsi="Courier New"/>
                <w:sz w:val="18"/>
                <w:szCs w:val="18"/>
                <w:color w:val="auto"/>
              </w:rPr>
              <w:t>(i).[_]</w:t>
            </w:r>
          </w:p>
        </w:tc>
        <w:tc>
          <w:tcPr>
            <w:tcW w:w="2060" w:type="dxa"/>
            <w:vAlign w:val="bottom"/>
          </w:tcPr>
          <w:p>
            <w:pPr>
              <w:ind w:left="100"/>
              <w:spacing w:after="0"/>
              <w:rPr>
                <w:sz w:val="20"/>
                <w:szCs w:val="20"/>
                <w:color w:val="auto"/>
              </w:rPr>
            </w:pPr>
            <w:r>
              <w:rPr>
                <w:rFonts w:ascii="Courier New" w:cs="Courier New" w:eastAsia="Courier New" w:hAnsi="Courier New"/>
                <w:sz w:val="18"/>
                <w:szCs w:val="18"/>
                <w:color w:val="auto"/>
                <w:w w:val="99"/>
              </w:rPr>
              <w:t>A church plan that</w:t>
            </w:r>
          </w:p>
        </w:tc>
        <w:tc>
          <w:tcPr>
            <w:tcW w:w="3940" w:type="dxa"/>
            <w:vAlign w:val="bottom"/>
          </w:tcPr>
          <w:p>
            <w:pPr>
              <w:ind w:left="60"/>
              <w:spacing w:after="0"/>
              <w:rPr>
                <w:sz w:val="20"/>
                <w:szCs w:val="20"/>
                <w:color w:val="auto"/>
              </w:rPr>
            </w:pPr>
            <w:r>
              <w:rPr>
                <w:rFonts w:ascii="Courier New" w:cs="Courier New" w:eastAsia="Courier New" w:hAnsi="Courier New"/>
                <w:sz w:val="18"/>
                <w:szCs w:val="18"/>
                <w:color w:val="auto"/>
                <w:w w:val="96"/>
              </w:rPr>
              <w:t>is excluded from the definition of an</w:t>
            </w:r>
          </w:p>
        </w:tc>
      </w:tr>
      <w:tr>
        <w:trPr>
          <w:trHeight w:val="203"/>
        </w:trPr>
        <w:tc>
          <w:tcPr>
            <w:tcW w:w="840" w:type="dxa"/>
            <w:vAlign w:val="bottom"/>
          </w:tcPr>
          <w:p>
            <w:pPr>
              <w:spacing w:after="0"/>
              <w:rPr>
                <w:sz w:val="17"/>
                <w:szCs w:val="17"/>
                <w:color w:val="auto"/>
              </w:rPr>
            </w:pPr>
          </w:p>
        </w:tc>
        <w:tc>
          <w:tcPr>
            <w:tcW w:w="2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investment company</w:t>
            </w:r>
          </w:p>
        </w:tc>
        <w:tc>
          <w:tcPr>
            <w:tcW w:w="3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 Section 3(c)(14) of the</w:t>
            </w:r>
          </w:p>
        </w:tc>
      </w:tr>
      <w:tr>
        <w:trPr>
          <w:trHeight w:val="203"/>
        </w:trPr>
        <w:tc>
          <w:tcPr>
            <w:tcW w:w="840" w:type="dxa"/>
            <w:vAlign w:val="bottom"/>
          </w:tcPr>
          <w:p>
            <w:pPr>
              <w:spacing w:after="0"/>
              <w:rPr>
                <w:sz w:val="17"/>
                <w:szCs w:val="17"/>
                <w:color w:val="auto"/>
              </w:rPr>
            </w:pPr>
          </w:p>
        </w:tc>
        <w:tc>
          <w:tcPr>
            <w:tcW w:w="2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Investment Company</w:t>
            </w:r>
          </w:p>
        </w:tc>
        <w:tc>
          <w:tcPr>
            <w:tcW w:w="3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 of 1940 (15 U.S.C. 80a-3);</w:t>
            </w:r>
          </w:p>
        </w:tc>
      </w:tr>
      <w:tr>
        <w:trPr>
          <w:trHeight w:val="608"/>
        </w:trPr>
        <w:tc>
          <w:tcPr>
            <w:tcW w:w="840" w:type="dxa"/>
            <w:vAlign w:val="bottom"/>
          </w:tcPr>
          <w:p>
            <w:pPr>
              <w:spacing w:after="0"/>
              <w:rPr>
                <w:sz w:val="20"/>
                <w:szCs w:val="20"/>
                <w:color w:val="auto"/>
              </w:rPr>
            </w:pPr>
            <w:r>
              <w:rPr>
                <w:rFonts w:ascii="Courier New" w:cs="Courier New" w:eastAsia="Courier New" w:hAnsi="Courier New"/>
                <w:sz w:val="18"/>
                <w:szCs w:val="18"/>
                <w:color w:val="auto"/>
              </w:rPr>
              <w:t>(j).[_]</w:t>
            </w:r>
          </w:p>
        </w:tc>
        <w:tc>
          <w:tcPr>
            <w:tcW w:w="60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 non-U.S.institution in accordance with</w:t>
            </w:r>
          </w:p>
        </w:tc>
      </w:tr>
      <w:tr>
        <w:trPr>
          <w:trHeight w:val="203"/>
        </w:trPr>
        <w:tc>
          <w:tcPr>
            <w:tcW w:w="840" w:type="dxa"/>
            <w:vAlign w:val="bottom"/>
          </w:tcPr>
          <w:p>
            <w:pPr>
              <w:spacing w:after="0"/>
              <w:rPr>
                <w:sz w:val="17"/>
                <w:szCs w:val="17"/>
                <w:color w:val="auto"/>
              </w:rPr>
            </w:pPr>
          </w:p>
        </w:tc>
        <w:tc>
          <w:tcPr>
            <w:tcW w:w="60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Rule 13d-1(b)(1)(ii)(J);</w:t>
            </w:r>
          </w:p>
        </w:tc>
      </w:tr>
      <w:tr>
        <w:trPr>
          <w:trHeight w:val="405"/>
        </w:trPr>
        <w:tc>
          <w:tcPr>
            <w:tcW w:w="840" w:type="dxa"/>
            <w:vAlign w:val="bottom"/>
          </w:tcPr>
          <w:p>
            <w:pPr>
              <w:spacing w:after="0"/>
              <w:rPr>
                <w:sz w:val="20"/>
                <w:szCs w:val="20"/>
                <w:color w:val="auto"/>
              </w:rPr>
            </w:pPr>
            <w:r>
              <w:rPr>
                <w:rFonts w:ascii="Courier New" w:cs="Courier New" w:eastAsia="Courier New" w:hAnsi="Courier New"/>
                <w:sz w:val="18"/>
                <w:szCs w:val="18"/>
                <w:color w:val="auto"/>
              </w:rPr>
              <w:t>(k).[_]</w:t>
            </w:r>
          </w:p>
        </w:tc>
        <w:tc>
          <w:tcPr>
            <w:tcW w:w="60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Group, in accordance with Rule 13d-1(b)(1)(ii)(J).</w:t>
            </w:r>
          </w:p>
        </w:tc>
      </w:tr>
    </w:tbl>
    <w:p>
      <w:pPr>
        <w:spacing w:after="0" w:line="20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If filing as a non-US institution in accordance with Rule 13d-1(b)</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(1)(ii)(J), please specify the type of institution:</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9</w:t>
      </w:r>
    </w:p>
    <w:p>
      <w:pPr>
        <w:sectPr>
          <w:pgSz w:w="11900" w:h="16838" w:orient="portrait"/>
          <w:cols w:equalWidth="0" w:num="1">
            <w:col w:w="10219"/>
          </w:cols>
          <w:pgMar w:left="240" w:top="717" w:right="1440" w:bottom="97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1280" w:space="720"/>
            <w:col w:w="8219"/>
          </w:cols>
          <w:pgMar w:left="240" w:top="520" w:right="1440" w:bottom="0" w:gutter="0" w:footer="0" w:header="0"/>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the response(s) to Item 9 on the attached cover page(s).</w:t>
      </w:r>
    </w:p>
    <w:p>
      <w:pPr>
        <w:spacing w:after="0" w:line="200" w:lineRule="exact"/>
        <w:rPr>
          <w:sz w:val="20"/>
          <w:szCs w:val="20"/>
          <w:color w:val="auto"/>
        </w:rPr>
      </w:pPr>
    </w:p>
    <w:p>
      <w:pPr>
        <w:sectPr>
          <w:pgSz w:w="11900" w:h="16838" w:orient="portrait"/>
          <w:cols w:equalWidth="0" w:num="2">
            <w:col w:w="1480" w:space="520"/>
            <w:col w:w="8219"/>
          </w:cols>
          <w:pgMar w:left="240" w:top="520" w:right="1440" w:bottom="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Percent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the response(s)to Item 11 on the attached cover page(s).</w:t>
      </w:r>
    </w:p>
    <w:p>
      <w:pPr>
        <w:spacing w:after="0" w:line="200" w:lineRule="exact"/>
        <w:rPr>
          <w:sz w:val="20"/>
          <w:szCs w:val="20"/>
          <w:color w:val="auto"/>
        </w:rPr>
      </w:pPr>
    </w:p>
    <w:p>
      <w:pPr>
        <w:sectPr>
          <w:pgSz w:w="11900" w:h="16838" w:orient="portrait"/>
          <w:cols w:equalWidth="0" w:num="2">
            <w:col w:w="1480" w:space="520"/>
            <w:col w:w="8219"/>
          </w:cols>
          <w:pgMar w:left="240" w:top="520" w:right="1440" w:bottom="0" w:gutter="0" w:footer="0" w:header="0"/>
          <w:type w:val="continuous"/>
        </w:sectPr>
      </w:pPr>
    </w:p>
    <w:p>
      <w:pPr>
        <w:spacing w:after="0" w:line="18"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Number of shares as to which such person has:</w:t>
      </w:r>
    </w:p>
    <w:p>
      <w:pPr>
        <w:spacing w:after="0" w:line="207" w:lineRule="exact"/>
        <w:rPr>
          <w:sz w:val="20"/>
          <w:szCs w:val="20"/>
          <w:color w:val="auto"/>
        </w:rPr>
      </w:pPr>
    </w:p>
    <w:p>
      <w:pPr>
        <w:jc w:val="both"/>
        <w:ind w:left="2860" w:right="1879" w:hanging="842"/>
        <w:spacing w:after="0" w:line="290" w:lineRule="auto"/>
        <w:tabs>
          <w:tab w:leader="none" w:pos="28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 See the response(s) to Item 5 on the attached cover page(s).</w:t>
      </w:r>
    </w:p>
    <w:p>
      <w:pPr>
        <w:spacing w:after="0" w:line="170" w:lineRule="exact"/>
        <w:rPr>
          <w:sz w:val="20"/>
          <w:szCs w:val="20"/>
          <w:color w:val="auto"/>
        </w:rPr>
      </w:pPr>
    </w:p>
    <w:p>
      <w:pPr>
        <w:jc w:val="both"/>
        <w:ind w:left="2860" w:right="1879" w:hanging="842"/>
        <w:spacing w:after="0" w:line="290" w:lineRule="auto"/>
        <w:tabs>
          <w:tab w:leader="none" w:pos="28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 See the response(s) to Item 6 on the attached cover page(s).</w:t>
      </w:r>
    </w:p>
    <w:p>
      <w:pPr>
        <w:spacing w:after="0" w:line="170" w:lineRule="exact"/>
        <w:rPr>
          <w:sz w:val="20"/>
          <w:szCs w:val="20"/>
          <w:color w:val="auto"/>
        </w:rPr>
      </w:pPr>
    </w:p>
    <w:p>
      <w:pPr>
        <w:jc w:val="both"/>
        <w:ind w:left="2860" w:right="1879" w:hanging="842"/>
        <w:spacing w:after="0" w:line="236" w:lineRule="auto"/>
        <w:tabs>
          <w:tab w:leader="none" w:pos="2840" w:val="left"/>
        </w:tabs>
        <w:rPr>
          <w:sz w:val="20"/>
          <w:szCs w:val="20"/>
          <w:color w:val="auto"/>
        </w:rPr>
      </w:pPr>
      <w:r>
        <w:rPr>
          <w:rFonts w:ascii="Courier New" w:cs="Courier New" w:eastAsia="Courier New" w:hAnsi="Courier New"/>
          <w:sz w:val="18"/>
          <w:szCs w:val="18"/>
          <w:color w:val="auto"/>
        </w:rPr>
        <w:t>(iii).</w:t>
        <w:tab/>
        <w:t>Sole power to dispose or to direct the disposition of: See the response(s) to Item 7 on the attached cover page(s).</w:t>
      </w:r>
    </w:p>
    <w:p>
      <w:pPr>
        <w:spacing w:after="0" w:line="209" w:lineRule="exact"/>
        <w:rPr>
          <w:sz w:val="20"/>
          <w:szCs w:val="20"/>
          <w:color w:val="auto"/>
        </w:rPr>
      </w:pPr>
    </w:p>
    <w:p>
      <w:pPr>
        <w:jc w:val="both"/>
        <w:ind w:left="2860" w:right="1879" w:hanging="842"/>
        <w:spacing w:after="0" w:line="236" w:lineRule="auto"/>
        <w:tabs>
          <w:tab w:leader="none" w:pos="28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 disposition of: See the response(s) to Item 8 on the attached cover page(s).</w:t>
      </w:r>
    </w:p>
    <w:p>
      <w:pPr>
        <w:spacing w:after="0" w:line="203"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3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w:t>
      </w: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1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w w:val="95"/>
              </w:rPr>
              <w:t>Person.</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1300" w:type="dxa"/>
            <w:vAlign w:val="bottom"/>
          </w:tcPr>
          <w:p>
            <w:pPr>
              <w:ind w:left="560"/>
              <w:spacing w:after="0"/>
              <w:rPr>
                <w:sz w:val="20"/>
                <w:szCs w:val="20"/>
                <w:color w:val="auto"/>
              </w:rPr>
            </w:pPr>
            <w:r>
              <w:rPr>
                <w:rFonts w:ascii="Courier New" w:cs="Courier New" w:eastAsia="Courier New" w:hAnsi="Courier New"/>
                <w:sz w:val="18"/>
                <w:szCs w:val="18"/>
                <w:color w:val="auto"/>
                <w:w w:val="95"/>
              </w:rPr>
              <w:t>Clients</w:t>
            </w:r>
          </w:p>
        </w:tc>
        <w:tc>
          <w:tcPr>
            <w:tcW w:w="420" w:type="dxa"/>
            <w:vAlign w:val="bottom"/>
          </w:tcPr>
          <w:p>
            <w:pPr>
              <w:ind w:left="220"/>
              <w:spacing w:after="0"/>
              <w:rPr>
                <w:sz w:val="20"/>
                <w:szCs w:val="20"/>
                <w:color w:val="auto"/>
              </w:rPr>
            </w:pPr>
            <w:r>
              <w:rPr>
                <w:rFonts w:ascii="Courier New" w:cs="Courier New" w:eastAsia="Courier New" w:hAnsi="Courier New"/>
                <w:sz w:val="18"/>
                <w:szCs w:val="18"/>
                <w:color w:val="auto"/>
                <w:w w:val="83"/>
              </w:rPr>
              <w:t>of</w:t>
            </w:r>
          </w:p>
        </w:tc>
        <w:tc>
          <w:tcPr>
            <w:tcW w:w="540" w:type="dxa"/>
            <w:vAlign w:val="bottom"/>
          </w:tcPr>
          <w:p>
            <w:pPr>
              <w:ind w:left="220"/>
              <w:spacing w:after="0"/>
              <w:rPr>
                <w:sz w:val="20"/>
                <w:szCs w:val="20"/>
                <w:color w:val="auto"/>
              </w:rPr>
            </w:pPr>
            <w:r>
              <w:rPr>
                <w:rFonts w:ascii="Courier New" w:cs="Courier New" w:eastAsia="Courier New" w:hAnsi="Courier New"/>
                <w:sz w:val="18"/>
                <w:szCs w:val="18"/>
                <w:color w:val="auto"/>
                <w:w w:val="92"/>
              </w:rPr>
              <w:t>the</w:t>
            </w:r>
          </w:p>
        </w:tc>
        <w:tc>
          <w:tcPr>
            <w:tcW w:w="11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6"/>
              </w:rPr>
              <w:t>Reporting</w:t>
            </w:r>
          </w:p>
        </w:tc>
        <w:tc>
          <w:tcPr>
            <w:tcW w:w="220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Person(s) have or</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w w:val="97"/>
              </w:rPr>
              <w:t>may have the</w:t>
            </w:r>
          </w:p>
        </w:tc>
      </w:tr>
      <w:tr>
        <w:trPr>
          <w:trHeight w:val="203"/>
        </w:trPr>
        <w:tc>
          <w:tcPr>
            <w:tcW w:w="1440" w:type="dxa"/>
            <w:vAlign w:val="bottom"/>
          </w:tcPr>
          <w:p>
            <w:pPr>
              <w:spacing w:after="0"/>
              <w:rPr>
                <w:sz w:val="17"/>
                <w:szCs w:val="17"/>
                <w:color w:val="auto"/>
              </w:rPr>
            </w:pPr>
          </w:p>
        </w:tc>
        <w:tc>
          <w:tcPr>
            <w:tcW w:w="1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right</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receive or</w:t>
            </w: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 power</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w:t>
            </w: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direct the</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receipt of</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7"/>
              </w:rPr>
              <w:t>dividends from, or the proceeds from the sale of, securities</w:t>
            </w:r>
          </w:p>
        </w:tc>
      </w:tr>
      <w:tr>
        <w:trPr>
          <w:trHeight w:val="203"/>
        </w:trPr>
        <w:tc>
          <w:tcPr>
            <w:tcW w:w="1440" w:type="dxa"/>
            <w:vAlign w:val="bottom"/>
          </w:tcPr>
          <w:p>
            <w:pPr>
              <w:spacing w:after="0"/>
              <w:rPr>
                <w:sz w:val="17"/>
                <w:szCs w:val="17"/>
                <w:color w:val="auto"/>
              </w:rPr>
            </w:pPr>
          </w:p>
        </w:tc>
        <w:tc>
          <w:tcPr>
            <w:tcW w:w="4000" w:type="dxa"/>
            <w:vAlign w:val="bottom"/>
            <w:gridSpan w:val="6"/>
          </w:tcPr>
          <w:p>
            <w:pPr>
              <w:ind w:left="560"/>
              <w:spacing w:after="0" w:line="203" w:lineRule="exact"/>
              <w:rPr>
                <w:sz w:val="20"/>
                <w:szCs w:val="20"/>
                <w:color w:val="auto"/>
              </w:rPr>
            </w:pPr>
            <w:r>
              <w:rPr>
                <w:rFonts w:ascii="Courier New" w:cs="Courier New" w:eastAsia="Courier New" w:hAnsi="Courier New"/>
                <w:sz w:val="18"/>
                <w:szCs w:val="18"/>
                <w:color w:val="auto"/>
                <w:w w:val="98"/>
              </w:rPr>
              <w:t>held  in their accounts. Clients</w:t>
            </w:r>
          </w:p>
        </w:tc>
        <w:tc>
          <w:tcPr>
            <w:tcW w:w="2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known to have such right or</w:t>
            </w:r>
          </w:p>
        </w:tc>
      </w:tr>
      <w:tr>
        <w:trPr>
          <w:trHeight w:val="203"/>
        </w:trPr>
        <w:tc>
          <w:tcPr>
            <w:tcW w:w="1440" w:type="dxa"/>
            <w:vAlign w:val="bottom"/>
          </w:tcPr>
          <w:p>
            <w:pPr>
              <w:spacing w:after="0"/>
              <w:rPr>
                <w:sz w:val="17"/>
                <w:szCs w:val="17"/>
                <w:color w:val="auto"/>
              </w:rPr>
            </w:pPr>
          </w:p>
        </w:tc>
        <w:tc>
          <w:tcPr>
            <w:tcW w:w="1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power</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with</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respect</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more</w:t>
            </w:r>
          </w:p>
        </w:tc>
        <w:tc>
          <w:tcPr>
            <w:tcW w:w="2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than 5%  of  the  class  of</w:t>
            </w:r>
          </w:p>
        </w:tc>
      </w:tr>
      <w:tr>
        <w:trPr>
          <w:trHeight w:val="203"/>
        </w:trPr>
        <w:tc>
          <w:tcPr>
            <w:tcW w:w="1440" w:type="dxa"/>
            <w:vAlign w:val="bottom"/>
          </w:tcPr>
          <w:p>
            <w:pPr>
              <w:spacing w:after="0"/>
              <w:rPr>
                <w:sz w:val="17"/>
                <w:szCs w:val="17"/>
                <w:color w:val="auto"/>
              </w:rPr>
            </w:pPr>
          </w:p>
        </w:tc>
        <w:tc>
          <w:tcPr>
            <w:tcW w:w="5620" w:type="dxa"/>
            <w:vAlign w:val="bottom"/>
            <w:gridSpan w:val="8"/>
          </w:tcPr>
          <w:p>
            <w:pPr>
              <w:ind w:left="560"/>
              <w:spacing w:after="0" w:line="203" w:lineRule="exact"/>
              <w:rPr>
                <w:sz w:val="20"/>
                <w:szCs w:val="20"/>
                <w:color w:val="auto"/>
              </w:rPr>
            </w:pPr>
            <w:r>
              <w:rPr>
                <w:rFonts w:ascii="Courier New" w:cs="Courier New" w:eastAsia="Courier New" w:hAnsi="Courier New"/>
                <w:sz w:val="18"/>
                <w:szCs w:val="18"/>
                <w:color w:val="auto"/>
              </w:rPr>
              <w:t>securities to which this report relates are:</w:t>
            </w:r>
          </w:p>
        </w:tc>
        <w:tc>
          <w:tcPr>
            <w:tcW w:w="12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NONE</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2260" w:type="dxa"/>
            <w:vAlign w:val="bottom"/>
            <w:gridSpan w:val="3"/>
          </w:tcPr>
          <w:p>
            <w:pPr>
              <w:ind w:left="560"/>
              <w:spacing w:after="0"/>
              <w:rPr>
                <w:sz w:val="20"/>
                <w:szCs w:val="20"/>
                <w:color w:val="auto"/>
              </w:rPr>
            </w:pPr>
            <w:r>
              <w:rPr>
                <w:rFonts w:ascii="Courier New" w:cs="Courier New" w:eastAsia="Courier New" w:hAnsi="Courier New"/>
                <w:sz w:val="18"/>
                <w:szCs w:val="18"/>
                <w:color w:val="auto"/>
              </w:rPr>
              <w:t>Identification</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and</w:t>
            </w:r>
          </w:p>
        </w:tc>
        <w:tc>
          <w:tcPr>
            <w:tcW w:w="1640" w:type="dxa"/>
            <w:vAlign w:val="bottom"/>
            <w:gridSpan w:val="3"/>
          </w:tcPr>
          <w:p>
            <w:pPr>
              <w:spacing w:after="0"/>
              <w:rPr>
                <w:sz w:val="20"/>
                <w:szCs w:val="20"/>
                <w:color w:val="auto"/>
              </w:rPr>
            </w:pPr>
            <w:r>
              <w:rPr>
                <w:rFonts w:ascii="Courier New" w:cs="Courier New" w:eastAsia="Courier New" w:hAnsi="Courier New"/>
                <w:sz w:val="18"/>
                <w:szCs w:val="18"/>
                <w:color w:val="auto"/>
              </w:rPr>
              <w:t>Classification</w:t>
            </w:r>
          </w:p>
        </w:tc>
        <w:tc>
          <w:tcPr>
            <w:tcW w:w="2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of the Subsidiary Which</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7"/>
              </w:rPr>
              <w:t>Acquired  the  Security  Being  Reported  on  by the  Parent</w:t>
            </w:r>
          </w:p>
        </w:tc>
      </w:tr>
      <w:tr>
        <w:trPr>
          <w:trHeight w:val="203"/>
        </w:trPr>
        <w:tc>
          <w:tcPr>
            <w:tcW w:w="1440" w:type="dxa"/>
            <w:vAlign w:val="bottom"/>
          </w:tcPr>
          <w:p>
            <w:pPr>
              <w:spacing w:after="0"/>
              <w:rPr>
                <w:sz w:val="17"/>
                <w:szCs w:val="17"/>
                <w:color w:val="auto"/>
              </w:rPr>
            </w:pPr>
          </w:p>
        </w:tc>
        <w:tc>
          <w:tcPr>
            <w:tcW w:w="2260" w:type="dxa"/>
            <w:vAlign w:val="bottom"/>
            <w:gridSpan w:val="3"/>
          </w:tcPr>
          <w:p>
            <w:pPr>
              <w:ind w:left="560"/>
              <w:spacing w:after="0" w:line="203" w:lineRule="exact"/>
              <w:rPr>
                <w:sz w:val="20"/>
                <w:szCs w:val="20"/>
                <w:color w:val="auto"/>
              </w:rPr>
            </w:pPr>
            <w:r>
              <w:rPr>
                <w:rFonts w:ascii="Courier New" w:cs="Courier New" w:eastAsia="Courier New" w:hAnsi="Courier New"/>
                <w:sz w:val="18"/>
                <w:szCs w:val="18"/>
                <w:color w:val="auto"/>
                <w:w w:val="97"/>
              </w:rPr>
              <w:t>Holding Company.</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12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6900" w:type="dxa"/>
            <w:vAlign w:val="bottom"/>
            <w:gridSpan w:val="9"/>
          </w:tcPr>
          <w:p>
            <w:pPr>
              <w:ind w:left="5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203"/>
        </w:trPr>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12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000" w:type="dxa"/>
            <w:vAlign w:val="bottom"/>
            <w:gridSpan w:val="6"/>
          </w:tcPr>
          <w:p>
            <w:pPr>
              <w:ind w:left="560"/>
              <w:spacing w:after="0"/>
              <w:rPr>
                <w:sz w:val="20"/>
                <w:szCs w:val="20"/>
                <w:color w:val="auto"/>
              </w:rPr>
            </w:pPr>
            <w:r>
              <w:rPr>
                <w:rFonts w:ascii="Courier New" w:cs="Courier New" w:eastAsia="Courier New" w:hAnsi="Courier New"/>
                <w:sz w:val="18"/>
                <w:szCs w:val="18"/>
                <w:color w:val="auto"/>
              </w:rPr>
              <w:t>Notice of Dissolution of Group.</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12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260" w:type="dxa"/>
            <w:vAlign w:val="bottom"/>
            <w:gridSpan w:val="3"/>
          </w:tcPr>
          <w:p>
            <w:pPr>
              <w:ind w:left="560"/>
              <w:spacing w:after="0"/>
              <w:rPr>
                <w:sz w:val="20"/>
                <w:szCs w:val="20"/>
                <w:color w:val="auto"/>
              </w:rPr>
            </w:pPr>
            <w:r>
              <w:rPr>
                <w:rFonts w:ascii="Courier New" w:cs="Courier New" w:eastAsia="Courier New" w:hAnsi="Courier New"/>
                <w:sz w:val="18"/>
                <w:szCs w:val="18"/>
                <w:color w:val="auto"/>
              </w:rPr>
              <w:t>Certification.</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7"/>
              </w:rPr>
              <w:t>By signing below I certify that, to the best of my knowledge</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rPr>
              <w:t>and belief, the securities referred to above were acquired</w:t>
            </w:r>
          </w:p>
        </w:tc>
      </w:tr>
    </w:tbl>
    <w:p>
      <w:pPr>
        <w:spacing w:after="0" w:line="4" w:lineRule="exact"/>
        <w:rPr>
          <w:sz w:val="20"/>
          <w:szCs w:val="20"/>
          <w:color w:val="auto"/>
        </w:rPr>
      </w:pPr>
    </w:p>
    <w:p>
      <w:pPr>
        <w:ind w:left="2000" w:right="1879"/>
        <w:spacing w:after="0" w:line="237" w:lineRule="auto"/>
        <w:rPr>
          <w:sz w:val="20"/>
          <w:szCs w:val="20"/>
          <w:color w:val="auto"/>
        </w:rPr>
      </w:pPr>
      <w:r>
        <w:rPr>
          <w:rFonts w:ascii="Courier New" w:cs="Courier New" w:eastAsia="Courier New" w:hAnsi="Courier New"/>
          <w:sz w:val="18"/>
          <w:szCs w:val="18"/>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w:t>
      </w:r>
    </w:p>
    <w:p>
      <w:pPr>
        <w:spacing w:after="0" w:line="4" w:lineRule="exact"/>
        <w:rPr>
          <w:sz w:val="20"/>
          <w:szCs w:val="20"/>
          <w:color w:val="auto"/>
        </w:rPr>
      </w:pPr>
    </w:p>
    <w:p>
      <w:pPr>
        <w:ind w:right="2099" w:firstLine="8"/>
        <w:spacing w:after="0" w:line="237" w:lineRule="auto"/>
        <w:tabs>
          <w:tab w:leader="none" w:pos="5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investment entities of which the Goldman Sachs Reporting Units act as the general partner, managing general partner or other manager, to the extent interests in such entities are held by persons other than the Goldman Sachs Reporting Units.</w:t>
      </w:r>
    </w:p>
    <w:p>
      <w:pPr>
        <w:sectPr>
          <w:pgSz w:w="11900" w:h="16838" w:orient="portrait"/>
          <w:cols w:equalWidth="0" w:num="1">
            <w:col w:w="10219"/>
          </w:cols>
          <w:pgMar w:left="240" w:top="520" w:right="1440" w:bottom="0" w:gutter="0" w:footer="0" w:header="0"/>
          <w:type w:val="continuous"/>
        </w:sectPr>
      </w:pPr>
    </w:p>
    <w:bookmarkStart w:id="4" w:name="page5"/>
    <w:bookmarkEnd w:id="4"/>
    <w:p>
      <w:pPr>
        <w:ind w:left="2080"/>
        <w:spacing w:after="0"/>
        <w:rPr>
          <w:sz w:val="20"/>
          <w:szCs w:val="20"/>
          <w:color w:val="auto"/>
        </w:rPr>
      </w:pPr>
      <w:r>
        <w:rPr>
          <w:rFonts w:ascii="Courier New" w:cs="Courier New" w:eastAsia="Courier New" w:hAnsi="Courier New"/>
          <w:sz w:val="16"/>
          <w:szCs w:val="16"/>
          <w:color w:val="auto"/>
        </w:rPr>
        <w:t>Page 4 of 9</w:t>
      </w:r>
    </w:p>
    <w:p>
      <w:pPr>
        <w:sectPr>
          <w:pgSz w:w="11900" w:h="16838" w:orient="portrait"/>
          <w:cols w:equalWidth="0" w:num="1">
            <w:col w:w="9019"/>
          </w:cols>
          <w:pgMar w:left="1440" w:top="547"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left="1280" w:right="3039"/>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11, 2015</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1" w:lineRule="exact"/>
        <w:rPr>
          <w:sz w:val="20"/>
          <w:szCs w:val="20"/>
          <w:color w:val="auto"/>
        </w:rPr>
      </w:pPr>
    </w:p>
    <w:p>
      <w:pPr>
        <w:ind w:left="1380"/>
        <w:spacing w:after="0"/>
        <w:tabs>
          <w:tab w:leader="none" w:pos="2200" w:val="left"/>
          <w:tab w:leader="none" w:pos="2940" w:val="left"/>
        </w:tabs>
        <w:rPr>
          <w:sz w:val="20"/>
          <w:szCs w:val="20"/>
          <w:color w:val="auto"/>
        </w:rPr>
      </w:pPr>
      <w:r>
        <w:rPr>
          <w:rFonts w:ascii="Courier New" w:cs="Courier New" w:eastAsia="Courier New" w:hAnsi="Courier New"/>
          <w:sz w:val="18"/>
          <w:szCs w:val="18"/>
          <w:color w:val="auto"/>
        </w:rPr>
        <w:t>By:/s/</w:t>
        <w:tab/>
        <w:t>Priya</w:t>
      </w:r>
      <w:r>
        <w:rPr>
          <w:sz w:val="20"/>
          <w:szCs w:val="20"/>
          <w:color w:val="auto"/>
        </w:rPr>
        <w:tab/>
      </w:r>
      <w:r>
        <w:rPr>
          <w:rFonts w:ascii="Courier New" w:cs="Courier New" w:eastAsia="Courier New" w:hAnsi="Courier New"/>
          <w:sz w:val="16"/>
          <w:szCs w:val="16"/>
          <w:color w:val="auto"/>
        </w:rPr>
        <w:t>Iyer</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2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Priya</w:t>
      </w:r>
      <w:r>
        <w:rPr>
          <w:sz w:val="20"/>
          <w:szCs w:val="20"/>
          <w:color w:val="auto"/>
        </w:rPr>
        <w:tab/>
      </w:r>
      <w:r>
        <w:rPr>
          <w:rFonts w:ascii="Courier New" w:cs="Courier New" w:eastAsia="Courier New" w:hAnsi="Courier New"/>
          <w:sz w:val="16"/>
          <w:szCs w:val="16"/>
          <w:color w:val="auto"/>
        </w:rPr>
        <w:t>Iyer</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GS INVESTMENT STRATEGIES, LLC</w:t>
      </w:r>
    </w:p>
    <w:p>
      <w:pPr>
        <w:spacing w:after="0" w:line="201" w:lineRule="exact"/>
        <w:rPr>
          <w:sz w:val="20"/>
          <w:szCs w:val="20"/>
          <w:color w:val="auto"/>
        </w:rPr>
      </w:pPr>
    </w:p>
    <w:p>
      <w:pPr>
        <w:ind w:left="1380"/>
        <w:spacing w:after="0"/>
        <w:tabs>
          <w:tab w:leader="none" w:pos="2200" w:val="left"/>
          <w:tab w:leader="none" w:pos="2940" w:val="left"/>
        </w:tabs>
        <w:rPr>
          <w:sz w:val="20"/>
          <w:szCs w:val="20"/>
          <w:color w:val="auto"/>
        </w:rPr>
      </w:pPr>
      <w:r>
        <w:rPr>
          <w:rFonts w:ascii="Courier New" w:cs="Courier New" w:eastAsia="Courier New" w:hAnsi="Courier New"/>
          <w:sz w:val="18"/>
          <w:szCs w:val="18"/>
          <w:color w:val="auto"/>
        </w:rPr>
        <w:t>By:/s/</w:t>
        <w:tab/>
        <w:t>Priya</w:t>
      </w:r>
      <w:r>
        <w:rPr>
          <w:sz w:val="20"/>
          <w:szCs w:val="20"/>
          <w:color w:val="auto"/>
        </w:rPr>
        <w:tab/>
      </w:r>
      <w:r>
        <w:rPr>
          <w:rFonts w:ascii="Courier New" w:cs="Courier New" w:eastAsia="Courier New" w:hAnsi="Courier New"/>
          <w:sz w:val="16"/>
          <w:szCs w:val="16"/>
          <w:color w:val="auto"/>
        </w:rPr>
        <w:t>Iyer</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2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Priya</w:t>
      </w:r>
      <w:r>
        <w:rPr>
          <w:sz w:val="20"/>
          <w:szCs w:val="20"/>
          <w:color w:val="auto"/>
        </w:rPr>
        <w:tab/>
      </w:r>
      <w:r>
        <w:rPr>
          <w:rFonts w:ascii="Courier New" w:cs="Courier New" w:eastAsia="Courier New" w:hAnsi="Courier New"/>
          <w:sz w:val="16"/>
          <w:szCs w:val="16"/>
          <w:color w:val="auto"/>
        </w:rPr>
        <w:t>Iyer</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9</w:t>
      </w:r>
    </w:p>
    <w:p>
      <w:pPr>
        <w:sectPr>
          <w:pgSz w:w="11900" w:h="16838" w:orient="portrait"/>
          <w:cols w:equalWidth="0" w:num="1">
            <w:col w:w="10219"/>
          </w:cols>
          <w:pgMar w:left="240" w:top="71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4040" w:type="dxa"/>
            <w:vAlign w:val="bottom"/>
          </w:tcPr>
          <w:p>
            <w:pPr>
              <w:ind w:left="1940"/>
              <w:spacing w:after="0"/>
              <w:rPr>
                <w:sz w:val="20"/>
                <w:szCs w:val="20"/>
                <w:color w:val="auto"/>
              </w:rPr>
            </w:pPr>
            <w:r>
              <w:rPr>
                <w:rFonts w:ascii="Courier New" w:cs="Courier New" w:eastAsia="Courier New" w:hAnsi="Courier New"/>
                <w:sz w:val="18"/>
                <w:szCs w:val="18"/>
                <w:color w:val="auto"/>
              </w:rPr>
              <w:t>INDEX TO EXHIBITS</w:t>
            </w:r>
          </w:p>
        </w:tc>
      </w:tr>
      <w:tr>
        <w:trPr>
          <w:trHeight w:val="810"/>
        </w:trPr>
        <w:tc>
          <w:tcPr>
            <w:tcW w:w="144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5"/>
              </w:rPr>
              <w:t>Exhibit No.</w:t>
            </w:r>
          </w:p>
        </w:tc>
        <w:tc>
          <w:tcPr>
            <w:tcW w:w="4040" w:type="dxa"/>
            <w:vAlign w:val="bottom"/>
          </w:tcPr>
          <w:p>
            <w:pPr>
              <w:ind w:left="1100"/>
              <w:spacing w:after="0"/>
              <w:rPr>
                <w:sz w:val="20"/>
                <w:szCs w:val="20"/>
                <w:color w:val="auto"/>
              </w:rPr>
            </w:pPr>
            <w:r>
              <w:rPr>
                <w:rFonts w:ascii="Courier New" w:cs="Courier New" w:eastAsia="Courier New" w:hAnsi="Courier New"/>
                <w:sz w:val="18"/>
                <w:szCs w:val="18"/>
                <w:color w:val="auto"/>
              </w:rPr>
              <w:t>Exhibit</w:t>
            </w:r>
          </w:p>
        </w:tc>
      </w:tr>
      <w:tr>
        <w:trPr>
          <w:trHeight w:val="203"/>
        </w:trPr>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w:t>
            </w:r>
          </w:p>
        </w:tc>
        <w:tc>
          <w:tcPr>
            <w:tcW w:w="40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99.1</w:t>
            </w:r>
          </w:p>
        </w:tc>
        <w:tc>
          <w:tcPr>
            <w:tcW w:w="4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Joint Filing Agreement</w:t>
            </w:r>
          </w:p>
        </w:tc>
      </w:tr>
      <w:tr>
        <w:trPr>
          <w:trHeight w:val="203"/>
        </w:trPr>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99.2</w:t>
            </w:r>
          </w:p>
        </w:tc>
        <w:tc>
          <w:tcPr>
            <w:tcW w:w="4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Power of Attorney, relating to</w:t>
            </w:r>
          </w:p>
        </w:tc>
      </w:tr>
      <w:tr>
        <w:trPr>
          <w:trHeight w:val="203"/>
        </w:trPr>
        <w:tc>
          <w:tcPr>
            <w:tcW w:w="1440" w:type="dxa"/>
            <w:vAlign w:val="bottom"/>
          </w:tcPr>
          <w:p>
            <w:pPr>
              <w:spacing w:after="0"/>
              <w:rPr>
                <w:sz w:val="17"/>
                <w:szCs w:val="17"/>
                <w:color w:val="auto"/>
              </w:rPr>
            </w:pPr>
          </w:p>
        </w:tc>
        <w:tc>
          <w:tcPr>
            <w:tcW w:w="4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GOLDMAN SACHS ASSET MANAGEMENT, L.P.</w:t>
            </w:r>
          </w:p>
        </w:tc>
      </w:tr>
      <w:tr>
        <w:trPr>
          <w:trHeight w:val="203"/>
        </w:trPr>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99.3</w:t>
            </w:r>
          </w:p>
        </w:tc>
        <w:tc>
          <w:tcPr>
            <w:tcW w:w="4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Power of Attorney, relating to</w:t>
            </w:r>
          </w:p>
        </w:tc>
      </w:tr>
      <w:tr>
        <w:trPr>
          <w:trHeight w:val="203"/>
        </w:trPr>
        <w:tc>
          <w:tcPr>
            <w:tcW w:w="1440" w:type="dxa"/>
            <w:vAlign w:val="bottom"/>
          </w:tcPr>
          <w:p>
            <w:pPr>
              <w:spacing w:after="0"/>
              <w:rPr>
                <w:sz w:val="17"/>
                <w:szCs w:val="17"/>
                <w:color w:val="auto"/>
              </w:rPr>
            </w:pPr>
          </w:p>
        </w:tc>
        <w:tc>
          <w:tcPr>
            <w:tcW w:w="4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GS INVESTMENT STRATEGIES, LLC</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9</w:t>
      </w:r>
    </w:p>
    <w:p>
      <w:pPr>
        <w:sectPr>
          <w:pgSz w:w="11900" w:h="16838" w:orient="portrait"/>
          <w:cols w:equalWidth="0" w:num="1">
            <w:col w:w="10219"/>
          </w:cols>
          <w:pgMar w:left="240" w:top="717" w:right="1440" w:bottom="1440" w:gutter="0" w:footer="0" w:header="0"/>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accordance with Rule 13d-1(k)(1) promulgated under the Securities Exchange Act of 1934, the undersigned agree to the joint filing of a Statement on Schedule 13G (including any and all amendments thereto) with respect to the Class A Shares, Representing Limited Partner Interests, of PLAINS GP HOLDINGS, L.P. and further agree to the filing of this agreement as an Exhibit thereto. In addition, each party to this Agreement expressly authorizes each other party to this Agreement to file on its behalf any and all amendments to such Statement on Schedule 13G.</w:t>
      </w:r>
    </w:p>
    <w:p>
      <w:pPr>
        <w:spacing w:after="0" w:line="20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11, 2015</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1" w:lineRule="exact"/>
        <w:rPr>
          <w:sz w:val="20"/>
          <w:szCs w:val="20"/>
          <w:color w:val="auto"/>
        </w:rPr>
      </w:pPr>
    </w:p>
    <w:p>
      <w:pPr>
        <w:ind w:left="1380"/>
        <w:spacing w:after="0"/>
        <w:tabs>
          <w:tab w:leader="none" w:pos="2200" w:val="left"/>
          <w:tab w:leader="none" w:pos="2940" w:val="left"/>
        </w:tabs>
        <w:rPr>
          <w:sz w:val="20"/>
          <w:szCs w:val="20"/>
          <w:color w:val="auto"/>
        </w:rPr>
      </w:pPr>
      <w:r>
        <w:rPr>
          <w:rFonts w:ascii="Courier New" w:cs="Courier New" w:eastAsia="Courier New" w:hAnsi="Courier New"/>
          <w:sz w:val="18"/>
          <w:szCs w:val="18"/>
          <w:color w:val="auto"/>
        </w:rPr>
        <w:t>By:/s/</w:t>
        <w:tab/>
        <w:t>Priya</w:t>
      </w:r>
      <w:r>
        <w:rPr>
          <w:sz w:val="20"/>
          <w:szCs w:val="20"/>
          <w:color w:val="auto"/>
        </w:rPr>
        <w:tab/>
      </w:r>
      <w:r>
        <w:rPr>
          <w:rFonts w:ascii="Courier New" w:cs="Courier New" w:eastAsia="Courier New" w:hAnsi="Courier New"/>
          <w:sz w:val="16"/>
          <w:szCs w:val="16"/>
          <w:color w:val="auto"/>
        </w:rPr>
        <w:t>Iyer</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2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Priya</w:t>
      </w:r>
      <w:r>
        <w:rPr>
          <w:sz w:val="20"/>
          <w:szCs w:val="20"/>
          <w:color w:val="auto"/>
        </w:rPr>
        <w:tab/>
      </w:r>
      <w:r>
        <w:rPr>
          <w:rFonts w:ascii="Courier New" w:cs="Courier New" w:eastAsia="Courier New" w:hAnsi="Courier New"/>
          <w:sz w:val="16"/>
          <w:szCs w:val="16"/>
          <w:color w:val="auto"/>
        </w:rPr>
        <w:t>Iyer</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GS INVESTMENT STRATEGIES, LLC</w:t>
      </w:r>
    </w:p>
    <w:p>
      <w:pPr>
        <w:spacing w:after="0" w:line="201" w:lineRule="exact"/>
        <w:rPr>
          <w:sz w:val="20"/>
          <w:szCs w:val="20"/>
          <w:color w:val="auto"/>
        </w:rPr>
      </w:pPr>
    </w:p>
    <w:p>
      <w:pPr>
        <w:ind w:left="1380"/>
        <w:spacing w:after="0"/>
        <w:tabs>
          <w:tab w:leader="none" w:pos="2200" w:val="left"/>
          <w:tab w:leader="none" w:pos="2940" w:val="left"/>
        </w:tabs>
        <w:rPr>
          <w:sz w:val="20"/>
          <w:szCs w:val="20"/>
          <w:color w:val="auto"/>
        </w:rPr>
      </w:pPr>
      <w:r>
        <w:rPr>
          <w:rFonts w:ascii="Courier New" w:cs="Courier New" w:eastAsia="Courier New" w:hAnsi="Courier New"/>
          <w:sz w:val="18"/>
          <w:szCs w:val="18"/>
          <w:color w:val="auto"/>
        </w:rPr>
        <w:t>By:/s/</w:t>
        <w:tab/>
        <w:t>Priya</w:t>
      </w:r>
      <w:r>
        <w:rPr>
          <w:sz w:val="20"/>
          <w:szCs w:val="20"/>
          <w:color w:val="auto"/>
        </w:rPr>
        <w:tab/>
      </w:r>
      <w:r>
        <w:rPr>
          <w:rFonts w:ascii="Courier New" w:cs="Courier New" w:eastAsia="Courier New" w:hAnsi="Courier New"/>
          <w:sz w:val="16"/>
          <w:szCs w:val="16"/>
          <w:color w:val="auto"/>
        </w:rPr>
        <w:t>Iyer</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2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Priya</w:t>
      </w:r>
      <w:r>
        <w:rPr>
          <w:sz w:val="20"/>
          <w:szCs w:val="20"/>
          <w:color w:val="auto"/>
        </w:rPr>
        <w:tab/>
      </w:r>
      <w:r>
        <w:rPr>
          <w:rFonts w:ascii="Courier New" w:cs="Courier New" w:eastAsia="Courier New" w:hAnsi="Courier New"/>
          <w:sz w:val="16"/>
          <w:szCs w:val="16"/>
          <w:color w:val="auto"/>
        </w:rPr>
        <w:t>Iyer</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9</w:t>
      </w:r>
    </w:p>
    <w:p>
      <w:pPr>
        <w:sectPr>
          <w:pgSz w:w="11900" w:h="16838" w:orient="portrait"/>
          <w:cols w:equalWidth="0" w:num="1">
            <w:col w:w="10219"/>
          </w:cols>
          <w:pgMar w:left="240" w:top="514"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PERSONS BY THESE PRESENTS that GOLDMAN SACHS ASSET MANAGEMENT, L.P.</w:t>
      </w:r>
    </w:p>
    <w:p>
      <w:pPr>
        <w:spacing w:after="0" w:line="238" w:lineRule="auto"/>
        <w:rPr>
          <w:sz w:val="20"/>
          <w:szCs w:val="20"/>
          <w:color w:val="auto"/>
        </w:rPr>
      </w:pPr>
      <w:r>
        <w:rPr>
          <w:rFonts w:ascii="Courier New" w:cs="Courier New" w:eastAsia="Courier New" w:hAnsi="Courier New"/>
          <w:sz w:val="18"/>
          <w:szCs w:val="18"/>
          <w:color w:val="auto"/>
        </w:rPr>
        <w:t>(the "Company") does hereby make, constitute and appoint each of Dan Deluca,</w:t>
      </w:r>
    </w:p>
    <w:p>
      <w:pPr>
        <w:spacing w:after="0"/>
        <w:rPr>
          <w:sz w:val="20"/>
          <w:szCs w:val="20"/>
          <w:color w:val="auto"/>
        </w:rPr>
      </w:pPr>
      <w:r>
        <w:rPr>
          <w:rFonts w:ascii="Courier New" w:cs="Courier New" w:eastAsia="Courier New" w:hAnsi="Courier New"/>
          <w:sz w:val="18"/>
          <w:szCs w:val="18"/>
          <w:color w:val="auto"/>
        </w:rPr>
        <w:t>Jeremy Kahn and Brian Bae (and any other employee of The Goldman Sachs Group,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 or one of its affiliates designated in writing by one of the attorneys-in-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 acting individually, its true and lawful attorney, to execute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deliver in its name and on its behalf whether the Company is acting individually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as representative of others, any and all filings required to be made by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under the Securities Exchange Act of 1934, (as amended, the "Act"), with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respect to securities which may be deemed to be beneficially owned by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under the Act, giving and granting unto each said attorney-in-fact power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authority to act in the premises as fully and to all intents and purposes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might or could do if personally present by one of its authorized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signatories,hereby ratifying and confirming all that said attorney-in-fact shall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lawfully do or cause to be done by virtue hereof.</w:t>
      </w:r>
    </w:p>
    <w:p>
      <w:pPr>
        <w:spacing w:after="0" w:line="207" w:lineRule="exact"/>
        <w:rPr>
          <w:sz w:val="20"/>
          <w:szCs w:val="20"/>
          <w:color w:val="auto"/>
        </w:rPr>
      </w:pPr>
    </w:p>
    <w:p>
      <w:pPr>
        <w:jc w:val="both"/>
        <w:ind w:right="231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either revoked in writing by the undersigned or until such time as the person or persons to whom power of attorney has been hereby granted cease(s) to be an employee of The Goldman Sachs Group, Inc. or one of its affiliates. The Company has the unrestricted right to unilaterally revoke this Power of Attorney.</w:t>
      </w:r>
    </w:p>
    <w:p>
      <w:pPr>
        <w:spacing w:after="0" w:line="210"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spacing w:after="0" w:line="17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November 30, 2012.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Ellen R. Porges</w:t>
      </w:r>
    </w:p>
    <w:p>
      <w:pPr>
        <w:spacing w:after="0" w:line="238" w:lineRule="auto"/>
        <w:rPr>
          <w:sz w:val="20"/>
          <w:szCs w:val="20"/>
          <w:color w:val="auto"/>
        </w:rPr>
      </w:pPr>
      <w:r>
        <w:rPr>
          <w:rFonts w:ascii="Courier New" w:cs="Courier New" w:eastAsia="Courier New" w:hAnsi="Courier New"/>
          <w:sz w:val="18"/>
          <w:szCs w:val="18"/>
          <w:color w:val="auto"/>
        </w:rPr>
        <w:t>____________________________</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Ellen R. Porges</w:t>
      </w:r>
    </w:p>
    <w:p>
      <w:pPr>
        <w:spacing w:after="0" w:line="237" w:lineRule="auto"/>
        <w:rPr>
          <w:sz w:val="20"/>
          <w:szCs w:val="20"/>
          <w:color w:val="auto"/>
        </w:rPr>
      </w:pPr>
      <w:r>
        <w:rPr>
          <w:rFonts w:ascii="Courier New" w:cs="Courier New" w:eastAsia="Courier New" w:hAnsi="Courier New"/>
          <w:sz w:val="18"/>
          <w:szCs w:val="18"/>
          <w:color w:val="auto"/>
        </w:rPr>
        <w:t>Title: General Counsel</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DESIGNATION OF ADDITIONAL ATTORNEY-IN-FACT</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KNOW ALL PERSONS BY THESE PRESENTS that Jeremy Kahn, a duly appointed attorney-in-fact of GOLDMAN SACHS ASSET MANAGEMENT, L.P. (the "Company") , pursuant to that Power of Attorney dated November 30, 2012 (the "POA"), does hereby designate Priya Iyer, an employee of the Company, as an additional attorney-in-fact, with the same authority to act as provided to the undersigned and the other attorneys-in-fact named in the POA.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This Designation</w:t>
            </w:r>
          </w:p>
        </w:tc>
        <w:tc>
          <w:tcPr>
            <w:tcW w:w="3580" w:type="dxa"/>
            <w:vAlign w:val="bottom"/>
            <w:gridSpan w:val="4"/>
          </w:tcPr>
          <w:p>
            <w:pPr>
              <w:spacing w:after="0"/>
              <w:rPr>
                <w:sz w:val="20"/>
                <w:szCs w:val="20"/>
                <w:color w:val="auto"/>
              </w:rPr>
            </w:pPr>
            <w:r>
              <w:rPr>
                <w:rFonts w:ascii="Courier New" w:cs="Courier New" w:eastAsia="Courier New" w:hAnsi="Courier New"/>
                <w:sz w:val="18"/>
                <w:szCs w:val="18"/>
                <w:color w:val="auto"/>
              </w:rPr>
              <w:t>of  Additional  Attorney-in-Fact</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(this</w:t>
            </w:r>
          </w:p>
        </w:tc>
        <w:tc>
          <w:tcPr>
            <w:tcW w:w="16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"Designation")</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shall</w:t>
            </w:r>
          </w:p>
        </w:tc>
      </w:tr>
      <w:tr>
        <w:trPr>
          <w:trHeight w:val="203"/>
        </w:trPr>
        <w:tc>
          <w:tcPr>
            <w:tcW w:w="4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not  affect  the continued  power  of</w:t>
            </w:r>
          </w:p>
        </w:tc>
        <w:tc>
          <w:tcPr>
            <w:tcW w:w="20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the   undersigned</w:t>
            </w:r>
          </w:p>
        </w:tc>
        <w:tc>
          <w:tcPr>
            <w:tcW w:w="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83"/>
              </w:rPr>
              <w:t>or</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other</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named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attorneys-in-fact</w:t>
            </w:r>
          </w:p>
        </w:tc>
        <w:tc>
          <w:tcPr>
            <w:tcW w:w="3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to act under the  POA to the</w:t>
            </w:r>
          </w:p>
        </w:tc>
        <w:tc>
          <w:tcPr>
            <w:tcW w:w="32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full extent permitted thereby.</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This Designation shall remain</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in full</w:t>
            </w:r>
          </w:p>
        </w:tc>
        <w:tc>
          <w:tcPr>
            <w:tcW w:w="36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force and effect until either it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the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POA is revoked in</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writing by</w:t>
            </w:r>
          </w:p>
        </w:tc>
        <w:tc>
          <w:tcPr>
            <w:tcW w:w="23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6"/>
              </w:rPr>
              <w:t>the Company, or until</w:t>
            </w:r>
          </w:p>
        </w:tc>
        <w:tc>
          <w:tcPr>
            <w:tcW w:w="8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such</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time as the</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persons to whom</w:t>
            </w:r>
          </w:p>
        </w:tc>
        <w:tc>
          <w:tcPr>
            <w:tcW w:w="2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power of attorney</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has been</w:t>
            </w: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hereby</w:t>
            </w:r>
          </w:p>
        </w:tc>
        <w:tc>
          <w:tcPr>
            <w:tcW w:w="2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granted cease(s) to be</w:t>
            </w:r>
          </w:p>
        </w:tc>
      </w:tr>
      <w:tr>
        <w:trPr>
          <w:trHeight w:val="203"/>
        </w:trPr>
        <w:tc>
          <w:tcPr>
            <w:tcW w:w="54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an employee of the Company or one of its affiliates.</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05"/>
        </w:trPr>
        <w:tc>
          <w:tcPr>
            <w:tcW w:w="4020" w:type="dxa"/>
            <w:vAlign w:val="bottom"/>
            <w:gridSpan w:val="3"/>
          </w:tcPr>
          <w:p>
            <w:pPr>
              <w:spacing w:after="0"/>
              <w:rPr>
                <w:sz w:val="20"/>
                <w:szCs w:val="20"/>
                <w:color w:val="auto"/>
              </w:rPr>
            </w:pPr>
            <w:r>
              <w:rPr>
                <w:rFonts w:ascii="Courier New" w:cs="Courier New" w:eastAsia="Courier New" w:hAnsi="Courier New"/>
                <w:sz w:val="18"/>
                <w:szCs w:val="18"/>
                <w:color w:val="auto"/>
              </w:rPr>
              <w:t>IN WITNESS WHEREOF, the  undersigned</w:t>
            </w:r>
          </w:p>
        </w:tc>
        <w:tc>
          <w:tcPr>
            <w:tcW w:w="20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6"/>
              </w:rPr>
              <w:t>has duly subscribed</w:t>
            </w:r>
          </w:p>
        </w:tc>
        <w:tc>
          <w:tcPr>
            <w:tcW w:w="23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these presents as of</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1, 2013.</w:t>
            </w: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608"/>
        </w:trPr>
        <w:tc>
          <w:tcPr>
            <w:tcW w:w="4020" w:type="dxa"/>
            <w:vAlign w:val="bottom"/>
            <w:gridSpan w:val="3"/>
          </w:tcPr>
          <w:p>
            <w:pPr>
              <w:spacing w:after="0"/>
              <w:rPr>
                <w:sz w:val="20"/>
                <w:szCs w:val="20"/>
                <w:color w:val="auto"/>
              </w:rPr>
            </w:pPr>
            <w:r>
              <w:rPr>
                <w:rFonts w:ascii="Courier New" w:cs="Courier New" w:eastAsia="Courier New" w:hAnsi="Courier New"/>
                <w:sz w:val="18"/>
                <w:szCs w:val="18"/>
                <w:color w:val="auto"/>
              </w:rPr>
              <w:t>GOLDMAN SACHS ASSET MANAGEMENT, L.P.</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08"/>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By:   /s/ Jeremy Kahn</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____________________________</w:t>
            </w: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Jeremy Kahn</w:t>
            </w: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Title: Attorney-In-Fact</w:t>
            </w: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9</w:t>
      </w:r>
    </w:p>
    <w:p>
      <w:pPr>
        <w:sectPr>
          <w:pgSz w:w="11900" w:h="16838" w:orient="portrait"/>
          <w:cols w:equalWidth="0" w:num="1">
            <w:col w:w="10219"/>
          </w:cols>
          <w:pgMar w:left="240" w:top="514" w:right="1440" w:bottom="564" w:gutter="0" w:footer="0" w:header="0"/>
        </w:sectPr>
      </w:pPr>
    </w:p>
    <w:bookmarkStart w:id="9" w:name="page10"/>
    <w:bookmarkEnd w:id="9"/>
    <w:p>
      <w:pPr>
        <w:ind w:left="6740"/>
        <w:spacing w:after="0"/>
        <w:rPr>
          <w:sz w:val="20"/>
          <w:szCs w:val="20"/>
          <w:color w:val="auto"/>
        </w:rPr>
      </w:pPr>
      <w:r>
        <w:rPr>
          <w:rFonts w:ascii="Courier New" w:cs="Courier New" w:eastAsia="Courier New" w:hAnsi="Courier New"/>
          <w:sz w:val="18"/>
          <w:szCs w:val="18"/>
          <w:color w:val="auto"/>
        </w:rPr>
        <w:t>EXHIBIT (99.3)</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KNOW ALL PERSONS BY THESE PRESENTS that GS INVESTMENT STRATEGIES, LLC (the "Company") does hereby make, constitute and appoint each of Dan Deluca, Jeremy Kahn and Brian Bae (and any other employee of The Goldman Sachs Group, Inc. or one of its affiliates designated in writing by one of the attorneys-in-fact),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0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either revoked in writing by the undersigned or until such time as the person or persons to whom power of attorney has been hereby granted cease(s) to be an employee of The Goldman Sachs Group, Inc. or one of its affiliates.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November 30, 2012.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GS INVESTMENT STRATEGIES,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Umit Alptuna</w:t>
      </w:r>
    </w:p>
    <w:p>
      <w:pPr>
        <w:spacing w:after="0" w:line="238" w:lineRule="auto"/>
        <w:rPr>
          <w:sz w:val="20"/>
          <w:szCs w:val="20"/>
          <w:color w:val="auto"/>
        </w:rPr>
      </w:pPr>
      <w:r>
        <w:rPr>
          <w:rFonts w:ascii="Courier New" w:cs="Courier New" w:eastAsia="Courier New" w:hAnsi="Courier New"/>
          <w:sz w:val="18"/>
          <w:szCs w:val="18"/>
          <w:color w:val="auto"/>
        </w:rPr>
        <w:t>____________________________</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Umit Alptuna</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Managing Director</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DESIGNATION OF ADDITIONAL ATTORNEY-IN-FACT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KNOW ALL PERSONS BY THESE PRESENTS that Jeremy Kahn, a duly appointed attorney-in-fact GS INVESTMENT STRATEGIES, LLC (the "Company") , pursuant to that Power of Attorney dated November 30, 2012 (the "POA"), does hereby designate Priya Iyer, an employee of the Company, as an additional attorney-in-fact, with the same authority to act as provided to the undersigned and the other attorneys-in-fact named in the POA.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This Designation</w:t>
            </w:r>
          </w:p>
        </w:tc>
        <w:tc>
          <w:tcPr>
            <w:tcW w:w="3580" w:type="dxa"/>
            <w:vAlign w:val="bottom"/>
            <w:gridSpan w:val="4"/>
          </w:tcPr>
          <w:p>
            <w:pPr>
              <w:spacing w:after="0"/>
              <w:rPr>
                <w:sz w:val="20"/>
                <w:szCs w:val="20"/>
                <w:color w:val="auto"/>
              </w:rPr>
            </w:pPr>
            <w:r>
              <w:rPr>
                <w:rFonts w:ascii="Courier New" w:cs="Courier New" w:eastAsia="Courier New" w:hAnsi="Courier New"/>
                <w:sz w:val="18"/>
                <w:szCs w:val="18"/>
                <w:color w:val="auto"/>
              </w:rPr>
              <w:t>of  Additional  Attorney-in-Fact</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(this</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w w:val="96"/>
              </w:rPr>
              <w:t>"Designation")</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shall</w:t>
            </w:r>
          </w:p>
        </w:tc>
      </w:tr>
      <w:tr>
        <w:trPr>
          <w:trHeight w:val="203"/>
        </w:trPr>
        <w:tc>
          <w:tcPr>
            <w:tcW w:w="3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not  affect  the continued  power  of</w:t>
            </w:r>
          </w:p>
        </w:tc>
        <w:tc>
          <w:tcPr>
            <w:tcW w:w="222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the   undersigned</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or  the  other</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named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attorneys-in-fact</w:t>
            </w:r>
          </w:p>
        </w:tc>
        <w:tc>
          <w:tcPr>
            <w:tcW w:w="2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to act under the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POA to the</w:t>
            </w:r>
          </w:p>
        </w:tc>
        <w:tc>
          <w:tcPr>
            <w:tcW w:w="32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full extent permitted thereby.</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This Designation shall remain</w:t>
            </w:r>
          </w:p>
        </w:tc>
        <w:tc>
          <w:tcPr>
            <w:tcW w:w="44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in full  force and effect until either it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the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POA is revoked in</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writing by</w:t>
            </w:r>
          </w:p>
        </w:tc>
        <w:tc>
          <w:tcPr>
            <w:tcW w:w="23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6"/>
              </w:rPr>
              <w:t>the Company, or until</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such</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time as the</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persons to whom</w:t>
            </w:r>
          </w:p>
        </w:tc>
        <w:tc>
          <w:tcPr>
            <w:tcW w:w="2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power of attorney</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has been</w:t>
            </w:r>
          </w:p>
        </w:tc>
        <w:tc>
          <w:tcPr>
            <w:tcW w:w="32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hereby  granted cease(s) to be</w:t>
            </w:r>
          </w:p>
        </w:tc>
      </w:tr>
      <w:tr>
        <w:trPr>
          <w:trHeight w:val="203"/>
        </w:trPr>
        <w:tc>
          <w:tcPr>
            <w:tcW w:w="54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an employee of the Company or one of its affiliates.</w:t>
            </w: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05"/>
        </w:trPr>
        <w:tc>
          <w:tcPr>
            <w:tcW w:w="3900" w:type="dxa"/>
            <w:vAlign w:val="bottom"/>
            <w:gridSpan w:val="3"/>
          </w:tcPr>
          <w:p>
            <w:pPr>
              <w:spacing w:after="0"/>
              <w:rPr>
                <w:sz w:val="20"/>
                <w:szCs w:val="20"/>
                <w:color w:val="auto"/>
              </w:rPr>
            </w:pPr>
            <w:r>
              <w:rPr>
                <w:rFonts w:ascii="Courier New" w:cs="Courier New" w:eastAsia="Courier New" w:hAnsi="Courier New"/>
                <w:sz w:val="18"/>
                <w:szCs w:val="18"/>
                <w:color w:val="auto"/>
                <w:w w:val="99"/>
              </w:rPr>
              <w:t>IN WITNESS WHEREOF, the  undersigned</w:t>
            </w:r>
          </w:p>
        </w:tc>
        <w:tc>
          <w:tcPr>
            <w:tcW w:w="222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has duly subscribed</w:t>
            </w:r>
          </w:p>
        </w:tc>
        <w:tc>
          <w:tcPr>
            <w:tcW w:w="2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these presents as of</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1, 2013.</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608"/>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GS INVESTMENT STRATEGIES, LLC</w:t>
            </w: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08"/>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By:   /s/ Jeremy Kahn</w:t>
            </w: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____________________________</w:t>
            </w: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Jeremy Kahn</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Title: Attorney-In-Fact</w:t>
            </w: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9 of 9</w:t>
      </w:r>
    </w:p>
    <w:p>
      <w:pPr>
        <w:sectPr>
          <w:pgSz w:w="11900" w:h="16838" w:orient="portrait"/>
          <w:cols w:equalWidth="0" w:num="1">
            <w:col w:w="10219"/>
          </w:cols>
          <w:pgMar w:left="240" w:top="514" w:right="1440"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4"/>
    </w:lvl>
  </w:abstractNum>
  <w:abstractNum w:abstractNumId="3">
    <w:nsid w:val="507ED7AB"/>
    <w:multiLevelType w:val="hybridMultilevel"/>
    <w:lvl w:ilvl="0">
      <w:lvlJc w:val="left"/>
      <w:lvlText w:val="%1."/>
      <w:numFmt w:val="decimal"/>
      <w:start w:val="9"/>
    </w:lvl>
  </w:abstractNum>
  <w:abstractNum w:abstractNumId="4">
    <w:nsid w:val="2EB141F2"/>
    <w:multiLevelType w:val="hybridMultilevel"/>
    <w:lvl w:ilvl="0">
      <w:lvlJc w:val="left"/>
      <w:lvlText w:val="%1."/>
      <w:numFmt w:val="decimal"/>
      <w:start w:val="10"/>
    </w:lvl>
  </w:abstractNum>
  <w:abstractNum w:abstractNumId="5">
    <w:nsid w:val="41B71EFB"/>
    <w:multiLevelType w:val="hybridMultilevel"/>
    <w:lvl w:ilvl="0">
      <w:lvlJc w:val="left"/>
      <w:lvlText w:val="%1."/>
      <w:numFmt w:val="decimal"/>
      <w:start w:val="11"/>
    </w:lvl>
  </w:abstractNum>
  <w:abstractNum w:abstractNumId="6">
    <w:nsid w:val="79E2A9E3"/>
    <w:multiLevelType w:val="hybridMultilevel"/>
    <w:lvl w:ilvl="0">
      <w:lvlJc w:val="left"/>
      <w:lvlText w:val="%1."/>
      <w:numFmt w:val="decimal"/>
      <w:start w:val="12"/>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2020-01-22T13:57:18Z</dcterms:created>
  <dcterms:modified xsi:type="dcterms:W3CDTF">2020-01-22T13:57:18Z</dcterms:modified>
</cp:coreProperties>
</file>