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40" w:hanging="328"/>
        <w:spacing w:after="0" w:line="256" w:lineRule="auto"/>
        <w:tabs>
          <w:tab w:leader="none" w:pos="539"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79"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right"/>
              <w:ind w:right="1410"/>
              <w:spacing w:after="0"/>
              <w:rPr>
                <w:sz w:val="20"/>
                <w:szCs w:val="20"/>
                <w:color w:val="auto"/>
              </w:rPr>
            </w:pPr>
            <w:r>
              <w:rPr>
                <w:rFonts w:ascii="Arial" w:cs="Arial" w:eastAsia="Arial" w:hAnsi="Arial"/>
                <w:sz w:val="18"/>
                <w:szCs w:val="18"/>
                <w:b w:val="1"/>
                <w:bCs w:val="1"/>
                <w:color w:val="auto"/>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2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1, 2016, there were 267,032,219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7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6600190</wp:posOffset>
            </wp:positionH>
            <wp:positionV relativeFrom="paragraph">
              <wp:posOffset>20955</wp:posOffset>
            </wp:positionV>
            <wp:extent cx="651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2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080" w:type="dxa"/>
            <w:vAlign w:val="bottom"/>
            <w:gridSpan w:val="16"/>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642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3740" w:type="dxa"/>
            <w:vAlign w:val="bottom"/>
            <w:gridSpan w:val="8"/>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9960" w:type="dxa"/>
            <w:vAlign w:val="bottom"/>
            <w:gridSpan w:val="3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June 30, 2016 and December 31, 2015</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For the three and six months ended June 30, 2016 and 2015</w:t>
              </w:r>
            </w:hyperlink>
          </w:p>
        </w:tc>
        <w:tc>
          <w:tcPr>
            <w:tcW w:w="192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896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For the three and six months ended June 30, 2016 and 2015</w:t>
              </w:r>
            </w:hyperlink>
          </w:p>
        </w:tc>
        <w:tc>
          <w:tcPr>
            <w:tcW w:w="10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9960" w:type="dxa"/>
            <w:vAlign w:val="bottom"/>
            <w:gridSpan w:val="3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Changes in Accumulated Other Comprehensive Income/(Loss): For the six months ended June 30,</w:t>
              </w:r>
            </w:hyperlink>
          </w:p>
        </w:tc>
        <w:tc>
          <w:tcPr>
            <w:tcW w:w="13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2016 and 2015</w:t>
              </w:r>
            </w:hyperlink>
          </w:p>
        </w:tc>
        <w:tc>
          <w:tcPr>
            <w:tcW w:w="8720" w:type="dxa"/>
            <w:vAlign w:val="bottom"/>
            <w:tcBorders>
              <w:top w:val="single" w:sz="8" w:color="0000EE"/>
            </w:tcBorders>
            <w:gridSpan w:val="2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9960" w:type="dxa"/>
            <w:vAlign w:val="bottom"/>
            <w:gridSpan w:val="3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six months ended June 30, 2016 and 2015</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Partners’ Capital: For the six months ended June 30, 2016 and 2015</w:t>
              </w:r>
            </w:hyperlink>
          </w:p>
        </w:tc>
        <w:tc>
          <w:tcPr>
            <w:tcW w:w="13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9960" w:type="dxa"/>
            <w:vAlign w:val="bottom"/>
            <w:gridSpan w:val="3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3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gridSpan w:val="3"/>
          </w:tcPr>
          <w:p>
            <w:pPr>
              <w:ind w:left="160"/>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1.</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Organization and Basis of Consolidation and Presentation</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2.</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Recent Accounting Pronouncements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3.</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Net Income Per Class A Share</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4.</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Accounts Receivable, Net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5.</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Inventory, Linefill and Base Gas and Long-term Inventory</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6.</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Goodwill</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7.</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Debt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8.</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Partners’ Capital and Distributions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00" w:type="dxa"/>
            <w:vAlign w:val="bottom"/>
            <w:tcBorders>
              <w:righ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520" w:type="dxa"/>
            <w:vAlign w:val="bottom"/>
            <w:gridSpan w:val="4"/>
          </w:tcPr>
          <w:p>
            <w:pPr>
              <w:ind w:left="360"/>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9.</w:t>
              </w:r>
            </w:hyperlink>
          </w:p>
        </w:tc>
        <w:tc>
          <w:tcPr>
            <w:tcW w:w="9640" w:type="dxa"/>
            <w:vAlign w:val="bottom"/>
            <w:gridSpan w:val="32"/>
          </w:tcPr>
          <w:p>
            <w:pPr>
              <w:ind w:left="2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Derivatives and Risk Management Activities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10. Related Party Transactions</w:t>
              </w:r>
            </w:hyperlink>
          </w:p>
        </w:tc>
        <w:tc>
          <w:tcPr>
            <w:tcW w:w="1200" w:type="dxa"/>
            <w:vAlign w:val="bottom"/>
            <w:tcBorders>
              <w:top w:val="single" w:sz="8" w:color="0000EE"/>
            </w:tcBorders>
            <w:gridSpan w:val="9"/>
          </w:tcPr>
          <w:p>
            <w:pPr>
              <w:spacing w:after="0"/>
              <w:rPr>
                <w:sz w:val="17"/>
                <w:szCs w:val="17"/>
                <w:color w:val="auto"/>
              </w:rPr>
            </w:pPr>
          </w:p>
        </w:tc>
        <w:tc>
          <w:tcPr>
            <w:tcW w:w="6380" w:type="dxa"/>
            <w:vAlign w:val="bottom"/>
            <w:gridSpan w:val="1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11. Commitments and Contingencies</w:t>
              </w:r>
            </w:hyperlink>
          </w:p>
        </w:tc>
        <w:tc>
          <w:tcPr>
            <w:tcW w:w="7100" w:type="dxa"/>
            <w:vAlign w:val="bottom"/>
            <w:gridSpan w:val="1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12. Operating Segments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13. Acquisitions, Dispositions and Impairments</w:t>
              </w:r>
            </w:hyperlink>
          </w:p>
        </w:tc>
        <w:tc>
          <w:tcPr>
            <w:tcW w:w="6360" w:type="dxa"/>
            <w:vAlign w:val="bottom"/>
            <w:gridSpan w:val="1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3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14. Simplification Transactions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40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9480" w:type="dxa"/>
            <w:vAlign w:val="bottom"/>
            <w:tcBorders>
              <w:bottom w:val="single" w:sz="8" w:color="0000EE"/>
            </w:tcBorders>
            <w:gridSpan w:val="35"/>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Item 2. MANAGEMENT’S DISCUSSION AND ANALYSIS OF FINANCIAL CONDITION AND RESULTS OF OPERATIONS</w:t>
              </w:r>
            </w:hyperlink>
          </w:p>
        </w:tc>
        <w:tc>
          <w:tcPr>
            <w:tcW w:w="6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0160" w:type="dxa"/>
            <w:vAlign w:val="bottom"/>
            <w:gridSpan w:val="3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346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12"/>
        </w:trPr>
        <w:tc>
          <w:tcPr>
            <w:tcW w:w="278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400" w:type="dxa"/>
            <w:vAlign w:val="bottom"/>
            <w:tcBorders>
              <w:top w:val="single" w:sz="8" w:color="0000EE"/>
            </w:tcBorders>
            <w:gridSpan w:val="4"/>
          </w:tcPr>
          <w:p>
            <w:pPr>
              <w:spacing w:after="0"/>
              <w:rPr>
                <w:sz w:val="24"/>
                <w:szCs w:val="24"/>
                <w:color w:val="auto"/>
              </w:rPr>
            </w:pPr>
          </w:p>
        </w:tc>
        <w:tc>
          <w:tcPr>
            <w:tcW w:w="6980" w:type="dxa"/>
            <w:vAlign w:val="bottom"/>
            <w:gridSpan w:val="15"/>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1. LEGAL PROCEEDINGS</w:t>
              </w:r>
            </w:hyperlink>
          </w:p>
        </w:tc>
        <w:tc>
          <w:tcPr>
            <w:tcW w:w="7720" w:type="dxa"/>
            <w:vAlign w:val="bottom"/>
            <w:gridSpan w:val="2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160" w:type="dxa"/>
            <w:vAlign w:val="bottom"/>
            <w:gridSpan w:val="3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2. UNREGISTERED SALES OF EQUITY SECURITIES AND USE OF PROCEEDS</w:t>
              </w:r>
            </w:hyperlink>
          </w:p>
        </w:tc>
        <w:tc>
          <w:tcPr>
            <w:tcW w:w="352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160" w:type="dxa"/>
            <w:vAlign w:val="bottom"/>
            <w:gridSpan w:val="3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3. DEFAULTS UPON SENIOR SECURITIES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4. MINE SAFETY DISCLOSURES</w:t>
              </w:r>
            </w:hyperlink>
          </w:p>
        </w:tc>
        <w:tc>
          <w:tcPr>
            <w:tcW w:w="6420" w:type="dxa"/>
            <w:vAlign w:val="bottom"/>
            <w:gridSpan w:val="1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5. OTHER INFORMATION</w:t>
              </w:r>
            </w:hyperlink>
          </w:p>
        </w:tc>
        <w:tc>
          <w:tcPr>
            <w:tcW w:w="7160" w:type="dxa"/>
            <w:vAlign w:val="bottom"/>
            <w:gridSpan w:val="1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7720" w:type="dxa"/>
            <w:vAlign w:val="bottom"/>
            <w:gridSpan w:val="2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8780" w:type="dxa"/>
            <w:vAlign w:val="bottom"/>
            <w:gridSpan w:val="2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453"/>
        </w:trPr>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320" w:type="dxa"/>
            <w:vAlign w:val="bottom"/>
            <w:gridSpan w:val="22"/>
          </w:tcPr>
          <w:p>
            <w:pPr>
              <w:jc w:val="right"/>
              <w:ind w:right="6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0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(unaudited)</w:t>
            </w: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tcPr>
          <w:p>
            <w:pPr>
              <w:jc w:val="right"/>
              <w:ind w:right="100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Inventory</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19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15,890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19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Linefill and base gas</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2,334</w:t>
            </w:r>
          </w:p>
        </w:tc>
        <w:tc>
          <w:tcPr>
            <w:tcW w:w="80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 of unamortized debt issuance costs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8"/>
              </w:rPr>
              <w:t>Class A Shareholders (267,032,219 and 229,278,980 shares outstanding, respectively)</w:t>
            </w: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7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7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3"/>
          </w:tcPr>
          <w:p>
            <w:pPr>
              <w:jc w:val="center"/>
              <w:ind w:right="214"/>
              <w:spacing w:after="0" w:line="142" w:lineRule="exact"/>
              <w:rPr>
                <w:sz w:val="20"/>
                <w:szCs w:val="20"/>
                <w:color w:val="auto"/>
              </w:rPr>
            </w:pPr>
            <w:r>
              <w:rPr>
                <w:rFonts w:ascii="Arial" w:cs="Arial" w:eastAsia="Arial" w:hAnsi="Arial"/>
                <w:sz w:val="14"/>
                <w:szCs w:val="14"/>
                <w:b w:val="1"/>
                <w:bCs w:val="1"/>
                <w:color w:val="auto"/>
                <w:w w:val="94"/>
              </w:rPr>
              <w:t>(unaudited)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94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4,648</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6,346</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8,467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4,950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4,224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4,805</w:t>
            </w: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rPr>
              <w:t>Interest expense (net of capitalized interest of $12, $13, $26 and $27,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7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9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0.16</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9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0.15</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 SHARES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624</w:t>
            </w:r>
          </w:p>
        </w:tc>
        <w:tc>
          <w:tcPr>
            <w:tcW w:w="7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56" w:right="239" w:bottom="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78"/>
              <w:spacing w:after="0" w:line="142" w:lineRule="exact"/>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740" w:type="dxa"/>
            <w:vAlign w:val="bottom"/>
          </w:tcPr>
          <w:p>
            <w:pPr>
              <w:ind w:left="200"/>
              <w:spacing w:after="0" w:line="201" w:lineRule="exact"/>
              <w:rPr>
                <w:sz w:val="20"/>
                <w:szCs w:val="20"/>
                <w:color w:val="auto"/>
              </w:rPr>
            </w:pPr>
            <w:r>
              <w:rPr>
                <w:rFonts w:ascii="Arial" w:cs="Arial" w:eastAsia="Arial" w:hAnsi="Arial"/>
                <w:sz w:val="18"/>
                <w:szCs w:val="18"/>
                <w:color w:val="auto"/>
                <w:w w:val="96"/>
              </w:rPr>
              <w:t>Comprehensive (income)/loss attributable to noncontrolling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259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320</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Inventory valuation adjustments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Gain on foreign currency revaluation</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terminated interest rate hedging instruments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Change in fair value of Preferred Distribution Rate Reset Option (Note 9)</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earnings in unconsolidated entities</w:t>
            </w:r>
          </w:p>
        </w:tc>
        <w:tc>
          <w:tcPr>
            <w:tcW w:w="1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Distributions from unconsolidated entities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124"/>
        </w:trPr>
        <w:tc>
          <w:tcPr>
            <w:tcW w:w="69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paid in connection with acquisitions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PAA commercial paper program (Note 7)</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borrowings under PAA senior secured hedged inventory facility (Note 7)</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AAP senior secured revolving credit facility (Note 7)</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Repayments of PAA senior notes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sale of Series A preferred units by a subsidiary (Note 8)</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proceeds from the sale of common units by a subsidiary</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Class A shareholders (Note 8)</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Distributions paid to noncontrolling interests (Note 8)</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3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paid for:</w:t>
            </w: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18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4"/>
                <w:szCs w:val="1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Shareholders</w:t>
            </w:r>
          </w:p>
        </w:tc>
        <w:tc>
          <w:tcPr>
            <w:tcW w:w="14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259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distributions to partners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Change in ownership interest in connection with Exchange Right exercises (Note 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Sale of Series A preferred units by a subsidiary</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Shareholders</w:t>
            </w:r>
          </w:p>
        </w:tc>
        <w:tc>
          <w:tcPr>
            <w:tcW w:w="14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304</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365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distributions to partners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Sale of common units by a subsidiary</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10-Q and unless the context indicates otherwise (taking into account the fact that PAGP has no operating activities apart from those conducted by PAA and its subsidiaries), the terms “Partnership,” “we,” “us,” “our,” “ours” and similar terms refer to PAGP and its consolidated subsidiaries.</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of June 30, 2016, our sole assets consisted of (i) a 100% managing member interest in Plains All American GP LLC (“GP LLC”) and (ii) an approximate 43% limited partner interest in Plains AAP, L.P. (“AAP”) through our ownership of 267,032,219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PAA GP Holdings LLC (“GP Holdings”), a Delaware limited liability company, is our general partner.</w:t>
      </w:r>
    </w:p>
    <w:p>
      <w:pPr>
        <w:spacing w:after="0" w:line="193"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12 for further discussion of our operating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July 11, 2016, PAGP, PAA,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AAP will contribute the IDRs to PAA and PAA GP’s 2% economic general partner interest in PAA will be converted into a non-economic general partner interest in PAA. Following the closing of the transactions contemplated by the Simplification Agreement, both PAGP and PAA will continue to be publicly traded. See Note 14 for further discussion of this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AOCI</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Bcf</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Btu</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CAD</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DERs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EPA</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FASB</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GAAP</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ICE</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LIBOR</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LTIP</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Mcf</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43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tcPr>
          <w:p>
            <w:pPr>
              <w:ind w:left="3940"/>
              <w:spacing w:after="0"/>
              <w:rPr>
                <w:sz w:val="20"/>
                <w:szCs w:val="20"/>
                <w:color w:val="auto"/>
              </w:rPr>
            </w:pPr>
            <w:r>
              <w:rPr>
                <w:rFonts w:ascii="Arial" w:cs="Arial" w:eastAsia="Arial" w:hAnsi="Arial"/>
                <w:sz w:val="18"/>
                <w:szCs w:val="18"/>
                <w:color w:val="auto"/>
              </w:rPr>
              <w:t>8</w:t>
            </w:r>
          </w:p>
        </w:tc>
      </w:tr>
      <w:tr>
        <w:trPr>
          <w:trHeight w:val="132"/>
        </w:trPr>
        <w:tc>
          <w:tcPr>
            <w:tcW w:w="12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740" w:type="dxa"/>
            <w:vAlign w:val="bottom"/>
            <w:tcBorders>
              <w:bottom w:val="single" w:sz="8" w:color="808080"/>
            </w:tcBorders>
          </w:tcPr>
          <w:p>
            <w:pPr>
              <w:spacing w:after="0"/>
              <w:rPr>
                <w:sz w:val="11"/>
                <w:szCs w:val="11"/>
                <w:color w:val="auto"/>
              </w:rPr>
            </w:pPr>
          </w:p>
        </w:tc>
      </w:tr>
      <w:tr>
        <w:trPr>
          <w:trHeight w:val="523"/>
        </w:trPr>
        <w:tc>
          <w:tcPr>
            <w:tcW w:w="1360" w:type="dxa"/>
            <w:vAlign w:val="bottom"/>
            <w:gridSpan w:val="2"/>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3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NGL</w:t>
            </w:r>
          </w:p>
        </w:tc>
        <w:tc>
          <w:tcPr>
            <w:tcW w:w="8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NYMEX</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Oxy</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PLA</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SEC</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VIE</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Variable Interest Entity</w:t>
            </w: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USD</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74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sectPr>
      </w:pPr>
    </w:p>
    <w:bookmarkStart w:id="6" w:name="page7"/>
    <w:bookmarkEnd w:id="6"/>
    <w:p>
      <w:pPr>
        <w:spacing w:after="0" w:line="69"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18"/>
          <w:szCs w:val="18"/>
          <w:color w:val="auto"/>
        </w:rPr>
        <w:t>WTI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 Texas Intermediate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2015 Annual Report on Form 10-K. On January 1, 2016 we adopted FASB guidance regarding the analysis that a reporting entity must perform to determine whether it should consolidate certain types of legal entities. Among other things, the guidance modified the evaluation of whether limited partnerships are variable interest entities (“VIE”) and eliminates the presumption that a general partner should consolidate a limited partnership. The adoption of this standard did not impact our consolidation conclusions, but did result in a change in our analysis and an increase in disclosures regarding our analysis.</w:t>
      </w:r>
    </w:p>
    <w:p>
      <w:pPr>
        <w:spacing w:after="0" w:line="15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Management judgment is required to evaluate whether PAGP controls an entity. Key areas of that evaluation include (i) determining whether an entity is a VIE;</w:t>
      </w:r>
    </w:p>
    <w:p>
      <w:pPr>
        <w:ind w:firstLine="8"/>
        <w:spacing w:after="0" w:line="251"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An entity is referred to as a VIE pursuant to accounting guidance for consolidation if it possesses one of the following criteria: (i) it is thinly capitalized, (ii) the residual equity holders do not control the entity, (iii) the equity holders are shielded from the economic losses, (iv) the equity holders do not participate fully in the entity’s residual economics, or (v) the entity was established with non-substantive voting interests. We consolidate a VIE when we have both the power to direct the activities that most significantly impact the activities of the VIE and the right to receive benefits or the obligation to absorb losses of the entity that could be potentially significant to the VIE. We continually monitor both consolidated and unconsolidated VIEs to determine if any events have occurred that could cause the primary beneficiary to change.</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determined that PAA and AAP are VIEs and should be consolidated by PAGP along with GP LLC. PAA is a VIE due to its allocation of income, but not losses, to the holder(s) of IDRs. AAP is a VIE because GP LLC controls AAP through its general partnership interest, but does not have an economic interest in AAP. AAP is the primary beneficiary of PAA because it has the power to direct the activities that most significantly impact PAA’s performance. PAGP is the primary beneficiary of AAP because it has the power, through its control of GP LLC, to direct the activities that most significantly impact AAP’s performance.</w:t>
      </w:r>
    </w:p>
    <w:p>
      <w:pPr>
        <w:spacing w:after="0" w:line="188"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With the exception of a deferred tax asset of $1,893 million and $1,835 million as of June 30, 2016 and December 31, 2015, respectively, substantially all assets and liabilities presented on PAGP’s consolidated balance sheet are those of the consolidated VIEs above.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2016 or during the year ended December 31, 2015. Amounts associated with the interests in these entities not owned by us are reflected in our results of operations as net income attributable to noncontrolling interests and on our balance sheet in the partners’ capital section as noncontrolling interests.</w:t>
      </w:r>
    </w:p>
    <w:p>
      <w:pPr>
        <w:spacing w:after="0" w:line="16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Such reclassifications include $2 million and $5 million reclassified from “Depreciation and amortization” to “Interest expense, net” in our accompanying Condensed Consolidated Statements of Operations for the three and six months ended June 30, 2015, respectively due to the retrospective application of revised debt issuance costs guidance issued by the FASB, which we adopted during the fourth quarter of 2015. These reclassifications do not affect net income attributable to PAGP. The condensed consolidated balance sheet data as of December 31, 2015 was derived from audited financial statements, but does not include all disclosures required by GAAP. The results of operations for the three and six months ended June 30, 2016 should not be taken as indicative of results to be expected for the entire year.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six months ended June 30, 2016 that are of significance or potential significance to us.</w:t>
      </w:r>
    </w:p>
    <w:p>
      <w:pPr>
        <w:spacing w:after="0" w:line="14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120" w:firstLine="8"/>
        <w:spacing w:after="0" w:line="271"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became effective for interim and annual periods beginning after December 15, 2015. We adopted this guidance on January 1, 2016. See Note 1 for additional disclosure. Our adoption did not have a material impact on our financial position, results of operations or cash flows.</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we are currently evaluating the effect that adopting this guidance will have on our financial position, results of operations and cash flows.</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w:t>
      </w:r>
    </w:p>
    <w:p>
      <w:pPr>
        <w:sectPr>
          <w:pgSz w:w="11900" w:h="16908" w:orient="portrait"/>
          <w:cols w:equalWidth="0" w:num="1">
            <w:col w:w="11400"/>
          </w:cols>
          <w:pgMar w:left="240" w:top="125" w:right="259" w:bottom="0" w:gutter="0" w:footer="0" w:header="0"/>
        </w:sectPr>
      </w:pPr>
    </w:p>
    <w:bookmarkStart w:id="7" w:name="page8"/>
    <w:bookmarkEnd w:id="7"/>
    <w:p>
      <w:pPr>
        <w:ind w:right="220"/>
        <w:spacing w:after="0" w:line="264" w:lineRule="auto"/>
        <w:rPr>
          <w:sz w:val="20"/>
          <w:szCs w:val="20"/>
          <w:color w:val="auto"/>
        </w:rPr>
      </w:pPr>
      <w:r>
        <w:rPr>
          <w:rFonts w:ascii="Arial" w:cs="Arial" w:eastAsia="Arial" w:hAnsi="Arial"/>
          <w:sz w:val="18"/>
          <w:szCs w:val="18"/>
          <w:color w:val="auto"/>
        </w:rPr>
        <w:t>guidance will become effective for interim and annual periods beginning after December 15, 2016, with early adoption permitted. We expect to adopt this guidance on January 1, 2017, and we are currently evaluating the effect that adopting this guidance will have on our financial position, results of operations and cash flows.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8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three months ended June 30, 2016 and the three and six months ended June 30, 2015, the possible exchange of certain AAP Management Units would not have had a dilutive effect on basic net income per Class A share. For the three months ended June 30, 2015, the possible exchange of any AAP units would not have had a dilutive effect on basic net income per Class A share. The following table illustrates the calculation of basic and diluted net income per Class A share (in millions,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0.16</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Incremental net income attributable to PAGP resulting from assumed</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exchange of AAP units and AAP Management Units</w:t>
            </w:r>
          </w:p>
        </w:tc>
        <w:tc>
          <w:tcPr>
            <w:tcW w:w="3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ind w:left="180"/>
              <w:spacing w:after="0" w:line="182" w:lineRule="exact"/>
              <w:rPr>
                <w:sz w:val="20"/>
                <w:szCs w:val="20"/>
                <w:color w:val="auto"/>
              </w:rPr>
            </w:pPr>
            <w:r>
              <w:rPr>
                <w:rFonts w:ascii="Arial" w:cs="Arial" w:eastAsia="Arial" w:hAnsi="Arial"/>
                <w:sz w:val="18"/>
                <w:szCs w:val="18"/>
                <w:color w:val="auto"/>
              </w:rPr>
              <w:t>Net income attributable to PAGP including incremental net income from</w:t>
            </w:r>
          </w:p>
        </w:tc>
        <w:tc>
          <w:tcPr>
            <w:tcW w:w="1080" w:type="dxa"/>
            <w:vAlign w:val="bottom"/>
            <w:gridSpan w:val="2"/>
            <w:vMerge w:val="restart"/>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5"/>
                <w:szCs w:val="15"/>
                <w:color w:val="auto"/>
              </w:rPr>
            </w:pPr>
          </w:p>
        </w:tc>
        <w:tc>
          <w:tcPr>
            <w:tcW w:w="680" w:type="dxa"/>
            <w:vAlign w:val="bottom"/>
            <w:vMerge w:val="restart"/>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189</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Pr>
          <w:p>
            <w:pPr>
              <w:ind w:left="360"/>
              <w:spacing w:after="0"/>
              <w:rPr>
                <w:sz w:val="20"/>
                <w:szCs w:val="20"/>
                <w:color w:val="auto"/>
              </w:rPr>
            </w:pPr>
            <w:r>
              <w:rPr>
                <w:rFonts w:ascii="Arial" w:cs="Arial" w:eastAsia="Arial" w:hAnsi="Arial"/>
                <w:sz w:val="18"/>
                <w:szCs w:val="18"/>
                <w:color w:val="auto"/>
              </w:rPr>
              <w:t>assumed exchange of AAP units and AAP Management Units</w:t>
            </w:r>
          </w:p>
        </w:tc>
        <w:tc>
          <w:tcPr>
            <w:tcW w:w="108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62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6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Dilutive shares resulting from assumed exchange of AAP units and AAP</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 Units</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6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3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10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0.15</w:t>
            </w: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0.14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4—Accounts Receivable, Net</w:t>
            </w: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June 30, 2016 and December 31, 2015, we had received $93 million and $88 million, respectively, of advance cash payments from third parties to mitigate credit risk. We also received $73 million and $36 million as of June 30,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review all outstanding accounts receivable balances on a monthly basis and record a reserve for amounts that we expect will not be fully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recovered. We do not apply actual balances against the reserve until we have exhausted substantially all collection efforts. At June 30, 2016 and December 31,</w:t>
      </w:r>
    </w:p>
    <w:p>
      <w:pPr>
        <w:sectPr>
          <w:pgSz w:w="11900" w:h="16838" w:orient="portrait"/>
          <w:cols w:equalWidth="0" w:num="1">
            <w:col w:w="11420"/>
          </w:cols>
          <w:pgMar w:left="240" w:top="125" w:right="239" w:bottom="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t>2015, substantially all of our trade accounts receivable (net of allowance for doubtful accounts) were less than 30 days past their scheduled invoice date. Our allowance for doubtful accounts receivable totaled $4 million at both June 30, 2016 and December 31, 2015. Although we consider our allowance for doubtful accounts receivable to be adequate, actual amounts could vary significantly from estimated amounts.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Price/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60"/>
              <w:spacing w:after="0" w:line="172" w:lineRule="exact"/>
              <w:rPr>
                <w:sz w:val="20"/>
                <w:szCs w:val="20"/>
                <w:color w:val="auto"/>
              </w:rPr>
            </w:pPr>
            <w:r>
              <w:rPr>
                <w:rFonts w:ascii="Arial" w:cs="Arial" w:eastAsia="Arial" w:hAnsi="Arial"/>
                <w:sz w:val="14"/>
                <w:szCs w:val="14"/>
                <w:b w:val="1"/>
                <w:bCs w:val="1"/>
                <w:color w:val="auto"/>
                <w:w w:val="93"/>
              </w:rPr>
              <w:t xml:space="preserve">Unit </w:t>
            </w:r>
            <w:r>
              <w:rPr>
                <w:rFonts w:ascii="Arial" w:cs="Arial" w:eastAsia="Arial" w:hAnsi="Arial"/>
                <w:sz w:val="17"/>
                <w:szCs w:val="17"/>
                <w:b w:val="1"/>
                <w:bCs w:val="1"/>
                <w:color w:val="auto"/>
                <w:w w:val="93"/>
                <w:vertAlign w:val="superscript"/>
              </w:rPr>
              <w:t>(1)</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20,013</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40.92</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16,345</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12,813</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13,907</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Natural gas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15,055</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Mcf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22,080</w:t>
            </w:r>
          </w:p>
        </w:tc>
        <w:tc>
          <w:tcPr>
            <w:tcW w:w="1120" w:type="dxa"/>
            <w:vAlign w:val="bottom"/>
            <w:gridSpan w:val="2"/>
          </w:tcPr>
          <w:p>
            <w:pPr>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Inventory subtotal</w:t>
            </w: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12,227</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58.56</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12,298</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33.21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1,348</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30,812</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30,812</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Pr>
          <w:p>
            <w:pPr>
              <w:ind w:left="180"/>
              <w:spacing w:after="0" w:line="182" w:lineRule="exact"/>
              <w:rPr>
                <w:sz w:val="20"/>
                <w:szCs w:val="20"/>
                <w:color w:val="auto"/>
              </w:rPr>
            </w:pPr>
            <w:r>
              <w:rPr>
                <w:rFonts w:ascii="Arial" w:cs="Arial" w:eastAsia="Arial" w:hAnsi="Arial"/>
                <w:sz w:val="18"/>
                <w:szCs w:val="18"/>
                <w:color w:val="auto"/>
              </w:rPr>
              <w:t>Linefill and base gas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36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3,396</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3,417</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NGL</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1,418</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15.51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1,652</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Long-term inventory</w:t>
            </w: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2016 and determined that there was no impairment of goodwill.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left="348"/>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96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60" w:type="dxa"/>
            <w:vAlign w:val="bottom"/>
          </w:tcPr>
          <w:p>
            <w:pPr>
              <w:spacing w:after="0" w:line="216" w:lineRule="exact"/>
              <w:rPr>
                <w:sz w:val="20"/>
                <w:szCs w:val="20"/>
                <w:color w:val="auto"/>
              </w:rPr>
            </w:pPr>
            <w:r>
              <w:rPr>
                <w:rFonts w:ascii="Arial" w:cs="Arial" w:eastAsia="Arial" w:hAnsi="Arial"/>
                <w:sz w:val="18"/>
                <w:szCs w:val="18"/>
                <w:color w:val="auto"/>
                <w:w w:val="94"/>
              </w:rPr>
              <w:t xml:space="preserve">PAA commercial paper notes, bearing a weighted-average interest rate of 1.3% and 1.1%, respectively </w:t>
            </w:r>
            <w:r>
              <w:rPr>
                <w:rFonts w:ascii="Arial" w:cs="Arial" w:eastAsia="Arial" w:hAnsi="Arial"/>
                <w:sz w:val="23"/>
                <w:szCs w:val="23"/>
                <w:color w:val="auto"/>
                <w:w w:val="94"/>
                <w:vertAlign w:val="superscript"/>
              </w:rPr>
              <w:t>(1)</w:t>
            </w:r>
          </w:p>
        </w:tc>
        <w:tc>
          <w:tcPr>
            <w:tcW w:w="13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PAA senior secured hedged inventory facility, bearing a weighted-average interest rate of 1.4% and 1.4%,</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PAA senior notes: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5.88% senior notes due August 2016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ind w:left="200"/>
              <w:spacing w:after="0"/>
              <w:rPr>
                <w:sz w:val="20"/>
                <w:szCs w:val="20"/>
                <w:color w:val="auto"/>
              </w:rPr>
            </w:pPr>
            <w:r>
              <w:rPr>
                <w:rFonts w:ascii="Arial" w:cs="Arial" w:eastAsia="Arial" w:hAnsi="Arial"/>
                <w:sz w:val="18"/>
                <w:szCs w:val="18"/>
                <w:color w:val="auto"/>
              </w:rPr>
              <w:t>6.13% senior notes due January 2017</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0"/>
        </w:trPr>
        <w:tc>
          <w:tcPr>
            <w:tcW w:w="7960" w:type="dxa"/>
            <w:vAlign w:val="bottom"/>
          </w:tcPr>
          <w:p>
            <w:pPr>
              <w:ind w:left="380"/>
              <w:spacing w:after="0"/>
              <w:rPr>
                <w:sz w:val="20"/>
                <w:szCs w:val="20"/>
                <w:color w:val="auto"/>
              </w:rPr>
            </w:pPr>
            <w:r>
              <w:rPr>
                <w:rFonts w:ascii="Arial" w:cs="Arial" w:eastAsia="Arial" w:hAnsi="Arial"/>
                <w:sz w:val="18"/>
                <w:szCs w:val="18"/>
                <w:color w:val="auto"/>
              </w:rPr>
              <w:t>Total short-term debt</w:t>
            </w:r>
          </w:p>
        </w:tc>
        <w:tc>
          <w:tcPr>
            <w:tcW w:w="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1,302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PAA senior notes, net of unamortized discounts and debt issuance costs of $72 and $77, respectively</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long-term debt: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PAA commercial paper notes, bearing a weighted-average interest rate of 1.3% and 1.1%, respectively</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AAP term loan, bearing a weighted-average interest rate of 2.1% and 2.0%, respectively</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02"/>
        </w:trPr>
        <w:tc>
          <w:tcPr>
            <w:tcW w:w="8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AAP senior secured revolving credit facility, bearing a weighted-average interest rate of 2.0% and 2.0%,</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0"/>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56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20" w:hanging="616"/>
        <w:spacing w:after="0" w:line="234" w:lineRule="auto"/>
        <w:tabs>
          <w:tab w:leader="none" w:pos="643"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We classified these PAA commercial paper notes and credit facility borrowings as short-term as of June 30,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right="220" w:hanging="634"/>
        <w:spacing w:after="0" w:line="277" w:lineRule="auto"/>
        <w:tabs>
          <w:tab w:leader="none" w:pos="65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PAA’s fixed-rate senior notes (including current maturities) had a face value of approximately $9.8 billion as of both June 30, 2016 and December 31, 2015. We estimated the aggregate fair value of these notes as of June 30, 2016 and December 31, 2015 to be approximately $9.6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agreements and the PAA commercial paper program approximates fair value as interest rates reflect current market rates. The fair value estimates for the PAA senior notes, the credit agreements and the PAA commercial paper program are based upon observable market data and are classified in Level 2 of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six months ended June 30, 2016 and 2015 were approximately $23.0 billion and $17.9 billion, respectively. Total repayments under the credit agreements and the PAA commercial paper program were approximately $23.6 billion and $17.7 billion for the six months ended June 30,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2016 and December 31, 2015, we had outstanding letters of credit of $48 million and $46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Class B shares and general partner units are transferred by the exercising party to us. Additionally, a holder of vested AAP Management Units is entitled to convert his or her AAP Management Units into AAP units and a like number of our Class B shares based on a conversion ratio calculated in accordance with the AAP limited partnership agreement (which conversion ratio will not be more than one-to-one and was approximately 0.941 AAP units for each AAP Management Unit as of June 30, 2016).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or the exercise of their Exchange Right. See Note 15 to our Consolidated Financial Statements included in Part IV of our 2015 Annual Report on Form 10-K for more information regarding AAP Management Units.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six months ended June 30, 2016, certain holders of AAP units and their permitted transferees exercised their Exchange Right, which resulted in the exchange of AAP units, general partner units and our Class B shares for our Class A shares. Additionally, during the six months ended June 30, 2016, certain holders of AAP Management Units converted an aggregate of 19,137,234 AAP Management Units into AAP units and our Class B shares based on the conversion ratio in effect at the time of each conversion. Certain of those unitholders subsequently exercised their Exchange Right for our Class A shares. The impact on our Class A shares and Class B shares outstanding of the AAP Management Unit conversions and Exchange Right exercises that occurred during the six months ended June 30, 2016 is reflected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and Class B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376,771,593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229,278,980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Shares issued in connection with conversion of AAP Management Units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17,954,751</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(37,732,439)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37,732,439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356,993,905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267,032,219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(17,358,379)</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17,358,379</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Outstanding at June 30, 2015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381,738,120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224,312,453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six months of 2016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Distribution Date</w:t>
            </w:r>
          </w:p>
        </w:tc>
        <w:tc>
          <w:tcPr>
            <w:tcW w:w="300" w:type="dxa"/>
            <w:vAlign w:val="bottom"/>
          </w:tcPr>
          <w:p>
            <w:pPr>
              <w:spacing w:after="0"/>
              <w:rPr>
                <w:sz w:val="14"/>
                <w:szCs w:val="14"/>
                <w:color w:val="auto"/>
              </w:rPr>
            </w:pPr>
          </w:p>
        </w:tc>
        <w:tc>
          <w:tcPr>
            <w:tcW w:w="1920" w:type="dxa"/>
            <w:vAlign w:val="bottom"/>
          </w:tcPr>
          <w:p>
            <w:pPr>
              <w:jc w:val="right"/>
              <w:ind w:right="247"/>
              <w:spacing w:after="0"/>
              <w:rPr>
                <w:sz w:val="20"/>
                <w:szCs w:val="20"/>
                <w:color w:val="auto"/>
              </w:rPr>
            </w:pPr>
            <w:r>
              <w:rPr>
                <w:rFonts w:ascii="Arial" w:cs="Arial" w:eastAsia="Arial" w:hAnsi="Arial"/>
                <w:sz w:val="14"/>
                <w:szCs w:val="14"/>
                <w:b w:val="1"/>
                <w:bCs w:val="1"/>
                <w:color w:val="auto"/>
              </w:rPr>
              <w:t>Distributions to</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Distributions per</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ind w:right="67"/>
              <w:spacing w:after="0"/>
              <w:rPr>
                <w:sz w:val="20"/>
                <w:szCs w:val="20"/>
                <w:color w:val="auto"/>
              </w:rPr>
            </w:pPr>
            <w:r>
              <w:rPr>
                <w:rFonts w:ascii="Arial" w:cs="Arial" w:eastAsia="Arial" w:hAnsi="Arial"/>
                <w:sz w:val="14"/>
                <w:szCs w:val="14"/>
                <w:b w:val="1"/>
                <w:bCs w:val="1"/>
                <w:color w:val="auto"/>
              </w:rPr>
              <w:t>Class A Shareholders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 Share</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11, 2016</w:t>
            </w:r>
          </w:p>
        </w:tc>
        <w:tc>
          <w:tcPr>
            <w:tcW w:w="3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August 12, 2016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April 7,</w:t>
            </w:r>
          </w:p>
        </w:tc>
        <w:tc>
          <w:tcPr>
            <w:tcW w:w="3500" w:type="dxa"/>
            <w:vAlign w:val="bottom"/>
          </w:tcPr>
          <w:p>
            <w:pPr>
              <w:ind w:left="20"/>
              <w:spacing w:after="0"/>
              <w:rPr>
                <w:sz w:val="20"/>
                <w:szCs w:val="20"/>
                <w:color w:val="auto"/>
              </w:rPr>
            </w:pPr>
            <w:r>
              <w:rPr>
                <w:rFonts w:ascii="Arial" w:cs="Arial" w:eastAsia="Arial" w:hAnsi="Arial"/>
                <w:sz w:val="18"/>
                <w:szCs w:val="18"/>
                <w:color w:val="auto"/>
              </w:rPr>
              <w:t>2016</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rPr>
              <w:t>May 13, 2016</w:t>
            </w:r>
          </w:p>
        </w:tc>
        <w:tc>
          <w:tcPr>
            <w:tcW w:w="2220" w:type="dxa"/>
            <w:vAlign w:val="bottom"/>
            <w:gridSpan w:val="2"/>
          </w:tcPr>
          <w:p>
            <w:pPr>
              <w:jc w:val="right"/>
              <w:ind w:right="1767"/>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0.231</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January</w:t>
            </w: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12, 2016</w:t>
            </w: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February 12, 2016</w:t>
            </w:r>
          </w:p>
        </w:tc>
        <w:tc>
          <w:tcPr>
            <w:tcW w:w="2220" w:type="dxa"/>
            <w:vAlign w:val="bottom"/>
            <w:gridSpan w:val="2"/>
            <w:shd w:val="clear" w:color="auto" w:fill="CCEEFF"/>
          </w:tcPr>
          <w:p>
            <w:pPr>
              <w:jc w:val="right"/>
              <w:ind w:right="1767"/>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680" w:hanging="5612"/>
        <w:spacing w:after="0" w:line="461" w:lineRule="auto"/>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July 29, 2016 for the period April 1, 2016 through June 30, 2016.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As of June 30, 2016, noncontrolling interests in our subsidiaries consisted of (i) a 98% limited partner interest in PAA, (ii) an approximate 57% limited partner interest in AAP that consists of Class A units and AAP Management Units (a profits interest) and (iii) a 25% interest in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Equity Offerings</w:t>
      </w:r>
    </w:p>
    <w:p>
      <w:pPr>
        <w:spacing w:after="0" w:line="229"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i w:val="1"/>
          <w:iCs w:val="1"/>
          <w:color w:val="auto"/>
        </w:rPr>
        <w:t xml:space="preserve">PAA Preferred Unit Offering. </w:t>
      </w:r>
      <w:r>
        <w:rPr>
          <w:rFonts w:ascii="Arial" w:cs="Arial" w:eastAsia="Arial" w:hAnsi="Arial"/>
          <w:sz w:val="18"/>
          <w:szCs w:val="18"/>
          <w:color w:val="auto"/>
        </w:rPr>
        <w:t>In January 2016, PAA completed the private placement of approximately 61.0 million Series A preferred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limited partner interests in PAA, for a cash purchase price of $26.25 per unit.</w:t>
      </w:r>
    </w:p>
    <w:p>
      <w:pPr>
        <w:spacing w:after="0" w:line="17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PAA Series A preferred units are a new class of equity security in PAA that ranks senior to all classes or series of equity securities in PAA with respect to distribution rights and rights upon liquidation. The holders of the PAA Series A preferred units will receive cumulative quarterly distributions, subject to customary antidilution adjustments, equal to $0.525 per unit ($2.10 per unit annualized). With respect to any quarter ending on or prior to December 31, 2017 (the “Initial Distribution Period”), PAA may elect to pay distributions on the PAA Series A preferred units in additional preferred units, in cash or a combination of both. With respect to any quarter ending after the Initial Distribution Period, PAA must pay distributions on the PAA Series A preferred units in cash. AAP will be entitled to participate in cash distributions on the PAA Series A preferred units equal to its 2% general partner interest in PAA.</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After two years, the preferred units are convertible at the purchasers’ option into common units on a one-for-one basis, subject to certain conditions, and are convertible at PAA’s option in certain circumstances after three years.</w:t>
      </w:r>
    </w:p>
    <w:p>
      <w:pPr>
        <w:spacing w:after="0" w:line="17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9 for additional information.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The following table details the distributions to PAA’s partners paid in cash during or pertaining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net of reductions in AAP’s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4"/>
                <w:szCs w:val="14"/>
                <w:b w:val="1"/>
                <w:bCs w:val="1"/>
                <w:color w:val="auto"/>
              </w:rPr>
              <w:t>Distributions</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Distributions per</w:t>
            </w:r>
          </w:p>
        </w:tc>
      </w:tr>
      <w:tr>
        <w:trPr>
          <w:trHeight w:val="142"/>
        </w:trPr>
        <w:tc>
          <w:tcPr>
            <w:tcW w:w="2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2"/>
                <w:szCs w:val="12"/>
                <w:color w:val="auto"/>
              </w:rPr>
            </w:pPr>
          </w:p>
        </w:tc>
        <w:tc>
          <w:tcPr>
            <w:tcW w:w="200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Distribution Date</w:t>
            </w:r>
          </w:p>
        </w:tc>
        <w:tc>
          <w:tcPr>
            <w:tcW w:w="140" w:type="dxa"/>
            <w:vAlign w:val="bottom"/>
          </w:tcPr>
          <w:p>
            <w:pPr>
              <w:spacing w:after="0"/>
              <w:rPr>
                <w:sz w:val="12"/>
                <w:szCs w:val="12"/>
                <w:color w:val="auto"/>
              </w:rPr>
            </w:pPr>
          </w:p>
        </w:tc>
        <w:tc>
          <w:tcPr>
            <w:tcW w:w="1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Common Unitholders</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AAP</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common unit</w:t>
            </w:r>
          </w:p>
        </w:tc>
      </w:tr>
      <w:tr>
        <w:trPr>
          <w:trHeight w:val="210"/>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11, 2016</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August 12, 2016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433</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April 7,</w:t>
            </w:r>
          </w:p>
        </w:tc>
        <w:tc>
          <w:tcPr>
            <w:tcW w:w="2100" w:type="dxa"/>
            <w:vAlign w:val="bottom"/>
          </w:tcPr>
          <w:p>
            <w:pPr>
              <w:ind w:left="20"/>
              <w:spacing w:after="0"/>
              <w:rPr>
                <w:sz w:val="20"/>
                <w:szCs w:val="20"/>
                <w:color w:val="auto"/>
              </w:rPr>
            </w:pPr>
            <w:r>
              <w:rPr>
                <w:rFonts w:ascii="Arial" w:cs="Arial" w:eastAsia="Arial" w:hAnsi="Arial"/>
                <w:sz w:val="18"/>
                <w:szCs w:val="18"/>
                <w:color w:val="auto"/>
              </w:rPr>
              <w:t>2016</w:t>
            </w:r>
          </w:p>
        </w:tc>
        <w:tc>
          <w:tcPr>
            <w:tcW w:w="2300" w:type="dxa"/>
            <w:vAlign w:val="bottom"/>
            <w:gridSpan w:val="3"/>
          </w:tcPr>
          <w:p>
            <w:pPr>
              <w:ind w:left="300"/>
              <w:spacing w:after="0"/>
              <w:rPr>
                <w:sz w:val="20"/>
                <w:szCs w:val="20"/>
                <w:color w:val="auto"/>
              </w:rPr>
            </w:pPr>
            <w:r>
              <w:rPr>
                <w:rFonts w:ascii="Arial" w:cs="Arial" w:eastAsia="Arial" w:hAnsi="Arial"/>
                <w:sz w:val="18"/>
                <w:szCs w:val="18"/>
                <w:color w:val="auto"/>
              </w:rPr>
              <w:t>May 13, 2016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10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433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January</w:t>
            </w: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12, 2016</w:t>
            </w:r>
          </w:p>
        </w:tc>
        <w:tc>
          <w:tcPr>
            <w:tcW w:w="2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February 12,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100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433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2016 for the period April 1, 2016 through June 30, 2016.</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PAA In-Kind Distributions</w:t>
      </w:r>
      <w:r>
        <w:rPr>
          <w:rFonts w:ascii="Arial" w:cs="Arial" w:eastAsia="Arial" w:hAnsi="Arial"/>
          <w:sz w:val="18"/>
          <w:szCs w:val="18"/>
          <w:color w:val="auto"/>
        </w:rPr>
        <w:t>. On May 13, 2016, PAA issued 858,439 additional Series A preferred units in lieu of a cash distribution of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Such distribution was issued to PAA’s Series A preferred unitholders of record as of April 29, 2016 and was prorated for the period beginning on January 28, 2016, the issuance date of the PAA Series A preferred units, through March 31, 2016. On August 12, 2016, PAA will issue 1,237,765 additional Series A preferred units in lieu of a cash distribution of $33 million.</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six months of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62"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Distributions to AAP’s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6350</wp:posOffset>
            </wp:positionV>
            <wp:extent cx="2735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Distribution Date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Distributions Received</w:t>
            </w:r>
          </w:p>
        </w:tc>
        <w:tc>
          <w:tcPr>
            <w:tcW w:w="160" w:type="dxa"/>
            <w:vAlign w:val="bottom"/>
          </w:tcPr>
          <w:p>
            <w:pPr>
              <w:spacing w:after="0"/>
              <w:rPr>
                <w:sz w:val="14"/>
                <w:szCs w:val="14"/>
                <w:color w:val="auto"/>
              </w:rPr>
            </w:pPr>
          </w:p>
        </w:tc>
        <w:tc>
          <w:tcPr>
            <w:tcW w:w="1340" w:type="dxa"/>
            <w:vAlign w:val="bottom"/>
          </w:tcPr>
          <w:p>
            <w:pPr>
              <w:jc w:val="right"/>
              <w:ind w:right="267"/>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PAGP</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by AAP from PAA</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Reserves</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Interests</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August 12, 2016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May 13, 2016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5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6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February 12, 2016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5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2016 for the period April 1, 2016 through June 30, 2016.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During the six months ended June 30, 2016, distributions of $2 million were paid to noncontrolling interests in SLC Pipeline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2016, net derivative positions related to these activities included:</w:t>
      </w:r>
    </w:p>
    <w:p>
      <w:pPr>
        <w:spacing w:after="0" w:line="147" w:lineRule="exact"/>
        <w:rPr>
          <w:sz w:val="20"/>
          <w:szCs w:val="20"/>
          <w:color w:val="auto"/>
        </w:rPr>
      </w:pPr>
    </w:p>
    <w:p>
      <w:pPr>
        <w:ind w:left="980" w:right="60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long position of 2.1 million barrels associated with our crude oil purchases, which was unwound ratably during July 2016 to match monthly average pricing.</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short time spread position of 3.9 million barrels, which hedges a portion of our anticipated crude oil lease gathering purchases through August 2017.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crude oil grade spread position of 7.0 million barrels through December 2018. These derivatives allow us to lock in grade basis differentials.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short position of 13.0 Bcf through July 2017 related to anticipated sales of natural gas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net short position of 25.8 million barrels through December 2019 related to anticipated net sales of our crude oil and NGL inventory.</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June 30, 2016, our PLA hedges included a long call option position of 1.2 million barrels through December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2016, we had a long natural gas position of 22.0 Bcf through December 2017, a short propane position of 4.2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2017, a short butane position of 1.3 million barrels through December 2017 and a short WTI position of 0.5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2017. In addition, we had a long power position of 0.3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natural gas processing and fractionation plants through December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ectPr>
          <w:pgSz w:w="11900" w:h="16838" w:orient="portrait"/>
          <w:cols w:equalWidth="0" w:num="1">
            <w:col w:w="11420"/>
          </w:cols>
          <w:pgMar w:left="240" w:top="104"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 Hedging</w:t>
      </w:r>
    </w:p>
    <w:p>
      <w:pPr>
        <w:sectPr>
          <w:pgSz w:w="11900" w:h="16838" w:orient="portrait"/>
          <w:cols w:equalWidth="0" w:num="1">
            <w:col w:w="11420"/>
          </w:cols>
          <w:pgMar w:left="240" w:top="104" w:right="239" w:bottom="0" w:gutter="0" w:footer="0" w:header="0"/>
          <w:type w:val="continuous"/>
        </w:sectPr>
      </w:pPr>
    </w:p>
    <w:bookmarkStart w:id="12" w:name="page13"/>
    <w:bookmarkEnd w:id="12"/>
    <w:p>
      <w:pPr>
        <w:spacing w:after="0" w:line="6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June 30, 2016, AOCI includes deferred losses of $334 million that relate to open and terminated interest rate derivatives that were designated as cash flow hedges. The majority of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June 30, 2016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Notional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Expected</w:t>
            </w: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Derivatives Employed</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Termination Date</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Locked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3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 forward starting swaps (30-</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Cash flow</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4/13/2017</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June 2016, we made a cash payment of approximately $52 million in connection with the termination of eight forward starting interest rate swaps that had an aggregate notional amount of $200 million and an average fixed rate of 3.06%. In conjunction with this termination, a loss of approximately $50 million was deferred to AOCI, and a loss of approximately $2 million was immediately recognized in interest expense attributable to the determination that a previously forecasted interest payment is now considered probable of not occurring.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June 30,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2016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USD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tcBorders>
            <w:shd w:val="clear" w:color="auto" w:fill="CCEEFF"/>
          </w:tcPr>
          <w:p>
            <w:pPr>
              <w:jc w:val="right"/>
              <w:ind w:right="20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241</w:t>
            </w:r>
          </w:p>
        </w:tc>
        <w:tc>
          <w:tcPr>
            <w:tcW w:w="20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30"/>
        </w:trPr>
        <w:tc>
          <w:tcPr>
            <w:tcW w:w="660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26</w:t>
            </w:r>
          </w:p>
        </w:tc>
        <w:tc>
          <w:tcPr>
            <w:tcW w:w="2020" w:type="dxa"/>
            <w:vAlign w:val="bottom"/>
          </w:tcPr>
          <w:p>
            <w:pPr>
              <w:jc w:val="right"/>
              <w:ind w:right="570"/>
              <w:spacing w:after="0"/>
              <w:rPr>
                <w:sz w:val="20"/>
                <w:szCs w:val="20"/>
                <w:color w:val="auto"/>
              </w:rPr>
            </w:pPr>
            <w:r>
              <w:rPr>
                <w:rFonts w:ascii="Arial" w:cs="Arial" w:eastAsia="Arial" w:hAnsi="Arial"/>
                <w:sz w:val="18"/>
                <w:szCs w:val="18"/>
                <w:color w:val="auto"/>
              </w:rPr>
              <w:t>$1.00 - $1.29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At June 30, 2016, the fair value of this embedded derivative was a liability of approximately $35 million. We recognized a gain of approximately $25 million during the three and six months ended June 30, 2016 due to changes in fair value during the period. See Note 8 for additional information regarding the PAA Series A preferred units and the Preferred Distribution Rate Reset 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w w:val="95"/>
              </w:rPr>
              <w:t>Three Months Ended June 30, 2016</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Three Months Ended June 30, 2015</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Derivatives in</w:t>
            </w:r>
          </w:p>
        </w:tc>
        <w:tc>
          <w:tcPr>
            <w:tcW w:w="1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Derivatives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Derivatives in</w:t>
            </w:r>
          </w:p>
        </w:tc>
        <w:tc>
          <w:tcPr>
            <w:tcW w:w="17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Derivatives</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Hedging</w:t>
            </w:r>
          </w:p>
        </w:tc>
        <w:tc>
          <w:tcPr>
            <w:tcW w:w="17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160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Relationships </w:t>
            </w:r>
            <w:r>
              <w:rPr>
                <w:rFonts w:ascii="Arial" w:cs="Arial" w:eastAsia="Arial" w:hAnsi="Arial"/>
                <w:sz w:val="17"/>
                <w:szCs w:val="17"/>
                <w:b w:val="1"/>
                <w:bCs w:val="1"/>
                <w:color w:val="auto"/>
                <w:w w:val="89"/>
                <w:vertAlign w:val="superscript"/>
              </w:rPr>
              <w:t>(1)</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 a Hedge</w:t>
            </w: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17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as a Hedge</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Preferred Distribution Rate Reset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Option</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180" w:type="dxa"/>
            <w:vAlign w:val="bottom"/>
            <w:vMerge w:val="restart"/>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1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Six Months Ended June 30, 2016</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2015</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left="127"/>
              <w:spacing w:after="0" w:line="119" w:lineRule="exact"/>
              <w:rPr>
                <w:sz w:val="20"/>
                <w:szCs w:val="20"/>
                <w:color w:val="auto"/>
              </w:rPr>
            </w:pPr>
            <w:r>
              <w:rPr>
                <w:rFonts w:ascii="Arial" w:cs="Arial" w:eastAsia="Arial" w:hAnsi="Arial"/>
                <w:sz w:val="13"/>
                <w:szCs w:val="13"/>
                <w:b w:val="1"/>
                <w:bCs w:val="1"/>
                <w:color w:val="auto"/>
              </w:rPr>
              <w:t>Derivatives in</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Derivatives in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Derivatives</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4"/>
            <w:vMerge w:val="continue"/>
          </w:tcPr>
          <w:p>
            <w:pPr>
              <w:spacing w:after="0"/>
              <w:rPr>
                <w:sz w:val="14"/>
                <w:szCs w:val="14"/>
                <w:color w:val="auto"/>
              </w:rPr>
            </w:pPr>
          </w:p>
        </w:tc>
        <w:tc>
          <w:tcPr>
            <w:tcW w:w="1180" w:type="dxa"/>
            <w:vAlign w:val="bottom"/>
          </w:tcPr>
          <w:p>
            <w:pPr>
              <w:jc w:val="center"/>
              <w:ind w:left="127"/>
              <w:spacing w:after="0" w:line="172" w:lineRule="exact"/>
              <w:rPr>
                <w:sz w:val="20"/>
                <w:szCs w:val="20"/>
                <w:color w:val="auto"/>
              </w:rPr>
            </w:pPr>
            <w:r>
              <w:rPr>
                <w:rFonts w:ascii="Arial" w:cs="Arial" w:eastAsia="Arial" w:hAnsi="Arial"/>
                <w:sz w:val="14"/>
                <w:szCs w:val="14"/>
                <w:b w:val="1"/>
                <w:bCs w:val="1"/>
                <w:color w:val="auto"/>
                <w:w w:val="89"/>
              </w:rPr>
              <w:t xml:space="preserve">Relationships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Relationships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 a Hedge</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Supply and Logistics segment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Preferred Distribution Rate Reset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Option</w:t>
            </w: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180" w:type="dxa"/>
            <w:vAlign w:val="bottom"/>
            <w:vMerge w:val="restart"/>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18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-4375150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-4375150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6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During the three and six months ended June 30, 2016 we reclassified losses of approximately $2 million and $2 million to Supply and Logistics segment revenues and Interest expense, net, respectively, due to anticipated hedged transactions being probable of not occurring.</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June 30, 2016 (in millions):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71"/>
        </w:trPr>
        <w:tc>
          <w:tcPr>
            <w:tcW w:w="29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Asset Derivatives</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9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Liability Derivatives</w:t>
            </w:r>
          </w:p>
        </w:tc>
        <w:tc>
          <w:tcPr>
            <w:tcW w:w="960" w:type="dxa"/>
            <w:vAlign w:val="bottom"/>
            <w:tcBorders>
              <w:bottom w:val="single" w:sz="8" w:color="auto"/>
            </w:tcBorders>
          </w:tcPr>
          <w:p>
            <w:pPr>
              <w:spacing w:after="0"/>
              <w:rPr>
                <w:sz w:val="14"/>
                <w:szCs w:val="14"/>
                <w:color w:val="auto"/>
              </w:rPr>
            </w:pPr>
          </w:p>
        </w:tc>
      </w:tr>
      <w:tr>
        <w:trPr>
          <w:trHeight w:val="119"/>
        </w:trPr>
        <w:tc>
          <w:tcPr>
            <w:tcW w:w="2960" w:type="dxa"/>
            <w:vAlign w:val="bottom"/>
          </w:tcPr>
          <w:p>
            <w:pPr>
              <w:jc w:val="center"/>
              <w:ind w:right="10"/>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000" w:type="dxa"/>
            <w:vAlign w:val="bottom"/>
          </w:tcPr>
          <w:p>
            <w:pPr>
              <w:jc w:val="center"/>
              <w:ind w:left="151"/>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960" w:type="dxa"/>
            <w:vAlign w:val="bottom"/>
          </w:tcPr>
          <w:p>
            <w:pPr>
              <w:jc w:val="center"/>
              <w:ind w:right="3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960" w:type="dxa"/>
            <w:vAlign w:val="bottom"/>
          </w:tcPr>
          <w:p>
            <w:pPr>
              <w:jc w:val="center"/>
              <w:ind w:left="91"/>
              <w:spacing w:after="0" w:line="119" w:lineRule="exact"/>
              <w:rPr>
                <w:sz w:val="20"/>
                <w:szCs w:val="20"/>
                <w:color w:val="auto"/>
              </w:rPr>
            </w:pPr>
            <w:r>
              <w:rPr>
                <w:rFonts w:ascii="Arial" w:cs="Arial" w:eastAsia="Arial" w:hAnsi="Arial"/>
                <w:sz w:val="13"/>
                <w:szCs w:val="13"/>
                <w:b w:val="1"/>
                <w:bCs w:val="1"/>
                <w:color w:val="auto"/>
              </w:rPr>
              <w:t>Fair</w:t>
            </w:r>
          </w:p>
        </w:tc>
      </w:tr>
      <w:tr>
        <w:trPr>
          <w:trHeight w:val="173"/>
        </w:trPr>
        <w:tc>
          <w:tcPr>
            <w:tcW w:w="2960" w:type="dxa"/>
            <w:vAlign w:val="bottom"/>
          </w:tcPr>
          <w:p>
            <w:pPr>
              <w:jc w:val="center"/>
              <w:ind w:right="10"/>
              <w:spacing w:after="0"/>
              <w:rPr>
                <w:sz w:val="20"/>
                <w:szCs w:val="20"/>
                <w:color w:val="auto"/>
              </w:rPr>
            </w:pPr>
            <w:r>
              <w:rPr>
                <w:rFonts w:ascii="Arial" w:cs="Arial" w:eastAsia="Arial" w:hAnsi="Arial"/>
                <w:sz w:val="14"/>
                <w:szCs w:val="14"/>
                <w:b w:val="1"/>
                <w:bCs w:val="1"/>
                <w:color w:val="auto"/>
                <w:w w:val="95"/>
              </w:rPr>
              <w:t>Location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2960" w:type="dxa"/>
            <w:vAlign w:val="bottom"/>
          </w:tcPr>
          <w:p>
            <w:pPr>
              <w:jc w:val="center"/>
              <w:ind w:right="50"/>
              <w:spacing w:after="0"/>
              <w:rPr>
                <w:sz w:val="20"/>
                <w:szCs w:val="20"/>
                <w:color w:val="auto"/>
              </w:rPr>
            </w:pPr>
            <w:r>
              <w:rPr>
                <w:rFonts w:ascii="Arial" w:cs="Arial" w:eastAsia="Arial" w:hAnsi="Arial"/>
                <w:sz w:val="14"/>
                <w:szCs w:val="14"/>
                <w:b w:val="1"/>
                <w:bCs w:val="1"/>
                <w:color w:val="auto"/>
                <w:w w:val="95"/>
              </w:rPr>
              <w:t>Location</w:t>
            </w:r>
          </w:p>
        </w:tc>
        <w:tc>
          <w:tcPr>
            <w:tcW w:w="960" w:type="dxa"/>
            <w:vAlign w:val="bottom"/>
          </w:tcPr>
          <w:p>
            <w:pPr>
              <w:jc w:val="center"/>
              <w:ind w:left="91"/>
              <w:spacing w:after="0"/>
              <w:rPr>
                <w:sz w:val="20"/>
                <w:szCs w:val="20"/>
                <w:color w:val="auto"/>
              </w:rPr>
            </w:pPr>
            <w:r>
              <w:rPr>
                <w:rFonts w:ascii="Arial" w:cs="Arial" w:eastAsia="Arial" w:hAnsi="Arial"/>
                <w:sz w:val="14"/>
                <w:szCs w:val="14"/>
                <w:b w:val="1"/>
                <w:bCs w:val="1"/>
                <w:color w:val="auto"/>
                <w:w w:val="96"/>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15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Derivatives designated as hedging</w:t>
      </w:r>
    </w:p>
    <w:p>
      <w:pPr>
        <w:sectPr>
          <w:pgSz w:w="11900" w:h="16838" w:orient="portrait"/>
          <w:cols w:equalWidth="0" w:num="1">
            <w:col w:w="11460"/>
          </w:cols>
          <w:pgMar w:left="240" w:top="140"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Other long-term liabilities and deferred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credits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w:t>
            </w: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310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hedging instruments</w:t>
            </w:r>
          </w:p>
        </w:tc>
        <w:tc>
          <w:tcPr>
            <w:tcW w:w="33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00" w:type="dxa"/>
            <w:vAlign w:val="bottom"/>
            <w:tcBorders>
              <w:right w:val="single" w:sz="8" w:color="auto"/>
            </w:tcBorders>
            <w:gridSpan w:val="2"/>
            <w:vMerge w:val="continue"/>
          </w:tcPr>
          <w:p>
            <w:pPr>
              <w:spacing w:after="0"/>
              <w:rPr>
                <w:sz w:val="22"/>
                <w:szCs w:val="22"/>
                <w:color w:val="auto"/>
              </w:rPr>
            </w:pPr>
          </w:p>
        </w:tc>
        <w:tc>
          <w:tcPr>
            <w:tcW w:w="3100" w:type="dxa"/>
            <w:vAlign w:val="bottom"/>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6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320" w:type="dxa"/>
            <w:vAlign w:val="bottom"/>
          </w:tcPr>
          <w:p>
            <w:pPr>
              <w:ind w:left="320"/>
              <w:spacing w:after="0" w:line="201" w:lineRule="exact"/>
              <w:rPr>
                <w:sz w:val="20"/>
                <w:szCs w:val="20"/>
                <w:color w:val="auto"/>
              </w:rPr>
            </w:pPr>
            <w:r>
              <w:rPr>
                <w:rFonts w:ascii="Arial" w:cs="Arial" w:eastAsia="Arial" w:hAnsi="Arial"/>
                <w:sz w:val="18"/>
                <w:szCs w:val="18"/>
                <w:color w:val="auto"/>
                <w:w w:val="97"/>
              </w:rPr>
              <w:t>Other long-term liabilities and deferred</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credits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w:t>
            </w:r>
          </w:p>
        </w:tc>
        <w:tc>
          <w:tcPr>
            <w:tcW w:w="31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Other long-term liabilities and deferred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credits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Distribution Rate Reset</w:t>
            </w: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Other long-term liabilities and deferred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w:t>
            </w:r>
          </w:p>
        </w:tc>
        <w:tc>
          <w:tcPr>
            <w:tcW w:w="3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credits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w:t>
            </w: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51</w:t>
            </w:r>
          </w:p>
        </w:tc>
        <w:tc>
          <w:tcPr>
            <w:tcW w:w="310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hedging instruments</w:t>
            </w:r>
          </w:p>
        </w:tc>
        <w:tc>
          <w:tcPr>
            <w:tcW w:w="33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00" w:type="dxa"/>
            <w:vAlign w:val="bottom"/>
            <w:tcBorders>
              <w:right w:val="single" w:sz="8" w:color="auto"/>
            </w:tcBorders>
            <w:gridSpan w:val="2"/>
            <w:vMerge w:val="continue"/>
          </w:tcPr>
          <w:p>
            <w:pPr>
              <w:spacing w:after="0"/>
              <w:rPr>
                <w:sz w:val="22"/>
                <w:szCs w:val="22"/>
                <w:color w:val="auto"/>
              </w:rPr>
            </w:pPr>
          </w:p>
        </w:tc>
        <w:tc>
          <w:tcPr>
            <w:tcW w:w="3100" w:type="dxa"/>
            <w:vAlign w:val="bottom"/>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6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 derivatives</w:t>
            </w:r>
          </w:p>
        </w:tc>
        <w:tc>
          <w:tcPr>
            <w:tcW w:w="3320" w:type="dxa"/>
            <w:vAlign w:val="bottom"/>
          </w:tcPr>
          <w:p>
            <w:pPr>
              <w:spacing w:after="0"/>
              <w:rPr>
                <w:sz w:val="21"/>
                <w:szCs w:val="21"/>
                <w:color w:val="auto"/>
              </w:rPr>
            </w:pP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53</w:t>
            </w:r>
          </w:p>
        </w:tc>
        <w:tc>
          <w:tcPr>
            <w:tcW w:w="310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320" w:type="dxa"/>
            <w:vAlign w:val="bottom"/>
            <w:vMerge w:val="restart"/>
          </w:tcPr>
          <w:p>
            <w:pPr>
              <w:ind w:left="27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Asset Derivatives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Liability Derivatives</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ind w:left="1000"/>
              <w:spacing w:after="0" w:line="119" w:lineRule="exact"/>
              <w:rPr>
                <w:sz w:val="20"/>
                <w:szCs w:val="20"/>
                <w:color w:val="auto"/>
              </w:rPr>
            </w:pPr>
            <w:r>
              <w:rPr>
                <w:rFonts w:ascii="Arial" w:cs="Arial" w:eastAsia="Arial" w:hAnsi="Arial"/>
                <w:sz w:val="13"/>
                <w:szCs w:val="13"/>
                <w:b w:val="1"/>
                <w:bCs w:val="1"/>
                <w:color w:val="auto"/>
              </w:rPr>
              <w:t>Balance Sheet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840" w:type="dxa"/>
            <w:vAlign w:val="bottom"/>
          </w:tcPr>
          <w:p>
            <w:pPr>
              <w:ind w:left="114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Derivatives designated as hedging</w:t>
            </w:r>
          </w:p>
        </w:tc>
        <w:tc>
          <w:tcPr>
            <w:tcW w:w="280" w:type="dxa"/>
            <w:vAlign w:val="bottom"/>
            <w:tcBorders>
              <w:top w:val="single" w:sz="8" w:color="CCEEFF"/>
            </w:tcBorders>
            <w:shd w:val="clear" w:color="auto" w:fill="CCEEFF"/>
          </w:tcPr>
          <w:p>
            <w:pPr>
              <w:spacing w:after="0"/>
              <w:rPr>
                <w:sz w:val="15"/>
                <w:szCs w:val="15"/>
                <w:color w:val="auto"/>
              </w:rPr>
            </w:pPr>
          </w:p>
        </w:tc>
        <w:tc>
          <w:tcPr>
            <w:tcW w:w="2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Commodity derivatives</w:t>
            </w:r>
          </w:p>
        </w:tc>
        <w:tc>
          <w:tcPr>
            <w:tcW w:w="316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3160" w:type="dxa"/>
            <w:vAlign w:val="bottom"/>
            <w:gridSpan w:val="2"/>
          </w:tcPr>
          <w:p>
            <w:pPr>
              <w:ind w:left="28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Other long-term liabilities and deferred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w:t>
            </w:r>
          </w:p>
        </w:tc>
        <w:tc>
          <w:tcPr>
            <w:tcW w:w="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hedging instruments</w:t>
            </w:r>
          </w:p>
        </w:tc>
        <w:tc>
          <w:tcPr>
            <w:tcW w:w="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0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3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60" w:type="dxa"/>
            <w:vAlign w:val="bottom"/>
            <w:gridSpan w:val="2"/>
          </w:tcPr>
          <w:p>
            <w:pPr>
              <w:ind w:left="28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2"/>
              </w:rPr>
              <w:t>Other long-term liabilities and deferred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w:t>
            </w:r>
          </w:p>
        </w:tc>
        <w:tc>
          <w:tcPr>
            <w:tcW w:w="2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hedging instruments</w:t>
            </w: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8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2016, we had a net broker receivable of $274 million (consisting of initial margin of $84 million increased by $190 million of variation margin that had been posted by us). As of December 31, 2015, we had a net broker payable of $156 million (consisting of initial margin of $91 million reduced by $247 million of variation margin that had been returned to us).</w:t>
      </w:r>
    </w:p>
    <w:p>
      <w:pPr>
        <w:sectPr>
          <w:pgSz w:w="11900" w:h="16838" w:orient="portrait"/>
          <w:cols w:equalWidth="0" w:num="1">
            <w:col w:w="11460"/>
          </w:cols>
          <w:pgMar w:left="240" w:top="140" w:right="199" w:bottom="69" w:gutter="0" w:footer="0" w:header="0"/>
        </w:sectPr>
      </w:pP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69"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7"/>
          </w:tcPr>
          <w:p>
            <w:pPr>
              <w:ind w:left="94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4"/>
                <w:szCs w:val="14"/>
                <w:color w:val="auto"/>
              </w:rPr>
            </w:pPr>
          </w:p>
        </w:tc>
        <w:tc>
          <w:tcPr>
            <w:tcW w:w="29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Derivative</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Derivative</w:t>
            </w:r>
          </w:p>
        </w:tc>
        <w:tc>
          <w:tcPr>
            <w:tcW w:w="32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Derivative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Asset Positions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Liability Positions</w:t>
            </w:r>
          </w:p>
        </w:tc>
        <w:tc>
          <w:tcPr>
            <w:tcW w:w="1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Asset Positions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2016, there was a net loss of $355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2016, we expect to reclassify a net loss of $5 million to earnings in the next twelve months. The remaining deferred loss of $350 million is expected to be reclassified to earnings through 2049. A portion of these amounts is based on market prices as of June 30,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0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At June 30,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2"/>
              </w:rPr>
              <w:t>Fair Value as of June 30, 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Preferred Distribution Rate Reset Option</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7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net derivative asset/(liability)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top w:val="single" w:sz="8" w:color="CCEEFF"/>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520" w:hanging="5612"/>
        <w:spacing w:after="0" w:line="461" w:lineRule="auto"/>
        <w:tabs>
          <w:tab w:leader="none" w:pos="68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ectPr>
          <w:pgSz w:w="11900" w:h="16838" w:orient="portrait"/>
          <w:cols w:equalWidth="0" w:num="1">
            <w:col w:w="11420"/>
          </w:cols>
          <w:pgMar w:left="240" w:top="368" w:right="239" w:bottom="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Level 3</w:t>
      </w:r>
    </w:p>
    <w:p>
      <w:pPr>
        <w:sectPr>
          <w:pgSz w:w="11900" w:h="16838" w:orient="portrait"/>
          <w:cols w:equalWidth="0" w:num="1">
            <w:col w:w="11420"/>
          </w:cols>
          <w:pgMar w:left="240" w:top="368" w:right="239" w:bottom="0" w:gutter="0" w:footer="0" w:header="0"/>
          <w:type w:val="continuous"/>
        </w:sectPr>
      </w:pPr>
    </w:p>
    <w:bookmarkStart w:id="16" w:name="page17"/>
    <w:bookmarkEnd w:id="16"/>
    <w:p>
      <w:pPr>
        <w:spacing w:after="0" w:line="18"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Series A preferred unit offering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Series A preferred units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Gains for the period included in earnings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unrealized gains included in earnings relating to</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3 derivatives still held at the end of the period</w:t>
            </w:r>
          </w:p>
        </w:tc>
        <w:tc>
          <w:tcPr>
            <w:tcW w:w="122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80" w:firstLine="454"/>
        <w:spacing w:after="0" w:line="257" w:lineRule="auto"/>
        <w:rPr>
          <w:sz w:val="20"/>
          <w:szCs w:val="20"/>
          <w:color w:val="auto"/>
        </w:rPr>
      </w:pPr>
      <w:r>
        <w:rPr>
          <w:rFonts w:ascii="Arial" w:cs="Arial" w:eastAsia="Arial" w:hAnsi="Arial"/>
          <w:sz w:val="18"/>
          <w:szCs w:val="18"/>
          <w:color w:val="auto"/>
        </w:rPr>
        <w:t>As of June 30, 2016, Oxy owned approximately 13% of the limited partner interests in AAP and had a representative on the board of directors of GP LLC and our general partner. During the three and six months ended June 30,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60" w:hanging="652"/>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Condensed Consolidated Balance Sheets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4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4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11—Commitments and Contingencies</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Loss Contingencies — General</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341" w:right="239" w:bottom="0" w:gutter="0" w:footer="0" w:header="0"/>
        </w:sectPr>
      </w:pPr>
    </w:p>
    <w:bookmarkStart w:id="17" w:name="page18"/>
    <w:bookmarkEnd w:id="17"/>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June 30, 2016, our estimated undiscounted reserve for environmental liabilities (including liabilities related to the Line 901 incident, as discussed further below) totaled $160 million, of which $59 million was classified as short-term and $101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2016, we had recorded receivables totaling $68 million for amounts probable of recovery under insurance and from third parties under indemnification agreements, of which $46 million was reflected in “Trade accounts receivable and other receivables, net” and $22 million was reflected in “Other long-term assets, net” on our Condensed Consolidated Balance Sheets. At December 31, 2015, we had recorded $161 million of such receivables, of which $138 million was reflected in “Trade accounts receivable and other receivables, net” and $23 million was reflected in “Other long-term assets, net” on our Condensed Consolidated Balance Sheets.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ectPr>
          <w:pgSz w:w="11900" w:h="16838" w:orient="portrait"/>
          <w:cols w:equalWidth="0" w:num="1">
            <w:col w:w="11400"/>
          </w:cols>
          <w:pgMar w:left="240" w:top="341" w:right="259" w:bottom="0" w:gutter="0" w:footer="0" w:header="0"/>
        </w:sectPr>
      </w:pPr>
    </w:p>
    <w:bookmarkStart w:id="18" w:name="page19"/>
    <w:bookmarkEnd w:id="18"/>
    <w:p>
      <w:pPr>
        <w:jc w:val="both"/>
        <w:ind w:right="12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04"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On November 13, 2015, the corrective action order was further amended to require the purge and shutdown of Line 903 between Gaviota and Pentland. On June 16, 2016, the corrective action order was further amended to require additional corrective actions and documentation with respect to both Line 901and Line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26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7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indictment included a total 46 counts, 36 of which were misdemeanor charges relating to wildlife allegedly taken as a result of the accidental release. The remaining 10 counts (four felony and six misdemeanor charges) relate to the release of crude oil or reporting of the release. PAA believes that the criminal charges are unwarranted and that neither PAA nor any of its employees engaged in any criminal behavior at any time in connection with this accident. PAA intends to vigorously defend itself against the charges. On July 28, 2016, at an arraignment hearing held in California Superior Court in Santa Barbara County, PAA pled not guilty to all counts.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seven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w:t>
      </w:r>
    </w:p>
    <w:p>
      <w:pPr>
        <w:sectPr>
          <w:pgSz w:w="11900" w:h="16838" w:orient="portrait"/>
          <w:cols w:equalWidth="0" w:num="1">
            <w:col w:w="11400"/>
          </w:cols>
          <w:pgMar w:left="240" w:top="125" w:right="259" w:bottom="0" w:gutter="0" w:footer="0" w:header="0"/>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4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PAA against PAA, certain of its affiliates and certain officers and directors. Two of these lawsuits which were filed in the United States District Court for the Southern District of Texas have been administratively consolidated into one action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June 30, 2016,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June 30, 2016, we had a remaining undiscounted gross liability of $91 million related to this event, of which approximately $51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2016, we had collected, subject to customary reservations, $124 million out of the approximate $186 million of release costs that we believe are probable of recovery from insurance carriers, net of deductibles. Therefore, as of June 30, 2016, we have recognized a receivable of approximately $62 million for the portion of the release costs that we believe is probable of recovery from insurance, net of deductibles and amounts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already collected. Of this amount, approximately $42 million is recognized as a current asset in “Trade accounts receivable and other receivables, net” on our Condensed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5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w:t>
      </w:r>
    </w:p>
    <w:p>
      <w:pPr>
        <w:sectPr>
          <w:pgSz w:w="11900" w:h="16838" w:orient="portrait"/>
          <w:cols w:equalWidth="0" w:num="1">
            <w:col w:w="11420"/>
          </w:cols>
          <w:pgMar w:left="240" w:top="517" w:right="239" w:bottom="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activities under this work plan have effectively been completed, and on December 17, 2015, we entered into a Compliance Commitment Agreement with the Agency, which provides the framework for final completion and documentation of the remediation effort. On April 15, 2016, the Agency confirmed that all of the activities required by the Compliance Commitment Agreement had been completed and that the violations associated with the incident had been resolved. To date, no fines or penalties have been assessed in this matter; however, it remains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we have incurred or will incur with respect to this release will be less than $10 million.</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79"/>
              </w:rPr>
              <w:t>403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40</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ind w:left="960"/>
              <w:spacing w:after="0" w:line="196" w:lineRule="exact"/>
              <w:rPr>
                <w:sz w:val="20"/>
                <w:szCs w:val="20"/>
                <w:color w:val="auto"/>
              </w:rPr>
            </w:pPr>
            <w:r>
              <w:rPr>
                <w:rFonts w:ascii="Arial" w:cs="Arial" w:eastAsia="Arial" w:hAnsi="Arial"/>
                <w:sz w:val="18"/>
                <w:szCs w:val="18"/>
                <w:color w:val="auto"/>
                <w:w w:val="79"/>
              </w:rPr>
              <w:t>252</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23</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180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6,346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79"/>
              </w:rPr>
              <w:t>402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52</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ind w:left="960"/>
              <w:spacing w:after="0" w:line="196" w:lineRule="exact"/>
              <w:rPr>
                <w:sz w:val="20"/>
                <w:szCs w:val="20"/>
                <w:color w:val="auto"/>
              </w:rPr>
            </w:pPr>
            <w:r>
              <w:rPr>
                <w:rFonts w:ascii="Arial" w:cs="Arial" w:eastAsia="Arial" w:hAnsi="Arial"/>
                <w:sz w:val="18"/>
                <w:szCs w:val="18"/>
                <w:color w:val="auto"/>
                <w:w w:val="79"/>
              </w:rPr>
              <w:t>186</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33</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79"/>
              </w:rPr>
              <w:t>787</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87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ind w:left="960"/>
              <w:spacing w:after="0" w:line="196" w:lineRule="exact"/>
              <w:rPr>
                <w:sz w:val="20"/>
                <w:szCs w:val="20"/>
                <w:color w:val="auto"/>
              </w:rPr>
            </w:pPr>
            <w:r>
              <w:rPr>
                <w:rFonts w:ascii="Arial" w:cs="Arial" w:eastAsia="Arial" w:hAnsi="Arial"/>
                <w:sz w:val="18"/>
                <w:szCs w:val="18"/>
                <w:color w:val="auto"/>
                <w:w w:val="79"/>
              </w:rPr>
              <w:t>499</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57</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24"/>
                <w:szCs w:val="2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960"/>
              <w:spacing w:after="0"/>
              <w:rPr>
                <w:sz w:val="20"/>
                <w:szCs w:val="20"/>
                <w:color w:val="auto"/>
              </w:rPr>
            </w:pPr>
            <w:r>
              <w:rPr>
                <w:rFonts w:ascii="Arial" w:cs="Arial" w:eastAsia="Arial" w:hAnsi="Arial"/>
                <w:sz w:val="18"/>
                <w:szCs w:val="18"/>
                <w:color w:val="auto"/>
              </w:rPr>
              <w:t>366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79"/>
              </w:rPr>
              <w:t>803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w w:val="79"/>
              </w:rPr>
              <w:t>89</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220" w:type="dxa"/>
            <w:vAlign w:val="bottom"/>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23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r>
      <w:tr>
        <w:trPr>
          <w:trHeight w:val="197"/>
        </w:trPr>
        <w:tc>
          <w:tcPr>
            <w:tcW w:w="32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17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38"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202" w:lineRule="exact"/>
        <w:rPr>
          <w:rFonts w:ascii="Arial" w:cs="Arial" w:eastAsia="Arial" w:hAnsi="Arial"/>
          <w:sz w:val="23"/>
          <w:szCs w:val="23"/>
          <w:color w:val="auto"/>
          <w:vertAlign w:val="superscript"/>
        </w:rPr>
      </w:pPr>
    </w:p>
    <w:p>
      <w:pPr>
        <w:ind w:left="660" w:right="240" w:hanging="652"/>
        <w:spacing w:after="0" w:line="267"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Supply and Logistics segment profit includes interest expense (related to hedged inventory purchases) of $3 million and $2 million for the three months ended June 30, 2016 and 2015, respectively, and $6 million and $3 million for the six months ended June 30, 2016 and 2015,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PAGP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Income before tax</w:t>
            </w: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6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13—Acquisitions, Dispositions and Impairments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six months of 2016, we completed one acquisition for cash consideration of $85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this acquisition. In addition, in August 2016, we completed the acquisition of an integrated system of NGL assets in Western Canada from Westcoast Energy Inc., a unit of Spectra Energy, for cash consideration of approximately $204 million, including $51 million for inventory and working capital.</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Dispositions and Divestitures</w:t>
      </w:r>
      <w:r>
        <w:rPr>
          <w:rFonts w:ascii="Arial" w:cs="Arial" w:eastAsia="Arial" w:hAnsi="Arial"/>
          <w:sz w:val="18"/>
          <w:szCs w:val="18"/>
          <w:color w:val="auto"/>
        </w:rPr>
        <w:t>. During the six months ended June 30, 2016, we sold several non-core assets, including certain of our Gulf of Mexico</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and East Coast refined products terminals. In addition, in June 2016 we sold 50% of our investment in Cheyenne Pipeline LLC. We recognized gains of approximately $71 million and losses of $55 million related to these sales, including $15 million of impairment of goodwill that was included in a disposal group classified as held for sale as of March 31, 2016. These gains and losses are included in “Depreciation and amortization” on our Condensed Consolidated Statement of Operations.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June 30, 2016, we classified approximately $152 million of assets as held for sale on our Condensed Consolidated Balance Sheet (in “Other current assets”) related to definitive agreements to sell additional non-core assets, a majority of which are included in our Transportation segment. A portion of these transactions closed in July 2016, and we expect the sale of the remaining assets to be consummated later in the third quarter of 2016, subject to customary closing conditions, as applicable.</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During the second quarter of 2016, we recognized approximately $80 million of non-cash impairment losses on certain of our long-lived rail and other terminal assets included in our Facilities segment. Such impairment losses are reflected in “Depreciation and amortization” on our Condensed Consolidated Statement of Operations.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during the second quarter of 2016, we recognized a charge of approximately $18 million to “Depreciation and amortization” related to the write-off of the remaining book value of assets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14—Simplification Transactions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11, 2016, PAGP, PAA,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both PAGP and PAA will continue to be publicly traded.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our general partner on behalf of PAGP.</w:t>
      </w:r>
    </w:p>
    <w:p>
      <w:pPr>
        <w:sectPr>
          <w:pgSz w:w="11900" w:h="16838" w:orient="portrait"/>
          <w:cols w:equalWidth="0" w:num="1">
            <w:col w:w="11420"/>
          </w:cols>
          <w:pgMar w:left="240" w:top="91"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91" w:right="239" w:bottom="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0"/>
          <w:szCs w:val="20"/>
          <w:color w:val="auto"/>
        </w:rPr>
      </w:pPr>
    </w:p>
    <w:p>
      <w:pPr>
        <w:ind w:left="1100" w:right="220" w:hanging="327"/>
        <w:spacing w:after="0" w:line="276" w:lineRule="auto"/>
        <w:tabs>
          <w:tab w:leader="none" w:pos="10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 a unified governance structure, the Board of Directors of our general partner will have oversight responsibility over both PAGP and PAA. In addition, starting in 2018, our Class A and Class B shareholders and PAA’s common and preferred unitholders will have the right to participate in the election of directors of the board of our general partner whose terms expire. Under the current structure, PAA common unitholders are not eligible to participate in the election of directors of our general partner and our Class A and Class B shareholders only participate in such elections following a reduction in ownership of the private AAP owner group to below 40%.</w:t>
      </w:r>
    </w:p>
    <w:p>
      <w:pPr>
        <w:spacing w:after="0" w:line="172" w:lineRule="exact"/>
        <w:rPr>
          <w:rFonts w:ascii="Arial" w:cs="Arial" w:eastAsia="Arial" w:hAnsi="Arial"/>
          <w:sz w:val="17"/>
          <w:szCs w:val="17"/>
          <w:color w:val="auto"/>
        </w:rPr>
      </w:pPr>
    </w:p>
    <w:p>
      <w:pPr>
        <w:ind w:left="1100" w:right="60" w:hanging="327"/>
        <w:spacing w:after="0" w:line="255" w:lineRule="auto"/>
        <w:tabs>
          <w:tab w:leader="none" w:pos="10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outstanding AAP units, such party will continue to be entitled to designate one director to the Board of Directors of our general partner. The calculation of such qualifying interest will include, in addition to any of our Class A shares owned by an Original Designating Party or its affiliates, any PAA common units received by such Original Designating Party of its affiliates in connection with their exercise of the Redemption Right (defined below).</w:t>
      </w:r>
    </w:p>
    <w:p>
      <w:pPr>
        <w:spacing w:after="0" w:line="189" w:lineRule="exact"/>
        <w:rPr>
          <w:rFonts w:ascii="Arial" w:cs="Arial" w:eastAsia="Arial" w:hAnsi="Arial"/>
          <w:sz w:val="18"/>
          <w:szCs w:val="18"/>
          <w:color w:val="auto"/>
        </w:rPr>
      </w:pPr>
    </w:p>
    <w:p>
      <w:pPr>
        <w:ind w:left="1100" w:right="20" w:hanging="327"/>
        <w:spacing w:after="0" w:line="297" w:lineRule="auto"/>
        <w:tabs>
          <w:tab w:leader="none" w:pos="10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AAP will execute a reverse split to adjust the number of AAP units such that the number of outstanding AAP units (assuming the conversion of AAP Management Units into AAP units) equals the number of PAA Common Units received by AAP at the closing of the Simplification Transactions. Simultaneously, we will execute a reverse split to adjust the number of our Class A and Class B shares outstanding to equal the number of AAP units we own following AAP’s reverse unit split. As a result of these reverse splits, each Class A share will correspond, on a one-to-one basis, to an underlying PAA Common Unit held by AAP which is attributable to our ownership in AAP.</w:t>
      </w:r>
    </w:p>
    <w:p>
      <w:pPr>
        <w:spacing w:after="0" w:line="158" w:lineRule="exact"/>
        <w:rPr>
          <w:rFonts w:ascii="Arial" w:cs="Arial" w:eastAsia="Arial" w:hAnsi="Arial"/>
          <w:sz w:val="16"/>
          <w:szCs w:val="16"/>
          <w:color w:val="auto"/>
        </w:rPr>
      </w:pPr>
    </w:p>
    <w:p>
      <w:pPr>
        <w:ind w:left="1100" w:right="40" w:hanging="327"/>
        <w:spacing w:after="0" w:line="257" w:lineRule="auto"/>
        <w:tabs>
          <w:tab w:leader="none" w:pos="10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Holders of AAP units other than us and GP LLC will continue to have the right to exchange their AAP units (together with the corresponding Class B shares and, if applicable, units of our general partner) for our Class A shares on a one-for-one basis or, alternatively, to redeem such ownership and related rights for their proportionate share of PAA Common Units held by AAP, subject to certain limitations (the “Redemption Right”). Upon any such redemption, the holders of AAP units receiving PAA Common Units will have registration rights with respect to such PAA Common Units.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It is anticipated that the Simplification Transactions will be consummated during the fourth quarter of 2016. Pursuant to the terms of the Simplification Agreement, AAP has agreed that if such closing does not occur prior to the record date for PAA’s distribution of available cash in respect of the third quarter of 2016 and the amount of such distribution is below the current quarterly level of $0.70 per common unit, AAP will borrow funds under its existing credit agreement as necessary to make a special “true-up” distribution to AAP’s unitholders that, when added to the distributions to be paid to AAP in respect of its indirect 2% general partner interest and IDRs, equals the total distribution such unitholders would have received had the closing of the Simplification Transactions occurred prior to such third quarter record date. Based on the previously announced intent of PAA to reduce its quarterly distribution to $0.55 per common unit commencing with its third quarter distribution, it is estimated that the potential incremental borrowings that would be made by AAP if the closing of the Simplification Transactions does not take place by the record date for PAA’s third quarter distribution will be approximately $41 million.</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transactions are between and among consolidated subsidiaries of PAGP that are considered entities under common control. These equity transactions will not result in a change in the carrying value of the underlying assets and liabilities.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ectPr>
          <w:pgSz w:w="11900" w:h="16838" w:orient="portrait"/>
          <w:cols w:equalWidth="0" w:num="1">
            <w:col w:w="11420"/>
          </w:cols>
          <w:pgMar w:left="240" w:top="517" w:right="239" w:bottom="0" w:gutter="0" w:footer="0" w:header="0"/>
        </w:sectPr>
      </w:pPr>
    </w:p>
    <w:bookmarkStart w:id="23" w:name="page24"/>
    <w:bookmarkEnd w:id="23"/>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June 30, 2016, we owned a 100% managing member interest in GP LLC and an approximate 43% limited partner interest in AAP. GP LLC holds the general partner interest in AAP and AAP directly owns all of PAA’s IDRs and indirectly owns the 2% general partner interest in PAA. AAP is the sole member of PAA GP, which directly holds the 2% general partner interest in PAA.</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accordance with GAAP, our financial results are consolidated with those of GP LLC, AAP and PAA as well as with their subsidiaries. As such, our results of operations as discussed below do not differ materially from the results of operations of PAA. See Note 1 to our Condensed Consolidated Financial Statements for additional information regarding our basis of consolidation.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340" w:firstLine="612"/>
        <w:spacing w:after="0" w:line="277" w:lineRule="auto"/>
        <w:rPr>
          <w:sz w:val="20"/>
          <w:szCs w:val="20"/>
          <w:color w:val="auto"/>
        </w:rPr>
      </w:pPr>
      <w:r>
        <w:rPr>
          <w:rFonts w:ascii="Arial" w:cs="Arial" w:eastAsia="Arial" w:hAnsi="Arial"/>
          <w:sz w:val="18"/>
          <w:szCs w:val="18"/>
          <w:color w:val="auto"/>
        </w:rPr>
        <w:t>During the first six months of 2016, we recognized net income of $259 million as compared to net income of $365 million recognized during the first six months of 2015. Our financial results for the comparative periods were impacted by:</w:t>
      </w:r>
    </w:p>
    <w:p>
      <w:pPr>
        <w:spacing w:after="0" w:line="170" w:lineRule="exact"/>
        <w:rPr>
          <w:sz w:val="20"/>
          <w:szCs w:val="20"/>
          <w:color w:val="auto"/>
        </w:rPr>
      </w:pPr>
    </w:p>
    <w:p>
      <w:pPr>
        <w:ind w:left="1300" w:right="220" w:hanging="320"/>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operating results from our Supply and Logistics segment, primarily due to less favorable crude oil and NGL market conditions and impacts from the mark-to-market loss related to derivative instruments during the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80" w:hanging="320"/>
        <w:spacing w:after="0" w:line="342" w:lineRule="auto"/>
        <w:tabs>
          <w:tab w:leader="none" w:pos="12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results from (i) our Transportation segment, as the comparative 2015 period was negatively impacted by costs associated with the Line 901 incident that occurred in May 2015, and (ii) our Facilities segment due to recently completed capital expansion projects;</w:t>
      </w:r>
    </w:p>
    <w:p>
      <w:pPr>
        <w:spacing w:after="0" w:line="123" w:lineRule="exact"/>
        <w:rPr>
          <w:rFonts w:ascii="Arial" w:cs="Arial" w:eastAsia="Arial" w:hAnsi="Arial"/>
          <w:sz w:val="16"/>
          <w:szCs w:val="16"/>
          <w:color w:val="auto"/>
        </w:rPr>
      </w:pPr>
    </w:p>
    <w:p>
      <w:pPr>
        <w:ind w:left="1300" w:right="20" w:hanging="320"/>
        <w:spacing w:after="0" w:line="264"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resulting from (i) our recently completed capital expansion projects, (ii) impairment losses related to certain of our rail and other terminal assets and (iii) assets taken out of service, all partially offset by net gains related to non-core assets sales completed during the period;</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expansion projects;</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Gains of approximately $25 million recognized during the six months ended June 30, 2016 relating to the mark-to-market impact of the Preferred Distribution Rate Reset Option; and</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income tax expense primarily due to lower taxable earnings from our Canadian operations and the impact from an Alberta, Canada provincial tax rate increase enacted during the comparative 2015 period.</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further discussion of our results in the “—Results of Operations—Analysis of Operating Segments” and “—Other Income and Expenses” sections below.</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invested $709 million in midstream infrastructure projects during the six months ended June 30, 2016, with a targeted expansion capital plan for the full year of 2016 of approximately $1.425 billion. To fund such capital activities, PAA completed (i) the private placement of approximately 61.0 million Series A preferred units for net proceeds of approximately $1.6 billion and (ii) the sale of various assets for net proceeds of approximately $305 million, primarily related to our planned non-core asset sales initiative. In addition, during July 2016 we completed the sale of additional non-core assets for net proceeds of approximately $170 million, and in August 2016, we completed the acquisition of an integrated system of NGL assets in Western Canada from Westcoast Energy Inc., a unit of Spectra Energy, for cash consideration of approximately $204 million, including $51 million for inventory and working capital.</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Additionally, we paid $860 million of cash distributions to our Class A shareholders and noncontrolling interests during the six months ended June 30, 2016, and we declared a quarterly distribution of $0.231 per Class A share to be paid on August 12, 2016.</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Furthermore, in July 2016 PAGP, PAA,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Simplification Transactions, both PAGP and PAA will continue to be publicly traded. The Simplification Transactions are expected to close in the fourth quarter of 2016, subject to customary closing conditions. See Note 14 to our Condensed Consolidated Financial Statements for additional discussion of the Simplification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ectPr>
          <w:pgSz w:w="11900" w:h="16838" w:orient="portrait"/>
          <w:cols w:equalWidth="0" w:num="1">
            <w:col w:w="11420"/>
          </w:cols>
          <w:pgMar w:left="240" w:top="341" w:right="239" w:bottom="0" w:gutter="0" w:footer="0" w:header="0"/>
        </w:sectPr>
      </w:pPr>
    </w:p>
    <w:bookmarkStart w:id="24" w:name="page25"/>
    <w:bookmarkEnd w:id="24"/>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left="660" w:right="20" w:hanging="652"/>
        <w:spacing w:after="0" w:line="264" w:lineRule="auto"/>
        <w:tabs>
          <w:tab w:leader="none" w:pos="648" w:val="left"/>
        </w:tabs>
        <w:numPr>
          <w:ilvl w:val="0"/>
          <w:numId w:val="22"/>
        </w:numPr>
        <w:rPr>
          <w:rFonts w:ascii="Arial" w:cs="Arial" w:eastAsia="Arial" w:hAnsi="Arial"/>
          <w:sz w:val="12"/>
          <w:szCs w:val="12"/>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181" w:lineRule="exact"/>
        <w:rPr>
          <w:rFonts w:ascii="Arial" w:cs="Arial" w:eastAsia="Arial" w:hAnsi="Arial"/>
          <w:sz w:val="12"/>
          <w:szCs w:val="12"/>
          <w:color w:val="auto"/>
        </w:rPr>
      </w:pPr>
    </w:p>
    <w:p>
      <w:pPr>
        <w:ind w:left="660" w:right="280" w:hanging="652"/>
        <w:spacing w:after="0" w:line="264" w:lineRule="auto"/>
        <w:tabs>
          <w:tab w:leader="none" w:pos="648" w:val="left"/>
        </w:tabs>
        <w:numPr>
          <w:ilvl w:val="0"/>
          <w:numId w:val="22"/>
        </w:numPr>
        <w:rPr>
          <w:rFonts w:ascii="Arial" w:cs="Arial" w:eastAsia="Arial" w:hAnsi="Arial"/>
          <w:sz w:val="12"/>
          <w:szCs w:val="12"/>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Fort Saskatchewan Facility Projects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Permian Basin Area Pipeline Projects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 + $75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$1,350 - $1,500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$180 - $200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data). See Note 12 to our Condensed Consolidated Financial Statements for additional information regarding our operating segments and segment performance measures.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10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7"/>
              </w:rPr>
              <w:t>Favorable/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left="15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center"/>
              <w:ind w:right="41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194"/>
              <w:spacing w:after="0"/>
              <w:rPr>
                <w:sz w:val="20"/>
                <w:szCs w:val="20"/>
                <w:color w:val="auto"/>
              </w:rPr>
            </w:pPr>
            <w:r>
              <w:rPr>
                <w:rFonts w:ascii="Arial" w:cs="Arial" w:eastAsia="Arial" w:hAnsi="Arial"/>
                <w:sz w:val="14"/>
                <w:szCs w:val="14"/>
                <w:b w:val="1"/>
                <w:bCs w:val="1"/>
                <w:color w:val="auto"/>
                <w:w w:val="95"/>
              </w:rPr>
              <w:t>Variance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profit/(loss)</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0"/>
              <w:spacing w:after="0"/>
              <w:rPr>
                <w:sz w:val="20"/>
                <w:szCs w:val="20"/>
                <w:color w:val="auto"/>
              </w:rPr>
            </w:pPr>
            <w:r>
              <w:rPr>
                <w:rFonts w:ascii="Arial" w:cs="Arial" w:eastAsia="Arial" w:hAnsi="Arial"/>
                <w:sz w:val="18"/>
                <w:szCs w:val="18"/>
                <w:color w:val="auto"/>
              </w:rPr>
              <w:t>Total segment profit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attributable to</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Net income attributable to PAGP</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vMerge w:val="continue"/>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78"/>
        </w:trPr>
        <w:tc>
          <w:tcPr>
            <w:tcW w:w="3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CCEEFF"/>
              <w:right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Basic net income per Class A share</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0.02</w:t>
            </w:r>
          </w:p>
        </w:tc>
        <w:tc>
          <w:tcPr>
            <w:tcW w:w="10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0.02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Class A share</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0.01</w:t>
            </w:r>
          </w:p>
        </w:tc>
        <w:tc>
          <w:tcPr>
            <w:tcW w:w="104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7"/>
              </w:rPr>
              <w:t>Basic weighted average Class A shares</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4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3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43</w:t>
            </w:r>
          </w:p>
        </w:tc>
        <w:tc>
          <w:tcPr>
            <w:tcW w:w="10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Diluted weighted average Class A shares</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400</w:t>
            </w:r>
          </w:p>
        </w:tc>
        <w:tc>
          <w:tcPr>
            <w:tcW w:w="1040" w:type="dxa"/>
            <w:vAlign w:val="bottom"/>
            <w:tcBorders>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179%</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12 to our Condensed Consolidated Financial Statements for a reconciliation of segment profit to net income attributable to PAGP.</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4"/>
              </w:rPr>
              <w:t>Favorable/</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2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97"/>
              </w:rPr>
              <w:t>Favorable/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95"/>
              </w:rPr>
              <w:t>Variance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left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180"/>
              <w:spacing w:after="0"/>
              <w:rPr>
                <w:sz w:val="20"/>
                <w:szCs w:val="20"/>
                <w:color w:val="auto"/>
              </w:rPr>
            </w:pPr>
            <w:r>
              <w:rPr>
                <w:rFonts w:ascii="Arial" w:cs="Arial" w:eastAsia="Arial" w:hAnsi="Arial"/>
                <w:sz w:val="18"/>
                <w:szCs w:val="18"/>
                <w:color w:val="auto"/>
              </w:rPr>
              <w:t>Tariff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715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Total transportation revenues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18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b w:val="1"/>
                <w:bCs w:val="1"/>
                <w:color w:val="auto"/>
              </w:rPr>
              <w:t>(2)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Equity-indexed compensation expense -</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tcBorders>
              <w:left w:val="single" w:sz="8" w:color="CCEEFF"/>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Segment general and administrative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b w:val="1"/>
                <w:bCs w:val="1"/>
                <w:color w:val="auto"/>
              </w:rPr>
              <w:t>(2) (3)</w:t>
            </w: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Equity-indexed compensation expense -</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tcBorders>
              <w:left w:val="single" w:sz="8" w:color="CCEEFF"/>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w w:val="98"/>
              </w:rPr>
              <w:t>Equity earnings in unconsolidated entities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3"/>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50"/>
              <w:spacing w:after="0" w:line="196"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tcBorders>
              <w:top w:val="single" w:sz="8" w:color="CCEEFF"/>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400" w:type="dxa"/>
            <w:vAlign w:val="bottom"/>
            <w:tcBorders>
              <w:top w:val="single" w:sz="8" w:color="CCEEFF"/>
              <w:left w:val="single" w:sz="8" w:color="CCEEFF"/>
              <w:bottom w:val="single" w:sz="8" w:color="CCEEFF"/>
              <w:right w:val="single" w:sz="8" w:color="auto"/>
            </w:tcBorders>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0.54</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3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95"/>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2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120" w:type="dxa"/>
            <w:vAlign w:val="bottom"/>
            <w:gridSpan w:val="3"/>
          </w:tcPr>
          <w:p>
            <w:pPr>
              <w:jc w:val="center"/>
              <w:ind w:left="255"/>
              <w:spacing w:after="0"/>
              <w:rPr>
                <w:sz w:val="20"/>
                <w:szCs w:val="20"/>
                <w:color w:val="auto"/>
              </w:rPr>
            </w:pPr>
            <w:r>
              <w:rPr>
                <w:rFonts w:ascii="Arial" w:cs="Arial" w:eastAsia="Arial" w:hAnsi="Arial"/>
                <w:sz w:val="14"/>
                <w:szCs w:val="14"/>
                <w:b w:val="1"/>
                <w:bCs w:val="1"/>
                <w:color w:val="auto"/>
                <w:w w:val="94"/>
              </w:rPr>
              <w:t>Favorable/</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7"/>
            <w:vMerge w:val="restart"/>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11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94"/>
              </w:rPr>
              <w:t>Favorable/</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6"/>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55"/>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6"/>
                <w:szCs w:val="16"/>
                <w:b w:val="1"/>
                <w:bCs w:val="1"/>
                <w:color w:val="auto"/>
                <w:vertAlign w:val="superscript"/>
              </w:rPr>
              <w:t>(4)</w:t>
            </w: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5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volumes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left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180"/>
              <w:spacing w:after="0"/>
              <w:rPr>
                <w:sz w:val="20"/>
                <w:szCs w:val="20"/>
                <w:color w:val="auto"/>
              </w:rPr>
            </w:pPr>
            <w:r>
              <w:rPr>
                <w:rFonts w:ascii="Arial" w:cs="Arial" w:eastAsia="Arial" w:hAnsi="Arial"/>
                <w:sz w:val="18"/>
                <w:szCs w:val="18"/>
                <w:color w:val="auto"/>
              </w:rPr>
              <w:t>Crude oil pipelines (by region):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8"/>
                <w:szCs w:val="8"/>
                <w:b w:val="1"/>
                <w:bCs w:val="1"/>
                <w:color w:val="auto"/>
              </w:rPr>
              <w:t>(5)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2,112</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8"/>
                <w:szCs w:val="8"/>
                <w:b w:val="1"/>
                <w:bCs w:val="1"/>
                <w:color w:val="auto"/>
              </w:rPr>
              <w:t>(5)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8"/>
                <w:szCs w:val="8"/>
                <w:b w:val="1"/>
                <w:bCs w:val="1"/>
                <w:color w:val="auto"/>
              </w:rPr>
              <w:t>(5)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36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3"/>
            <w:vMerge w:val="restart"/>
          </w:tcPr>
          <w:p>
            <w:pPr>
              <w:ind w:left="180"/>
              <w:spacing w:after="0"/>
              <w:rPr>
                <w:sz w:val="20"/>
                <w:szCs w:val="20"/>
                <w:color w:val="auto"/>
              </w:rPr>
            </w:pPr>
            <w:r>
              <w:rPr>
                <w:rFonts w:ascii="Arial" w:cs="Arial" w:eastAsia="Arial" w:hAnsi="Arial"/>
                <w:sz w:val="18"/>
                <w:szCs w:val="18"/>
                <w:color w:val="auto"/>
              </w:rPr>
              <w:t>Crude oil pipelines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4,226</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4,404</w:t>
            </w:r>
          </w:p>
        </w:tc>
        <w:tc>
          <w:tcPr>
            <w:tcW w:w="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4,080</w:t>
            </w:r>
          </w:p>
        </w:tc>
        <w:tc>
          <w:tcPr>
            <w:tcW w:w="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auto"/>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-2361565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-2361565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6" w:name="page27"/>
    <w:bookmarkEnd w:id="26"/>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10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Tariff activities total volumes</w:t>
            </w: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4,420</w:t>
            </w:r>
          </w:p>
        </w:tc>
        <w:tc>
          <w:tcPr>
            <w:tcW w:w="1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vMerge w:val="continue"/>
          </w:tcPr>
          <w:p>
            <w:pPr>
              <w:spacing w:after="0"/>
              <w:rPr>
                <w:sz w:val="18"/>
                <w:szCs w:val="18"/>
                <w:color w:val="auto"/>
              </w:rPr>
            </w:pPr>
          </w:p>
        </w:tc>
        <w:tc>
          <w:tcPr>
            <w:tcW w:w="110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4,584</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4,272</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vMerge w:val="continue"/>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Trucking</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10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Transportation segment total volumes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1"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right="40" w:hanging="2"/>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941" w:orient="portrait"/>
          <w:cols w:equalWidth="0" w:num="2">
            <w:col w:w="120" w:space="540"/>
            <w:col w:w="10760"/>
          </w:cols>
          <w:pgMar w:left="240" w:top="140" w:right="239" w:bottom="0" w:gutter="0" w:footer="0" w:header="0"/>
          <w:type w:val="continuous"/>
        </w:sectPr>
      </w:pPr>
    </w:p>
    <w:p>
      <w:pPr>
        <w:spacing w:after="0" w:line="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Tariff Activities Revenues, Equity Earnings in Unconsolidated Entities and Volumes. </w:t>
      </w:r>
      <w:r>
        <w:rPr>
          <w:rFonts w:ascii="Arial" w:cs="Arial" w:eastAsia="Arial" w:hAnsi="Arial"/>
          <w:sz w:val="18"/>
          <w:szCs w:val="18"/>
          <w:color w:val="auto"/>
        </w:rPr>
        <w:t>As noted in the table above, revenues from tariff activities were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consistent for the three and six months ended June 30, 2016 compared to the same 2015 periods, while volumes increased for both comparative periods presented. Equity earnings in unconsolidated entities decreased for the three and six months ended June 30, 2016 compared to the three and six months ended June 30,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presents significant tariff activities revenues and equity earnings in unconsolidated entities variances by region for the comparative periods presented:</w:t>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5"/>
              </w:rPr>
              <w:t>Favorable/(Unfavorable) Variance</w:t>
            </w:r>
          </w:p>
        </w:tc>
        <w:tc>
          <w:tcPr>
            <w:tcW w:w="200" w:type="dxa"/>
            <w:vAlign w:val="bottom"/>
          </w:tcPr>
          <w:p>
            <w:pPr>
              <w:spacing w:after="0"/>
              <w:rPr>
                <w:sz w:val="14"/>
                <w:szCs w:val="14"/>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40" w:type="dxa"/>
            <w:vAlign w:val="bottom"/>
            <w:gridSpan w:val="6"/>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Three Months Ended June 30,</w:t>
            </w:r>
          </w:p>
        </w:tc>
        <w:tc>
          <w:tcPr>
            <w:tcW w:w="200" w:type="dxa"/>
            <w:vAlign w:val="bottom"/>
          </w:tcPr>
          <w:p>
            <w:pPr>
              <w:spacing w:after="0"/>
              <w:rPr>
                <w:sz w:val="12"/>
                <w:szCs w:val="12"/>
                <w:color w:val="auto"/>
              </w:rPr>
            </w:pPr>
          </w:p>
        </w:tc>
        <w:tc>
          <w:tcPr>
            <w:tcW w:w="28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4"/>
                <w:szCs w:val="14"/>
                <w:b w:val="1"/>
                <w:bCs w:val="1"/>
                <w:color w:val="auto"/>
                <w:w w:val="95"/>
              </w:rPr>
              <w:t>2016-2015</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w w:val="92"/>
              </w:rPr>
              <w:t>2016-2015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2"/>
                <w:szCs w:val="12"/>
                <w:color w:val="auto"/>
              </w:rPr>
            </w:pPr>
          </w:p>
        </w:tc>
        <w:tc>
          <w:tcPr>
            <w:tcW w:w="11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1"/>
              </w:rPr>
              <w:t>Equity Earnings</w:t>
            </w:r>
          </w:p>
        </w:tc>
        <w:tc>
          <w:tcPr>
            <w:tcW w:w="4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2"/>
                <w:szCs w:val="12"/>
                <w:color w:val="auto"/>
              </w:rPr>
            </w:pPr>
          </w:p>
        </w:tc>
        <w:tc>
          <w:tcPr>
            <w:tcW w:w="12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Equity Earnings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Permian Basin region</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Texas /Eagle Ford region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Western region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Gulf Coast region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Central region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 crude oil pipelines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w w:val="94"/>
              </w:rPr>
              <w:t>Other (including pipeline loss allowance revenue)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variance</w:t>
            </w: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60" w:hanging="324"/>
        <w:spacing w:after="0" w:line="259"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2016 periods presented was largely driven by (i) higher volumes associated with the expansion of our pipeline systems in the Delaware Basin and (ii) results from our Cactus pipeline, which was placed in service in April 2015 and was in a ramp-up phase for the following months, and which also favorably impacted volumes on our McCamey pipeline system.</w:t>
      </w:r>
    </w:p>
    <w:p>
      <w:pPr>
        <w:spacing w:after="0" w:line="106"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Equity earnings decreased for the three and six months ended June 30, 2016 compared to the three and six months ended June 30, 2015 due to lower earnings from our interest in BridgeTex resulting from lower volumes. The unfavorable variance for the six-month period was partially offset by higher earnings during the first quarter of 2016 compared to the same period in 2015, as BridgeTex was in a ramp-up phase during the 2015 period and was not in full service until mid-2015.</w:t>
      </w:r>
    </w:p>
    <w:p>
      <w:pPr>
        <w:spacing w:after="0" w:line="10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South Texas/Eagle Ford region — Revenues and equity earnings decreased for the three months ended June 30, 2016 compared to the same</w:t>
      </w:r>
    </w:p>
    <w:p>
      <w:pPr>
        <w:spacing w:after="0" w:line="46" w:lineRule="exact"/>
        <w:rPr>
          <w:rFonts w:ascii="Arial" w:cs="Arial" w:eastAsia="Arial" w:hAnsi="Arial"/>
          <w:sz w:val="16"/>
          <w:szCs w:val="16"/>
          <w:color w:val="auto"/>
        </w:rPr>
      </w:pPr>
    </w:p>
    <w:p>
      <w:pPr>
        <w:ind w:left="980" w:right="240"/>
        <w:spacing w:after="0" w:line="255" w:lineRule="auto"/>
        <w:rPr>
          <w:rFonts w:ascii="Arial" w:cs="Arial" w:eastAsia="Arial" w:hAnsi="Arial"/>
          <w:sz w:val="16"/>
          <w:szCs w:val="16"/>
          <w:color w:val="auto"/>
        </w:rPr>
      </w:pPr>
      <w:r>
        <w:rPr>
          <w:rFonts w:ascii="Arial" w:cs="Arial" w:eastAsia="Arial" w:hAnsi="Arial"/>
          <w:sz w:val="18"/>
          <w:szCs w:val="18"/>
          <w:color w:val="auto"/>
        </w:rPr>
        <w:t>2015 period primarily due to lower volumes attributable to production declines. For the six month comparative period, the unfavorable equity earnings variance was offset by higher volumes on the Eagle Ford joint venture pipeline from the connection to our Cactus pipeline in April 2015.</w:t>
      </w:r>
    </w:p>
    <w:p>
      <w:pPr>
        <w:spacing w:after="0" w:line="109" w:lineRule="exact"/>
        <w:rPr>
          <w:rFonts w:ascii="Arial" w:cs="Arial" w:eastAsia="Arial" w:hAnsi="Arial"/>
          <w:sz w:val="16"/>
          <w:szCs w:val="16"/>
          <w:color w:val="auto"/>
        </w:rPr>
      </w:pPr>
    </w:p>
    <w:p>
      <w:pPr>
        <w:ind w:left="980" w:right="20" w:hanging="324"/>
        <w:spacing w:after="0" w:line="257"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Western region — Revenues and volumes for the three and six months ended June 30, 2016 were unfavorably impacted by pipeline downtime on our All American Pipeline associated with the Line 901 incident that occurred in the second quarter of 2015. See Note 11 to our Condensed Consolidated Financial Statements for additional information regarding the Line 901 incident. Such unfavorable variances were partially offset by higher volumes on certain of our West Coast pipelines during the second quarter of 2016, which benefited from volume diversions resulting from a temporary third-party pipeline shutdown.</w:t>
      </w:r>
    </w:p>
    <w:p>
      <w:pPr>
        <w:spacing w:after="0" w:line="107" w:lineRule="exact"/>
        <w:rPr>
          <w:rFonts w:ascii="Arial" w:cs="Arial" w:eastAsia="Arial" w:hAnsi="Arial"/>
          <w:sz w:val="18"/>
          <w:szCs w:val="18"/>
          <w:color w:val="auto"/>
        </w:rPr>
      </w:pPr>
    </w:p>
    <w:p>
      <w:pPr>
        <w:ind w:left="980" w:right="20" w:hanging="324"/>
        <w:spacing w:after="0" w:line="279" w:lineRule="auto"/>
        <w:tabs>
          <w:tab w:leader="none" w:pos="9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Gulf Coast region — Revenues decreased for the three months ended June 30, 2016 compared to the same 2015 period primarily due to the sale of certain of our Gulf Coast pipelines in March 2016. This decrease was partially offset by (i) our purchase of the remaining interest in the CAM pipeline, which was subsequently sold in July 2016 and (ii) increased volumes on the Capline and Pascagoula pipelines, which were favorably impacted by higher refinery demand, but were at lower tariff rates than the pipelines that were sold.</w:t>
      </w:r>
    </w:p>
    <w:p>
      <w:pPr>
        <w:sectPr>
          <w:pgSz w:w="11900" w:h="16941" w:orient="portrait"/>
          <w:cols w:equalWidth="0" w:num="1">
            <w:col w:w="11420"/>
          </w:cols>
          <w:pgMar w:left="240" w:top="140" w:right="239" w:bottom="0" w:gutter="0" w:footer="0" w:header="0"/>
          <w:type w:val="continuous"/>
        </w:sectPr>
      </w:pPr>
    </w:p>
    <w:bookmarkStart w:id="27" w:name="page28"/>
    <w:bookmarkEnd w:id="27"/>
    <w:p>
      <w:pPr>
        <w:ind w:left="980" w:right="32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Central region — The decrease in revenues for the three and six months ended June 30, 2016 versus the comparable 2015 periods was largely driven by lower volumes due to production declines in the Mid-Continent area.</w:t>
      </w:r>
    </w:p>
    <w:p>
      <w:pPr>
        <w:spacing w:after="0" w:line="89" w:lineRule="exact"/>
        <w:rPr>
          <w:rFonts w:ascii="Arial" w:cs="Arial" w:eastAsia="Arial" w:hAnsi="Arial"/>
          <w:sz w:val="18"/>
          <w:szCs w:val="18"/>
          <w:color w:val="auto"/>
        </w:rPr>
      </w:pPr>
    </w:p>
    <w:p>
      <w:pPr>
        <w:ind w:left="980" w:right="4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Canada crude oil pipelines — Revenues decreased for the three and six months ended June 30, 2016 compared to the same 2015 periods primarily due to unfavorable foreign exchange impacts of $3 million and $10 million, respectively, and lower volumes from production declines, which offset revenue increases from higher tariff rates on certain of our pipelines and related system assets.</w:t>
      </w:r>
    </w:p>
    <w:p>
      <w:pPr>
        <w:spacing w:after="0" w:line="10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 The decrease in other revenues for the three and six months ended June 30, 2016 was primarily related to lower pipeline loss allowance revenue of $11 million and $29 million, respectively, driven by a lower average realized price per barrel.</w:t>
      </w:r>
    </w:p>
    <w:p>
      <w:pPr>
        <w:spacing w:after="0" w:line="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The decrease in trucking revenues for the three and six months ended June 30, 2016 compared to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was largely due to unfavorable foreign exchange impacts of $2 million and $6 million, respectively. The six-month 2016 period was further negatively impacted by lower volumes due to reduced drilling and declining volumes from existing producers.</w:t>
      </w:r>
    </w:p>
    <w:p>
      <w:pPr>
        <w:spacing w:after="0" w:line="10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Trucking Costs. </w:t>
      </w:r>
      <w:r>
        <w:rPr>
          <w:rFonts w:ascii="Arial" w:cs="Arial" w:eastAsia="Arial" w:hAnsi="Arial"/>
          <w:sz w:val="18"/>
          <w:szCs w:val="18"/>
          <w:color w:val="auto"/>
        </w:rPr>
        <w:t>Trucking costs decreased for the three and six months ended June 30, 2016 compared to the same 2015 periods due to lower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rates and decreased volumes, as well as favorable foreign exchange impacts of $1 million and $4 million for the three and six month comparative periods, respectively.</w:t>
      </w:r>
    </w:p>
    <w:p>
      <w:pPr>
        <w:spacing w:after="0" w:line="10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decreased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compared to the three and six months ended June 30, 2015 primarily due to net costs of approximately $65 million associated with the Line 901 incident that were recognized in the second quarter of 2015. See Note 11 to our Condensed Consolidated Financial Statements for additional information regarding the Line 901 incident. The decrease was further driven by lower utilities and maintenance costs as well as favorable foreign exchange impacts of $2 million and $5 million for the three and six months ended June 30,</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2016 compared to the three and six months ended June 30, 2015, respectively. The decrease for the six month comparative periods was partially offset by an increase in integrity management costs.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Equity-Indexed Compensation Expense. </w:t>
      </w:r>
      <w:r>
        <w:rPr>
          <w:rFonts w:ascii="Arial" w:cs="Arial" w:eastAsia="Arial" w:hAnsi="Arial"/>
          <w:sz w:val="17"/>
          <w:szCs w:val="17"/>
          <w:color w:val="auto"/>
        </w:rPr>
        <w:t>On a consolidated basis, equity-indexed compensation expense increased by $5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2016 compared to the same period in 2015, primarily due to the impact of the increase in PAA unit price during the three months ended June 30, 2016 compared to the impact of the decrease in PAA unit price during the same period in 2015, partially offset by the impact of fewer PAA LTIP units outstanding and lower values per PAA LTIP unit during the 2016 period compared to the same period in 2015.</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a consolidated basis across all segments, equity-indexed compensation expense decreased by $10 million for the six months ended June 30, 2016 compared to the same period in 2015, primarily due to the impact of fewer PAA LTIP units outstanding and lower values per PAA LTIP unit during the six months ended June 30, 2016 compared to the same period in 2015, partially offset by the impact of the increase in PAA unit price during the six months ended June 30, 2016 compared to the impact of the decrease in PAA unit price during the same period in 2015.</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of partially or fully depreciated assets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operating and/or earnings capacity of our existing assets. The decrease in maintenance capital for the three and six months ended June 30, 2016 compared to the three and six months ended June 30, 2015 was primarily driven by lower third party service costs and timing of projects.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20" w:type="dxa"/>
            <w:vAlign w:val="bottom"/>
            <w:gridSpan w:val="3"/>
          </w:tcPr>
          <w:p>
            <w:pPr>
              <w:jc w:val="center"/>
              <w:ind w:left="195"/>
              <w:spacing w:after="0"/>
              <w:rPr>
                <w:sz w:val="20"/>
                <w:szCs w:val="20"/>
                <w:color w:val="auto"/>
              </w:rPr>
            </w:pPr>
            <w:r>
              <w:rPr>
                <w:rFonts w:ascii="Arial" w:cs="Arial" w:eastAsia="Arial" w:hAnsi="Arial"/>
                <w:sz w:val="14"/>
                <w:szCs w:val="14"/>
                <w:b w:val="1"/>
                <w:bCs w:val="1"/>
                <w:color w:val="auto"/>
                <w:w w:val="94"/>
              </w:rPr>
              <w:t>Favorable/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4"/>
              </w:rPr>
              <w:t>Favorable/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tcPr>
          <w:p>
            <w:pPr>
              <w:jc w:val="center"/>
              <w:ind w:right="41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96"/>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Natural gas related storage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b w:val="1"/>
                <w:bCs w:val="1"/>
                <w:color w:val="auto"/>
                <w:vertAlign w:val="superscript"/>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 operations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b w:val="1"/>
                <w:bCs w:val="1"/>
                <w:color w:val="auto"/>
                <w:vertAlign w:val="superscript"/>
              </w:rPr>
              <w:t>(2) (3)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7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 general and administrative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340" w:type="dxa"/>
            <w:vAlign w:val="bottom"/>
            <w:tcBorders>
              <w:top w:val="single" w:sz="8" w:color="CCEEFF"/>
              <w:bottom w:val="single" w:sz="8" w:color="CCEEFF"/>
              <w:right w:val="single" w:sz="8" w:color="auto"/>
            </w:tcBorders>
            <w:shd w:val="clear" w:color="auto" w:fill="CCEEFF"/>
          </w:tcPr>
          <w:p>
            <w:pPr>
              <w:jc w:val="right"/>
              <w:ind w:right="110"/>
              <w:spacing w:after="0" w:line="190" w:lineRule="exact"/>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shd w:val="clear" w:color="auto" w:fill="CCEEFF"/>
          </w:tcPr>
          <w:p>
            <w:pPr>
              <w:jc w:val="right"/>
              <w:ind w:right="70"/>
              <w:spacing w:after="0" w:line="190"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195"/>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60" w:right="199" w:bottom="0" w:gutter="0" w:footer="0" w:header="0"/>
        </w:sectPr>
      </w:pPr>
    </w:p>
    <w:bookmarkStart w:id="28" w:name="page29"/>
    <w:bookmarkEnd w:id="28"/>
    <w:p>
      <w:pPr>
        <w:spacing w:after="0" w:line="11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4"/>
              </w:rPr>
              <w:t>Favorable/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4"/>
              </w:rPr>
              <w:t>Favorable/</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214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160" w:type="dxa"/>
            <w:vAlign w:val="bottom"/>
            <w:gridSpan w:val="5"/>
            <w:vMerge w:val="continue"/>
          </w:tcPr>
          <w:p>
            <w:pPr>
              <w:spacing w:after="0"/>
              <w:rPr>
                <w:sz w:val="12"/>
                <w:szCs w:val="12"/>
                <w:color w:val="auto"/>
              </w:rPr>
            </w:pPr>
          </w:p>
        </w:tc>
        <w:tc>
          <w:tcPr>
            <w:tcW w:w="17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7"/>
                <w:szCs w:val="17"/>
                <w:b w:val="1"/>
                <w:bCs w:val="1"/>
                <w:color w:val="auto"/>
                <w:vertAlign w:val="superscript"/>
              </w:rPr>
              <w:t>(4)</w:t>
            </w:r>
          </w:p>
        </w:tc>
        <w:tc>
          <w:tcPr>
            <w:tcW w:w="130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2"/>
              </w:rPr>
              <w:t>Variance</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8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1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4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3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Crude oil, refined products and NGL</w:t>
            </w: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volumes in thousands of barrels per</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233</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7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220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day)</w:t>
            </w: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 monthly</w:t>
            </w: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working capacity in billions of cubic</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160" w:type="dxa"/>
            <w:vAlign w:val="bottom"/>
            <w:gridSpan w:val="3"/>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06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feet)</w:t>
            </w: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3"/>
                <w:szCs w:val="13"/>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103</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3"/>
                <w:szCs w:val="13"/>
                <w:color w:val="auto"/>
              </w:rPr>
            </w:pPr>
          </w:p>
        </w:tc>
        <w:tc>
          <w:tcPr>
            <w:tcW w:w="7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3"/>
                <w:szCs w:val="13"/>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103</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thousands of barrels per day)</w:t>
            </w: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(average</w:t>
            </w: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right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volumes in millions of</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31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b w:val="1"/>
                <w:bCs w:val="1"/>
                <w:color w:val="auto"/>
                <w:vertAlign w:val="superscript"/>
              </w:rPr>
              <w:t>(5)</w:t>
            </w: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4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225"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00" w:lineRule="exact"/>
        <w:rPr>
          <w:sz w:val="20"/>
          <w:szCs w:val="20"/>
          <w:color w:val="auto"/>
        </w:rPr>
      </w:pPr>
    </w:p>
    <w:p>
      <w:pPr>
        <w:sectPr>
          <w:pgSz w:w="11900" w:h="16948" w:orient="portrait"/>
          <w:cols w:equalWidth="0" w:num="2">
            <w:col w:w="160" w:space="480"/>
            <w:col w:w="10780"/>
          </w:cols>
          <w:pgMar w:left="240" w:top="368" w:right="239" w:bottom="0" w:gutter="0" w:footer="0" w:header="0"/>
          <w:type w:val="continuous"/>
        </w:sectPr>
      </w:pPr>
    </w:p>
    <w:p>
      <w:pPr>
        <w:spacing w:after="0" w:line="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Revenues and Volumes. </w:t>
      </w:r>
      <w:r>
        <w:rPr>
          <w:rFonts w:ascii="Arial" w:cs="Arial" w:eastAsia="Arial" w:hAnsi="Arial"/>
          <w:sz w:val="17"/>
          <w:szCs w:val="17"/>
          <w:color w:val="auto"/>
        </w:rPr>
        <w:t>As noted in the table above, our Facilities segment revenues were relatively consistent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the three months ended June 30, 2015, and increased by $10 million for the comparable six month period. Total volumes increased slightly for both comparative periods presented. Our Facilities segment results for the comparative periods were impacted by:</w:t>
      </w:r>
    </w:p>
    <w:p>
      <w:pPr>
        <w:spacing w:after="0" w:line="166" w:lineRule="exact"/>
        <w:rPr>
          <w:sz w:val="20"/>
          <w:szCs w:val="20"/>
          <w:color w:val="auto"/>
        </w:rPr>
      </w:pPr>
    </w:p>
    <w:p>
      <w:pPr>
        <w:ind w:left="660" w:hanging="328"/>
        <w:spacing w:after="0" w:line="259"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Crude Oil Storage —Revenues increased by $4 million and $18 million for the three and six months ended June 30, 2016, respectively, as compared to the three and six months ended June 30, 2015 primarily due to increased utilization at certain of our West Coast terminals and aggregate capacity expansions of approximately 4 million barrels at our St. James and Cushing terminals. Such increases were partially offset by lower results due to the sale of certain of our East Coast terminals in April 2016.</w:t>
      </w:r>
    </w:p>
    <w:p>
      <w:pPr>
        <w:spacing w:after="0" w:line="186" w:lineRule="exact"/>
        <w:rPr>
          <w:rFonts w:ascii="Arial" w:cs="Arial" w:eastAsia="Arial" w:hAnsi="Arial"/>
          <w:sz w:val="18"/>
          <w:szCs w:val="18"/>
          <w:color w:val="auto"/>
        </w:rPr>
      </w:pPr>
    </w:p>
    <w:p>
      <w:pPr>
        <w:jc w:val="both"/>
        <w:ind w:left="660" w:right="120" w:hanging="328"/>
        <w:spacing w:after="0" w:line="264"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Rail Terminals —Revenues decreased by $7 million and $15 million for the three and six month comparative periods, respectively, primarily due to lower volumes at our U.S. terminals as a result of less favorable market conditions, partially offset by revenues and volumes from our Canadian rail terminal that came online in April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59"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NGL Storage, NGL Fractionation and Canadian Natural Gas Processing —Revenues increased by $7 million for both the three and six months ended June 30, 2016 compared to the same periods in 2015, primarily due to higher fees and increased capacity at certain of our NGL storage and fractionation facilities, which more than offset unfavorable foreign exchange impacts of approximately $3 million and $10 million for the comparative three and six month periods, respectively.</w:t>
      </w:r>
    </w:p>
    <w:p>
      <w:pPr>
        <w:spacing w:after="0" w:line="187" w:lineRule="exact"/>
        <w:rPr>
          <w:sz w:val="20"/>
          <w:szCs w:val="20"/>
          <w:color w:val="auto"/>
        </w:rPr>
      </w:pPr>
    </w:p>
    <w:p>
      <w:pPr>
        <w:jc w:val="both"/>
        <w:ind w:right="60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 three and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2016 compared to the three and six months ended June 30, 2015 primarily due to lower costs related to contract services, primarily at our rail terminals and, to a lesser extent, at our processing facilities. The decrease in field operating costs was also impacted by lower utilities costs as well as favorable foreign exchange impacts of $2 million and $5 million, respectively, for the three and six month comparative periods. These decreases were partially offset by employee severance costs associated with personnel reductions related to the restructuring of certain of our operations.</w:t>
      </w:r>
    </w:p>
    <w:p>
      <w:pPr>
        <w:spacing w:after="0" w:line="15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decrease in maintenance capital for the three and six months ended June 30, 2016 compared to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2015 was primarily due to lower spending on various tank and other maintenance capital projects, partially due to timing.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w:t>
      </w:r>
    </w:p>
    <w:p>
      <w:pPr>
        <w:sectPr>
          <w:pgSz w:w="11900" w:h="16948" w:orient="portrait"/>
          <w:cols w:equalWidth="0" w:num="1">
            <w:col w:w="11420"/>
          </w:cols>
          <w:pgMar w:left="240" w:top="368" w:right="239" w:bottom="0" w:gutter="0" w:footer="0" w:header="0"/>
          <w:type w:val="continuous"/>
        </w:sectPr>
      </w:pPr>
    </w:p>
    <w:bookmarkStart w:id="29" w:name="page30"/>
    <w:bookmarkEnd w:id="29"/>
    <w:p>
      <w:pPr>
        <w:ind w:right="120"/>
        <w:spacing w:after="0" w:line="293" w:lineRule="auto"/>
        <w:rPr>
          <w:sz w:val="20"/>
          <w:szCs w:val="20"/>
          <w:color w:val="auto"/>
        </w:rPr>
      </w:pPr>
      <w:r>
        <w:rPr>
          <w:rFonts w:ascii="Arial" w:cs="Arial" w:eastAsia="Arial" w:hAnsi="Arial"/>
          <w:sz w:val="16"/>
          <w:szCs w:val="16"/>
          <w:color w:val="auto"/>
        </w:rPr>
        <w:t>our segment profit is impacted by (i) increases or decreases in our Supply and Logistics segment volumes (which consist of lease gathering crude oil purchases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vMerge w:val="restart"/>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90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4"/>
              </w:rPr>
              <w:t>Favorable/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16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2"/>
              </w:rPr>
              <w:t>Variance</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(1,699)</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b w:val="1"/>
                <w:bCs w:val="1"/>
                <w:color w:val="auto"/>
                <w:vertAlign w:val="superscript"/>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(6,168)</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(8,243)</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(11,521)</w:t>
            </w:r>
          </w:p>
        </w:tc>
        <w:tc>
          <w:tcPr>
            <w:tcW w:w="16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3,278</w:t>
            </w:r>
          </w:p>
        </w:tc>
        <w:tc>
          <w:tcPr>
            <w:tcW w:w="200" w:type="dxa"/>
            <w:vAlign w:val="bottom"/>
          </w:tcPr>
          <w:p>
            <w:pPr>
              <w:spacing w:after="0"/>
              <w:rPr>
                <w:sz w:val="18"/>
                <w:szCs w:val="18"/>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b w:val="1"/>
                <w:bCs w:val="1"/>
                <w:color w:val="auto"/>
                <w:vertAlign w:val="superscript"/>
              </w:rPr>
              <w:t>(3)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 operations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b w:val="1"/>
                <w:bCs w:val="1"/>
                <w:color w:val="auto"/>
                <w:vertAlign w:val="superscript"/>
              </w:rPr>
              <w:t>(3) (4)</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2"/>
              </w:rPr>
              <w:t>Equity-indexed compensation expense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 general and administrative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profit/(loss)</w:t>
            </w: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vMerge w:val="continue"/>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vMerge w:val="continue"/>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6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300" w:type="dxa"/>
            <w:vAlign w:val="bottom"/>
            <w:tcBorders>
              <w:top w:val="single" w:sz="8" w:color="CCEEFF"/>
              <w:bottom w:val="single" w:sz="8" w:color="CCEEFF"/>
              <w:right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380" w:type="dxa"/>
            <w:vAlign w:val="bottom"/>
            <w:tcBorders>
              <w:top w:val="single" w:sz="8" w:color="CCEEFF"/>
              <w:bottom w:val="single" w:sz="8" w:color="CCEEFF"/>
              <w:right w:val="single" w:sz="8" w:color="auto"/>
            </w:tcBorders>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81"/>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180" w:type="dxa"/>
            <w:vAlign w:val="bottom"/>
            <w:tcBorders>
              <w:top w:val="single" w:sz="8" w:color="CCEEFF"/>
              <w:bottom w:val="single" w:sz="8" w:color="CCEEFF"/>
            </w:tcBorders>
            <w:shd w:val="clear" w:color="auto" w:fill="CCEEFF"/>
          </w:tcPr>
          <w:p>
            <w:pPr>
              <w:jc w:val="center"/>
              <w:ind w:right="30"/>
              <w:spacing w:after="0" w:line="190"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300" w:type="dxa"/>
            <w:vAlign w:val="bottom"/>
            <w:tcBorders>
              <w:top w:val="single" w:sz="8" w:color="CCEEFF"/>
              <w:bottom w:val="single" w:sz="8" w:color="CCEEFF"/>
            </w:tcBorders>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81"/>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center"/>
              <w:ind w:right="116"/>
              <w:spacing w:after="0"/>
              <w:rPr>
                <w:sz w:val="20"/>
                <w:szCs w:val="20"/>
                <w:color w:val="auto"/>
              </w:rPr>
            </w:pPr>
            <w:r>
              <w:rPr>
                <w:rFonts w:ascii="Arial" w:cs="Arial" w:eastAsia="Arial" w:hAnsi="Arial"/>
                <w:sz w:val="18"/>
                <w:szCs w:val="18"/>
                <w:color w:val="auto"/>
                <w:w w:val="89"/>
              </w:rPr>
              <w:t>40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6"/>
            <w:vMerge w:val="restart"/>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00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7"/>
              </w:rPr>
              <w:t>Favorable/</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24"/>
                <w:szCs w:val="24"/>
                <w:color w:val="auto"/>
              </w:rPr>
            </w:pPr>
          </w:p>
        </w:tc>
        <w:tc>
          <w:tcPr>
            <w:tcW w:w="90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4"/>
              </w:rPr>
              <w:t>Favorable/</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center"/>
              <w:ind w:right="72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16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5"/>
              </w:rPr>
              <w:t>Variance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116"/>
              <w:spacing w:after="0"/>
              <w:rPr>
                <w:sz w:val="20"/>
                <w:szCs w:val="20"/>
                <w:color w:val="auto"/>
              </w:rPr>
            </w:pPr>
            <w:r>
              <w:rPr>
                <w:rFonts w:ascii="Arial" w:cs="Arial" w:eastAsia="Arial" w:hAnsi="Arial"/>
                <w:sz w:val="14"/>
                <w:szCs w:val="14"/>
                <w:b w:val="1"/>
                <w:bCs w:val="1"/>
                <w:color w:val="auto"/>
                <w:w w:val="92"/>
              </w:rPr>
              <w:t>Variance</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Volumes</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Volumes</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Crude oil lease gathering purchases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200"/>
              <w:spacing w:after="0"/>
              <w:rPr>
                <w:sz w:val="20"/>
                <w:szCs w:val="20"/>
                <w:color w:val="auto"/>
              </w:rPr>
            </w:pPr>
            <w:r>
              <w:rPr>
                <w:rFonts w:ascii="Arial" w:cs="Arial" w:eastAsia="Arial" w:hAnsi="Arial"/>
                <w:sz w:val="18"/>
                <w:szCs w:val="18"/>
                <w:color w:val="auto"/>
                <w:w w:val="95"/>
              </w:rPr>
              <w:t>Supply and Logistics segment total</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81"/>
              </w:rPr>
              <w:t>)%</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1"/>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-1510665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-1510665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120" w:hanging="11"/>
        <w:spacing w:after="0" w:line="342" w:lineRule="auto"/>
        <w:rPr>
          <w:sz w:val="20"/>
          <w:szCs w:val="20"/>
          <w:color w:val="auto"/>
        </w:rPr>
      </w:pPr>
      <w:r>
        <w:rPr>
          <w:rFonts w:ascii="Arial" w:cs="Arial" w:eastAsia="Arial" w:hAnsi="Arial"/>
          <w:sz w:val="16"/>
          <w:szCs w:val="16"/>
          <w:color w:val="auto"/>
        </w:rPr>
        <w:t>Purchases and related costs include interest expense (related to hedged inventory purchases) of $3 million and $2 million for the three months ended June 30, 2016 and 2015, respectively, and $6 million and $3 million for the six months ended June 30, 2016 and 2015, respectively.</w:t>
      </w:r>
    </w:p>
    <w:p>
      <w:pPr>
        <w:spacing w:after="0" w:line="124"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00" w:lineRule="exact"/>
        <w:rPr>
          <w:sz w:val="20"/>
          <w:szCs w:val="20"/>
          <w:color w:val="auto"/>
        </w:rPr>
      </w:pPr>
    </w:p>
    <w:p>
      <w:pPr>
        <w:sectPr>
          <w:pgSz w:w="11900" w:h="16838" w:orient="portrait"/>
          <w:cols w:equalWidth="0" w:num="2">
            <w:col w:w="160" w:space="480"/>
            <w:col w:w="10820"/>
          </w:cols>
          <w:pgMar w:left="240" w:top="125" w:right="199" w:bottom="0" w:gutter="0" w:footer="0" w:header="0"/>
          <w:type w:val="continuous"/>
        </w:sectPr>
      </w:pPr>
    </w:p>
    <w:p>
      <w:pPr>
        <w:spacing w:after="0" w:line="17"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2016</w:t>
            </w: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Three months ended June 30, 2015</w:t>
            </w:r>
          </w:p>
        </w:tc>
        <w:tc>
          <w:tcPr>
            <w:tcW w:w="390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Six months ended June 30, 2016</w:t>
            </w:r>
          </w:p>
        </w:tc>
        <w:tc>
          <w:tcPr>
            <w:tcW w:w="390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2015</w:t>
            </w:r>
          </w:p>
        </w:tc>
        <w:tc>
          <w:tcPr>
            <w:tcW w:w="390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six months ended June 30, 2016 compared to the same periods in 2015 due to lower crude oil and NGL prices.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is challenging.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ectPr>
          <w:pgSz w:w="11900" w:h="16838" w:orient="portrait"/>
          <w:cols w:equalWidth="0" w:num="1">
            <w:col w:w="11460"/>
          </w:cols>
          <w:pgMar w:left="240" w:top="125" w:right="199" w:bottom="0" w:gutter="0" w:footer="0" w:header="0"/>
          <w:type w:val="continuous"/>
        </w:sectPr>
      </w:pPr>
    </w:p>
    <w:bookmarkStart w:id="30" w:name="page31"/>
    <w:bookmarkEnd w:id="30"/>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$97 million and $233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six months ended June 30, 2016 compared to the three and six months ended June 30, 2015. The following summarizes the more significant items impacting the comparative periods: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264"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2016 as compared to the same 2015 periods, primarily due to increased competition, largely due to overbuilt infrastructure and volume declines in certain areas, that have negatively impacted our lease gathering unit margins.</w:t>
      </w:r>
    </w:p>
    <w:p>
      <w:pPr>
        <w:spacing w:after="0" w:line="181" w:lineRule="exact"/>
        <w:rPr>
          <w:rFonts w:ascii="Arial" w:cs="Arial" w:eastAsia="Arial" w:hAnsi="Arial"/>
          <w:sz w:val="18"/>
          <w:szCs w:val="18"/>
          <w:color w:val="auto"/>
        </w:rPr>
      </w:pPr>
    </w:p>
    <w:p>
      <w:pPr>
        <w:jc w:val="both"/>
        <w:ind w:left="980" w:right="20" w:hanging="324"/>
        <w:spacing w:after="0" w:line="286"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and six months ended June 30, 2016 as compared to the three and six months ended June 30, 2015, primarily due to softer propane sales margins during the 2015-2016 winter heating season resulting from a shorter and milder winter, as well as higher storage and processing fees for the 2016 periods.</w:t>
      </w:r>
    </w:p>
    <w:p>
      <w:pPr>
        <w:spacing w:after="0" w:line="165" w:lineRule="exact"/>
        <w:rPr>
          <w:rFonts w:ascii="Arial" w:cs="Arial" w:eastAsia="Arial" w:hAnsi="Arial"/>
          <w:sz w:val="17"/>
          <w:szCs w:val="17"/>
          <w:color w:val="auto"/>
        </w:rPr>
      </w:pPr>
    </w:p>
    <w:p>
      <w:pPr>
        <w:ind w:left="980" w:right="80" w:hanging="324"/>
        <w:spacing w:after="0" w:line="279"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Exchange Impacts — Our results are impacted by fluctuations in the value of CAD to USD, resulting in foreign exchange gains and losses on U.S. denominated net assets within our Canadian operations. The changes in exchange rates during each period resulted in a favorable variance of $2 million for the three months ended June 30, 2016 compared to the three months ended June 30, 2015, and an unfavorable variance of $31 million for the six months ended June 30, 2016 compared to the six months ended June 30, 2015.</w:t>
      </w:r>
    </w:p>
    <w:p>
      <w:pPr>
        <w:spacing w:after="0" w:line="171" w:lineRule="exact"/>
        <w:rPr>
          <w:sz w:val="20"/>
          <w:szCs w:val="20"/>
          <w:color w:val="auto"/>
        </w:rPr>
      </w:pPr>
    </w:p>
    <w:p>
      <w:pPr>
        <w:ind w:left="980" w:right="260"/>
        <w:spacing w:after="0" w:line="264" w:lineRule="auto"/>
        <w:rPr>
          <w:sz w:val="20"/>
          <w:szCs w:val="20"/>
          <w:color w:val="auto"/>
        </w:rPr>
      </w:pPr>
      <w:r>
        <w:rPr>
          <w:rFonts w:ascii="Arial" w:cs="Arial" w:eastAsia="Arial" w:hAnsi="Arial"/>
          <w:sz w:val="18"/>
          <w:szCs w:val="18"/>
          <w:color w:val="auto"/>
        </w:rPr>
        <w:t>Furthermore, the depreciation of CAD relative to USD resulted in lower USD costs of approximately $5 million and $15 million for the three and six months ended June 30, 2016 compared to the three and six months ended June 30, 2015, respectively. Such costs were primarily associated with intercompany facility fees and were largely offset in our Facilities segment results.</w:t>
      </w:r>
    </w:p>
    <w:p>
      <w:pPr>
        <w:spacing w:after="0" w:line="181" w:lineRule="exact"/>
        <w:rPr>
          <w:sz w:val="20"/>
          <w:szCs w:val="20"/>
          <w:color w:val="auto"/>
        </w:rPr>
      </w:pPr>
    </w:p>
    <w:p>
      <w:pPr>
        <w:ind w:left="980" w:right="8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Variance</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Variance</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Losses from certain derivative</w:t>
            </w: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net of inventory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15690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57" w:lineRule="exact"/>
        <w:rPr>
          <w:sz w:val="20"/>
          <w:szCs w:val="20"/>
          <w:color w:val="auto"/>
        </w:rPr>
      </w:pPr>
    </w:p>
    <w:p>
      <w:pPr>
        <w:ind w:left="1620" w:right="20" w:hanging="640"/>
        <w:spacing w:after="0" w:line="257" w:lineRule="auto"/>
        <w:tabs>
          <w:tab w:leader="none" w:pos="1608" w:val="left"/>
        </w:tabs>
        <w:numPr>
          <w:ilvl w:val="1"/>
          <w:numId w:val="31"/>
        </w:numPr>
        <w:rPr>
          <w:rFonts w:ascii="Arial" w:cs="Arial" w:eastAsia="Arial" w:hAnsi="Arial"/>
          <w:sz w:val="12"/>
          <w:szCs w:val="12"/>
          <w:color w:val="auto"/>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9 to our Condensed Consolidated Financial Statements for a comprehensive discussion regarding our derivatives and risk management activities.</w:t>
      </w:r>
    </w:p>
    <w:p>
      <w:pPr>
        <w:spacing w:after="0" w:line="242" w:lineRule="exact"/>
        <w:rPr>
          <w:rFonts w:ascii="Arial" w:cs="Arial" w:eastAsia="Arial" w:hAnsi="Arial"/>
          <w:sz w:val="12"/>
          <w:szCs w:val="12"/>
          <w:color w:val="auto"/>
        </w:rPr>
      </w:pPr>
    </w:p>
    <w:p>
      <w:pPr>
        <w:ind w:left="980" w:right="20" w:hanging="324"/>
        <w:spacing w:after="0" w:line="255" w:lineRule="auto"/>
        <w:tabs>
          <w:tab w:leader="none" w:pos="9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Inventory Costing Adjustment — Our operating results are impacted by changes in the weighted average cost of our crude oil and NGL inventory pools that result from price movements during the periods. Such costing adjustments resulted in favorable impacts of $67 million and $23 million for the three months ended June 30, 2016 and 2015, respectively, and favorable impacts of $44 million and unfavorable impacts of $15 million for the six months ended June 30, 2016 and 2015, respectively, due to price changes during each period.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compared to the three and six months ended June 30, 2015 was primarily due to a combination of (i) lower lease gathering volumes, (ii) shorter truck hauls as pipeline expansion projects were placed into service and (iii) a decrease in fuel prices.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decrease in general and administrative expenses (excluding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2016 compared to the three and six months ended June 30, 2015 was primarily due to lower salary and other personnel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Depreciation and amortization expense increased for the three and six months ended June 30, 2016 compared to the three and six months ended June 30, 2015 primarily due to (i) impairment losses of approximately $80 million associated with certain of our rail and other terminal assets, (ii) an approximately $18 million charge related to assets taken out of service, (iii) additional depreciation expense associated with various capital expansion projects completed since the 2015 periods and (iv) the write-off of costs associated with the discontinuation of certain projects during 2016. These increases were partially offset by net gains of approximately $10 million and $16 million recognized during the three and six months ended June 30, 2016, respectively, which were primarily associated with non-core asset sales during the periods.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ectPr>
          <w:pgSz w:w="11900" w:h="16838" w:orient="portrait"/>
          <w:cols w:equalWidth="0" w:num="1">
            <w:col w:w="11420"/>
          </w:cols>
          <w:pgMar w:left="240" w:top="125" w:right="239" w:bottom="0" w:gutter="0" w:footer="0" w:header="0"/>
        </w:sectPr>
      </w:pPr>
    </w:p>
    <w:bookmarkStart w:id="31" w:name="page32"/>
    <w:bookmarkEnd w:id="31"/>
    <w:p>
      <w:pPr>
        <w:ind w:right="14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2016 over the three and six months ended June 30, 2015 was primarily due to a higher weighted average debt balance largely driven by PAA’s August 2015 $1.0 billion senior note issuance, partially offset by the maturity of $150 million and $400 million of PAA senior notes in June 2015 and September 2015,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Other income/(expense), net for the three and six months ended June 30, 2016 was impacted by a gain of $25 million related to the mark-to-market adjustment of the Preferred Distribution Rate Reset Option. See Note 9 to our Condensed Consolidated Financial Statements for additional information. Excluding such gain, Other income/(expense), net in each of the periods presented was primarily comprised of foreign currency gains or losses related to revaluations of CAD-denominated interest receivables associated with our intercompany notes.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Income tax expense decreased for the three and six months ended June 30, 2016 compared to the three and six months ended June 30, 2015 primarily due to (i) deferred tax benefits recorded in the second quarter of 2016 related to return-to-accrual adjustments and a Louisiana law change enacted during the quarter, (ii) deferred tax expense recorded in the second quarter of 2015 related to the cumulative revaluation of Canadian net deferred tax liabilities resulting from a 2% Alberta, Canada provincial tax rate increase and (iii) lower year-over-year taxable earnings from our Canadian operations. These decreases were partially offset by higher deferred tax expense associated with the amortization of our deferred tax asset.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second quarter of 2016, the rate of growth of North American crude oil production slowed significantly and began to decrease in some areas as producers have taken rigs out of service and deferred completions at an increased rate. The pace and depth of the reduction in drilling and completion activities by producers has been greater than anticipated by many market participants and observers; since the beginning of 2015, onshore rig counts for the lower 48 States have decreased approximately 75%. As a result of the combined effect of such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 lead to even greater 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PAA’s Business” discussed in Item 1A of our 2015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the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w:t>
      </w:r>
    </w:p>
    <w:p>
      <w:pPr>
        <w:sectPr>
          <w:pgSz w:w="11900" w:h="16838" w:orient="portrait"/>
          <w:cols w:equalWidth="0" w:num="1">
            <w:col w:w="11420"/>
          </w:cols>
          <w:pgMar w:left="240" w:top="341" w:right="239" w:bottom="0" w:gutter="0" w:footer="0" w:header="0"/>
        </w:sectPr>
      </w:pPr>
    </w:p>
    <w:bookmarkStart w:id="32" w:name="page33"/>
    <w:bookmarkEnd w:id="32"/>
    <w:p>
      <w:pPr>
        <w:ind w:right="120"/>
        <w:spacing w:after="0" w:line="342" w:lineRule="auto"/>
        <w:rPr>
          <w:sz w:val="20"/>
          <w:szCs w:val="20"/>
          <w:color w:val="auto"/>
        </w:rPr>
      </w:pPr>
      <w:r>
        <w:rPr>
          <w:rFonts w:ascii="Arial" w:cs="Arial" w:eastAsia="Arial" w:hAnsi="Arial"/>
          <w:sz w:val="16"/>
          <w:szCs w:val="16"/>
          <w:color w:val="auto"/>
        </w:rPr>
        <w:t>issuance of additional PAA equity or debt securities. As of June 30, 2016, we had a working capital deficit of $426 million and approximately $3.0 billion of liquidity available to meet our ongoing operating, investing and financing needs, subject to continued covenant compliance, as noted below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June 30, 2016</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Amounts outstanding under under PAA commercial paper program</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(526)</w:t>
            </w:r>
          </w:p>
        </w:tc>
      </w:tr>
      <w:tr>
        <w:trPr>
          <w:trHeight w:val="210"/>
        </w:trPr>
        <w:tc>
          <w:tcPr>
            <w:tcW w:w="9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8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170" w:lineRule="exact"/>
        <w:rPr>
          <w:sz w:val="20"/>
          <w:szCs w:val="20"/>
          <w:color w:val="auto"/>
        </w:rPr>
      </w:pPr>
    </w:p>
    <w:p>
      <w:pPr>
        <w:ind w:right="2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$17 million and $31 million, respectively.</w:t>
      </w:r>
    </w:p>
    <w:p>
      <w:pPr>
        <w:spacing w:after="0" w:line="170"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jc w:val="both"/>
        <w:ind w:right="2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PAA credit facilities, which provide the backstop for the PAA commercial paper program, and the AAP credit facility is subject to ongoing compliance with covenants. As of June 30, 2016, PAA and AAP were in compliance with all such covenants.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Net cash provided by operating activities for the first six months of 2016 and 2015 was $379 million and $654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months ended June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During the six months ended June 30, 2015, we increased the volume of crude oil inventory that we held, primarily as a result of purchasing and storing such inventory due to contango market conditions. These increases were primarily funded with proceeds received from the seasonal sale of our NGL and natural gas inventory and thus did not significantly impact cash provided by operating activities during the period.</w:t>
      </w:r>
    </w:p>
    <w:p>
      <w:pPr>
        <w:spacing w:after="0" w:line="16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June 30, 2016, counterparty deficiencies associated with agreements that include minimum volume commitments totaled $70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June 30, 2016, we had deferred revenue associated with minimum volume commitments of $45 million. In addition to the amounts recorded as deferred revenue, as of June 30, 2016, there was $25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During the six months ended June 30, 2016 and 2015, we paid cash of $85 million and $64 million,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during the first half of 2016, we completed the sale of various non-core assets, as well as the sale of 50% of our investment in Cheyenne Pipeline LLC, for cash proceeds of $391 million. We also completed an additional divestiture of non-core assets in July 2016 for approximately $170 million.</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in August 2016, we completed the acquisition of an integrated system of NGL assets in Western Canada for a cash purchase price of approximately $204 million, including $51 million for inventory and working capital.</w:t>
      </w:r>
    </w:p>
    <w:p>
      <w:pPr>
        <w:sectPr>
          <w:pgSz w:w="11900" w:h="16838" w:orient="portrait"/>
          <w:cols w:equalWidth="0" w:num="1">
            <w:col w:w="11420"/>
          </w:cols>
          <w:pgMar w:left="240" w:top="125" w:right="239" w:bottom="0" w:gutter="0" w:footer="0" w:header="0"/>
          <w:type w:val="continuous"/>
        </w:sectPr>
      </w:pPr>
    </w:p>
    <w:bookmarkStart w:id="33" w:name="page34"/>
    <w:bookmarkEnd w:id="33"/>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2016 Capital Projects. </w:t>
      </w:r>
      <w:r>
        <w:rPr>
          <w:rFonts w:ascii="Arial" w:cs="Arial" w:eastAsia="Arial" w:hAnsi="Arial"/>
          <w:sz w:val="17"/>
          <w:szCs w:val="17"/>
          <w:color w:val="auto"/>
        </w:rPr>
        <w:t>We invested approximately $709 million in midstream infrastructure during the six months ended June 30, 2016. See “—</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and Capital Projects” for detail of our projected capital expenditures for the year ending December 31, 2016. We expect the majority of funding for our remaining 2016 capital program will be provided by the proceeds from PAA’s January 2016 Series A preferred unit offering, the sale of various non-core assets throughout the year and through the potential issuance of equity and long-term debt by PAA.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(“Traditional Shelf”). At June 30, 2016, PAA had approximately $2.0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 did not conduct any offerings under the Traditional Shelf or under the WKSI Shelf during the six months ended June 30, 2016.</w:t>
      </w:r>
    </w:p>
    <w:p>
      <w:pPr>
        <w:spacing w:after="0" w:line="1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PAA Series A Preferred Unit Issuance. </w:t>
      </w:r>
      <w:r>
        <w:rPr>
          <w:rFonts w:ascii="Arial" w:cs="Arial" w:eastAsia="Arial" w:hAnsi="Arial"/>
          <w:sz w:val="17"/>
          <w:szCs w:val="17"/>
          <w:color w:val="auto"/>
        </w:rPr>
        <w:t>In January 2016, PAA completed the private placement of approximately 61.0 million PAA Series A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units at a price of $26.25 per unit resulting in total net proceeds, after deducting offering expenses and the 2% transaction fee due to the purchasers, of approximately $1.6 billion. We used the net proceeds for capital expenditures, repayment of debt and general partnership purposes.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PAA Series A preferred units rank senior to all classes or series of equity securities in PAA with respect to distribution rights. The holders of the PAA Series A preferred units are entitled to receive quarterly distributions, subject to customary antidilution adjustments, of $0.525 per unit ($2.10 per unit annualized), commencing with the quarter ended March 31, 2016. With respect to any quarter ending on or prior to December 31, 2017, PAA may elect to pay distributions on the PAA Series A preferred units in additional preferred units, in cash or a combination of both. AAP will be entitled to participate in cash distributions on the PAA preferred units equal to its 2% general partner interest in PAA.</w:t>
      </w:r>
    </w:p>
    <w:p>
      <w:pPr>
        <w:spacing w:after="0" w:line="173"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After two years, the PAA Series A preferred units are convertible at the purchasers’ option into common units on a one-for-one basis, subject to certain conditions, and are convertible at PAA’s option in certain circumstances after three years. See Note 8 to our Condensed Consolidated Financial Statements for additional information regarding the PAA Series A preferred units.</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As of June 30, 2016, PAA and AAP were in compliance with the covenants contained in the credit agreements and indentures.</w:t>
      </w:r>
    </w:p>
    <w:p>
      <w:pPr>
        <w:spacing w:after="0" w:line="15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a consolidated basis, during the six months ended June 30, 2016, we had net repayments on the credit agreements and PAA commercial paper program of $558 million. The net repayments resulted primarily from cash flow from operating activities and cash received from our equity activities, which offset borrowings during the period related to inventory purchases and margin balances required as part of our hedging activities.</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During the six months ended June 30, 2015, we had net borrowings under credit agreements and the PAA commercial paper program of $175 million. These net borrowings resulted primarily from funding needs for (i) internal capital projects, (ii) repayment of the PAA $150 million, 5.25% senior notes that matured in June 2015 and (iii) other general partnership purposes.</w:t>
      </w:r>
    </w:p>
    <w:p>
      <w:pPr>
        <w:spacing w:after="0" w:line="18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PAA’s $175 million, 5.88% senior notes will mature in August 2016, and PAA’s $400 million, 6.13% senior notes will mature in January 2017. We intend to use borrowings under the PAA commercial paper program or credit facilities to repay these senior notes when they mature.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100% of our available cash within 55 days following the end of each quarter to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record. Available cash is generally defined as all of our cash and cash equivalents on hand at the end of each quarter less reserves established in the discretion of our general partner for future requirements. On August 12, 2016, we will pay a quarterly distribution of $0.231 per Class A share. See Note 8 to our Condensed Consolidated Financial Statements for details of distributions paid during or pertaining to the first six months of 2016. Also, see Item 5. “Market for Registrant’s Shares, Related Shareholder Matters and Issuer Purchases of Equity Securities—Cash Distribution Policy” included in our 2015 Annual Report on Form 10-K for additional discussion regarding distributions.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six months ended June 30, 2016 and 2015, we paid distributions of $743 million and $713 million, respectively, to noncontrolling interests.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w:t>
      </w:r>
    </w:p>
    <w:p>
      <w:pPr>
        <w:sectPr>
          <w:pgSz w:w="11900" w:h="16838" w:orient="portrait"/>
          <w:cols w:equalWidth="0" w:num="1">
            <w:col w:w="11420"/>
          </w:cols>
          <w:pgMar w:left="240" w:top="125" w:right="239" w:bottom="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color w:val="auto"/>
        </w:rPr>
        <w:t>risks that could adversely affect our cash flow. A prolonged material decrease in our cash flows would likely produce an adverse effect on our borrowing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July 11, 2016, PAGP, PAA,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 (as of June 30, 2016, approximately $593 million),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both PAGP and PAA will continue to be publicly traded.</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Simplification Transactions are expected to close in the fourth quarter of 2016, subject to customary closing conditions. See Note 14 to our Condensed Consolidated Financial Statements for additional discussion of the Simplification Transactions.</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transactions are among consolidated subsidiaries of PAGP that are considered entities under common control. As such, in accordance with FASB guidance, these transactions will be recognized at carrying value. Additionally, the transactions will be accounted for as equity transactions in accordance with FASB guidance.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11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2016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2021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Thereafter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current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and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Crude oil, natural gas,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and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other purchases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75"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Includes debt service payments, interest payments due on PAA’s senior notes, interest payments on long-term borrowings outstanding under the AAP credit agreement and the commitment fee on assumed available capacity under the PAA revolving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right="140" w:hanging="11"/>
        <w:spacing w:after="0" w:line="257" w:lineRule="auto"/>
        <w:rPr>
          <w:sz w:val="20"/>
          <w:szCs w:val="20"/>
          <w:color w:val="auto"/>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$890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88"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ind w:left="660" w:right="220" w:hanging="652"/>
        <w:spacing w:after="0" w:line="249" w:lineRule="auto"/>
        <w:tabs>
          <w:tab w:leader="none" w:pos="64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June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ectPr>
          <w:pgSz w:w="11900" w:h="16838" w:orient="portrait"/>
          <w:cols w:equalWidth="0" w:num="1">
            <w:col w:w="11420"/>
          </w:cols>
          <w:pgMar w:left="240" w:top="125" w:right="239" w:bottom="0" w:gutter="0" w:footer="0" w:header="0"/>
          <w:type w:val="continuous"/>
        </w:sectPr>
      </w:pPr>
    </w:p>
    <w:bookmarkStart w:id="35" w:name="page36"/>
    <w:bookmarkEnd w:id="35"/>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June 30, 2016 and December 31, 2015, we had outstanding letters of credit of approximately $48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180" w:hanging="324"/>
        <w:spacing w:after="0" w:line="259"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60" w:hanging="324"/>
        <w:spacing w:after="0" w:line="308" w:lineRule="auto"/>
        <w:tabs>
          <w:tab w:leader="none" w:pos="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280" w:hanging="324"/>
        <w:spacing w:after="0" w:line="342" w:lineRule="auto"/>
        <w:tabs>
          <w:tab w:leader="none" w:pos="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ectPr>
          <w:pgSz w:w="11900" w:h="16838" w:orient="portrait"/>
          <w:cols w:equalWidth="0" w:num="1">
            <w:col w:w="11380"/>
          </w:cols>
          <w:pgMar w:left="240" w:top="125" w:right="279" w:bottom="100" w:gutter="0" w:footer="0" w:header="0"/>
        </w:sectPr>
      </w:pPr>
    </w:p>
    <w:bookmarkStart w:id="36" w:name="page37"/>
    <w:bookmarkEnd w:id="36"/>
    <w:p>
      <w:pPr>
        <w:spacing w:after="0" w:line="15" w:lineRule="exact"/>
        <w:rPr>
          <w:sz w:val="20"/>
          <w:szCs w:val="20"/>
          <w:color w:val="auto"/>
        </w:rPr>
      </w:pPr>
    </w:p>
    <w:p>
      <w:pPr>
        <w:ind w:left="980" w:right="2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6" w:lineRule="exact"/>
        <w:rPr>
          <w:sz w:val="20"/>
          <w:szCs w:val="20"/>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9 to our Condensed Consolidated Financial Statements for further discussion regarding our hedging strategies and objectives.</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2016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2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Arial" w:cs="Arial" w:eastAsia="Arial" w:hAnsi="Arial"/>
                <w:sz w:val="18"/>
                <w:szCs w:val="18"/>
                <w:color w:val="auto"/>
              </w:rPr>
              <w:t>Total fair value</w:t>
            </w:r>
          </w:p>
        </w:tc>
        <w:tc>
          <w:tcPr>
            <w:tcW w:w="1020" w:type="dxa"/>
            <w:vAlign w:val="bottom"/>
            <w:tcBorders>
              <w:top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w:t>
      </w:r>
    </w:p>
    <w:p>
      <w:pPr>
        <w:sectPr>
          <w:pgSz w:w="11900" w:h="16854" w:orient="portrait"/>
          <w:cols w:equalWidth="0" w:num="1">
            <w:col w:w="11420"/>
          </w:cols>
          <w:pgMar w:left="240" w:top="125" w:right="239" w:bottom="0" w:gutter="0" w:footer="0" w:header="0"/>
        </w:sectPr>
      </w:pPr>
    </w:p>
    <w:bookmarkStart w:id="37" w:name="page38"/>
    <w:bookmarkEnd w:id="37"/>
    <w:p>
      <w:pPr>
        <w:spacing w:after="0" w:line="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2016, approximately $1.7 billion, was subject to interest rate re-sets that ranged from less than one week to approximately one month. The average interest rate on variable rate debt that was outstanding during the six months ended June 30, 2016 was 1.6%, based upon rates in effect during such period. The fair value of our interest rate derivatives was a liability of $155 million as of June 30, 2016. A 10% increase in the forward LIBOR curve as of June 30, 2016 would have resulted in an increase of $35 million to the fair value of our interest rate derivatives. A 10% decrease in the forward LIBOR curve as of June 30, 2016 would have resulted in a decrease of $35 million to the fair value of our interest rate derivatives. See Note 9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June 30, 2016.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9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$35 million as of June 30, 2016. A 10% increase in the fair value would have an impact of $4 million. A 10% decrease in the fair value would also have an impact of $4 million. See Note 9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2016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11 to our Condensed Consolidated Financial Statements, and is incorporated herein by reference thereto.</w:t>
      </w:r>
    </w:p>
    <w:p>
      <w:pPr>
        <w:sectPr>
          <w:pgSz w:w="11900" w:h="16929" w:orient="portrait"/>
          <w:cols w:equalWidth="0" w:num="1">
            <w:col w:w="11420"/>
          </w:cols>
          <w:pgMar w:left="240" w:top="125" w:right="239" w:bottom="0" w:gutter="0" w:footer="0" w:header="0"/>
        </w:sectPr>
      </w:pPr>
    </w:p>
    <w:bookmarkStart w:id="38" w:name="page39"/>
    <w:bookmarkEnd w:id="38"/>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Additionally, a holder of vested AAP Management Units is entitled to convert his or her AAP Management Units into AAP units and a like number of our Class B shares based on a conversion ratio calculated in accordance with the AAP limited partnership agreement.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to us upon exercise of their Exchange Right. During the three months ended June 30, 2016, certain AAP unitholders or their permitted transferees exercised the Exchange Right, which resulted in the issuance of 275,632 Class A shares. The issuance of Class A shares in connection with the exercise of the Exchange Right was exempt from the registration requirements of the Securities Act of 1933, as amended, pursuant to Section 4(2)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5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PAA GP HOLDINGS LLC,</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its general partner</w:t>
      </w:r>
    </w:p>
    <w:p>
      <w:pPr>
        <w:spacing w:after="0" w:line="207"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Greg L. Armstrong</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b w:val="1"/>
          <w:bCs w:val="1"/>
          <w:i w:val="1"/>
          <w:iCs w:val="1"/>
          <w:color w:val="auto"/>
        </w:rPr>
        <w:t>Chairman of the Board,</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b w:val="1"/>
          <w:bCs w:val="1"/>
          <w:i w:val="1"/>
          <w:iCs w:val="1"/>
          <w:color w:val="auto"/>
        </w:rPr>
        <w:t>Chief Executive Officer and Director of PAA GP Holdings LLC</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2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Al Swanson</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7"/>
          <w:szCs w:val="17"/>
          <w:b w:val="1"/>
          <w:bCs w:val="1"/>
          <w:i w:val="1"/>
          <w:iCs w:val="1"/>
          <w:color w:val="auto"/>
        </w:rPr>
        <w:t>Executive Vice President and Chief Financial Officer of PAA GP</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2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Chris Herbold</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ectPr>
          <w:pgSz w:w="11900" w:h="16847" w:orient="portrait"/>
          <w:cols w:equalWidth="0" w:num="1">
            <w:col w:w="11420"/>
          </w:cols>
          <w:pgMar w:left="240" w:top="337" w:right="239" w:bottom="0" w:gutter="0" w:footer="0" w:header="0"/>
        </w:sectPr>
      </w:pPr>
    </w:p>
    <w:bookmarkStart w:id="39" w:name="page40"/>
    <w:bookmarkEnd w:id="3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4120"/>
              <w:spacing w:after="0"/>
              <w:rPr>
                <w:sz w:val="20"/>
                <w:szCs w:val="20"/>
                <w:color w:val="auto"/>
              </w:rPr>
            </w:pPr>
            <w:r>
              <w:rPr>
                <w:rFonts w:ascii="Arial" w:cs="Arial" w:eastAsia="Arial" w:hAnsi="Arial"/>
                <w:sz w:val="18"/>
                <w:szCs w:val="18"/>
                <w:color w:val="auto"/>
              </w:rPr>
              <w:t>53</w:t>
            </w: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960" w:type="dxa"/>
            <w:vAlign w:val="bottom"/>
            <w:tcBorders>
              <w:bottom w:val="single" w:sz="8" w:color="808080"/>
            </w:tcBorders>
          </w:tcPr>
          <w:p>
            <w:pPr>
              <w:spacing w:after="0"/>
              <w:rPr>
                <w:sz w:val="11"/>
                <w:szCs w:val="1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60" w:type="dxa"/>
            <w:vAlign w:val="bottom"/>
          </w:tcPr>
          <w:p>
            <w:pPr>
              <w:spacing w:after="0"/>
              <w:rPr>
                <w:sz w:val="24"/>
                <w:szCs w:val="24"/>
                <w:color w:val="auto"/>
              </w:rPr>
            </w:pPr>
          </w:p>
        </w:tc>
      </w:tr>
      <w:tr>
        <w:trPr>
          <w:trHeight w:val="453"/>
        </w:trPr>
        <w:tc>
          <w:tcPr>
            <w:tcW w:w="7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Simplification Agreement, dated as of July 11, 2016, by and among PAA GP Holdings LLC, Plains GP Holdings, L.P., Plains All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4"/>
              </w:rPr>
              <w:t>American GP LLC, Plains AAP, L.P., PAA GP LLC and Plains All American Pipeline, L.P. (incorporated by reference to Exhibit 2.1</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to PAA’s Current Report on Form 8-K filed on July 14, 2016).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Certificate of Limited Partnership of Plains GP Holdings, L.P. (incorporated by reference to Exhibit 3.1 to our Registration Statement</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on Form S-1 (333-190227) filed July 29,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Amended and Restated Agreement of Limited Partnership of Plains GP Holdings, L.P. dated as of October 21, 2013 (incorporated by</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reference to Exhibit 3.1 to our Current Report on Form 8-K filed October 25,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Certificate of Formation of PAA GP Holdings LLC (incorporated by reference to Exhibit 3.3 to our Registration Statement on Form S-</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1 (333-190227) filed July 29,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Amended and Restated Limited Liability Company Agreement of PAA GP Holdings LLC dated as of October 21, 2013 (incorporated</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by reference to Exhibit 3.2 to our Current Report on Form 8-K filed October 25,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Amendment No. 1 dated as of December 31, 2013 to the Amended and Restated Limited Liability Company Agreement of PAA GP</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Holdings LLC (incorporated by reference to Exhibit 3.2 to our Current Report on Form 8-K filed December 31,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4"/>
              </w:rPr>
              <w:t>Fifth Amended and Restated Agreement of Limited Partnership of Plains All American Pipeline, L.P. dated as of January 28, 2016</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PAA’s Current Report on Form 8-K filed February 2, 2016).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Amendment No. 1 to the Fifth Amended and Restated Agreement of Limited Partnership of Plains All American Pipeline, L.P. dated</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as of July 10, 2016 (incorporated by reference to Exhibit 3.1 to PAA’s Current Report on Form 8-K filed July 14, 2016).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3.8</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9"/>
              </w:rPr>
              <w:t>Sixth Amended and Restated Limited Liability Company Agreement of Plains All American GP LLC dated October 21, 2013</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3.9</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4"/>
              </w:rPr>
              <w:t>Amendment No. 1 dated January 28, 2016 to the Sixth Amended and Restated Limited Liability Company Agreement of Plains All</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American GP LLC (incorporated by reference to Exhibit 3.1 to PAA’s Current Report on Form 8-K filed February 2, 2016).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3.10</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7"/>
              </w:rPr>
              <w:t>Seventh Amended and Restated Limited Partnership Agreement of Plains AAP, L.P. dated October 21, 2013 (incorporated by</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Amendment No. 1 dated December 31, 2013 to the Seventh Amended and Restated Limited Partnership Agreement of Plains AAP,</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L.P. (incorporated by reference to Exhibit 3.1 to our Current Report on Form 8-K filed December 31,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 PAA’s</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4"/>
              </w:rPr>
              <w:t>Indenture dated September 25, 2002 among Plains All American Pipeline, L.P., PAA Finance Corp. and Wachovia Bank, National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Association, as trustee (incorporated by reference to Exhibit 4.1 to PAA’s Quarterly Report on Form 10-Q for the quarter ended</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September 30,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5"/>
              </w:rPr>
              <w:t>Fourth Supplemental Indenture (Series A and Series B 5.875% Senior Notes due 2016) dated August 12, 2004 among Plains All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American Pipeline, L.P., PAA Finance Corp., the Subsidiary Guarantors named therein and Wachovia Bank, National Association, as</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4.5 to PAA’s Registration Statement on Form S-4, File No. 333-121168).</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Sixth Supplemental Indenture (Series A and Series B 6.70% Senior Notes due 2036) dated May 12, 2006 among Plains All American</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May 12, 2006).</w:t>
            </w:r>
          </w:p>
        </w:tc>
      </w:tr>
      <w:tr>
        <w:trPr>
          <w:trHeight w:val="43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tcPr>
          <w:p>
            <w:pPr>
              <w:ind w:left="4120"/>
              <w:spacing w:after="0"/>
              <w:rPr>
                <w:sz w:val="20"/>
                <w:szCs w:val="20"/>
                <w:color w:val="auto"/>
              </w:rPr>
            </w:pPr>
            <w:r>
              <w:rPr>
                <w:rFonts w:ascii="Arial" w:cs="Arial" w:eastAsia="Arial" w:hAnsi="Arial"/>
                <w:sz w:val="18"/>
                <w:szCs w:val="18"/>
                <w:color w:val="auto"/>
              </w:rPr>
              <w:t>54</w:t>
            </w: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960" w:type="dxa"/>
            <w:vAlign w:val="bottom"/>
            <w:tcBorders>
              <w:bottom w:val="single" w:sz="8" w:color="808080"/>
            </w:tcBorders>
          </w:tcPr>
          <w:p>
            <w:pPr>
              <w:spacing w:after="0"/>
              <w:rPr>
                <w:sz w:val="11"/>
                <w:szCs w:val="1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60" w:type="dxa"/>
            <w:vAlign w:val="bottom"/>
          </w:tcPr>
          <w:p>
            <w:pPr>
              <w:spacing w:after="0"/>
              <w:rPr>
                <w:sz w:val="24"/>
                <w:szCs w:val="24"/>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r>
      <w:tr>
        <w:trPr>
          <w:trHeight w:val="43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960" w:type="dxa"/>
            <w:vAlign w:val="bottom"/>
          </w:tcPr>
          <w:p>
            <w:pPr>
              <w:ind w:left="180"/>
              <w:spacing w:after="0"/>
              <w:rPr>
                <w:sz w:val="20"/>
                <w:szCs w:val="20"/>
                <w:color w:val="auto"/>
              </w:rPr>
            </w:pPr>
            <w:r>
              <w:rPr>
                <w:rFonts w:ascii="Arial" w:cs="Arial" w:eastAsia="Arial" w:hAnsi="Arial"/>
                <w:sz w:val="18"/>
                <w:szCs w:val="18"/>
                <w:color w:val="auto"/>
                <w:w w:val="95"/>
              </w:rPr>
              <w:t>Ninth Supplemental Indenture (Series A and Series B 6.125% Senior Notes due 2017) dated October 30, 2006 among Plains All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(incorporated by reference to Exhibit 4.1 to PAA’s Current Report on Form 8-K filed October 30, 2006).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960" w:type="dxa"/>
            <w:vAlign w:val="bottom"/>
          </w:tcPr>
          <w:p>
            <w:pPr>
              <w:ind w:left="180"/>
              <w:spacing w:after="0"/>
              <w:rPr>
                <w:sz w:val="20"/>
                <w:szCs w:val="20"/>
                <w:color w:val="auto"/>
              </w:rPr>
            </w:pPr>
            <w:r>
              <w:rPr>
                <w:rFonts w:ascii="Arial" w:cs="Arial" w:eastAsia="Arial" w:hAnsi="Arial"/>
                <w:sz w:val="18"/>
                <w:szCs w:val="18"/>
                <w:color w:val="auto"/>
                <w:w w:val="95"/>
              </w:rPr>
              <w:t>Tenth Supplemental Indenture (Series A and Series B 6.650% Senior Notes due 2037) dated October 30, 2006 among Plains All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(incorporated by reference to Exhibit 4.2 to PAA’s Current Report on Form 8-K filed October 30, 2006).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960" w:type="dxa"/>
            <w:vAlign w:val="bottom"/>
          </w:tcPr>
          <w:p>
            <w:pPr>
              <w:ind w:left="180"/>
              <w:spacing w:after="0"/>
              <w:rPr>
                <w:sz w:val="20"/>
                <w:szCs w:val="20"/>
                <w:color w:val="auto"/>
              </w:rPr>
            </w:pPr>
            <w:r>
              <w:rPr>
                <w:rFonts w:ascii="Arial" w:cs="Arial" w:eastAsia="Arial" w:hAnsi="Arial"/>
                <w:sz w:val="18"/>
                <w:szCs w:val="18"/>
                <w:color w:val="auto"/>
                <w:w w:val="95"/>
              </w:rPr>
              <w:t>Thirteenth Supplemental Indenture (Series A and Series B 6.50% Senior Notes due 2018) dated April 23, 2008 among Plains All</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w w:val="91"/>
              </w:rPr>
              <w:t>American Pipeline, L.P., PAA Finance Corp., the Subsidiary Guarantors named therein and U.S. Bank National Association, as trustee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(incorporated by reference to Exhibit 4.1 to PAA’s Current Report on Form 8-K filed April 23,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-10172065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-10172065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Fifteenth Supplemental Indenture (8.75% Senior Notes due 2019) dated April 20, 2009 among Plains All American Pipeline, L.P.,</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6"/>
              </w:rPr>
              <w:t>PAA Finance Corp., the Subsidiary Guarantors named therein and U.S. Bank National Association, as trustee (incorporated by</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2"/>
              </w:rPr>
              <w:t>Seventeenth Supplemental Indenture (5.75% Senior Notes due 2020) dated September 4, 2009 among Plains All American Pipeline,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L.P., PAA Finance Corp., the Subsidiary Guarantors named therein and U.S. Bank National Association, as trustee (incorporated by</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September 4, 2009).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 L.P.,</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6"/>
              </w:rPr>
              <w:t>PAA Finance Corp., the Subsidiary Guarantors named therein and U.S. Bank National Association, as trustee (incorporated by</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 L.P.,</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2"/>
              </w:rPr>
              <w:t>PAA Finance Corp and U.S. Bank National Association, as trustee (incorporated by reference to Exhibit 4.1 to PAA’s Current Report</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on Form 8-K filed March 26, 2012).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Twenty-First Supplemental Indenture (5.15% Senior Notes due 2042) dated March 22, 2012 among Plains All American Pipeline,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4.3 to PAA’s Current</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4.12</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0"/>
              </w:rPr>
              <w:t>Twenty-Second Supplemental Indenture (2.85% Senior Notes due 2023) dated December 10, 2012, by and among Plains All American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PAA’s</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4.13</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2"/>
              </w:rPr>
              <w:t>Twenty-Third Supplemental Indenture (4.30% Senior Notes due 2043) dated December 10, 2012, by and among Plains All American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PAA’s</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4.14</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Twenty-Fourth Supplemental Indenture (3.85% Senior Notes due 2023) dated August 15, 2013, by and among Plains All American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4.1 to PAA’s</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4.15</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7"/>
              </w:rPr>
              <w:t>Twenty-Fifth Supplemental Indenture (4.70% Senior Notes due 2044) dated April 23, 2014, by and among Plains All American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 our</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4.16</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9980" w:type="dxa"/>
            <w:vAlign w:val="bottom"/>
          </w:tcPr>
          <w:p>
            <w:pPr>
              <w:ind w:left="200"/>
              <w:spacing w:after="0"/>
              <w:rPr>
                <w:sz w:val="20"/>
                <w:szCs w:val="20"/>
                <w:color w:val="auto"/>
              </w:rPr>
            </w:pPr>
            <w:r>
              <w:rPr>
                <w:rFonts w:ascii="Arial" w:cs="Arial" w:eastAsia="Arial" w:hAnsi="Arial"/>
                <w:sz w:val="18"/>
                <w:szCs w:val="18"/>
                <w:color w:val="auto"/>
                <w:w w:val="92"/>
              </w:rPr>
              <w:t>Twenty-Sixth Supplemental Indenture (3.60% Senior Notes due 2024) dated September 9, 2014, by and among Plains All American</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w w:val="95"/>
              </w:rPr>
              <w:t>Pipeline, L.P., PAA Finance Corp. and U.S. Bank National Association, as trustee (incorporated by reference to Exhibit 4.1 to our</w:t>
            </w:r>
          </w:p>
        </w:tc>
      </w:tr>
      <w:tr>
        <w:trPr>
          <w:trHeight w:val="230"/>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80" w:type="dxa"/>
            <w:vAlign w:val="bottom"/>
          </w:tcPr>
          <w:p>
            <w:pPr>
              <w:ind w:left="200"/>
              <w:spacing w:after="0"/>
              <w:rPr>
                <w:sz w:val="20"/>
                <w:szCs w:val="20"/>
                <w:color w:val="auto"/>
              </w:rPr>
            </w:pPr>
            <w:r>
              <w:rPr>
                <w:rFonts w:ascii="Arial" w:cs="Arial" w:eastAsia="Arial" w:hAnsi="Arial"/>
                <w:sz w:val="18"/>
                <w:szCs w:val="18"/>
                <w:color w:val="auto"/>
              </w:rPr>
              <w:t>Current Report on Form 8-K filed September 11, 2014).</w:t>
            </w:r>
          </w:p>
        </w:tc>
      </w:tr>
      <w:tr>
        <w:trPr>
          <w:trHeight w:val="432"/>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55</w:t>
            </w:r>
          </w:p>
        </w:tc>
      </w:tr>
      <w:tr>
        <w:trPr>
          <w:trHeight w:val="132"/>
        </w:trPr>
        <w:tc>
          <w:tcPr>
            <w:tcW w:w="7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40" w:right="60" w:hanging="1701"/>
        <w:spacing w:after="0" w:line="264" w:lineRule="auto"/>
        <w:tabs>
          <w:tab w:leader="none" w:pos="11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4.18</w:t>
            </w:r>
          </w:p>
        </w:tc>
        <w:tc>
          <w:tcPr>
            <w:tcW w:w="62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w w:val="90"/>
              </w:rPr>
              <w:t>Twenty-Eighth Supplemental Indenture (4.90% Senior Notes due 2045) dated December 9, 2014, by and among Plains All American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w w:val="93"/>
              </w:rPr>
              <w:t>Pipeline, L.P., PAA Finance Corp., and U.S. Bank National Association, as trustee (incorporated by reference to Exhibit 4.3 to our</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4.19</w:t>
            </w:r>
          </w:p>
        </w:tc>
        <w:tc>
          <w:tcPr>
            <w:tcW w:w="62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w w:val="93"/>
              </w:rPr>
              <w:t>Twenty-Ninth Supplemental Indenture (4.65% Senior Notes due 2025) dated August 24, 2015, by and among Plains All American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w w:val="91"/>
              </w:rPr>
              <w:t>Pipeline, L.P., PAA Finance Corp., and U.S. Bank National Association, as trustee (incorporated by reference to Exhibit 4.1 to PAA’s</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rPr>
              <w:t>Current Report on Form 8-K filed August 26, 2015).</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62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w w:val="89"/>
              </w:rPr>
              <w:t>Shareholder and Registration Rights Agreement dated October 21, 2013 by and among Plains GP Holdings, L.P. and the other parties</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rPr>
              <w:t>signatory thereto (incorporated by reference to Exhibit 4.1 to our Current Report on Form 8-K filed October 25,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62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w w:val="93"/>
              </w:rPr>
              <w:t>Voting Agreement, dated as of July 11, 2016, by and among Plains All American Pipeline, L.P., Plains GP Holdings, L.P. and the</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0" w:type="dxa"/>
            <w:vAlign w:val="bottom"/>
          </w:tcPr>
          <w:p>
            <w:pPr>
              <w:ind w:left="180"/>
              <w:spacing w:after="0"/>
              <w:rPr>
                <w:sz w:val="20"/>
                <w:szCs w:val="20"/>
                <w:color w:val="auto"/>
              </w:rPr>
            </w:pPr>
            <w:r>
              <w:rPr>
                <w:rFonts w:ascii="Arial" w:cs="Arial" w:eastAsia="Arial" w:hAnsi="Arial"/>
                <w:sz w:val="18"/>
                <w:szCs w:val="18"/>
                <w:color w:val="auto"/>
                <w:w w:val="92"/>
              </w:rPr>
              <w:t>shareholders name therein (incorporated by reference to Exhibit 10.1 to PAA’s Current Report on Form 8-K filed on July 14, 2016).</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98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bl>
    <w:p>
      <w:pPr>
        <w:sectPr>
          <w:pgSz w:w="11900" w:h="16838" w:orient="portrait"/>
          <w:cols w:equalWidth="0" w:num="1">
            <w:col w:w="11460"/>
          </w:cols>
          <w:pgMar w:left="240" w:top="341" w:right="19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4680" w:type="dxa"/>
            <w:vAlign w:val="bottom"/>
          </w:tcPr>
          <w:p>
            <w:pPr>
              <w:ind w:left="1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4680" w:type="dxa"/>
            <w:vAlign w:val="bottom"/>
          </w:tcPr>
          <w:p>
            <w:pPr>
              <w:ind w:left="1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46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46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20" w:hanging="512"/>
        <w:spacing w:after="0" w:line="277" w:lineRule="auto"/>
        <w:tabs>
          <w:tab w:leader="none" w:pos="5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80" w:firstLine="656"/>
        <w:spacing w:after="0" w:line="264" w:lineRule="auto"/>
        <w:tabs>
          <w:tab w:leader="none" w:pos="13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lowerRoman"/>
      <w:start w:val="2"/>
    </w:lvl>
  </w:abstractNum>
  <w:abstractNum w:abstractNumId="3">
    <w:nsid w:val="2CA88611"/>
    <w:multiLevelType w:val="hybridMultilevel"/>
    <w:lvl w:ilvl="0">
      <w:lvlJc w:val="left"/>
      <w:lvlText w:val="(%1)"/>
      <w:numFmt w:val="lowerRoman"/>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lvl w:ilvl="1">
      <w:lvlJc w:val="left"/>
      <w:lvlText w:val="(%2)"/>
      <w:numFmt w:val="decimal"/>
      <w:start w:val="1"/>
    </w:lvl>
  </w:abstractNum>
  <w:abstractNum w:abstractNumId="6">
    <w:nsid w:val="3A95F874"/>
    <w:multiLevelType w:val="hybridMultilevel"/>
    <w:lvl w:ilvl="0">
      <w:lvlJc w:val="left"/>
      <w:lvlText w:val="(%1)"/>
      <w:numFmt w:val="decimal"/>
      <w:start w:val="2"/>
    </w:lvl>
    <w:lvl w:ilvl="1">
      <w:lvlJc w:val="left"/>
      <w:lvlText w:val="%2"/>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3"/>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lvl w:ilvl="1">
      <w:lvlJc w:val="left"/>
      <w:lvlText w:val="(%2)"/>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4"/>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2020-01-20T23:46:39Z</dcterms:created>
  <dcterms:modified xsi:type="dcterms:W3CDTF">2020-01-20T23:46:39Z</dcterms:modified>
</cp:coreProperties>
</file>