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h43563sv4.htm"/>
        <w:bookmarkStart w:id="1" w:name="ksh43563sv4"/>
        <w:bookmarkEnd w:id="0"/>
        <w:bookmarkEnd w:id="1"/>
        <w:r>
          <w:rPr>
            <w:rStyle w:val="InternetLink"/>
          </w:rPr>
          <w:t>Table of Contents</w:t>
        </w:r>
      </w:hyperlink>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As filed with the Securities and Exchange Commission on March 26, 2007</w:t>
      </w:r>
      <w:r>
        <w:rPr>
          <w:rFonts w:ascii="Times New Roman;Times" w:hAnsi="Times New Roman;Times"/>
          <w:color w:val="000000"/>
          <w:sz w:val="17"/>
          <w:highlight w:val="white"/>
        </w:rPr>
        <w:t xml:space="preserve"> </w:t>
      </w:r>
    </w:p>
    <w:p>
      <w:pPr>
        <w:pStyle w:val="TextBody"/>
        <w:spacing w:before="0" w:after="0"/>
        <w:jc w:val="right"/>
        <w:rPr>
          <w:rFonts w:ascii="Times New Roman;Times" w:hAnsi="Times New Roman;Times"/>
          <w:color w:val="000000"/>
          <w:sz w:val="17"/>
          <w:highlight w:val="white"/>
        </w:rPr>
      </w:pPr>
      <w:r>
        <w:rPr>
          <w:rFonts w:ascii="Times New Roman;Times" w:hAnsi="Times New Roman;Times"/>
          <w:b/>
          <w:color w:val="000000"/>
          <w:sz w:val="17"/>
          <w:highlight w:val="white"/>
        </w:rPr>
        <w:t>Registration No. 333-          </w:t>
      </w:r>
      <w:r>
        <w:rPr>
          <w:rFonts w:ascii="Times New Roman;Times" w:hAnsi="Times New Roman;Times"/>
          <w:color w:val="000000"/>
          <w:sz w:val="17"/>
          <w:highlight w:val="white"/>
        </w:rPr>
        <w:t xml:space="preserve"> </w:t>
      </w:r>
    </w:p>
    <w:p>
      <w:pPr>
        <w:pStyle w:val="TextBody"/>
        <w:spacing w:before="8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SECURITIES AND EXCHANGE COMMISSION</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Washington, D.C. 20549</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12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30"/>
          <w:highlight w:val="white"/>
        </w:rPr>
        <w:t>Form S-4</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REGISTRATION STATEMENT</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UNDER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THE SECURITIES ACT OF 1933</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30"/>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30"/>
          <w:highlight w:val="white"/>
        </w:rPr>
        <w:t>PAA FINANCE CORP.*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3"/>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3471"/>
        <w:gridCol w:w="101"/>
        <w:gridCol w:w="3266"/>
        <w:gridCol w:w="101"/>
        <w:gridCol w:w="3266"/>
      </w:tblGrid>
      <w:tr>
        <w:trPr/>
        <w:tc>
          <w:tcPr>
            <w:tcW w:w="347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3266"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3266" w:type="dxa"/>
            <w:tcBorders/>
            <w:shd w:fill="FFFFFF" w:val="clear"/>
            <w:vAlign w:val="bottom"/>
          </w:tcPr>
          <w:p>
            <w:pPr>
              <w:pStyle w:val="TableContents"/>
              <w:spacing w:before="0" w:after="283"/>
              <w:rPr/>
            </w:pPr>
            <w:r>
              <w:rPr/>
              <w:t> </w:t>
            </w:r>
          </w:p>
        </w:tc>
      </w:tr>
      <w:tr>
        <w:trPr/>
        <w:tc>
          <w:tcPr>
            <w:tcW w:w="3471" w:type="dxa"/>
            <w:tcBorders/>
            <w:shd w:fill="FFFFFF" w:val="clear"/>
          </w:tcPr>
          <w:p>
            <w:pPr>
              <w:pStyle w:val="TableContents"/>
              <w:spacing w:before="0" w:after="283"/>
              <w:jc w:val="center"/>
              <w:rPr/>
            </w:pPr>
            <w:r>
              <w:rPr>
                <w:b/>
                <w:sz w:val="17"/>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3266" w:type="dxa"/>
            <w:tcBorders/>
            <w:shd w:fill="FFFFFF" w:val="clear"/>
          </w:tcPr>
          <w:p>
            <w:pPr>
              <w:pStyle w:val="TableContents"/>
              <w:spacing w:before="0" w:after="283"/>
              <w:jc w:val="center"/>
              <w:rPr/>
            </w:pPr>
            <w:r>
              <w:rPr>
                <w:b/>
                <w:sz w:val="17"/>
              </w:rPr>
              <w:t>4610</w:t>
            </w:r>
            <w:r>
              <w:rPr/>
              <w:t xml:space="preserve"> </w:t>
            </w:r>
          </w:p>
        </w:tc>
        <w:tc>
          <w:tcPr>
            <w:tcW w:w="101" w:type="dxa"/>
            <w:tcBorders/>
            <w:shd w:fill="FFFFFF" w:val="clear"/>
            <w:vAlign w:val="bottom"/>
          </w:tcPr>
          <w:p>
            <w:pPr>
              <w:pStyle w:val="TableContents"/>
              <w:spacing w:before="0" w:after="283"/>
              <w:rPr/>
            </w:pPr>
            <w:r>
              <w:rPr/>
              <w:t xml:space="preserve">  </w:t>
            </w:r>
          </w:p>
        </w:tc>
        <w:tc>
          <w:tcPr>
            <w:tcW w:w="3266" w:type="dxa"/>
            <w:tcBorders/>
            <w:shd w:fill="FFFFFF" w:val="clear"/>
          </w:tcPr>
          <w:p>
            <w:pPr>
              <w:pStyle w:val="TableContents"/>
              <w:spacing w:before="0" w:after="283"/>
              <w:jc w:val="center"/>
              <w:rPr/>
            </w:pPr>
            <w:r>
              <w:rPr>
                <w:b/>
                <w:sz w:val="17"/>
              </w:rPr>
              <w:t>76-0582150</w:t>
            </w:r>
            <w:r>
              <w:rPr/>
              <w:t xml:space="preserve"> </w:t>
            </w:r>
          </w:p>
        </w:tc>
      </w:tr>
      <w:tr>
        <w:trPr/>
        <w:tc>
          <w:tcPr>
            <w:tcW w:w="3471" w:type="dxa"/>
            <w:tcBorders/>
            <w:shd w:fill="FFFFFF" w:val="clear"/>
          </w:tcPr>
          <w:p>
            <w:pPr>
              <w:pStyle w:val="TableContents"/>
              <w:spacing w:before="0" w:after="0"/>
              <w:ind w:left="200" w:right="0" w:hanging="200"/>
              <w:jc w:val="center"/>
              <w:rPr/>
            </w:pPr>
            <w:r>
              <w:rPr>
                <w:b/>
                <w:sz w:val="17"/>
              </w:rPr>
              <w:t>Delaware</w:t>
            </w:r>
            <w:r>
              <w:rPr/>
              <w:t xml:space="preserve"> </w:t>
            </w:r>
          </w:p>
        </w:tc>
        <w:tc>
          <w:tcPr>
            <w:tcW w:w="101" w:type="dxa"/>
            <w:tcBorders/>
            <w:shd w:fill="FFFFFF" w:val="clear"/>
            <w:vAlign w:val="bottom"/>
          </w:tcPr>
          <w:p>
            <w:pPr>
              <w:pStyle w:val="TableContents"/>
              <w:spacing w:before="0" w:after="283"/>
              <w:rPr/>
            </w:pPr>
            <w:r>
              <w:rPr/>
              <w:t xml:space="preserve">  </w:t>
            </w:r>
          </w:p>
        </w:tc>
        <w:tc>
          <w:tcPr>
            <w:tcW w:w="3266" w:type="dxa"/>
            <w:tcBorders/>
            <w:shd w:fill="FFFFFF" w:val="clear"/>
          </w:tcPr>
          <w:p>
            <w:pPr>
              <w:pStyle w:val="TableContents"/>
              <w:spacing w:before="0" w:after="283"/>
              <w:jc w:val="center"/>
              <w:rPr/>
            </w:pPr>
            <w:r>
              <w:rPr>
                <w:b/>
                <w:sz w:val="17"/>
              </w:rPr>
              <w:t>4610</w:t>
            </w:r>
            <w:r>
              <w:rPr/>
              <w:t xml:space="preserve"> </w:t>
            </w:r>
          </w:p>
        </w:tc>
        <w:tc>
          <w:tcPr>
            <w:tcW w:w="101" w:type="dxa"/>
            <w:tcBorders/>
            <w:shd w:fill="FFFFFF" w:val="clear"/>
            <w:vAlign w:val="bottom"/>
          </w:tcPr>
          <w:p>
            <w:pPr>
              <w:pStyle w:val="TableContents"/>
              <w:spacing w:before="0" w:after="283"/>
              <w:rPr/>
            </w:pPr>
            <w:r>
              <w:rPr/>
              <w:t xml:space="preserve">  </w:t>
            </w:r>
          </w:p>
        </w:tc>
        <w:tc>
          <w:tcPr>
            <w:tcW w:w="3266" w:type="dxa"/>
            <w:tcBorders/>
            <w:shd w:fill="FFFFFF" w:val="clear"/>
          </w:tcPr>
          <w:p>
            <w:pPr>
              <w:pStyle w:val="TableContents"/>
              <w:spacing w:before="0" w:after="283"/>
              <w:jc w:val="center"/>
              <w:rPr/>
            </w:pPr>
            <w:r>
              <w:rPr>
                <w:b/>
                <w:sz w:val="17"/>
              </w:rPr>
              <w:t>76-0669671</w:t>
            </w:r>
            <w:r>
              <w:rPr/>
              <w:t xml:space="preserve"> </w:t>
            </w:r>
          </w:p>
        </w:tc>
      </w:tr>
      <w:tr>
        <w:trPr/>
        <w:tc>
          <w:tcPr>
            <w:tcW w:w="3471" w:type="dxa"/>
            <w:tcBorders/>
            <w:shd w:fill="FFFFFF" w:val="clear"/>
          </w:tcPr>
          <w:p>
            <w:pPr>
              <w:pStyle w:val="TableContents"/>
              <w:spacing w:before="0" w:after="283"/>
              <w:jc w:val="center"/>
              <w:rPr/>
            </w:pPr>
            <w:r>
              <w:rPr>
                <w:i/>
                <w:sz w:val="13"/>
              </w:rPr>
              <w:t>(State or Other Jurisdiction of</w:t>
              <w:br/>
              <w:t>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3266" w:type="dxa"/>
            <w:tcBorders/>
            <w:shd w:fill="FFFFFF" w:val="clear"/>
          </w:tcPr>
          <w:p>
            <w:pPr>
              <w:pStyle w:val="TableContents"/>
              <w:spacing w:before="0" w:after="283"/>
              <w:jc w:val="center"/>
              <w:rPr/>
            </w:pPr>
            <w:r>
              <w:rPr>
                <w:i/>
                <w:sz w:val="13"/>
              </w:rPr>
              <w:t>(Primary Standard Industrial</w:t>
              <w:br/>
              <w:t>Classification Code Number)</w:t>
            </w:r>
            <w:r>
              <w:rPr/>
              <w:t xml:space="preserve"> </w:t>
            </w:r>
          </w:p>
        </w:tc>
        <w:tc>
          <w:tcPr>
            <w:tcW w:w="101" w:type="dxa"/>
            <w:tcBorders/>
            <w:shd w:fill="FFFFFF" w:val="clear"/>
            <w:vAlign w:val="bottom"/>
          </w:tcPr>
          <w:p>
            <w:pPr>
              <w:pStyle w:val="TableContents"/>
              <w:spacing w:before="0" w:after="283"/>
              <w:rPr/>
            </w:pPr>
            <w:r>
              <w:rPr/>
              <w:t xml:space="preserve">  </w:t>
            </w:r>
          </w:p>
        </w:tc>
        <w:tc>
          <w:tcPr>
            <w:tcW w:w="3266" w:type="dxa"/>
            <w:tcBorders/>
            <w:shd w:fill="FFFFFF" w:val="clear"/>
          </w:tcPr>
          <w:p>
            <w:pPr>
              <w:pStyle w:val="TableContents"/>
              <w:spacing w:before="0" w:after="283"/>
              <w:jc w:val="center"/>
              <w:rPr/>
            </w:pPr>
            <w:r>
              <w:rPr>
                <w:i/>
                <w:sz w:val="13"/>
              </w:rPr>
              <w:t>(I.R.S. Employer</w:t>
              <w:br/>
              <w:t>Identification No.)</w:t>
            </w:r>
            <w:r>
              <w:rPr/>
              <w:t xml:space="preserve"> </w:t>
            </w:r>
          </w:p>
        </w:tc>
      </w:tr>
    </w:tbl>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102"/>
        <w:gridCol w:w="102"/>
        <w:gridCol w:w="5001"/>
      </w:tblGrid>
      <w:tr>
        <w:trPr/>
        <w:tc>
          <w:tcPr>
            <w:tcW w:w="5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1" w:type="dxa"/>
            <w:tcBorders/>
            <w:shd w:fill="FFFFFF" w:val="clear"/>
            <w:vAlign w:val="bottom"/>
          </w:tcPr>
          <w:p>
            <w:pPr>
              <w:pStyle w:val="TableContents"/>
              <w:spacing w:before="0" w:after="283"/>
              <w:rPr/>
            </w:pPr>
            <w:r>
              <w:rPr/>
              <w:t> </w:t>
            </w:r>
          </w:p>
        </w:tc>
      </w:tr>
      <w:tr>
        <w:trPr/>
        <w:tc>
          <w:tcPr>
            <w:tcW w:w="5102" w:type="dxa"/>
            <w:tcBorders/>
            <w:shd w:fill="FFFFFF" w:val="clear"/>
          </w:tcPr>
          <w:p>
            <w:pPr>
              <w:pStyle w:val="TableContents"/>
              <w:spacing w:before="0" w:after="283"/>
              <w:jc w:val="center"/>
              <w:rPr/>
            </w:pPr>
            <w:r>
              <w:rPr>
                <w:b/>
                <w:sz w:val="17"/>
              </w:rPr>
              <w:t>333 Clay Street, Suite 1600</w:t>
              <w:br/>
              <w:t>Houston, Texas 77002</w:t>
              <w:br/>
              <w:t>(713) 646-4100</w:t>
            </w:r>
            <w:r>
              <w:rPr/>
              <w:t xml:space="preserve"> </w:t>
            </w:r>
          </w:p>
        </w:tc>
        <w:tc>
          <w:tcPr>
            <w:tcW w:w="102"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b/>
                <w:sz w:val="17"/>
              </w:rPr>
              <w:t>Tim Moore</w:t>
              <w:br/>
              <w:t>333 Clay Street, Suite 1600</w:t>
              <w:br/>
              <w:t>Houston, Texas 77002</w:t>
              <w:br/>
              <w:t>(713) 646-4100</w:t>
            </w:r>
            <w:r>
              <w:rPr/>
              <w:t xml:space="preserve"> </w:t>
            </w:r>
          </w:p>
        </w:tc>
      </w:tr>
      <w:tr>
        <w:trPr/>
        <w:tc>
          <w:tcPr>
            <w:tcW w:w="5102" w:type="dxa"/>
            <w:tcBorders/>
            <w:shd w:fill="FFFFFF" w:val="clear"/>
          </w:tcPr>
          <w:p>
            <w:pPr>
              <w:pStyle w:val="TableContents"/>
              <w:spacing w:before="0" w:after="0"/>
              <w:ind w:left="200" w:right="0" w:hanging="200"/>
              <w:jc w:val="center"/>
              <w:rPr/>
            </w:pPr>
            <w:r>
              <w:rPr>
                <w:i/>
                <w:sz w:val="13"/>
              </w:rPr>
              <w:t>(Address, Including Zip Code, and Telephone Number,</w:t>
              <w:br/>
              <w:t>Including Area Code, of Registrants</w:t>
              <w:br/>
              <w:t>Principal Executive Offices)</w:t>
            </w:r>
            <w:r>
              <w:rPr/>
              <w:t xml:space="preserve"> </w:t>
            </w:r>
          </w:p>
        </w:tc>
        <w:tc>
          <w:tcPr>
            <w:tcW w:w="102" w:type="dxa"/>
            <w:tcBorders/>
            <w:shd w:fill="FFFFFF" w:val="clear"/>
            <w:vAlign w:val="bottom"/>
          </w:tcPr>
          <w:p>
            <w:pPr>
              <w:pStyle w:val="TableContents"/>
              <w:spacing w:before="0" w:after="283"/>
              <w:rPr/>
            </w:pPr>
            <w:r>
              <w:rPr/>
              <w:t xml:space="preserve">  </w:t>
            </w:r>
          </w:p>
        </w:tc>
        <w:tc>
          <w:tcPr>
            <w:tcW w:w="5001" w:type="dxa"/>
            <w:tcBorders/>
            <w:shd w:fill="FFFFFF" w:val="clear"/>
          </w:tcPr>
          <w:p>
            <w:pPr>
              <w:pStyle w:val="TableContents"/>
              <w:spacing w:before="0" w:after="283"/>
              <w:jc w:val="center"/>
              <w:rPr/>
            </w:pPr>
            <w:r>
              <w:rPr>
                <w:i/>
                <w:sz w:val="13"/>
              </w:rPr>
              <w:t>(Name, Address, Including Zip Code, and</w:t>
              <w:br/>
              <w:t>Telephone Number,</w:t>
              <w:br/>
              <w:t>Including Area Code, of Agent for Service)</w:t>
            </w:r>
            <w:r>
              <w:rPr/>
              <w:t xml:space="preserve"> </w:t>
            </w:r>
          </w:p>
        </w:tc>
      </w:tr>
    </w:tbl>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i/>
          <w:color w:val="000000"/>
          <w:sz w:val="17"/>
          <w:highlight w:val="white"/>
        </w:rPr>
        <w:t>Copy to:</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Alan Beck</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Vinson &amp; Elkins L.L.P.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First City Tower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1001 Fannin Street, Suite 2500</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Houston, Texas 77002-6760</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713-758-2222</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Approximate date of commencement of proposed sale to the public:</w:t>
      </w:r>
      <w:r>
        <w:rPr>
          <w:rFonts w:ascii="Times New Roman;Times" w:hAnsi="Times New Roman;Times"/>
          <w:color w:val="000000"/>
          <w:sz w:val="17"/>
          <w:highlight w:val="white"/>
        </w:rPr>
        <w:t xml:space="preserve">  As soon as practicable after the effective date of this Registration Statement.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If the securities being registered on this Form are being offered in connection with the formation of a holding company and there is compliance with General Instruction G, check the following box.  </w:t>
      </w:r>
      <w:r>
        <w:rPr>
          <w:rFonts w:ascii="wingdings" w:hAnsi="wingdings"/>
          <w:color w:val="000000"/>
          <w:sz w:val="17"/>
          <w:highlight w:val="white"/>
        </w:rPr>
        <w:t xml:space="preserve">o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If this Form is filed to register additional securities for an offering pursuant to Rule 462(b) under the Securities Act, check the following box and list the Securities Act registration number of the earlier effective registration statement for the same offering.  </w:t>
      </w:r>
      <w:r>
        <w:rPr>
          <w:rFonts w:ascii="wingdings" w:hAnsi="wingdings"/>
          <w:color w:val="000000"/>
          <w:sz w:val="17"/>
          <w:highlight w:val="white"/>
        </w:rPr>
        <w:t xml:space="preserve">o </w:t>
      </w:r>
    </w:p>
    <w:p>
      <w:pPr>
        <w:pStyle w:val="TextBody"/>
        <w:spacing w:before="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If this Form is a post effective amendment filed pursuant to Rule 462(d) under the Securities Act, check the following box and list the Securities Act registration statement number of the earlier effective registration statement for the same offering.  </w:t>
      </w:r>
      <w:r>
        <w:rPr>
          <w:rFonts w:ascii="wingdings" w:hAnsi="wingdings"/>
          <w:color w:val="000000"/>
          <w:sz w:val="17"/>
          <w:highlight w:val="white"/>
        </w:rPr>
        <w:t xml:space="preserve">o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CALCULATION OF REGISTRATION FEE</w:t>
      </w:r>
      <w:r>
        <w:rPr>
          <w:rFonts w:ascii="Times New Roman;Times" w:hAnsi="Times New Roman;Times"/>
          <w:color w:val="000000"/>
          <w:sz w:val="17"/>
          <w:highlight w:val="white"/>
        </w:rPr>
        <w:t xml:space="preserve"> </w:t>
      </w:r>
    </w:p>
    <w:p>
      <w:pPr>
        <w:pStyle w:val="TextBody"/>
        <w:spacing w:before="60" w:after="283"/>
        <w:rPr/>
      </w:pPr>
      <w:r>
        <w:rPr/>
        <w:t> </w:t>
      </w:r>
    </w:p>
    <w:tbl>
      <w:tblPr>
        <w:tblW w:w="10570" w:type="dxa"/>
        <w:jc w:val="center"/>
        <w:tblInd w:w="0" w:type="dxa"/>
        <w:shd w:fill="FFFFFF" w:val="clear"/>
        <w:tblCellMar>
          <w:top w:w="0" w:type="dxa"/>
          <w:left w:w="0" w:type="dxa"/>
          <w:bottom w:w="0" w:type="dxa"/>
          <w:right w:w="0" w:type="dxa"/>
        </w:tblCellMar>
      </w:tblPr>
      <w:tblGrid>
        <w:gridCol w:w="2750"/>
        <w:gridCol w:w="60"/>
        <w:gridCol w:w="60"/>
        <w:gridCol w:w="1415"/>
        <w:gridCol w:w="60"/>
        <w:gridCol w:w="60"/>
        <w:gridCol w:w="2090"/>
        <w:gridCol w:w="60"/>
        <w:gridCol w:w="60"/>
        <w:gridCol w:w="2090"/>
        <w:gridCol w:w="60"/>
        <w:gridCol w:w="60"/>
        <w:gridCol w:w="1745"/>
      </w:tblGrid>
      <w:tr>
        <w:trPr/>
        <w:tc>
          <w:tcPr>
            <w:tcW w:w="275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41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9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09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1745" w:type="dxa"/>
            <w:tcBorders/>
            <w:shd w:fill="FFFFFF" w:val="clear"/>
            <w:vAlign w:val="bottom"/>
          </w:tcPr>
          <w:p>
            <w:pPr>
              <w:pStyle w:val="TableContents"/>
              <w:spacing w:before="0" w:after="283"/>
              <w:rPr/>
            </w:pPr>
            <w:r>
              <w:rPr/>
              <w:t> </w:t>
            </w:r>
          </w:p>
        </w:tc>
      </w:tr>
      <w:tr>
        <w:trPr/>
        <w:tc>
          <w:tcPr>
            <w:tcW w:w="2750"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double" w:sz="6" w:space="0" w:color="000000"/>
              <w:right w:val="single" w:sz="2" w:space="0" w:color="000000"/>
            </w:tcBorders>
            <w:shd w:fill="FFFFFF" w:val="clear"/>
            <w:tcMar>
              <w:top w:w="28" w:type="dxa"/>
              <w:right w:w="40" w:type="dxa"/>
            </w:tcMar>
            <w:vAlign w:val="bottom"/>
          </w:tcPr>
          <w:p>
            <w:pPr>
              <w:pStyle w:val="TableContents"/>
              <w:spacing w:before="0" w:after="283"/>
              <w:jc w:val="center"/>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c>
          <w:tcPr>
            <w:tcW w:w="1415"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double" w:sz="6" w:space="0" w:color="000000"/>
              <w:right w:val="single" w:sz="2" w:space="0" w:color="000000"/>
            </w:tcBorders>
            <w:shd w:fill="FFFFFF" w:val="clear"/>
            <w:tcMar>
              <w:top w:w="28" w:type="dxa"/>
              <w:right w:w="40" w:type="dxa"/>
            </w:tcMar>
            <w:vAlign w:val="bottom"/>
          </w:tcPr>
          <w:p>
            <w:pPr>
              <w:pStyle w:val="TableContents"/>
              <w:spacing w:before="0" w:after="283"/>
              <w:jc w:val="center"/>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c>
          <w:tcPr>
            <w:tcW w:w="2090" w:type="dxa"/>
            <w:tcBorders>
              <w:top w:val="double" w:sz="6" w:space="0" w:color="000000"/>
            </w:tcBorders>
            <w:shd w:fill="FFFFFF" w:val="clear"/>
            <w:tcMar>
              <w:top w:w="28" w:type="dxa"/>
            </w:tcMar>
            <w:vAlign w:val="bottom"/>
          </w:tcPr>
          <w:p>
            <w:pPr>
              <w:pStyle w:val="TableContents"/>
              <w:spacing w:before="0" w:after="283"/>
              <w:jc w:val="center"/>
              <w:rPr>
                <w:b/>
              </w:rPr>
            </w:pPr>
            <w:r>
              <w:rPr>
                <w:b/>
              </w:rPr>
              <w:t>Proposed Maximum</w:t>
            </w:r>
          </w:p>
        </w:tc>
        <w:tc>
          <w:tcPr>
            <w:tcW w:w="60" w:type="dxa"/>
            <w:tcBorders>
              <w:top w:val="double" w:sz="6" w:space="0" w:color="000000"/>
              <w:right w:val="single" w:sz="2" w:space="0" w:color="000000"/>
            </w:tcBorders>
            <w:shd w:fill="FFFFFF" w:val="clear"/>
            <w:tcMar>
              <w:top w:w="28" w:type="dxa"/>
              <w:right w:w="40" w:type="dxa"/>
            </w:tcMar>
            <w:vAlign w:val="bottom"/>
          </w:tcPr>
          <w:p>
            <w:pPr>
              <w:pStyle w:val="TableContents"/>
              <w:spacing w:before="0" w:after="283"/>
              <w:jc w:val="center"/>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c>
          <w:tcPr>
            <w:tcW w:w="2090" w:type="dxa"/>
            <w:tcBorders>
              <w:top w:val="double" w:sz="6" w:space="0" w:color="000000"/>
            </w:tcBorders>
            <w:shd w:fill="FFFFFF" w:val="clear"/>
            <w:tcMar>
              <w:top w:w="28" w:type="dxa"/>
            </w:tcMar>
            <w:vAlign w:val="bottom"/>
          </w:tcPr>
          <w:p>
            <w:pPr>
              <w:pStyle w:val="TableContents"/>
              <w:spacing w:before="0" w:after="283"/>
              <w:jc w:val="center"/>
              <w:rPr>
                <w:b/>
              </w:rPr>
            </w:pPr>
            <w:r>
              <w:rPr>
                <w:b/>
              </w:rPr>
              <w:t>Proposed Maximum</w:t>
            </w:r>
          </w:p>
        </w:tc>
        <w:tc>
          <w:tcPr>
            <w:tcW w:w="60" w:type="dxa"/>
            <w:tcBorders>
              <w:top w:val="double" w:sz="6" w:space="0" w:color="000000"/>
              <w:right w:val="single" w:sz="2" w:space="0" w:color="000000"/>
            </w:tcBorders>
            <w:shd w:fill="FFFFFF" w:val="clear"/>
            <w:tcMar>
              <w:top w:w="28" w:type="dxa"/>
              <w:right w:w="40" w:type="dxa"/>
            </w:tcMar>
            <w:vAlign w:val="bottom"/>
          </w:tcPr>
          <w:p>
            <w:pPr>
              <w:pStyle w:val="TableContents"/>
              <w:spacing w:before="0" w:after="283"/>
              <w:jc w:val="center"/>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c>
          <w:tcPr>
            <w:tcW w:w="1745" w:type="dxa"/>
            <w:tcBorders>
              <w:top w:val="double" w:sz="6" w:space="0" w:color="000000"/>
            </w:tcBorders>
            <w:shd w:fill="FFFFFF" w:val="clear"/>
            <w:tcMar>
              <w:top w:w="28" w:type="dxa"/>
            </w:tcMar>
            <w:vAlign w:val="bottom"/>
          </w:tcPr>
          <w:p>
            <w:pPr>
              <w:pStyle w:val="TableContents"/>
              <w:spacing w:before="0" w:after="283"/>
              <w:jc w:val="center"/>
              <w:rPr/>
            </w:pPr>
            <w:r>
              <w:rPr/>
              <w:t xml:space="preserve">  </w:t>
            </w:r>
          </w:p>
        </w:tc>
      </w:tr>
      <w:tr>
        <w:trPr/>
        <w:tc>
          <w:tcPr>
            <w:tcW w:w="2750" w:type="dxa"/>
            <w:tcBorders/>
            <w:shd w:fill="FFFFFF" w:val="clear"/>
            <w:vAlign w:val="bottom"/>
          </w:tcPr>
          <w:p>
            <w:pPr>
              <w:pStyle w:val="TableContents"/>
              <w:spacing w:before="0" w:after="283"/>
              <w:jc w:val="center"/>
              <w:rPr>
                <w:b/>
              </w:rPr>
            </w:pPr>
            <w:r>
              <w:rPr>
                <w:b/>
              </w:rPr>
              <w:t>Title of Each Class of</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15" w:type="dxa"/>
            <w:tcBorders/>
            <w:shd w:fill="FFFFFF" w:val="clear"/>
            <w:vAlign w:val="bottom"/>
          </w:tcPr>
          <w:p>
            <w:pPr>
              <w:pStyle w:val="TableContents"/>
              <w:spacing w:before="0" w:after="283"/>
              <w:jc w:val="center"/>
              <w:rPr>
                <w:b/>
              </w:rPr>
            </w:pPr>
            <w:r>
              <w:rPr>
                <w:b/>
              </w:rPr>
              <w:t>Amount to be</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090" w:type="dxa"/>
            <w:tcBorders/>
            <w:shd w:fill="FFFFFF" w:val="clear"/>
            <w:vAlign w:val="bottom"/>
          </w:tcPr>
          <w:p>
            <w:pPr>
              <w:pStyle w:val="TableContents"/>
              <w:spacing w:before="0" w:after="283"/>
              <w:jc w:val="center"/>
              <w:rPr>
                <w:b/>
              </w:rPr>
            </w:pPr>
            <w:r>
              <w:rPr>
                <w:b/>
              </w:rPr>
              <w:t>Offering Price</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090" w:type="dxa"/>
            <w:tcBorders/>
            <w:shd w:fill="FFFFFF" w:val="clear"/>
            <w:vAlign w:val="bottom"/>
          </w:tcPr>
          <w:p>
            <w:pPr>
              <w:pStyle w:val="TableContents"/>
              <w:spacing w:before="0" w:after="283"/>
              <w:jc w:val="center"/>
              <w:rPr>
                <w:b/>
              </w:rPr>
            </w:pPr>
            <w:r>
              <w:rPr>
                <w:b/>
              </w:rPr>
              <w:t>Aggregate Offering</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45" w:type="dxa"/>
            <w:tcBorders/>
            <w:shd w:fill="FFFFFF" w:val="clear"/>
            <w:vAlign w:val="bottom"/>
          </w:tcPr>
          <w:p>
            <w:pPr>
              <w:pStyle w:val="TableContents"/>
              <w:spacing w:before="0" w:after="283"/>
              <w:jc w:val="center"/>
              <w:rPr>
                <w:b/>
              </w:rPr>
            </w:pPr>
            <w:r>
              <w:rPr>
                <w:b/>
              </w:rPr>
              <w:t>Amount of</w:t>
            </w:r>
          </w:p>
        </w:tc>
      </w:tr>
      <w:tr>
        <w:trPr/>
        <w:tc>
          <w:tcPr>
            <w:tcW w:w="2750" w:type="dxa"/>
            <w:tcBorders/>
            <w:shd w:fill="FFFFFF" w:val="clear"/>
            <w:vAlign w:val="bottom"/>
          </w:tcPr>
          <w:p>
            <w:pPr>
              <w:pStyle w:val="TableContents"/>
              <w:spacing w:before="0" w:after="283"/>
              <w:jc w:val="center"/>
              <w:rPr/>
            </w:pPr>
            <w:r>
              <w:rPr>
                <w:b/>
              </w:rPr>
              <w:t>Securities to be Registered</w:t>
            </w:r>
            <w:r>
              <w:rPr/>
              <w:t xml:space="preserve"> </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15" w:type="dxa"/>
            <w:tcBorders/>
            <w:shd w:fill="FFFFFF" w:val="clear"/>
            <w:vAlign w:val="bottom"/>
          </w:tcPr>
          <w:p>
            <w:pPr>
              <w:pStyle w:val="TableContents"/>
              <w:spacing w:before="0" w:after="283"/>
              <w:jc w:val="center"/>
              <w:rPr/>
            </w:pPr>
            <w:r>
              <w:rPr>
                <w:b/>
              </w:rPr>
              <w:t>Registered</w:t>
            </w:r>
            <w:r>
              <w:rPr/>
              <w:t xml:space="preserve"> </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090" w:type="dxa"/>
            <w:tcBorders/>
            <w:shd w:fill="FFFFFF" w:val="clear"/>
            <w:vAlign w:val="bottom"/>
          </w:tcPr>
          <w:p>
            <w:pPr>
              <w:pStyle w:val="TableContents"/>
              <w:spacing w:before="0" w:after="283"/>
              <w:jc w:val="center"/>
              <w:rPr/>
            </w:pPr>
            <w:r>
              <w:rPr>
                <w:b/>
              </w:rPr>
              <w:t>Per Note(1)</w:t>
            </w:r>
            <w:r>
              <w:rPr/>
              <w:t xml:space="preserve"> </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2090" w:type="dxa"/>
            <w:tcBorders/>
            <w:shd w:fill="FFFFFF" w:val="clear"/>
            <w:vAlign w:val="bottom"/>
          </w:tcPr>
          <w:p>
            <w:pPr>
              <w:pStyle w:val="TableContents"/>
              <w:spacing w:before="0" w:after="283"/>
              <w:jc w:val="center"/>
              <w:rPr/>
            </w:pPr>
            <w:r>
              <w:rPr>
                <w:b/>
              </w:rPr>
              <w:t>Price(1)</w:t>
            </w:r>
            <w:r>
              <w:rPr/>
              <w:t xml:space="preserve"> </w:t>
            </w:r>
          </w:p>
        </w:tc>
        <w:tc>
          <w:tcPr>
            <w:tcW w:w="60" w:type="dxa"/>
            <w:tcBorders>
              <w:right w:val="single" w:sz="2" w:space="0" w:color="000000"/>
            </w:tcBorders>
            <w:shd w:fill="FFFFFF" w:val="clear"/>
            <w:tcMar>
              <w:right w:w="40" w:type="dxa"/>
            </w:tcM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745" w:type="dxa"/>
            <w:tcBorders/>
            <w:shd w:fill="FFFFFF" w:val="clear"/>
            <w:vAlign w:val="bottom"/>
          </w:tcPr>
          <w:p>
            <w:pPr>
              <w:pStyle w:val="TableContents"/>
              <w:spacing w:before="0" w:after="283"/>
              <w:jc w:val="center"/>
              <w:rPr/>
            </w:pPr>
            <w:r>
              <w:rPr>
                <w:b/>
              </w:rPr>
              <w:t>Registration Fee</w:t>
            </w:r>
            <w:r>
              <w:rPr/>
              <w:t xml:space="preserve"> </w:t>
            </w:r>
          </w:p>
        </w:tc>
      </w:tr>
      <w:tr>
        <w:trPr/>
        <w:tc>
          <w:tcPr>
            <w:tcW w:w="2750" w:type="dxa"/>
            <w:tcBorders>
              <w:top w:val="single" w:sz="2" w:space="0" w:color="000000"/>
            </w:tcBorders>
            <w:shd w:fill="FFFFFF" w:val="clear"/>
            <w:tcMar>
              <w:top w:w="28" w:type="dxa"/>
            </w:tcMar>
          </w:tcPr>
          <w:p>
            <w:pPr>
              <w:pStyle w:val="TableContents"/>
              <w:spacing w:before="0" w:after="0"/>
              <w:ind w:left="200" w:right="0" w:hanging="200"/>
              <w:jc w:val="left"/>
              <w:rPr>
                <w:sz w:val="17"/>
              </w:rPr>
            </w:pPr>
            <w:r>
              <w:rPr>
                <w:sz w:val="17"/>
              </w:rPr>
              <w:t xml:space="preserve">6.125% Senior Notes due 2017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$400,000,000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100%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$400,000,000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5"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$12,280 </w:t>
            </w:r>
          </w:p>
        </w:tc>
      </w:tr>
      <w:tr>
        <w:trPr/>
        <w:tc>
          <w:tcPr>
            <w:tcW w:w="2750" w:type="dxa"/>
            <w:tcBorders>
              <w:top w:val="single" w:sz="2" w:space="0" w:color="000000"/>
            </w:tcBorders>
            <w:shd w:fill="FFFFFF" w:val="clear"/>
            <w:tcMar>
              <w:top w:w="28" w:type="dxa"/>
            </w:tcMar>
          </w:tcPr>
          <w:p>
            <w:pPr>
              <w:pStyle w:val="TableContents"/>
              <w:spacing w:before="0" w:after="0"/>
              <w:ind w:left="200" w:right="0" w:hanging="200"/>
              <w:jc w:val="left"/>
              <w:rPr>
                <w:sz w:val="17"/>
              </w:rPr>
            </w:pPr>
            <w:r>
              <w:rPr>
                <w:sz w:val="17"/>
              </w:rPr>
              <w:t xml:space="preserve">6.650% Senior Notes due 2037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$600,000,000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100%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$600,000,000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5"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$18,420 </w:t>
            </w:r>
          </w:p>
        </w:tc>
      </w:tr>
      <w:tr>
        <w:trPr/>
        <w:tc>
          <w:tcPr>
            <w:tcW w:w="2750" w:type="dxa"/>
            <w:tcBorders>
              <w:top w:val="single" w:sz="2" w:space="0" w:color="000000"/>
            </w:tcBorders>
            <w:shd w:fill="FFFFFF" w:val="clear"/>
            <w:tcMar>
              <w:top w:w="28" w:type="dxa"/>
            </w:tcMar>
          </w:tcPr>
          <w:p>
            <w:pPr>
              <w:pStyle w:val="TableContents"/>
              <w:spacing w:before="0" w:after="0"/>
              <w:ind w:left="200" w:right="0" w:hanging="200"/>
              <w:jc w:val="left"/>
              <w:rPr>
                <w:sz w:val="17"/>
              </w:rPr>
            </w:pPr>
            <w:r>
              <w:rPr>
                <w:sz w:val="17"/>
              </w:rPr>
              <w:t xml:space="preserve">Guarantees(2)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single" w:sz="2"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single" w:sz="2"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5"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 </w:t>
            </w:r>
          </w:p>
        </w:tc>
      </w:tr>
      <w:tr>
        <w:trPr/>
        <w:tc>
          <w:tcPr>
            <w:tcW w:w="2750" w:type="dxa"/>
            <w:tcBorders>
              <w:top w:val="single" w:sz="2" w:space="0" w:color="000000"/>
            </w:tcBorders>
            <w:shd w:fill="FFFFFF" w:val="clear"/>
            <w:tcMar>
              <w:top w:w="28" w:type="dxa"/>
            </w:tcMar>
          </w:tcPr>
          <w:p>
            <w:pPr>
              <w:pStyle w:val="TableContents"/>
              <w:spacing w:before="0" w:after="0"/>
              <w:ind w:left="400" w:right="0" w:hanging="200"/>
              <w:jc w:val="left"/>
              <w:rPr>
                <w:sz w:val="17"/>
              </w:rPr>
            </w:pPr>
            <w:r>
              <w:rPr>
                <w:sz w:val="17"/>
              </w:rPr>
              <w:t xml:space="preserve">Total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single" w:sz="2"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single" w:sz="2" w:space="0" w:color="000000"/>
            </w:tcBorders>
            <w:shd w:fill="FFFFFF" w:val="clear"/>
            <w:tcMar>
              <w:top w:w="28" w:type="dxa"/>
            </w:tcMar>
            <w:vAlign w:val="bottom"/>
          </w:tcPr>
          <w:p>
            <w:pPr>
              <w:pStyle w:val="TableContents"/>
              <w:spacing w:before="0" w:after="283"/>
              <w:jc w:val="center"/>
              <w:rPr/>
            </w:pPr>
            <w:r>
              <w:rPr/>
              <w:t xml:space="preserve">  </w:t>
            </w:r>
          </w:p>
        </w:tc>
        <w:tc>
          <w:tcPr>
            <w:tcW w:w="60" w:type="dxa"/>
            <w:tcBorders>
              <w:top w:val="single" w:sz="2" w:space="0" w:color="000000"/>
              <w:right w:val="single" w:sz="2" w:space="0" w:color="000000"/>
            </w:tcBorders>
            <w:shd w:fill="FFFFFF" w:val="clear"/>
            <w:tcMar>
              <w:top w:w="28" w:type="dxa"/>
              <w:right w:w="40" w:type="dxa"/>
            </w:tcMar>
            <w:vAlign w:val="bottom"/>
          </w:tcPr>
          <w:p>
            <w:pPr>
              <w:pStyle w:val="TableContents"/>
              <w:spacing w:before="0" w:after="283"/>
              <w:rPr/>
            </w:pPr>
            <w:r>
              <w:rPr/>
              <w:t xml:space="preserve">  </w:t>
            </w:r>
          </w:p>
        </w:tc>
        <w:tc>
          <w:tcPr>
            <w:tcW w:w="6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5" w:type="dxa"/>
            <w:tcBorders>
              <w:top w:val="single" w:sz="2" w:space="0" w:color="000000"/>
            </w:tcBorders>
            <w:shd w:fill="FFFFFF" w:val="clear"/>
            <w:tcMar>
              <w:top w:w="28" w:type="dxa"/>
            </w:tcMar>
            <w:vAlign w:val="bottom"/>
          </w:tcPr>
          <w:p>
            <w:pPr>
              <w:pStyle w:val="TableContents"/>
              <w:spacing w:before="0" w:after="283"/>
              <w:jc w:val="center"/>
              <w:rPr>
                <w:sz w:val="17"/>
              </w:rPr>
            </w:pPr>
            <w:r>
              <w:rPr>
                <w:sz w:val="17"/>
              </w:rPr>
              <w:t xml:space="preserve">$30,700 </w:t>
            </w:r>
          </w:p>
        </w:tc>
      </w:tr>
      <w:tr>
        <w:trPr/>
        <w:tc>
          <w:tcPr>
            <w:tcW w:w="2750" w:type="dxa"/>
            <w:tcBorders>
              <w:top w:val="double" w:sz="6" w:space="0" w:color="000000"/>
            </w:tcBorders>
            <w:shd w:fill="FFFFFF" w:val="clear"/>
            <w:tcMar>
              <w:top w:w="28" w:type="dxa"/>
            </w:tcMar>
            <w:vAlign w:val="bottom"/>
          </w:tcPr>
          <w:p>
            <w:pPr>
              <w:pStyle w:val="TableContents"/>
              <w:spacing w:before="0" w:after="283"/>
              <w:jc w:val="left"/>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double" w:sz="6" w:space="0" w:color="000000"/>
            </w:tcBorders>
            <w:shd w:fill="FFFFFF" w:val="clear"/>
            <w:tcMar>
              <w:top w:w="28" w:type="dxa"/>
            </w:tcMar>
            <w:vAlign w:val="bottom"/>
          </w:tcPr>
          <w:p>
            <w:pPr>
              <w:pStyle w:val="TableContents"/>
              <w:spacing w:before="0" w:after="283"/>
              <w:jc w:val="left"/>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double" w:sz="6" w:space="0" w:color="000000"/>
            </w:tcBorders>
            <w:shd w:fill="FFFFFF" w:val="clear"/>
            <w:tcMar>
              <w:top w:w="28" w:type="dxa"/>
            </w:tcMar>
            <w:vAlign w:val="bottom"/>
          </w:tcPr>
          <w:p>
            <w:pPr>
              <w:pStyle w:val="TableContents"/>
              <w:spacing w:before="0" w:after="283"/>
              <w:jc w:val="left"/>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90" w:type="dxa"/>
            <w:tcBorders>
              <w:top w:val="double" w:sz="6" w:space="0" w:color="000000"/>
            </w:tcBorders>
            <w:shd w:fill="FFFFFF" w:val="clear"/>
            <w:tcMar>
              <w:top w:w="28" w:type="dxa"/>
            </w:tcMar>
            <w:vAlign w:val="bottom"/>
          </w:tcPr>
          <w:p>
            <w:pPr>
              <w:pStyle w:val="TableContents"/>
              <w:spacing w:before="0" w:after="283"/>
              <w:jc w:val="left"/>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5" w:type="dxa"/>
            <w:tcBorders>
              <w:top w:val="double" w:sz="6" w:space="0" w:color="000000"/>
            </w:tcBorders>
            <w:shd w:fill="FFFFFF" w:val="clear"/>
            <w:tcMar>
              <w:top w:w="28" w:type="dxa"/>
            </w:tcMar>
            <w:vAlign w:val="bottom"/>
          </w:tcPr>
          <w:p>
            <w:pPr>
              <w:pStyle w:val="TableContents"/>
              <w:spacing w:before="0" w:after="283"/>
              <w:jc w:val="left"/>
              <w:rPr/>
            </w:pPr>
            <w:r>
              <w:rPr/>
              <w:t xml:space="preserve">  </w:t>
            </w:r>
          </w:p>
        </w:tc>
      </w:tr>
    </w:tbl>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5"/>
        <w:gridCol w:w="102"/>
        <w:gridCol w:w="9698"/>
      </w:tblGrid>
      <w:tr>
        <w:trPr/>
        <w:tc>
          <w:tcPr>
            <w:tcW w:w="405"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sz w:val="15"/>
              </w:rPr>
            </w:pPr>
            <w:r>
              <w:rPr>
                <w:sz w:val="15"/>
              </w:rPr>
              <w:t xml:space="preserve">(1) </w:t>
            </w:r>
          </w:p>
        </w:tc>
        <w:tc>
          <w:tcPr>
            <w:tcW w:w="102"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sz w:val="15"/>
              </w:rPr>
            </w:pPr>
            <w:r>
              <w:rPr>
                <w:sz w:val="15"/>
              </w:rPr>
              <w:t xml:space="preserve">Estimated solely for the purpose of calculating the registration fee in accordance with Rule 457(f) under the Securities Act of 1933. </w:t>
            </w:r>
          </w:p>
        </w:tc>
      </w:tr>
      <w:tr>
        <w:trPr/>
        <w:tc>
          <w:tcPr>
            <w:tcW w:w="405" w:type="dxa"/>
            <w:tcBorders/>
            <w:shd w:fill="FFFFFF" w:val="clear"/>
          </w:tcPr>
          <w:p>
            <w:pPr>
              <w:pStyle w:val="TableContents"/>
              <w:spacing w:before="0" w:after="283"/>
              <w:rPr>
                <w:sz w:val="15"/>
              </w:rPr>
            </w:pPr>
            <w:r>
              <w:rPr>
                <w:sz w:val="15"/>
              </w:rPr>
              <w:t xml:space="preserve">(2) </w:t>
            </w:r>
          </w:p>
        </w:tc>
        <w:tc>
          <w:tcPr>
            <w:tcW w:w="102"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sz w:val="15"/>
              </w:rPr>
            </w:pPr>
            <w:r>
              <w:rPr>
                <w:sz w:val="15"/>
              </w:rPr>
              <w:t xml:space="preserve">No separate consideration will be received for the guarantees, and no separate fee is payable pursuant to Rule 457(a) under the Securities Act of 1933. </w:t>
            </w:r>
          </w:p>
        </w:tc>
      </w:tr>
      <w:tr>
        <w:trPr/>
        <w:tc>
          <w:tcPr>
            <w:tcW w:w="405" w:type="dxa"/>
            <w:tcBorders/>
            <w:shd w:fill="FFFFFF" w:val="clear"/>
          </w:tcPr>
          <w:p>
            <w:pPr>
              <w:pStyle w:val="TableContents"/>
              <w:spacing w:before="0" w:after="283"/>
              <w:jc w:val="center"/>
              <w:rPr>
                <w:sz w:val="15"/>
              </w:rPr>
            </w:pPr>
            <w:r>
              <w:rPr>
                <w:sz w:val="15"/>
              </w:rPr>
              <w:t xml:space="preserve">* </w:t>
            </w:r>
          </w:p>
        </w:tc>
        <w:tc>
          <w:tcPr>
            <w:tcW w:w="102"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sz w:val="15"/>
              </w:rPr>
            </w:pPr>
            <w:r>
              <w:rPr>
                <w:sz w:val="15"/>
              </w:rPr>
              <w:t xml:space="preserve">Includes certain subsidiaries of Plains All American Pipeline, L.P. identified on the following pages.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Marketing,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76-0587115</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Pipeline,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76-0587185</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Marketing GP Inc.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76-0684572</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Marketing Canada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76-0653735</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Marketing Canada,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Alberta</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75-2979793</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PMC (Nova Scotia) Company</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0"/>
        <w:gridCol w:w="5002"/>
      </w:tblGrid>
      <w:tr>
        <w:trPr/>
        <w:tc>
          <w:tcPr>
            <w:tcW w:w="5103" w:type="dxa"/>
            <w:tcBorders/>
            <w:shd w:fill="FFFFFF" w:val="clear"/>
            <w:vAlign w:val="bottom"/>
          </w:tcPr>
          <w:p>
            <w:pPr>
              <w:pStyle w:val="TableContents"/>
              <w:spacing w:before="0" w:after="283"/>
              <w:rPr/>
            </w:pPr>
            <w:r>
              <w:rPr/>
              <w:t> </w:t>
            </w:r>
          </w:p>
        </w:tc>
        <w:tc>
          <w:tcPr>
            <w:tcW w:w="100" w:type="dxa"/>
            <w:tcBorders/>
            <w:shd w:fill="FFFFFF" w:val="clear"/>
            <w:vAlign w:val="bottom"/>
          </w:tcPr>
          <w:p>
            <w:pPr>
              <w:pStyle w:val="TableContents"/>
              <w:spacing w:before="0" w:after="283"/>
              <w:rPr/>
            </w:pPr>
            <w:r>
              <w:rPr/>
              <w:t> </w:t>
            </w:r>
          </w:p>
        </w:tc>
        <w:tc>
          <w:tcPr>
            <w:tcW w:w="5002"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Nova Scotia</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b/>
                <w:sz w:val="15"/>
              </w:rPr>
              <w:t>52-2316677</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i/>
                <w:sz w:val="12"/>
              </w:rPr>
            </w:pPr>
            <w:r>
              <w:rPr>
                <w:i/>
                <w:sz w:val="12"/>
              </w:rPr>
              <w:t xml:space="preserve">(I.R.S. Employer Identification Number)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Basin Holdings GP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13-4204744</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Basin Pipeline Holdings,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13-4204757</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Rancho Holdings GP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13-4204734</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Rancho Pipeline Holdings,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13-4204750</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LPG Services GP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20-0046552</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LPG Services,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20-0046584</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Lone Star Trucking,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2"/>
        <w:gridCol w:w="101"/>
        <w:gridCol w:w="5002"/>
      </w:tblGrid>
      <w:tr>
        <w:trPr/>
        <w:tc>
          <w:tcPr>
            <w:tcW w:w="5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rPr/>
            </w:pPr>
            <w:r>
              <w:rPr/>
              <w:t> </w:t>
            </w:r>
          </w:p>
        </w:tc>
        <w:tc>
          <w:tcPr>
            <w:tcW w:w="5002" w:type="dxa"/>
            <w:tcBorders/>
            <w:shd w:fill="FFFFFF" w:val="clear"/>
            <w:vAlign w:val="bottom"/>
          </w:tcPr>
          <w:p>
            <w:pPr>
              <w:pStyle w:val="TableContents"/>
              <w:spacing w:before="0" w:after="283"/>
              <w:rPr/>
            </w:pPr>
            <w:r>
              <w:rPr/>
              <w:t> </w:t>
            </w:r>
          </w:p>
        </w:tc>
      </w:tr>
      <w:tr>
        <w:trPr/>
        <w:tc>
          <w:tcPr>
            <w:tcW w:w="5102" w:type="dxa"/>
            <w:tcBorders/>
            <w:shd w:fill="FFFFFF" w:val="clear"/>
          </w:tcPr>
          <w:p>
            <w:pPr>
              <w:pStyle w:val="TableContents"/>
              <w:spacing w:before="0" w:after="283"/>
              <w:jc w:val="center"/>
              <w:rPr/>
            </w:pPr>
            <w:r>
              <w:rPr>
                <w:b/>
                <w:sz w:val="15"/>
              </w:rPr>
              <w:t>California</w:t>
            </w:r>
            <w:r>
              <w:rPr/>
              <w:t xml:space="preserve"> </w:t>
            </w:r>
          </w:p>
        </w:tc>
        <w:tc>
          <w:tcPr>
            <w:tcW w:w="101"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b/>
                <w:sz w:val="15"/>
              </w:rPr>
              <w:t>20-4648774</w:t>
            </w:r>
            <w:r>
              <w:rPr/>
              <w:t xml:space="preserve"> </w:t>
            </w:r>
          </w:p>
        </w:tc>
      </w:tr>
      <w:tr>
        <w:trPr/>
        <w:tc>
          <w:tcPr>
            <w:tcW w:w="5102"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1"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Marketing International GP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20-3568639</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Marketing International,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20-3640773</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Plains LPG Marketing,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Texas</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20-2519036</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Pacific Energy Group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84-1598428</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Pacific Marketing and Transportation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33-0973195</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Pacific Atlantic Terminals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20-3209607</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Rocky Mountain Pipeline System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84-1609139</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Ranch Pipeline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84-0882739</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PEG Canada GP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14-1907325</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PEG Canada, L.P.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14-1907329</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Pacific Energy Finance Corporation</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56-2464313</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Pacific L.A. Marine Terminal LLC</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Delaware</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20-3677976</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Rangeland Pipeline Company</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0"/>
        <w:gridCol w:w="5002"/>
      </w:tblGrid>
      <w:tr>
        <w:trPr/>
        <w:tc>
          <w:tcPr>
            <w:tcW w:w="5103" w:type="dxa"/>
            <w:tcBorders/>
            <w:shd w:fill="FFFFFF" w:val="clear"/>
            <w:vAlign w:val="bottom"/>
          </w:tcPr>
          <w:p>
            <w:pPr>
              <w:pStyle w:val="TableContents"/>
              <w:spacing w:before="0" w:after="283"/>
              <w:rPr/>
            </w:pPr>
            <w:r>
              <w:rPr/>
              <w:t> </w:t>
            </w:r>
          </w:p>
        </w:tc>
        <w:tc>
          <w:tcPr>
            <w:tcW w:w="100" w:type="dxa"/>
            <w:tcBorders/>
            <w:shd w:fill="FFFFFF" w:val="clear"/>
            <w:vAlign w:val="bottom"/>
          </w:tcPr>
          <w:p>
            <w:pPr>
              <w:pStyle w:val="TableContents"/>
              <w:spacing w:before="0" w:after="283"/>
              <w:rPr/>
            </w:pPr>
            <w:r>
              <w:rPr/>
              <w:t> </w:t>
            </w:r>
          </w:p>
        </w:tc>
        <w:tc>
          <w:tcPr>
            <w:tcW w:w="5002"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Nova Scotia</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b/>
                <w:sz w:val="15"/>
              </w:rPr>
              <w:t>20-8538882</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Rangeland Northern Pipeline Company</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0"/>
        <w:gridCol w:w="5002"/>
      </w:tblGrid>
      <w:tr>
        <w:trPr/>
        <w:tc>
          <w:tcPr>
            <w:tcW w:w="5103" w:type="dxa"/>
            <w:tcBorders/>
            <w:shd w:fill="FFFFFF" w:val="clear"/>
            <w:vAlign w:val="bottom"/>
          </w:tcPr>
          <w:p>
            <w:pPr>
              <w:pStyle w:val="TableContents"/>
              <w:spacing w:before="0" w:after="283"/>
              <w:rPr/>
            </w:pPr>
            <w:r>
              <w:rPr/>
              <w:t> </w:t>
            </w:r>
          </w:p>
        </w:tc>
        <w:tc>
          <w:tcPr>
            <w:tcW w:w="100" w:type="dxa"/>
            <w:tcBorders/>
            <w:shd w:fill="FFFFFF" w:val="clear"/>
            <w:vAlign w:val="bottom"/>
          </w:tcPr>
          <w:p>
            <w:pPr>
              <w:pStyle w:val="TableContents"/>
              <w:spacing w:before="0" w:after="283"/>
              <w:rPr/>
            </w:pPr>
            <w:r>
              <w:rPr/>
              <w:t> </w:t>
            </w:r>
          </w:p>
        </w:tc>
        <w:tc>
          <w:tcPr>
            <w:tcW w:w="5002"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Nova Scotia</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b/>
                <w:sz w:val="15"/>
              </w:rPr>
              <w:t>20-8539038</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Rangeland Marketing Company</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0"/>
        <w:gridCol w:w="5002"/>
      </w:tblGrid>
      <w:tr>
        <w:trPr/>
        <w:tc>
          <w:tcPr>
            <w:tcW w:w="5103" w:type="dxa"/>
            <w:tcBorders/>
            <w:shd w:fill="FFFFFF" w:val="clear"/>
            <w:vAlign w:val="bottom"/>
          </w:tcPr>
          <w:p>
            <w:pPr>
              <w:pStyle w:val="TableContents"/>
              <w:spacing w:before="0" w:after="283"/>
              <w:rPr/>
            </w:pPr>
            <w:r>
              <w:rPr/>
              <w:t> </w:t>
            </w:r>
          </w:p>
        </w:tc>
        <w:tc>
          <w:tcPr>
            <w:tcW w:w="100" w:type="dxa"/>
            <w:tcBorders/>
            <w:shd w:fill="FFFFFF" w:val="clear"/>
            <w:vAlign w:val="bottom"/>
          </w:tcPr>
          <w:p>
            <w:pPr>
              <w:pStyle w:val="TableContents"/>
              <w:spacing w:before="0" w:after="283"/>
              <w:rPr/>
            </w:pPr>
            <w:r>
              <w:rPr/>
              <w:t> </w:t>
            </w:r>
          </w:p>
        </w:tc>
        <w:tc>
          <w:tcPr>
            <w:tcW w:w="5002"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Nova Scotia</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b/>
                <w:sz w:val="15"/>
              </w:rPr>
              <w:t>20-8539145</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0" w:type="dxa"/>
            <w:tcBorders/>
            <w:shd w:fill="FFFFFF" w:val="clear"/>
            <w:vAlign w:val="bottom"/>
          </w:tcPr>
          <w:p>
            <w:pPr>
              <w:pStyle w:val="TableContents"/>
              <w:spacing w:before="0" w:after="283"/>
              <w:rPr/>
            </w:pPr>
            <w:r>
              <w:rPr/>
              <w:t xml:space="preserve">  </w:t>
            </w:r>
          </w:p>
        </w:tc>
        <w:tc>
          <w:tcPr>
            <w:tcW w:w="5002"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Rangeland Pipeline Partnership</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Alberta</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20-8539103</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120" w:after="283"/>
        <w:rPr/>
      </w:pPr>
      <w:r>
        <w:rPr/>
        <w:t> </w:t>
      </w:r>
    </w:p>
    <w:p>
      <w:pPr>
        <w:pStyle w:val="TextBody"/>
        <w:spacing w:before="0" w:after="0"/>
        <w:jc w:val="center"/>
        <w:rPr>
          <w:rFonts w:ascii="Arial;Helvetica" w:hAnsi="Arial;Helvetica"/>
          <w:color w:val="000000"/>
          <w:sz w:val="15"/>
          <w:highlight w:val="white"/>
        </w:rPr>
      </w:pPr>
      <w:r>
        <w:rPr>
          <w:rFonts w:ascii="Times New Roman;Times" w:hAnsi="Times New Roman;Times"/>
          <w:b/>
          <w:color w:val="000000"/>
          <w:sz w:val="15"/>
          <w:highlight w:val="white"/>
        </w:rPr>
        <w:t>Aurora Pipeline Company Ltd.</w:t>
      </w:r>
      <w:r>
        <w:rPr>
          <w:rFonts w:ascii="Arial;Helvetica" w:hAnsi="Arial;Helvetica"/>
          <w:color w:val="000000"/>
          <w:sz w:val="15"/>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2"/>
          <w:highlight w:val="white"/>
        </w:rPr>
        <w:t>(Exact Name of Registrant As Specified In Its Charter)</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center"/>
        <w:tblInd w:w="0" w:type="dxa"/>
        <w:shd w:fill="FFFFFF" w:val="clear"/>
        <w:tblCellMar>
          <w:top w:w="0" w:type="dxa"/>
          <w:left w:w="0" w:type="dxa"/>
          <w:bottom w:w="0" w:type="dxa"/>
          <w:right w:w="0" w:type="dxa"/>
        </w:tblCellMar>
      </w:tblPr>
      <w:tblGrid>
        <w:gridCol w:w="5103"/>
        <w:gridCol w:w="102"/>
        <w:gridCol w:w="5000"/>
      </w:tblGrid>
      <w:tr>
        <w:trPr/>
        <w:tc>
          <w:tcPr>
            <w:tcW w:w="5103"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rPr/>
            </w:pPr>
            <w:r>
              <w:rPr/>
              <w:t> </w:t>
            </w:r>
          </w:p>
        </w:tc>
        <w:tc>
          <w:tcPr>
            <w:tcW w:w="5000" w:type="dxa"/>
            <w:tcBorders/>
            <w:shd w:fill="FFFFFF" w:val="clear"/>
            <w:vAlign w:val="bottom"/>
          </w:tcPr>
          <w:p>
            <w:pPr>
              <w:pStyle w:val="TableContents"/>
              <w:spacing w:before="0" w:after="283"/>
              <w:rPr/>
            </w:pPr>
            <w:r>
              <w:rPr/>
              <w:t> </w:t>
            </w:r>
          </w:p>
        </w:tc>
      </w:tr>
      <w:tr>
        <w:trPr/>
        <w:tc>
          <w:tcPr>
            <w:tcW w:w="5103" w:type="dxa"/>
            <w:tcBorders/>
            <w:shd w:fill="FFFFFF" w:val="clear"/>
          </w:tcPr>
          <w:p>
            <w:pPr>
              <w:pStyle w:val="TableContents"/>
              <w:spacing w:before="0" w:after="283"/>
              <w:jc w:val="center"/>
              <w:rPr/>
            </w:pPr>
            <w:r>
              <w:rPr>
                <w:b/>
                <w:sz w:val="15"/>
              </w:rPr>
              <w:t>Canada</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b/>
                <w:sz w:val="15"/>
              </w:rPr>
              <w:t>20-8539237</w:t>
            </w:r>
            <w:r>
              <w:rPr/>
              <w:t xml:space="preserve"> </w:t>
            </w:r>
          </w:p>
        </w:tc>
      </w:tr>
      <w:tr>
        <w:trPr/>
        <w:tc>
          <w:tcPr>
            <w:tcW w:w="5103" w:type="dxa"/>
            <w:tcBorders/>
            <w:shd w:fill="FFFFFF" w:val="clear"/>
          </w:tcPr>
          <w:p>
            <w:pPr>
              <w:pStyle w:val="TableContents"/>
              <w:spacing w:before="0" w:after="283"/>
              <w:jc w:val="center"/>
              <w:rPr/>
            </w:pPr>
            <w:r>
              <w:rPr>
                <w:i/>
                <w:sz w:val="12"/>
              </w:rPr>
              <w:t>(State or Other Jurisdiction of Incorporation or Organization)</w:t>
            </w:r>
            <w:r>
              <w:rPr/>
              <w:t xml:space="preserve"> </w:t>
            </w:r>
          </w:p>
        </w:tc>
        <w:tc>
          <w:tcPr>
            <w:tcW w:w="102" w:type="dxa"/>
            <w:tcBorders/>
            <w:shd w:fill="FFFFFF" w:val="clear"/>
            <w:vAlign w:val="bottom"/>
          </w:tcPr>
          <w:p>
            <w:pPr>
              <w:pStyle w:val="TableContents"/>
              <w:spacing w:before="0" w:after="283"/>
              <w:rPr/>
            </w:pPr>
            <w:r>
              <w:rPr/>
              <w:t xml:space="preserve">  </w:t>
            </w:r>
          </w:p>
        </w:tc>
        <w:tc>
          <w:tcPr>
            <w:tcW w:w="5000" w:type="dxa"/>
            <w:tcBorders/>
            <w:shd w:fill="FFFFFF" w:val="clear"/>
            <w:vAlign w:val="bottom"/>
          </w:tcPr>
          <w:p>
            <w:pPr>
              <w:pStyle w:val="TableContents"/>
              <w:spacing w:before="0" w:after="283"/>
              <w:jc w:val="center"/>
              <w:rPr/>
            </w:pPr>
            <w:r>
              <w:rPr>
                <w:i/>
                <w:sz w:val="12"/>
              </w:rPr>
              <w:t>(I.R.S. Employer Identification Number)</w:t>
            </w:r>
            <w:r>
              <w:rPr/>
              <w:t xml:space="preserve"> </w:t>
            </w:r>
          </w:p>
        </w:tc>
      </w:tr>
    </w:tbl>
    <w:p>
      <w:pPr>
        <w:pStyle w:val="TextBody"/>
        <w:spacing w:before="60" w:after="283"/>
        <w:rPr/>
      </w:pPr>
      <w:r>
        <w:rPr/>
        <w:t> </w:t>
      </w:r>
    </w:p>
    <w:p>
      <w:pPr>
        <w:pStyle w:val="TextBody"/>
        <w:spacing w:before="0" w:after="0"/>
        <w:jc w:val="left"/>
        <w:rPr>
          <w:rFonts w:ascii="Times New Roman;Times" w:hAnsi="Times New Roman;Times"/>
          <w:color w:val="000000"/>
          <w:sz w:val="15"/>
          <w:highlight w:val="white"/>
        </w:rPr>
      </w:pPr>
      <w:r>
        <w:rPr>
          <w:rFonts w:ascii="Times New Roman;Times" w:hAnsi="Times New Roman;Times"/>
          <w:color w:val="000000"/>
          <w:sz w:val="15"/>
          <w:highlight w:val="white"/>
        </w:rPr>
        <w:t xml:space="preserve">Each Registrant hereby amends this Registration Statement on such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spacing w:before="160" w:after="283"/>
        <w:rPr/>
      </w:pPr>
      <w:r>
        <w:rPr/>
        <w:t>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tblCellMar>
          <w:top w:w="75" w:type="dxa"/>
          <w:left w:w="75" w:type="dxa"/>
          <w:bottom w:w="75" w:type="dxa"/>
          <w:right w:w="75" w:type="dxa"/>
        </w:tblCellMar>
      </w:tblPr>
      <w:tblGrid>
        <w:gridCol w:w="10205"/>
      </w:tblGrid>
      <w:tr>
        <w:trPr/>
        <w:tc>
          <w:tcPr>
            <w:tcW w:w="10205"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rFonts w:ascii="Arial;Helvetica" w:hAnsi="Arial;Helvetica"/>
                <w:color w:val="E8112D"/>
                <w:sz w:val="17"/>
              </w:rPr>
            </w:pPr>
            <w:r>
              <w:rPr>
                <w:rFonts w:ascii="Arial;Helvetica" w:hAnsi="Arial;Helvetica"/>
                <w:color w:val="E8112D"/>
                <w:sz w:val="17"/>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tc>
      </w:tr>
    </w:tbl>
    <w:p>
      <w:pPr>
        <w:pStyle w:val="TextBody"/>
        <w:spacing w:before="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E8112D"/>
          <w:sz w:val="17"/>
          <w:highlight w:val="white"/>
        </w:rPr>
        <w:t>Subject to Completion, Dated March 26, 2007</w:t>
      </w:r>
      <w:r>
        <w:rPr>
          <w:rFonts w:ascii="Times New Roman;Times" w:hAnsi="Times New Roman;Times"/>
          <w:color w:val="000000"/>
          <w:sz w:val="17"/>
          <w:highlight w:val="white"/>
        </w:rPr>
        <w:t xml:space="preserve"> </w:t>
      </w:r>
    </w:p>
    <w:p>
      <w:pPr>
        <w:pStyle w:val="TextBody"/>
        <w:spacing w:before="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Prospectus</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PAA Finance Corp.</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Offer to Exchange up to</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$400,000,000 of 6.125% Senior Notes due 2017</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for</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$400,000,000 of 6.125% Senior Notes due 2017</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that have been Registered under the Securities Act of 1933</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and</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Offer to Exchange up to</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$600,000,000 of 6.650% Senior Notes due 2037</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for</w:t>
      </w:r>
      <w:r>
        <w:rPr>
          <w:rFonts w:ascii="Times New Roman;Times" w:hAnsi="Times New Roman;Times"/>
          <w:color w:val="000000"/>
          <w:sz w:val="17"/>
          <w:highlight w:val="white"/>
        </w:rPr>
        <w:t xml:space="preserve"> </w:t>
      </w:r>
    </w:p>
    <w:p>
      <w:pPr>
        <w:pStyle w:val="TextBody"/>
        <w:spacing w:before="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$600,000,000 of 6.650% Senior Notes due 2037</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that have been Registered under the Securities Act of 1933</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Terms of the Exchange Offer</w:t>
      </w:r>
      <w:r>
        <w:rPr>
          <w:rFonts w:ascii="Arial;Helvetica" w:hAnsi="Arial;Helvetica"/>
          <w:color w:val="000000"/>
          <w:sz w:val="17"/>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0"/>
        <w:gridCol w:w="269"/>
        <w:gridCol w:w="9536"/>
      </w:tblGrid>
      <w:tr>
        <w:trPr/>
        <w:tc>
          <w:tcPr>
            <w:tcW w:w="40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We are offering to exchange up to $400,000,000 of our outstanding 6.125% Senior Notes due 2017 (the 2017 Notes) and up to $600,000,000 of our outstanding 6.650% Senior Notes due 2037 (the 2037 Notes, and together with the 2017 Notes, the outstanding Notes) for new notes with substantially identical terms that have been registered under the Securities Act and are freely tradable.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We will exchange for an equal principal amount of new Notes all outstanding Notes of the same series that you validly tender and do not validly withdraw before the exchange offer expires.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Each exchange offer expires at 5:00 p.m., New York City time, on          , 2007 unless extended. We do not currently intend to extend either exchange offer.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Tenders of outstanding Notes may be withdrawn at any time prior to the expiration of the exchange offer.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The exchange of outstanding Notes for new Notes will not be a taxable event for U.S. federal income tax purposes. </w:t>
            </w:r>
          </w:p>
        </w:tc>
      </w:tr>
    </w:tbl>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Terms of the 6.125% Senior Notes Offered in the Exchange Offer</w:t>
      </w:r>
      <w:r>
        <w:rPr>
          <w:rFonts w:ascii="Arial;Helvetica" w:hAnsi="Arial;Helvetica"/>
          <w:color w:val="000000"/>
          <w:sz w:val="17"/>
          <w:highlight w:val="white"/>
        </w:rPr>
        <w:t xml:space="preserve"> </w:t>
      </w:r>
    </w:p>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Maturity</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2017 Notes will mature on January 15, 2017. </w:t>
            </w:r>
          </w:p>
        </w:tc>
      </w:tr>
    </w:tbl>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Interest</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8"/>
        <w:gridCol w:w="270"/>
        <w:gridCol w:w="9527"/>
      </w:tblGrid>
      <w:tr>
        <w:trPr/>
        <w:tc>
          <w:tcPr>
            <w:tcW w:w="40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Interest on the 2017 Notes is payable on January 15 and July 15 of each year, beginning July 15, 2007.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Interest will accrue from October 30, 2006. </w:t>
            </w:r>
          </w:p>
        </w:tc>
      </w:tr>
    </w:tbl>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Redemption</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6"/>
        <w:gridCol w:w="272"/>
        <w:gridCol w:w="9527"/>
      </w:tblGrid>
      <w:tr>
        <w:trPr/>
        <w:tc>
          <w:tcPr>
            <w:tcW w:w="4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We may redeem the 2017 Notes, in whole or in part, at any time at a price equal to the greater of (1) 100% of the principal amount of the 2017 Notes to be redeemed or (2) a make-whole amount described in this prospectus plus 25 basis points together with accrued interest, if any, to the redemption date. </w:t>
            </w:r>
          </w:p>
        </w:tc>
      </w:tr>
    </w:tbl>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Ranking</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5"/>
        <w:gridCol w:w="274"/>
        <w:gridCol w:w="9526"/>
      </w:tblGrid>
      <w:tr>
        <w:trPr/>
        <w:tc>
          <w:tcPr>
            <w:tcW w:w="4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The 2017 Notes are unsecured. The 2017 Notes rank equally in right of payment with all of our other existing and future senior unsecured debt and senior in right of payment to all of our future subordinated debt. </w:t>
            </w:r>
          </w:p>
        </w:tc>
      </w:tr>
    </w:tbl>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Terms of the 6.650% Senior Notes Offered in the Exchange Offer</w:t>
      </w:r>
      <w:r>
        <w:rPr>
          <w:rFonts w:ascii="Arial;Helvetica" w:hAnsi="Arial;Helvetica"/>
          <w:color w:val="000000"/>
          <w:sz w:val="17"/>
          <w:highlight w:val="white"/>
        </w:rPr>
        <w:t xml:space="preserve"> </w:t>
      </w:r>
    </w:p>
    <w:p>
      <w:pPr>
        <w:pStyle w:val="TextBody"/>
        <w:spacing w:before="8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Maturity</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The 2037 Notes will mature on January 15, 2037. </w:t>
            </w:r>
          </w:p>
        </w:tc>
      </w:tr>
    </w:tbl>
    <w:p>
      <w:pPr>
        <w:pStyle w:val="TextBody"/>
        <w:spacing w:before="16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Interest</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8"/>
        <w:gridCol w:w="270"/>
        <w:gridCol w:w="9527"/>
      </w:tblGrid>
      <w:tr>
        <w:trPr/>
        <w:tc>
          <w:tcPr>
            <w:tcW w:w="40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Interest on the 2037 Notes is payable on January 15 and July 15 of each year, beginning July 15, 2007.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0"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Interest will accrue from October 30, 2006. </w:t>
            </w:r>
          </w:p>
        </w:tc>
      </w:tr>
    </w:tbl>
    <w:p>
      <w:pPr>
        <w:pStyle w:val="TextBody"/>
        <w:spacing w:before="16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Redemption</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6"/>
        <w:gridCol w:w="272"/>
        <w:gridCol w:w="9527"/>
      </w:tblGrid>
      <w:tr>
        <w:trPr/>
        <w:tc>
          <w:tcPr>
            <w:tcW w:w="4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7" w:type="dxa"/>
            <w:tcBorders/>
            <w:shd w:fill="FFFFFF" w:val="clear"/>
          </w:tcPr>
          <w:p>
            <w:pPr>
              <w:pStyle w:val="TableContents"/>
              <w:spacing w:before="0" w:after="283"/>
              <w:jc w:val="left"/>
              <w:rPr/>
            </w:pPr>
            <w:r>
              <w:rPr/>
              <w:t xml:space="preserve">We may redeem the 2037 Notes, in whole or in part, at any time at a price equal to the greater of (1) 100% of the principal amount of the 2037 Notes to be redeemed or (2) a make-whole amount described in this prospectus plus 30 basis points together with accrued interest, if any, to the redemption date. </w:t>
            </w:r>
          </w:p>
        </w:tc>
      </w:tr>
    </w:tbl>
    <w:p>
      <w:pPr>
        <w:pStyle w:val="TextBody"/>
        <w:spacing w:before="160" w:after="283"/>
        <w:rPr/>
      </w:pPr>
      <w:r>
        <w:rPr/>
        <w:t> </w:t>
      </w:r>
    </w:p>
    <w:p>
      <w:pPr>
        <w:pStyle w:val="TextBody"/>
        <w:spacing w:before="0" w:after="0"/>
        <w:jc w:val="left"/>
        <w:rPr>
          <w:rFonts w:ascii="Arial;Helvetica" w:hAnsi="Arial;Helvetica"/>
          <w:color w:val="000000"/>
          <w:sz w:val="15"/>
          <w:highlight w:val="white"/>
        </w:rPr>
      </w:pPr>
      <w:r>
        <w:rPr>
          <w:rFonts w:ascii="Times New Roman;Times" w:hAnsi="Times New Roman;Times"/>
          <w:b/>
          <w:color w:val="000000"/>
          <w:sz w:val="15"/>
          <w:highlight w:val="white"/>
        </w:rPr>
        <w:t>Ranking</w:t>
      </w:r>
      <w:r>
        <w:rPr>
          <w:rFonts w:ascii="Arial;Helvetica" w:hAnsi="Arial;Helvetica"/>
          <w:color w:val="000000"/>
          <w:sz w:val="15"/>
          <w:highlight w:val="white"/>
        </w:rPr>
        <w:t xml:space="preserve"> </w:t>
      </w:r>
    </w:p>
    <w:p>
      <w:pPr>
        <w:pStyle w:val="TextBody"/>
        <w:spacing w:before="80" w:after="283"/>
        <w:rPr/>
      </w:pPr>
      <w:r>
        <w:rPr/>
        <w:t> </w:t>
      </w:r>
    </w:p>
    <w:tbl>
      <w:tblPr>
        <w:tblW w:w="5000" w:type="pct"/>
        <w:jc w:val="left"/>
        <w:tblInd w:w="0" w:type="dxa"/>
        <w:tblCellMar>
          <w:top w:w="0" w:type="dxa"/>
          <w:left w:w="0" w:type="dxa"/>
          <w:bottom w:w="0" w:type="dxa"/>
          <w:right w:w="0" w:type="dxa"/>
        </w:tblCellMar>
      </w:tblPr>
      <w:tblGrid>
        <w:gridCol w:w="405"/>
        <w:gridCol w:w="274"/>
        <w:gridCol w:w="9526"/>
      </w:tblGrid>
      <w:tr>
        <w:trPr/>
        <w:tc>
          <w:tcPr>
            <w:tcW w:w="40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The 2037 Notes are unsecured. The 2037 Notes rank equally in right of payment with all of our other existing and future senior unsecured debt and senior in right of payment to all of our future subordinated debt. </w:t>
            </w:r>
          </w:p>
        </w:tc>
      </w:tr>
    </w:tbl>
    <w:p>
      <w:pPr>
        <w:pStyle w:val="TextBody"/>
        <w:spacing w:before="80" w:after="283"/>
        <w:rPr/>
      </w:pPr>
      <w:r>
        <w:rPr/>
        <w:t> </w:t>
      </w:r>
    </w:p>
    <w:p>
      <w:pPr>
        <w:pStyle w:val="TextBody"/>
        <w:spacing w:before="0" w:after="0"/>
        <w:jc w:val="left"/>
        <w:rPr>
          <w:rFonts w:ascii="Times New Roman;Times" w:hAnsi="Times New Roman;Times"/>
          <w:color w:val="000000"/>
          <w:sz w:val="15"/>
          <w:highlight w:val="white"/>
        </w:rPr>
      </w:pPr>
      <w:r>
        <w:rPr>
          <w:rFonts w:ascii="Times New Roman;Times" w:hAnsi="Times New Roman;Times"/>
          <w:b/>
          <w:color w:val="000000"/>
          <w:sz w:val="15"/>
          <w:highlight w:val="white"/>
        </w:rPr>
        <w:t>Please read Risk Factors on page 6 for a discussion of factors you should consider before participating in the exchange offer.</w:t>
      </w:r>
      <w:r>
        <w:rPr>
          <w:rFonts w:ascii="Times New Roman;Times" w:hAnsi="Times New Roman;Times"/>
          <w:color w:val="000000"/>
          <w:sz w:val="15"/>
          <w:highlight w:val="white"/>
        </w:rPr>
        <w:t xml:space="preserve"> </w:t>
      </w:r>
    </w:p>
    <w:p>
      <w:pPr>
        <w:pStyle w:val="TextBody"/>
        <w:spacing w:before="80" w:after="283"/>
        <w:rPr/>
      </w:pPr>
      <w:r>
        <w:rPr/>
        <w:t> </w:t>
      </w:r>
    </w:p>
    <w:p>
      <w:pPr>
        <w:pStyle w:val="TextBody"/>
        <w:spacing w:before="0" w:after="0"/>
        <w:jc w:val="left"/>
        <w:rPr>
          <w:rFonts w:ascii="Times New Roman;Times" w:hAnsi="Times New Roman;Times"/>
          <w:color w:val="000000"/>
          <w:sz w:val="15"/>
          <w:highlight w:val="white"/>
        </w:rPr>
      </w:pPr>
      <w:r>
        <w:rPr>
          <w:rFonts w:ascii="Times New Roman;Times" w:hAnsi="Times New Roman;Times"/>
          <w:b/>
          <w:color w:val="000000"/>
          <w:sz w:val="15"/>
          <w:highlight w:val="white"/>
        </w:rPr>
        <w:t>These securities have not been approved or disapproved by the Securities and Exchange Commission or any state securities commission nor has the Securities and Exchange Commission passed upon the accuracy or adequacy of this prospectus. Any representation to the contrary is a criminal offense.</w:t>
      </w:r>
      <w:r>
        <w:rPr>
          <w:rFonts w:ascii="Times New Roman;Times" w:hAnsi="Times New Roman;Times"/>
          <w:color w:val="000000"/>
          <w:sz w:val="15"/>
          <w:highlight w:val="white"/>
        </w:rPr>
        <w:t xml:space="preserve"> </w:t>
      </w:r>
    </w:p>
    <w:p>
      <w:pPr>
        <w:pStyle w:val="TextBody"/>
        <w:spacing w:before="60" w:after="283"/>
        <w:rPr/>
      </w:pPr>
      <w:r>
        <w:rPr/>
        <w:t> </w:t>
      </w:r>
    </w:p>
    <w:p>
      <w:pPr>
        <w:pStyle w:val="TextBody"/>
        <w:jc w:val="center"/>
        <w:rPr>
          <w:rFonts w:ascii="Times New Roman;Times" w:hAnsi="Times New Roman;Times"/>
          <w:color w:val="000000"/>
          <w:sz w:val="15"/>
          <w:highlight w:val="white"/>
        </w:rPr>
      </w:pPr>
      <w:r>
        <w:rPr>
          <w:rFonts w:ascii="Times New Roman;Times" w:hAnsi="Times New Roman;Times"/>
          <w:color w:val="000000"/>
          <w:sz w:val="15"/>
          <w:highlight w:val="white"/>
        </w:rPr>
        <w:t xml:space="preserve">The date of this prospectus is          , 2007.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rPr/>
      </w:pPr>
      <w:bookmarkStart w:id="2" w:name="tocpage"/>
      <w:bookmarkEnd w:id="2"/>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is part of a registration statement we filed with the Securities and Exchange Commission. In making your investment decision, you should rely only on the information contained or incorporated by reference in this prospectus and in the accompanying letter of transmittal. We have not authorized anyone to provide you with any other information. If you receive any unauthorized information, you must not rely on it. We are not making an offer to sell these securities in any state where the offer is not permitted. You should not assume that the information contained in this prospectus, or the documents incorporated by reference into this prospectus, is accurate as of any date other than the date on the front cover of this prospectus or the date of such document, as the case may be.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broker-dealer that receives the notes for its own account pursuant to this exchange offer must acknowledge in the letter of transmittal that it will deliver a prospectus in connection with any resale of the notes. This prospectus, as it may be amended or supplemented from time to time, may be used by a broker dealer in connection with resales of the notes received in exchange for outstanding notes where such outstanding notes were acquired by such broker-dealer as a result of market-making activities or other trading activities. We have agreed to make this prospectus available for a period of one year from the expiration date of this exchange offer to any broker-dealer for use in connection with any such resale. See Plan of Distribution. </w:t>
      </w:r>
    </w:p>
    <w:p>
      <w:pPr>
        <w:pStyle w:val="TextBody"/>
        <w:spacing w:before="240" w:after="283"/>
        <w:rPr/>
      </w:pPr>
      <w:r>
        <w:rPr/>
        <w:t> </w:t>
      </w:r>
    </w:p>
    <w:p>
      <w:pPr>
        <w:pStyle w:val="TextBody"/>
        <w:spacing w:before="24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TABLE OF CONTENTS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9493"/>
        <w:gridCol w:w="195"/>
        <w:gridCol w:w="98"/>
        <w:gridCol w:w="335"/>
        <w:gridCol w:w="60"/>
        <w:gridCol w:w="24"/>
      </w:tblGrid>
      <w:tr>
        <w:trPr/>
        <w:tc>
          <w:tcPr>
            <w:tcW w:w="9493"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rPr/>
            </w:pPr>
            <w:r>
              <w:rPr/>
              <w:t> </w:t>
            </w:r>
          </w:p>
        </w:tc>
        <w:tc>
          <w:tcPr>
            <w:tcW w:w="33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1">
              <w:r>
                <w:rPr>
                  <w:rStyle w:val="InternetLink"/>
                  <w:sz w:val="17"/>
                </w:rPr>
                <w:t>Prospectus Summary</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1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2">
              <w:r>
                <w:rPr>
                  <w:rStyle w:val="InternetLink"/>
                  <w:sz w:val="17"/>
                </w:rPr>
                <w:t>Risk Factors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6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3">
              <w:r>
                <w:rPr>
                  <w:rStyle w:val="InternetLink"/>
                  <w:sz w:val="17"/>
                </w:rPr>
                <w:t>Exchange Offers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7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4">
              <w:r>
                <w:rPr>
                  <w:rStyle w:val="InternetLink"/>
                  <w:sz w:val="17"/>
                </w:rPr>
                <w:t>Ratio of Earnings to Fixed Charges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15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5">
              <w:r>
                <w:rPr>
                  <w:rStyle w:val="InternetLink"/>
                  <w:sz w:val="17"/>
                </w:rPr>
                <w:t>Use of Proceeds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15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6">
              <w:r>
                <w:rPr>
                  <w:rStyle w:val="InternetLink"/>
                  <w:sz w:val="17"/>
                </w:rPr>
                <w:t>Description of the Notes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16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7">
              <w:r>
                <w:rPr>
                  <w:rStyle w:val="InternetLink"/>
                  <w:sz w:val="17"/>
                </w:rPr>
                <w:t>Federal Income Tax Considerations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29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8">
              <w:r>
                <w:rPr>
                  <w:rStyle w:val="InternetLink"/>
                  <w:sz w:val="17"/>
                </w:rPr>
                <w:t>Plan of Distribution</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30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09">
              <w:r>
                <w:rPr>
                  <w:rStyle w:val="InternetLink"/>
                  <w:sz w:val="17"/>
                </w:rPr>
                <w:t>Legal Matters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32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10">
              <w:r>
                <w:rPr>
                  <w:rStyle w:val="InternetLink"/>
                  <w:sz w:val="17"/>
                </w:rPr>
                <w:t>Experts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32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11">
              <w:r>
                <w:rPr>
                  <w:rStyle w:val="InternetLink"/>
                  <w:sz w:val="17"/>
                </w:rPr>
                <w:t>Where You Can Find More Information</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32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12">
              <w:r>
                <w:rPr>
                  <w:rStyle w:val="InternetLink"/>
                  <w:sz w:val="17"/>
                </w:rPr>
                <w:t>Forward-Looking Statements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33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13">
              <w:r>
                <w:rPr>
                  <w:rStyle w:val="InternetLink"/>
                  <w:sz w:val="17"/>
                </w:rPr>
                <w:t>Letter of Transmittal (2017 Notes)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A-1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9493" w:type="dxa"/>
            <w:tcBorders/>
            <w:shd w:fill="FFFFFF" w:val="clear"/>
            <w:vAlign w:val="bottom"/>
          </w:tcPr>
          <w:p>
            <w:pPr>
              <w:pStyle w:val="TableContents"/>
              <w:spacing w:before="0" w:after="0"/>
              <w:ind w:left="200" w:right="0" w:hanging="200"/>
              <w:jc w:val="left"/>
              <w:rPr/>
            </w:pPr>
            <w:hyperlink w:anchor="114">
              <w:r>
                <w:rPr>
                  <w:rStyle w:val="InternetLink"/>
                  <w:sz w:val="17"/>
                </w:rPr>
                <w:t>Letter of Transmittal (2037 Notes)</w:t>
              </w:r>
            </w:hyperlink>
            <w:r>
              <w:rPr/>
              <w:t xml:space="preserve"> </w:t>
            </w:r>
          </w:p>
        </w:tc>
        <w:tc>
          <w:tcPr>
            <w:tcW w:w="195"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sz w:val="4"/>
                <w:szCs w:val="4"/>
              </w:rPr>
            </w:pPr>
            <w:r>
              <w:rPr>
                <w:sz w:val="4"/>
                <w:szCs w:val="4"/>
              </w:rPr>
            </w:r>
          </w:p>
        </w:tc>
        <w:tc>
          <w:tcPr>
            <w:tcW w:w="335" w:type="dxa"/>
            <w:tcBorders/>
            <w:shd w:fill="FFFFFF" w:val="clear"/>
            <w:vAlign w:val="bottom"/>
          </w:tcPr>
          <w:p>
            <w:pPr>
              <w:pStyle w:val="TableContents"/>
              <w:spacing w:before="0" w:after="283"/>
              <w:jc w:val="right"/>
              <w:rPr>
                <w:sz w:val="17"/>
              </w:rPr>
            </w:pPr>
            <w:r>
              <w:rPr>
                <w:sz w:val="17"/>
              </w:rPr>
              <w:t xml:space="preserve">B-1 </w:t>
            </w:r>
          </w:p>
        </w:tc>
        <w:tc>
          <w:tcPr>
            <w:tcW w:w="60" w:type="dxa"/>
            <w:tcBorders/>
            <w:shd w:fill="FFFFFF" w:val="clear"/>
            <w:vAlign w:val="bottom"/>
          </w:tcPr>
          <w:p>
            <w:pPr>
              <w:pStyle w:val="TableContents"/>
              <w:spacing w:before="0" w:after="283"/>
              <w:rPr>
                <w:sz w:val="4"/>
                <w:szCs w:val="4"/>
              </w:rPr>
            </w:pPr>
            <w:r>
              <w:rPr>
                <w:sz w:val="4"/>
                <w:szCs w:val="4"/>
              </w:rPr>
            </w:r>
          </w:p>
        </w:tc>
        <w:tc>
          <w:tcPr>
            <w:tcW w:w="24" w:type="dxa"/>
            <w:tcBorders/>
            <w:shd w:fill="FFFFFF" w:val="clear"/>
          </w:tcPr>
          <w:p>
            <w:pPr>
              <w:pStyle w:val="TableContents"/>
              <w:spacing w:before="0" w:after="283"/>
              <w:rPr>
                <w:sz w:val="4"/>
                <w:szCs w:val="4"/>
              </w:rPr>
            </w:pPr>
            <w:r>
              <w:rPr>
                <w:sz w:val="4"/>
                <w:szCs w:val="4"/>
              </w:rPr>
            </w:r>
          </w:p>
        </w:tc>
      </w:tr>
      <w:tr>
        <w:trPr/>
        <w:tc>
          <w:tcPr>
            <w:tcW w:w="10205" w:type="dxa"/>
            <w:gridSpan w:val="6"/>
            <w:tcBorders/>
            <w:shd w:fill="FFFFFF" w:val="clear"/>
            <w:vAlign w:val="center"/>
          </w:tcPr>
          <w:p>
            <w:pPr>
              <w:pStyle w:val="TableContents"/>
              <w:spacing w:before="0" w:after="283"/>
              <w:rPr/>
            </w:pPr>
            <w:r>
              <w:rPr/>
              <w:t> </w:t>
            </w:r>
            <w:hyperlink w:anchor="h43563exv5w1.htm">
              <w:r>
                <w:rPr>
                  <w:rStyle w:val="InternetLink"/>
                  <w:sz w:val="20"/>
                </w:rPr>
                <w:t>Opinion of Vinson &amp; Elkins L.L.P.</w:t>
              </w:r>
            </w:hyperlink>
          </w:p>
        </w:tc>
      </w:tr>
      <w:tr>
        <w:trPr/>
        <w:tc>
          <w:tcPr>
            <w:tcW w:w="10205" w:type="dxa"/>
            <w:gridSpan w:val="6"/>
            <w:tcBorders/>
            <w:shd w:fill="FFFFFF" w:val="clear"/>
            <w:vAlign w:val="center"/>
          </w:tcPr>
          <w:p>
            <w:pPr>
              <w:pStyle w:val="TableContents"/>
              <w:spacing w:before="0" w:after="283"/>
              <w:rPr/>
            </w:pPr>
            <w:r>
              <w:rPr/>
              <w:t> </w:t>
            </w:r>
            <w:hyperlink w:anchor="h43563exv12w1.htm">
              <w:r>
                <w:rPr>
                  <w:rStyle w:val="InternetLink"/>
                  <w:sz w:val="20"/>
                </w:rPr>
                <w:t>Ratio of Earnings to Fixed Charges</w:t>
              </w:r>
            </w:hyperlink>
          </w:p>
        </w:tc>
      </w:tr>
      <w:tr>
        <w:trPr/>
        <w:tc>
          <w:tcPr>
            <w:tcW w:w="10205" w:type="dxa"/>
            <w:gridSpan w:val="6"/>
            <w:tcBorders/>
            <w:shd w:fill="FFFFFF" w:val="clear"/>
            <w:vAlign w:val="center"/>
          </w:tcPr>
          <w:p>
            <w:pPr>
              <w:pStyle w:val="TableContents"/>
              <w:spacing w:before="0" w:after="283"/>
              <w:rPr/>
            </w:pPr>
            <w:r>
              <w:rPr/>
              <w:t> </w:t>
            </w:r>
            <w:hyperlink w:anchor="h43563exv23w1.htm">
              <w:r>
                <w:rPr>
                  <w:rStyle w:val="InternetLink"/>
                  <w:sz w:val="20"/>
                </w:rPr>
                <w:t>Consent of PricewaterhouseCoopers LLP</w:t>
              </w:r>
            </w:hyperlink>
          </w:p>
        </w:tc>
      </w:tr>
      <w:tr>
        <w:trPr/>
        <w:tc>
          <w:tcPr>
            <w:tcW w:w="10205" w:type="dxa"/>
            <w:gridSpan w:val="6"/>
            <w:tcBorders/>
            <w:shd w:fill="FFFFFF" w:val="clear"/>
            <w:vAlign w:val="center"/>
          </w:tcPr>
          <w:p>
            <w:pPr>
              <w:pStyle w:val="TableContents"/>
              <w:spacing w:before="0" w:after="283"/>
              <w:rPr/>
            </w:pPr>
            <w:r>
              <w:rPr/>
              <w:t> </w:t>
            </w:r>
            <w:hyperlink w:anchor="h43563exv23w2.htm">
              <w:r>
                <w:rPr>
                  <w:rStyle w:val="InternetLink"/>
                  <w:sz w:val="20"/>
                </w:rPr>
                <w:t>Consent of KPMG LLP</w:t>
              </w:r>
            </w:hyperlink>
          </w:p>
        </w:tc>
      </w:tr>
      <w:tr>
        <w:trPr/>
        <w:tc>
          <w:tcPr>
            <w:tcW w:w="10205" w:type="dxa"/>
            <w:gridSpan w:val="6"/>
            <w:tcBorders/>
            <w:shd w:fill="FFFFFF" w:val="clear"/>
            <w:vAlign w:val="center"/>
          </w:tcPr>
          <w:p>
            <w:pPr>
              <w:pStyle w:val="TableContents"/>
              <w:spacing w:before="0" w:after="283"/>
              <w:rPr/>
            </w:pPr>
            <w:r>
              <w:rPr/>
              <w:t> </w:t>
            </w:r>
            <w:hyperlink w:anchor="h43563exv25w1.htm">
              <w:r>
                <w:rPr>
                  <w:rStyle w:val="InternetLink"/>
                  <w:sz w:val="20"/>
                </w:rPr>
                <w:t>Form T-1 Statement of Eligibility and Qualification</w:t>
              </w:r>
            </w:hyperlink>
          </w:p>
        </w:tc>
      </w:tr>
    </w:tbl>
    <w:p>
      <w:pPr>
        <w:pStyle w:val="TextBody"/>
        <w:spacing w:before="240" w:after="283"/>
        <w:rPr/>
      </w:pPr>
      <w:r>
        <w:rPr/>
        <w:t> </w:t>
      </w:r>
    </w:p>
    <w:p>
      <w:pPr>
        <w:pStyle w:val="TextBody"/>
        <w:spacing w:before="240" w:after="283"/>
        <w:rPr/>
      </w:pPr>
      <w:r>
        <w:rPr/>
        <w:t>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ind w:left="0" w:right="0" w:firstLine="240"/>
        <w:jc w:val="center"/>
        <w:rPr>
          <w:rFonts w:ascii="Arial;Helvetica" w:hAnsi="Arial;Helvetica"/>
          <w:color w:val="000000"/>
          <w:sz w:val="17"/>
          <w:highlight w:val="white"/>
          <w:bdr w:val="single" w:sz="2" w:space="12" w:color="000000"/>
        </w:rPr>
      </w:pPr>
      <w:bookmarkStart w:id="3" w:name="101"/>
      <w:bookmarkEnd w:id="3"/>
      <w:r>
        <w:rPr>
          <w:rFonts w:ascii="Times New Roman;Times" w:hAnsi="Times New Roman;Times"/>
          <w:b/>
          <w:color w:val="000000"/>
          <w:sz w:val="17"/>
          <w:highlight w:val="white"/>
          <w:bdr w:val="single" w:sz="2" w:space="12" w:color="000000"/>
        </w:rPr>
        <w:t>PROSPECTUS SUMMARY</w:t>
      </w:r>
      <w:r>
        <w:rPr>
          <w:rFonts w:ascii="Arial;Helvetica" w:hAnsi="Arial;Helvetica"/>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This summary may not contain all the information that may be important to you. You should read this entire prospectus and the documents we have incorporated into this prospectus by reference before making an investment decision. You should carefully consider the information set forth under Risk Factors. In addition, certain statements include forward-looking information which involves risks and uncertainties. Please read Forward-Looking Statements. References to the notes in this prospectus include both the outstanding notes and the new notes. </w:t>
      </w:r>
    </w:p>
    <w:p>
      <w:pPr>
        <w:pStyle w:val="TextBody"/>
        <w:spacing w:before="24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Plains All American Pipeline, L.P.</w:t>
      </w:r>
      <w:r>
        <w:rPr>
          <w:rFonts w:ascii="Arial;Helvetica" w:hAnsi="Arial;Helvetica"/>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We are a Delaware limited partnership formed in September 1998. We are engaged in the transportation, storage, terminalling and marketing of crude oil, refined products and liquefied petroleum gas and other natural gas related petroleum products. We refer to liquefied petroleum gas and other natural gas related petroleum products as LPG. We own an extensive network of pipeline transportation, terminalling and storage assets at major market hubs and in key oil producing basins and crude oil, refined product and LPG transportation corridors in the United States and Canada. In addition, through our 50% equity ownership in PAA/Vulcan Gas Storage, LLC, we develop and operate natural gas storage facilities.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color w:val="000000"/>
          <w:sz w:val="17"/>
          <w:highlight w:val="white"/>
          <w:bdr w:val="single" w:sz="2" w:space="12" w:color="000000"/>
        </w:rPr>
        <w:t xml:space="preserve">Our executive offices are located at 333 Clay Street, Suite 1600, Houston, Texas 77002 and our telephone number is (713) 646-4100. </w:t>
      </w:r>
    </w:p>
    <w:p>
      <w:pPr>
        <w:pStyle w:val="TextBody"/>
        <w:spacing w:before="360" w:after="283"/>
        <w:rPr>
          <w:bdr w:val="single" w:sz="2" w:space="12" w:color="000000"/>
        </w:rPr>
      </w:pPr>
      <w:r>
        <w:rPr>
          <w:bdr w:val="single" w:sz="2" w:space="12" w:color="000000"/>
        </w:rPr>
        <w:t> </w:t>
      </w:r>
    </w:p>
    <w:p>
      <w:pPr>
        <w:pStyle w:val="TextBody"/>
        <w:spacing w:before="0" w:after="0"/>
        <w:jc w:val="center"/>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The Exchange Offers</w:t>
      </w:r>
      <w:r>
        <w:rPr>
          <w:rFonts w:ascii="Arial;Helvetica" w:hAnsi="Arial;Helvetica"/>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On October 30, 2006, we completed private offerings of the 2017 Notes and the 2037 Notes. We entered into registration rights agreements with the initial purchasers in those offerings in which we agreed to deliver this prospectus and to use our reasonable best efforts to consummate the exchange offers within 300 days after the date we issued the outstanding Notes.</w:t>
      </w:r>
      <w:r>
        <w:rPr>
          <w:rFonts w:ascii="Times New Roman;Times" w:hAnsi="Times New Roman;Times"/>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Exchange Offers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are offering to exchange new notes for:</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0"/>
              <w:ind w:left="180" w:right="0" w:hanging="180"/>
              <w:rPr/>
            </w:pPr>
            <w:r>
              <w:rPr/>
              <w:t> up to $400 million principal amount of our 6.125% 2017 Notes that have been registered under the Securities Act of 1933 (the Securities Act) for an equal amount of our outstanding 2017 Notes; and</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0"/>
              <w:ind w:left="180" w:right="0" w:hanging="180"/>
              <w:rPr/>
            </w:pPr>
            <w:r>
              <w:rPr/>
              <w:t> up to $600 million principal amount of our 6.650% 2037 Notes that have been registered under the Securities Act for an equal amount of our outstanding 2037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to satisfy our obligations under the registration rights agreements that we entered into when we issued the outstanding Notes in transactions exempt from registration under the Securities Act.</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terms of each series of the new Notes are substantially identical to those terms of each series of the outstanding Notes, except that the transfer restrictions, registration rights and provisions for additional interest relating to the outstanding Notes do not apply to the new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Expiration Date</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Each exchange offer will expire at 5:00 p.m. New York City time, on          , 2007, unless we decide to extend either exchange offer. We may extend one exchange offer without extending the other.</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Condition to the Exchange Offers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xml:space="preserve">The registration rights agreements do not require us to accept outstanding Notes for exchange if the applicable exchange offer or the making of any exchange by a holder of the outstanding Notes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would violate any applicable law or interpretation of the staff of the SEC. A minimum aggregate principal amount of outstanding Notes being tendered is not a condition to either exchange offer.</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Procedures for Tendering Outstanding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To participate in an exchange offer, you must follow the procedures established by The Depository Trust Company, which we call DTC, for tendering notes held in book-entry form. These procedures, which we call ATOP, require that (1) the exchange agent receive, prior to the expiration date of the applicable exchange offer, a computer generated message known as an agents message that is transmitted through DTCs automated tender offer program, and (2) DTC confirms that:</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0"/>
              <w:ind w:left="180" w:right="0" w:hanging="180"/>
              <w:rPr/>
            </w:pPr>
            <w:r>
              <w:rPr/>
              <w:t> DTC has received your instructions to exchange your Notes, and</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0"/>
              <w:ind w:left="180" w:right="0" w:hanging="180"/>
              <w:rPr/>
            </w:pPr>
            <w:r>
              <w:rPr/>
              <w:t> you agree to be bound by the terms of the letter of transmittal.</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For more information on tendering your outstanding Notes, please refer to the sections in this prospectus entitled Exchange Offers  Terms of the Exchange Offers and  Procedures for Tendering.</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Guaranteed Delivery Procedures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None.</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Withdrawal of Tenders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You may withdraw your tender of outstanding Notes under either exchange offer at any time prior to the expiration date. To withdraw, you must submit a notice of withdrawal to the exchange agent using ATOP procedures before 5:00 p.m. New York City time on the expiration date of the exchange offer. Please read Exchange Offers  Withdrawal of Tenders.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Acceptance of Outstanding Notes and Delivery of New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If you fulfill all conditions required for proper acceptance of outstanding Notes, we will accept any and all outstanding Notes that you properly tender in the applicable exchange offer before 5:00 p.m. New York City time on the expiration date. We will return to you, without expense as promptly as practicable after the expiration date, any outstanding Note that we do not accept for exchange. We will deliver the new Notes as promptly as practicable after the expiration date and acceptance of the outstanding Notes for exchange. Please refer to the section in this prospectus entitled Exchange Offers  Terms of the Exchange Offers.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Fees and Expenses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will bear all expenses related to each exchange offer. Please refer to the section in this prospectus entitled Exchange Offers  Fees and Expenses.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Use of Proceeds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issuance of the new Notes will not provide us with any new proceeds. We are making these exchange offers solely to satisfy our obligations under our registration rights agreements.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Consequences of Failure to Exchange Outstanding Notes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 xml:space="preserve">If you do not exchange your outstanding Notes in the applicable exchange offer, you will no longer be able to require us to register the outstanding Notes under the Securities Act except in the limited circumstances provided under the applicable registration rights agreement. In addition, you will not be able to resell, offer to resell or otherwise transfer the outstanding Notes unless we have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left"/>
        <w:tblInd w:w="0" w:type="dxa"/>
        <w:shd w:fill="FFFFFF" w:val="clear"/>
        <w:tblCellMar>
          <w:top w:w="0" w:type="dxa"/>
          <w:left w:w="0" w:type="dxa"/>
          <w:bottom w:w="0" w:type="dxa"/>
          <w:right w:w="0" w:type="dxa"/>
        </w:tblCellMar>
      </w:tblPr>
      <w:tblGrid>
        <w:gridCol w:w="3673"/>
        <w:gridCol w:w="100"/>
        <w:gridCol w:w="6432"/>
      </w:tblGrid>
      <w:tr>
        <w:trPr/>
        <w:tc>
          <w:tcPr>
            <w:tcW w:w="3673"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6432"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6432" w:type="dxa"/>
            <w:tcBorders/>
            <w:shd w:fill="FFFFFF" w:val="clear"/>
            <w:vAlign w:val="bottom"/>
          </w:tcPr>
          <w:p>
            <w:pPr>
              <w:pStyle w:val="TableContents"/>
              <w:spacing w:before="0" w:after="283"/>
              <w:rPr/>
            </w:pPr>
            <w:r>
              <w:rPr/>
              <w:t>registered the outstanding Notes under the Securities Act, or unless you resell, offer to resell or otherwise transfer them under an exemption from the registration requirements of, or in a transaction not subject to, the Securities Act.</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Federal Income Tax Considerations</w:t>
            </w:r>
          </w:p>
        </w:tc>
        <w:tc>
          <w:tcPr>
            <w:tcW w:w="100" w:type="dxa"/>
            <w:tcBorders/>
            <w:shd w:fill="FFFFFF" w:val="clear"/>
            <w:vAlign w:val="center"/>
          </w:tcPr>
          <w:p>
            <w:pPr>
              <w:pStyle w:val="TableContents"/>
              <w:spacing w:before="0" w:after="283"/>
              <w:rPr>
                <w:sz w:val="4"/>
                <w:szCs w:val="4"/>
              </w:rPr>
            </w:pPr>
            <w:r>
              <w:rPr>
                <w:sz w:val="4"/>
                <w:szCs w:val="4"/>
              </w:rPr>
            </w:r>
          </w:p>
        </w:tc>
        <w:tc>
          <w:tcPr>
            <w:tcW w:w="6432" w:type="dxa"/>
            <w:tcBorders/>
            <w:shd w:fill="FFFFFF" w:val="clear"/>
            <w:vAlign w:val="bottom"/>
          </w:tcPr>
          <w:p>
            <w:pPr>
              <w:pStyle w:val="TableContents"/>
              <w:spacing w:before="0" w:after="283"/>
              <w:rPr/>
            </w:pPr>
            <w:r>
              <w:rPr/>
              <w:t>The exchange of new Notes for 2017 Notes and the exchange of new Notes for 2037 Notes will not be a taxable event for U.S. federal income tax purposes. Please read Federal Income Tax Considerations.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Exchange Agent</w:t>
            </w:r>
          </w:p>
        </w:tc>
        <w:tc>
          <w:tcPr>
            <w:tcW w:w="100" w:type="dxa"/>
            <w:tcBorders/>
            <w:shd w:fill="FFFFFF" w:val="clear"/>
            <w:vAlign w:val="center"/>
          </w:tcPr>
          <w:p>
            <w:pPr>
              <w:pStyle w:val="TableContents"/>
              <w:spacing w:before="0" w:after="283"/>
              <w:rPr>
                <w:sz w:val="4"/>
                <w:szCs w:val="4"/>
              </w:rPr>
            </w:pPr>
            <w:r>
              <w:rPr>
                <w:sz w:val="4"/>
                <w:szCs w:val="4"/>
              </w:rPr>
            </w:r>
          </w:p>
        </w:tc>
        <w:tc>
          <w:tcPr>
            <w:tcW w:w="6432" w:type="dxa"/>
            <w:tcBorders/>
            <w:shd w:fill="FFFFFF" w:val="clear"/>
            <w:vAlign w:val="bottom"/>
          </w:tcPr>
          <w:p>
            <w:pPr>
              <w:pStyle w:val="TableContents"/>
              <w:spacing w:before="0" w:after="283"/>
              <w:rPr/>
            </w:pPr>
            <w:r>
              <w:rPr/>
              <w:t>We have appointed U.S. Bank National Association as exchange agent for the exchange offers. You should direct questions and requests for assistance, requests for additional copies of this prospectus or the letter of transmittal to the exchange agent addressed as follows: Attn: Brandi Steward, U.S. Bank Corporate Trust Services, Specialized Finance Dept., 60 Livingston Avenue, St. Paul, Minnesota, 55107, telephone number (651) 495-4738. Eligible institutions may make requests by facsimile at (651) 495-8138.</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ind w:left="0" w:right="0" w:firstLine="240"/>
        <w:jc w:val="center"/>
        <w:rPr>
          <w:rFonts w:ascii="Arial;Helvetica" w:hAnsi="Arial;Helvetica"/>
          <w:color w:val="000000"/>
          <w:sz w:val="17"/>
          <w:highlight w:val="white"/>
          <w:bdr w:val="single" w:sz="2" w:space="12" w:color="000000"/>
        </w:rPr>
      </w:pPr>
      <w:r>
        <w:rPr>
          <w:rFonts w:ascii="Times New Roman;Times" w:hAnsi="Times New Roman;Times"/>
          <w:b/>
          <w:color w:val="000000"/>
          <w:sz w:val="17"/>
          <w:highlight w:val="white"/>
          <w:bdr w:val="single" w:sz="2" w:space="12" w:color="000000"/>
        </w:rPr>
        <w:t>Terms of the Notes</w:t>
      </w:r>
      <w:r>
        <w:rPr>
          <w:rFonts w:ascii="Arial;Helvetica" w:hAnsi="Arial;Helvetica"/>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The new Notes will be identical to the outstanding Notes except that the new Notes will be registered under the Securities Act and will not have restrictions on transfer, registration rights or provisions for additional interest and will contain different administrative terms. The new Notes will evidence the same debt as the outstanding Notes, and the same indenture will govern the new Notes and the outstanding Notes.</w:t>
      </w:r>
      <w:r>
        <w:rPr>
          <w:rFonts w:ascii="Times New Roman;Times" w:hAnsi="Times New Roman;Times"/>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highlight w:val="white"/>
          <w:bdr w:val="single" w:sz="2" w:space="12" w:color="000000"/>
        </w:rPr>
      </w:pPr>
      <w:r>
        <w:rPr>
          <w:rFonts w:ascii="Times New Roman;Times" w:hAnsi="Times New Roman;Times"/>
          <w:i/>
          <w:color w:val="000000"/>
          <w:sz w:val="17"/>
          <w:highlight w:val="white"/>
          <w:bdr w:val="single" w:sz="2" w:space="12" w:color="000000"/>
        </w:rPr>
        <w:t>The following summary contains basic information about the new Notes and is not intended to be complete. It does not contain all the information that is important to you. For a more complete understanding of the Notes, please refer to the section of this prospectus entitled Description of the Notes.</w:t>
      </w:r>
      <w:r>
        <w:rPr>
          <w:rFonts w:ascii="Times New Roman;Times" w:hAnsi="Times New Roman;Times"/>
          <w:color w:val="000000"/>
          <w:sz w:val="17"/>
          <w:highlight w:val="white"/>
          <w:bdr w:val="single" w:sz="2" w:space="12" w:color="000000"/>
        </w:rPr>
        <w:t xml:space="preserve"> </w:t>
      </w:r>
    </w:p>
    <w:p>
      <w:pPr>
        <w:pStyle w:val="TextBody"/>
        <w:spacing w:before="120" w:after="283"/>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3"/>
        <w:gridCol w:w="101"/>
        <w:gridCol w:w="6431"/>
      </w:tblGrid>
      <w:tr>
        <w:trPr/>
        <w:tc>
          <w:tcPr>
            <w:tcW w:w="3673"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Issuers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Plains All American Pipeline, L.P. and PAA Finance Corp.</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PAA Finance Corp., a Delaware corporation, is an indirect wholly owned subsidiary of Plains All American Pipeline, L.P. that has been organized for the purpose of co-issuing our existing notes, the Notes offered hereby, and the notes issued in any future offerings. PAA Finance Corp. does not have any operations of any kind and will not have any revenue other than as may be incidental to its activities as a co-issuer of the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Notes Offered</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$400 million aggregate principal amount of the 2017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$600 million aggregate principal amount of the 2037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Maturity Date</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January 15, 2017 for the 2017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January 15, 2037 for the 2037 Notes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Interest Payment Dates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will pay interest on the Notes of each series on January 15 and July 15 of each year, beginning on July 15, 2007.</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Optional Redemption</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We may redeem the Notes of either series, in whole or in part, at any time and from time to time at a price equal to the greater of (i) 100% of the principal amount of the Notes to be redeemed or (ii) the sum of the present values of the remaining scheduled payments of principal of and interest on the Notes to be redeemed, discounted to the redemption date on a semi annual basis at the Adjusted Treasury Rate (as defined herein) plus 25 basis points in the case of the 2017 Notes and 30 basis points in the case of the 2037 Notes, together with accrued interest to the date of redemption. Please read the section of this prospectus entitled Description of the Notes  Optional Redemption.</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Guarantees</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Initially, all payments with respect to the Notes (including principal and interest) are fully and unconditionally guaranteed, jointly and severally, by substantially all of our existing subsidiaries. In the future, our subsidiaries that guarantee other indebtedness of ours or another subsidiary must also guarantee the Notes. The guarantees are also subject to release in certain circumstances. The guarantees of each series are general unsecured obligations of the subsidiary guarantors and rank equally with the existing and future senior unsecured indebtedness of the subsidiary guarantors.</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Ranking</w:t>
            </w:r>
          </w:p>
        </w:tc>
        <w:tc>
          <w:tcPr>
            <w:tcW w:w="101" w:type="dxa"/>
            <w:tcBorders/>
            <w:shd w:fill="FFFFFF" w:val="clear"/>
            <w:vAlign w:val="center"/>
          </w:tcPr>
          <w:p>
            <w:pPr>
              <w:pStyle w:val="TableContents"/>
              <w:spacing w:before="0" w:after="283"/>
              <w:rPr>
                <w:sz w:val="4"/>
                <w:szCs w:val="4"/>
              </w:rPr>
            </w:pPr>
            <w:r>
              <w:rPr>
                <w:sz w:val="4"/>
                <w:szCs w:val="4"/>
              </w:rPr>
            </w:r>
          </w:p>
        </w:tc>
        <w:tc>
          <w:tcPr>
            <w:tcW w:w="6431" w:type="dxa"/>
            <w:tcBorders/>
            <w:shd w:fill="FFFFFF" w:val="clear"/>
            <w:vAlign w:val="bottom"/>
          </w:tcPr>
          <w:p>
            <w:pPr>
              <w:pStyle w:val="TableContents"/>
              <w:spacing w:before="0" w:after="283"/>
              <w:rPr/>
            </w:pPr>
            <w:r>
              <w:rPr/>
              <w:t>The Notes are general senior unsecured obligations of the issuers and rank equally with the Notes of the other series and with the existing and future senior unsecured indebtedness of the issuers.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shd w:fill="FFFFFF" w:val="clear"/>
        <w:tblCellMar>
          <w:top w:w="0" w:type="dxa"/>
          <w:left w:w="0" w:type="dxa"/>
          <w:bottom w:w="0" w:type="dxa"/>
          <w:right w:w="0" w:type="dxa"/>
        </w:tblCellMar>
      </w:tblPr>
      <w:tblGrid>
        <w:gridCol w:w="3673"/>
        <w:gridCol w:w="102"/>
        <w:gridCol w:w="6430"/>
      </w:tblGrid>
      <w:tr>
        <w:trPr/>
        <w:tc>
          <w:tcPr>
            <w:tcW w:w="3673"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cente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Certain Covenants</w:t>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The indenture governing the Notes contains covenants that limit our ability, with certain exceptions, to:</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0"/>
              <w:ind w:left="180" w:right="0" w:hanging="180"/>
              <w:rPr/>
            </w:pPr>
            <w:r>
              <w:rPr/>
              <w:t> incur liens on principal properties to secure debt;</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0"/>
              <w:ind w:left="180" w:right="0" w:hanging="180"/>
              <w:rPr/>
            </w:pPr>
            <w:r>
              <w:rPr/>
              <w:t> engage in sale-leaseback transactions; and</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0"/>
              <w:ind w:left="180" w:right="0" w:hanging="180"/>
              <w:rPr/>
            </w:pPr>
            <w:r>
              <w:rPr/>
              <w:t> merge or consolidate with another entity or sell, lease or transfer substantially all of our properties or assets to another entity.</w:t>
            </w:r>
          </w:p>
        </w:tc>
      </w:tr>
      <w:tr>
        <w:trPr/>
        <w:tc>
          <w:tcPr>
            <w:tcW w:w="3673" w:type="dxa"/>
            <w:tcBorders/>
            <w:shd w:fill="FFFFFF" w:val="clear"/>
            <w:vAlign w:val="center"/>
          </w:tcPr>
          <w:p>
            <w:pPr>
              <w:pStyle w:val="TableContents"/>
              <w:spacing w:before="0" w:after="283"/>
              <w:rPr/>
            </w:pPr>
            <w:r>
              <w:rPr/>
              <w:t> </w:t>
            </w:r>
          </w:p>
        </w:tc>
        <w:tc>
          <w:tcPr>
            <w:tcW w:w="6532" w:type="dxa"/>
            <w:gridSpan w:val="2"/>
            <w:tcBorders/>
            <w:shd w:fill="FFFFFF" w:val="clear"/>
          </w:tcPr>
          <w:p>
            <w:pPr>
              <w:pStyle w:val="TableContents"/>
              <w:spacing w:before="0" w:after="283"/>
              <w:rPr>
                <w:sz w:val="4"/>
                <w:szCs w:val="4"/>
              </w:rPr>
            </w:pPr>
            <w:r>
              <w:rPr>
                <w:sz w:val="4"/>
                <w:szCs w:val="4"/>
              </w:rPr>
            </w:r>
          </w:p>
        </w:tc>
      </w:tr>
      <w:tr>
        <w:trPr/>
        <w:tc>
          <w:tcPr>
            <w:tcW w:w="3673" w:type="dxa"/>
            <w:tcBorders/>
            <w:shd w:fill="FFFFFF" w:val="clear"/>
          </w:tcPr>
          <w:p>
            <w:pPr>
              <w:pStyle w:val="TableContents"/>
              <w:spacing w:before="0" w:after="283"/>
              <w:rPr/>
            </w:pPr>
            <w:r>
              <w:rPr/>
              <w:t>Transfer Restrictions; Absence of a Public Market for the Notes</w:t>
            </w:r>
          </w:p>
        </w:tc>
        <w:tc>
          <w:tcPr>
            <w:tcW w:w="102" w:type="dxa"/>
            <w:tcBorders/>
            <w:shd w:fill="FFFFFF" w:val="clear"/>
            <w:vAlign w:val="center"/>
          </w:tcPr>
          <w:p>
            <w:pPr>
              <w:pStyle w:val="TableContents"/>
              <w:spacing w:before="0" w:after="283"/>
              <w:rPr>
                <w:sz w:val="4"/>
                <w:szCs w:val="4"/>
              </w:rPr>
            </w:pPr>
            <w:r>
              <w:rPr>
                <w:sz w:val="4"/>
                <w:szCs w:val="4"/>
              </w:rPr>
            </w:r>
          </w:p>
        </w:tc>
        <w:tc>
          <w:tcPr>
            <w:tcW w:w="6430" w:type="dxa"/>
            <w:tcBorders/>
            <w:shd w:fill="FFFFFF" w:val="clear"/>
            <w:vAlign w:val="bottom"/>
          </w:tcPr>
          <w:p>
            <w:pPr>
              <w:pStyle w:val="TableContents"/>
              <w:spacing w:before="0" w:after="283"/>
              <w:rPr/>
            </w:pPr>
            <w:r>
              <w:rPr/>
              <w:t>The new Notes generally will be freely transferable, but will also be new securities for which there will not initially be a market. There can be no assurance as to the development or liquidity of any market for the new Notes.</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4" w:name="102"/>
      <w:bookmarkEnd w:id="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RISK FACTORS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to the other information set forth elsewhere or incorporated by reference in this prospectus (including the risk factors included in our 2006 Annual Report on Form 10-K) the following factors relating to our partnership and the exchange offers and the Notes should be considered carefully in deciding whether to participate in the exchange offers.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Risks Related to the Exchange Offer and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If you do not properly tender your outstanding Notes, you will continue to hold unregistered outstanding Notes and your ability to transfer outstanding Notes will be adversely affected.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only issue new Notes in exchange for outstanding Notes that you timely and properly tender. Therefore, you should allow sufficient time to ensure timely delivery of the outstanding Notes and you should carefully follow the instructions on how to tender your outstanding Notes. Neither we nor the exchange agent is required to tell you of any defects or irregularities with respect to your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do not exchange your outstanding Notes for new Notes pursuant to the applicable exchange offer, the outstanding Notes you hold will continue to be subject to the existing transfer restrictions. In general, you may not offer or sell the outstanding Notes except under an exemption from, or in a transaction not subject to, the Securities Act and applicable state securities laws. We do not plan to register outstanding Notes under the Securities Act unless our registration rights agreement with the initial purchaser of the outstanding Notes requires us to do so. Further, if you continue to hold any outstanding Notes after the applicable exchange offer is consummated, you may have trouble selling them because there will be fewer Notes outstanding.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Your right to receive payments on the Notes and the subsidiary guarantees is unsecured and will be effectively subordinated to our and our subsidiary guarantors existing and future secured indebtedness as well as to any existing and future indebtedness of our subsidiaries that do not guarantee the Notes.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are effectively subordinated to claims of our secured creditors, and the guarantees are effectively subordinated to the claims of our secured creditors as well as the secured creditors of our subsidiary guarantors. Although substantially all of our subsidiaries, other than PAA Finance Corp., the co-issuer of the Notes, will initially guarantee the Notes, the guarantees are subject to release under certain circumstances, and we may have subsidiaries that are not guarantors. In that case, the Notes would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5" w:name="103"/>
      <w:bookmarkEnd w:id="5"/>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EXCHANGE OFFERS</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Purpose and Effect of the Exchange Offers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connection with the issuance of the outstanding Notes, we entered into registration rights agreements with respect to each series of Notes. Under the registration rights agreements, we agreed to use our reasonable best efforts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within 180 days after the original issuance of the outstanding Notes on October 30, 2006, file a registration statement with the SEC with respect to a registered offer to exchange each outstanding Note for a new Note having terms substantially identical in all material respects to such Note of such series except that the new Note will not contain terms with respect to transfer restrictions, registration rights or additional interest;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cause the registration statement to be declared effective under the Securities Act within 270 days after the original issuance of the outstanding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consummate the exchange of the outstanding Notes for new Notes within 300 days after the original issuance of the outstanding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promptly following the effectiveness of the registration statement, offer the new Notes in exchange for surrender of the outstanding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keep the exchange offers open for not less than 20 business days (or longer if required by applicable law) after the date notice of the exchange offers is mailed to the holders of the outstanding Notes;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5" w:type="dxa"/>
            <w:tcBorders/>
            <w:shd w:fill="FFFFFF" w:val="clear"/>
          </w:tcPr>
          <w:p>
            <w:pPr>
              <w:pStyle w:val="TableContents"/>
              <w:spacing w:before="0" w:after="283"/>
              <w:rPr/>
            </w:pPr>
            <w:r>
              <w:rPr/>
              <w:t xml:space="preserve">  </w:t>
            </w:r>
          </w:p>
        </w:tc>
        <w:tc>
          <w:tcPr>
            <w:tcW w:w="9524" w:type="dxa"/>
            <w:tcBorders/>
            <w:shd w:fill="FFFFFF" w:val="clear"/>
          </w:tcPr>
          <w:p>
            <w:pPr>
              <w:pStyle w:val="TableContents"/>
              <w:spacing w:before="0" w:after="283"/>
              <w:jc w:val="left"/>
              <w:rPr/>
            </w:pPr>
            <w:r>
              <w:rPr/>
              <w:t xml:space="preserve">exchange new Notes for all outstanding Notes validly tendered and not withdrawn before the expiration date.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fulfilled the agreements described in the first two preceding bullet points and are now offering eligible holders of the outstanding Notes the opportunity to exchange their outstanding Notes for new Notes registered under the Securities Act. Holders are eligible if they are not prohibited by any law or policy of the SEC from participating in this exchange offer. The new Notes will be substantially identical to the outstanding Notes except that the new Notes will not contain terms with respect to transfer restrictions, registration rights or additional interest.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Under limited circumstances, we agreed to use our reasonable best efforts to cause the SEC to declare effective a shelf registration statement for the resale of the outstanding Notes. We also agreed to use our reasonable best efforts to keep the shelf registration statement effective for up to two years after its effective date. The circumstances include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2"/>
        <w:gridCol w:w="9539"/>
      </w:tblGrid>
      <w:tr>
        <w:trPr/>
        <w:tc>
          <w:tcPr>
            <w:tcW w:w="40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 change in law or in applicable interpretations thereof by the staff of the SEC do not permit us to effect the exchange offer;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for any other reason the exchange offer is not consummated within 300 days from October 30, 2006, the date of the original issuance of the outstanding Notes;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an initial purchaser notifies us following consummation of the applicable exchange offer that outstanding Notes held by it are not eligible to be exchanged for new Notes in the exchange offer; or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2"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any holder other than an initial purchaser is not eligible to participate in the applicable exchange offer.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certain exceptions, we will pay additional cash interest on the applicable outstanding Notes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0"/>
        <w:gridCol w:w="9538"/>
      </w:tblGrid>
      <w:tr>
        <w:trPr/>
        <w:tc>
          <w:tcPr>
            <w:tcW w:w="40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exchange offer registration statement is not filed with the SEC on or before the 180th day after the original issuance of the outstanding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the exchange offer registration statement is not declared effective by the SEC on or before the 270th day after the original issuance of the outstanding Notes;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9"/>
        <w:gridCol w:w="9531"/>
      </w:tblGrid>
      <w:tr>
        <w:trPr/>
        <w:tc>
          <w:tcPr>
            <w:tcW w:w="40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the exchange offers are not consummated on or before the 270th day after October 30, 2006, the date of the original issuance of the outstanding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being obligated to file a shelf registration statement, we fail to file the shelf registration statement with the SEC on or prior to the 180th day after the date on which the obligation to file a shelf registration statement arises;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being obligated to file a shelf registration statement, the shelf registration statement is not declared effective on or prior to the 270th day after the date on which the obligation to file a shelf registration statement arises;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after this registration statement or the shelf registration statement, as the case may be, is declared effective, such registration statement thereafter ceases to be effective (subject to certain exceptions) (each such event referred to in the preceding clauses being a registration default).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Such additional interest will be payable from and including the date on which any such registration default occurs to the date on which all registration defaults have been cured.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rate of the additional interest on the applicable Notes will be 0.25% per year for the first 90-day period immediately following the occurrence of a registration default, and such rate will increase by an additional 0.25% per year with respect to each subsequent 90-day period until all registration defaults have been cured, up to a maximum additional interest rate of 0.50% per year. We will pay such additional interest on regular interest payment dates. Such additional interest will be in addition to any other interest payable from time to time with respect to the outstanding Notes and the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Upon the filing or effectiveness of this registration statement, the consummation of the exchange offer, the filing or effectiveness of a shelf registration statement, or the effectiveness of a succeeding registration statement, as the case may be, the interest rate borne by the Notes from the date of such filing, effectiveness or consummation, as the case may be, will be reduced to the original interest rate. However, if after any such reduction in interest rate, a different event specified in the clauses above occurs, the interest rate may again be increased pursuant to the preceding provisions.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exchange your outstanding Notes for transferable new Notes in the exchange offer, you will be required to make the following representations: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7"/>
        <w:gridCol w:w="9534"/>
      </w:tblGrid>
      <w:tr>
        <w:trPr/>
        <w:tc>
          <w:tcPr>
            <w:tcW w:w="4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any new Notes will be acquired in the ordinary course of your business;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you have no arrangement or understanding with any person or entity to participate in the distribution of the new Notes;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you are not a broker-dealer, you are not engaged in and do not intend to engage in the distribution of the new Notes within the meaning of the Securities Act;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you are not our affiliate, as defined in Rule 405 of the Securities Act.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may require you to provide information to be used in connection with the shelf registration statement to have your outstanding Notes included in the shelf registration statement. A holder who sells outstanding Notes under the shelf registration statement generally will be required to be named as a selling securityholder in the related prospectus and to deliver a prospectus to purchasers. Such a holder will also be subject to the civil liability provisions under the Securities Act in connection with such sales and will be bound by the provisions of the registration rights agreement that are applicable to such a holder, including indemnification obligations.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description of the registration rights agreement contained in this section is a summary only. For more information, you should review the provisions of the registration rights agreement that we filed with the SEC as an exhibit to the registration statement of which this prospectus is a part.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Resale of New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no-action letters of the SEC staff issued to third parties, we believe that new Notes may be offered for resale, resold and otherwise transferred by you without further compliance with the registration and prospectus delivery provisions of the Securities Act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4"/>
        <w:gridCol w:w="9523"/>
      </w:tblGrid>
      <w:tr>
        <w:trPr/>
        <w:tc>
          <w:tcPr>
            <w:tcW w:w="40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3"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you are not our affiliate within the meaning of Rule 405 under the Securities Act;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such new Notes are acquired in the ordinary course of your business;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4" w:type="dxa"/>
            <w:tcBorders/>
            <w:shd w:fill="FFFFFF" w:val="clear"/>
          </w:tcPr>
          <w:p>
            <w:pPr>
              <w:pStyle w:val="TableContents"/>
              <w:spacing w:before="0" w:after="283"/>
              <w:rPr/>
            </w:pPr>
            <w:r>
              <w:rPr/>
              <w:t xml:space="preserve">  </w:t>
            </w:r>
          </w:p>
        </w:tc>
        <w:tc>
          <w:tcPr>
            <w:tcW w:w="9523" w:type="dxa"/>
            <w:tcBorders/>
            <w:shd w:fill="FFFFFF" w:val="clear"/>
          </w:tcPr>
          <w:p>
            <w:pPr>
              <w:pStyle w:val="TableContents"/>
              <w:spacing w:before="0" w:after="283"/>
              <w:jc w:val="left"/>
              <w:rPr/>
            </w:pPr>
            <w:r>
              <w:rPr/>
              <w:t xml:space="preserve">you do not intend to participate in a distribution of the new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SEC, however, has not considered the exchange offer for the new Notes in the context of a no-action letter, and the SEC may not make a similar determination as in the no-action letters issued to these third parties.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tender in the exchange offer with the intention of participating in any manner in a distribution of the new Notes, you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cannot rely on such interpretations by the SEC staff;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must comply with the registration and prospectus delivery requirements of the Securities Act in connection with a secondary resale transaction.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an exemption from registration is otherwise available, any security holder intending to distribute new Notes should be covered by an effective registration statement under the Securities Act. The registration statement should contain the selling security holders information required by Item 507 of Regulation S-K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prospectus may be used for an offer to resell, resale or other retransfer of new Notes only as specifically described in this prospectus. Failure to comply with the registration and prospectus delivery requirements by a holder subject to these requirements could result in that holder incurring liability for which it is not indemnified by us. If you are a broker-dealer, you may participate in the exchange offer only if you acquired the outstanding Notes as a result of market-making activities or other trading activities. Each broker-dealer that receives new Notes for its own account in exchange for outstanding Notes, where such outstanding Notes were acquired by such broker-dealer as a result of market-making activities or other trading activities, must acknowledge in the letter of transmittal that it will deliver a prospectus in connection with any resale of the new Notes. Please read the section captioned Plan of Distribution for more details regarding the transfer of new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Terms of the Exchange Offers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Subject to the terms and conditions described in this prospectus and in the applicable letter of transmittal, we will accept for exchange any outstanding Notes properly tendered and not withdrawn prior to 5:00 p.m. New York City time on the expiration date. We will issue new Notes in principal amount equal to the principal amount of outstanding Notes surrendered under the exchange offer. Outstanding Notes may be tendered only for new Notes and only in integral multiples of $1,000.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Neither exchange offer is conditioned upon any minimum aggregate principal amount of outstanding Notes being tendered for exchange. Each exchange offer will be conducted independently from the other exchange offer, and consummation of one exchange offer will not be conditioned upon consummation of the other.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the date of this prospectus, $400 million in aggregate principal amount of the 2017 Notes are outstanding and $600 million in aggregate principal amount of the 2037 Notes are outstanding. This prospectus is being sent to DTC, the sole registered holder of the outstanding Notes, and to all persons that we can identify as beneficial owners of the outstanding Notes. There will be no fixed record date for determining registered holders of outstanding Notes entitled to participate in either exchange offer.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intend to conduct each exchange offer in accordance with the provisions of the applicable registration rights agreement and the applicable requirements of the Securities Act, the Securities Exchange Act of 1934 and the rules and regulations of the SEC. Outstanding Notes that the holders thereof do not tender for exchange in the applicable exchange offer will remain outstanding and continue to accrue interest. These outstanding Notes will be entitled to the rights and benefits such holders have under the indenture relating to the Notes and the applicable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be deemed to have accepted for exchange properly tendered outstanding Notes when we have given oral or written notice of the acceptance to the exchange agent and complied with the applicable provisions of the applicable registration rights agreement. The exchange agent will act as agent for the tendering holders for the purposes of receiving the new Notes from 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tender outstanding Notes in the exchange offer, you will not be required to pay brokerage commissions or fees or, subject to the letter of transmittal, transfer taxes with respect to the exchange of outstanding Notes. We will pay all charges and expenses, other than certain applicable taxes described below, in connection with the exchange offer. It is important that you read the section labeled  Fees and Expenses for more details regarding fees and expenses incurred in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return any outstanding Notes that we do not accept for exchange for any reason without expense to their tendering holder as promptly as practicable after the expiration or termination of the applicable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Expiration Date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exchange offer will expire at 5:00 p.m. New York City time on          , 2007, unless, in our sole discretion, we extend it. We may extend one exchange offer without extending the other.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Extensions, Delays in Acceptance, Termination or Amendment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expressly reserve the right, at any time or various times, to extend the period of time during which either exchange offer is open. During any such extensions, all outstanding Notes previously tendered will remain subject to the applicable exchange offer, and we may accept them for exchange.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extend the exchange offer, we will notify the exchange agent orally or in writing of any extension. We will notify the registered holders of outstanding Notes of the extension no later than 9:00 a.m., New York City time, on the business day after the previously scheduled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any of the conditions described below under  Conditions to the Exchange Offers have not been satisfied, we reserve the right, in our sole discretion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0"/>
        <w:gridCol w:w="9538"/>
      </w:tblGrid>
      <w:tr>
        <w:trPr/>
        <w:tc>
          <w:tcPr>
            <w:tcW w:w="40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8"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delay accepting for exchange any outstanding Notes,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extend the exchange offer, or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38" w:type="dxa"/>
            <w:tcBorders/>
            <w:shd w:fill="FFFFFF" w:val="clear"/>
          </w:tcPr>
          <w:p>
            <w:pPr>
              <w:pStyle w:val="TableContents"/>
              <w:spacing w:before="0" w:after="283"/>
              <w:jc w:val="left"/>
              <w:rPr/>
            </w:pPr>
            <w:r>
              <w:rPr/>
              <w:t xml:space="preserve">to terminate the exchange offer,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giving oral or written notice of such delay, extension or termination to the exchange agent. Subject to the terms of the registration rights agreement, we also reserve the right to amend the terms of either exchange offer in any manner.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such delay in acceptance, extension, termination or amendment will be followed as promptly as practicable by oral or written notice thereof to the registered holders of outstanding Notes. If we amend the exchange offer in a manner that we determine to constitute a material change, we will promptly disclose such amendment by means of a prospectus supplement. The supplement will be distributed to the registered holders of the outstanding Notes. Depending upon the significance of the amendment and the manner of disclosure to the registered holders, we will extend such exchange offer if such exchange offer would otherwise expire during such period.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Conditions to the Exchange Offers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be required to accept for exchange, or exchange any new Notes for, any outstanding Notes if the applicable exchange offer, or the making of any exchange by a holder of outstanding Notes, would violate applicable law or any applicable interpretation of the staff of the SEC. Similarly, we may terminate either exchange offer as provided in this prospectus before accepting outstanding Notes for exchange in the event of such a potential violation.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will not be obligated to accept for exchange the outstanding Notes of any holder that has not made to us the representations described under  Purpose and Effect of the Exchange Offers,  Procedures for Tendering and Plan of Distribution and such other representations as may be reasonably necessary under applicable SEC rules, regulations or interpretations to allow us to use an appropriate form to register the new Notes under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Furthermore, we will not accept for exchange any outstanding Notes tendered, and will not issue new Notes in exchange for any such outstanding Notes, if at such time any stop order has been threatened or is in effect with respect to (1) the registration statement of which this prospectus constitutes a part or (2) the qualification of the applicable indenture relating to the Notes under the Trust Indenture Act of 1939.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expressly reserve the right to amend or terminate either exchange offer, and to reject for exchange any outstanding Notes not previously accepted for exchange, upon the occurrence of any of the conditions to the exchange offers specified above. We will give oral or written notice of any extension, amendment, non-acceptance or termination to the holders of the outstanding Notes as promptly as practicable.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These conditions are for our sole benefit, and we may assert them or waive them in whole or in part at any time or at various times in our sole discretion. If we fail at any time to exercise any of these rights, this failure will not mean that we have waived our rights. Each such right will be deemed an ongoing right that we may assert at any time or at various times.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exchange offer is independent of the other, and the closing of one exchange offer is not conditioned upon the closing of the other.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Procedures for Tendering</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participate in an exchange offer, you must properly tender your outstanding Notes to the exchange agent as described below. It is your responsibility to properly tender your Notes. We have the right to waive any defects. However, we are not required to waive defects and are not required to notify you of defects in your tender.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have any questions or need help in exchanging your Notes, please call the exchange agent, whose address and phone number are set forth in Prospectus Summary  The Exchange Offers  Exchange Agent.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of the outstanding Notes were issued in book-entry form, and all of the outstanding Notes are currently represented by global certificates held for the account of DTC. We have confirmed with DTC that the outstanding Notes may be tendered using the ATOP procedures instituted by DTC. The exchange agent will establish an account with DTC for purposes of the exchange offers promptly after the commencement of the exchange offers and DTC participants may electronically transmit their acceptance of the exchange offer by causing DTC to transfer their outstanding Notes to the exchange agent using the ATOP procedures. In connection with the transfer, DTC will send an agents message to the exchange agent. The agents message will state that DTC has received instructions from the participant to tender outstanding Notes and that the participant agrees to be bound by the terms of the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exchange outstanding Notes, you will not be required to deliver a letter of transmittal to the exchange agent. However, you will be bound by its terms just as if you had signed it.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guaranteed late delivery of the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Determinations Under the Exchange Offers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determine in our sole discretion all questions as to the validity, form, eligibility, time of receipt, acceptance of tendered outstanding Notes and withdrawal of tendered outstanding Notes. Our determination will be final and binding. We reserve the absolute right to reject any outstanding Notes not properly tendered or any outstanding Notes our acceptance of which would, in the opinion of our counsel, be unlawful. We also reserve the right to waive any defect, irregularities or conditions of tender as to particular outstanding Notes. Our interpretation of the terms and conditions of either exchange offer, including the instructions in the applicable letter of transmittal, will be final and binding on all parties. Unless waived, all defects or irregularities in connection with tenders of outstanding Notes must be cured within such time as we shall determine. Although we intend to notify holders of defects or irregularities with respect to tenders of outstanding Notes, neither we, the exchange agent nor any other person will incur any liability for failure to give such notification. Tenders of outstanding Notes will not be deemed made until such defects or irregularities have been cured or waived. Any outstanding Notes received by the exchange agent that are not properly tendered and as to which the defects or irregularities have not been cured or waived will be returned to the tendering holder, unless otherwise provided in the applicable letter of transmittal, as soon as practicable following the expiration date.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When We Will Issue New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all cases, we will issue new Notes for outstanding Notes that we have accepted for exchange under the exchange offer only after the exchange agent timely receives: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3"/>
        <w:gridCol w:w="9526"/>
      </w:tblGrid>
      <w:tr>
        <w:trPr/>
        <w:tc>
          <w:tcPr>
            <w:tcW w:w="40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a book-entry confirmation of such outstanding Notes into the exchange agents account at DTC;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6" w:type="dxa"/>
            <w:tcBorders/>
            <w:shd w:fill="FFFFFF" w:val="clear"/>
          </w:tcPr>
          <w:p>
            <w:pPr>
              <w:pStyle w:val="TableContents"/>
              <w:spacing w:before="0" w:after="283"/>
              <w:jc w:val="left"/>
              <w:rPr/>
            </w:pPr>
            <w:r>
              <w:rPr/>
              <w:t xml:space="preserve">a properly transmitted agents message.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Return of Outstanding Notes Not Accepted or Exchanged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we do not accept any tendered outstanding Notes for exchange or if outstanding Notes are submitted for a greater principal amount than the holder desires to exchange, the unaccepted or non-exchanged outstanding Notes will be returned without expense to their tendering holder. Such non-exchanged outstanding Notes will be credited to an account maintained with DTC. These actions will occur as promptly as practicable after the expiration or termination of the applicable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Your Representations to Us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agreeing to be bound by the letter of transmittal, you will represent to us that, among other things: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7"/>
        <w:gridCol w:w="9534"/>
      </w:tblGrid>
      <w:tr>
        <w:trPr/>
        <w:tc>
          <w:tcPr>
            <w:tcW w:w="4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any new Notes that you receive will be acquired in the ordinary course of your business;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you have no arrangement or understanding with any person or entity to participate in the distribution of the outstanding Notes or the new Notes within the meaning of the Securities Act;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you are not a broker-dealer, you are not engaged in and do not intend to engage in the distribution of the new Notes;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you are a broker-dealer that will receive new Notes for your own account in exchange for outstanding Notes, you acquired those notes as a result of market-making activities or other trading activities and you will deliver a prospectus, as required by law, in connection with any resale of such new Notes;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you are not our affiliate, as defined in Rule 405 of the Securities Act.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Withdrawal of Tenders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as otherwise provided in this prospectus, you may withdraw your tender at any time prior to 5:00 p.m. New York City time on the expiration date. For a withdrawal to be effective you must comply with the appropriate procedures of DTCs ATOP system. Any notice of withdrawal must specify the name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number of the account at DTC to be credited with withdrawn outstanding Notes and otherwise comply with the procedures of DTC.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determine all questions as to the validity, form, eligibility and time of receipt of notice of withdrawal. Our determination shall be final and binding on all parties. We will deem any outstanding Notes so withdrawn not to have been validly tendered for exchange for purposes of the applicable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outstanding Notes that have been tendered for exchange but are not exchanged for any reason will be credited to an account maintained with DTC for the outstanding Notes. This return or crediting will take place as soon as practicable after withdrawal, rejection of tender or termination of the exchange offer. You may retender properly withdrawn outstanding Notes by following the procedures described under  Procedures for Tendering above at any time prior to 5:00 p.m., New York City time, on the expiration date.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Fees and Expenses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bear the expenses of soliciting tenders with respect to each exchange offer. The principal solicitation is being made by mail; however, we may make additional solicitation by telegraph, telephone or in person by our officers and regular employees and those of our affiliates.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not retained any dealer manager in connection with the exchange offers and will not make any payments to broker-dealers or others soliciting acceptances of the exchange offers. We will, however, pay the exchange agent reasonable and customary fees for its services and reimburse it for its related reasonable out of pocket expenses.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the cash expenses to be incurred in connection with the exchange offer. They include: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2"/>
        <w:gridCol w:w="9525"/>
      </w:tblGrid>
      <w:tr>
        <w:trPr/>
        <w:tc>
          <w:tcPr>
            <w:tcW w:w="4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SEC registration fees;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fees and expenses of the exchange agent and trustee;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accounting and legal fees and printing costs;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25" w:type="dxa"/>
            <w:tcBorders/>
            <w:shd w:fill="FFFFFF" w:val="clear"/>
          </w:tcPr>
          <w:p>
            <w:pPr>
              <w:pStyle w:val="TableContents"/>
              <w:spacing w:before="0" w:after="283"/>
              <w:jc w:val="left"/>
              <w:rPr/>
            </w:pPr>
            <w:r>
              <w:rPr/>
              <w:t xml:space="preserve">related fees and expenses.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Transfer Taxes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pay all transfer taxes, if any, applicable to the exchange of outstanding Notes under the exchange offer. The tendering holder, however, will be required to pay any transfer taxes, whether imposed on the registered holder or any other person, if a transfer tax is imposed for any reason other than the exchange of outstanding Notes under the applicable exchange offer.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Consequences of Failure to Exchange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do not exchange new Notes for your outstanding Notes under the applicable exchange offer, you will remain subject to the existing restrictions on transfer of the outstanding Notes. In general, you may not offer or sell the outstanding Notes unless the offer or sale is either registered under the Securities Act or exempt from registration under the Securities Act and applicable state securities laws. Except as required by the registration rights agreements, we do not intend to register resales of the outstanding Notes under the Securities Act.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Accounting Treatment</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record the new Notes in our accounting records at the same carrying value as the outstanding Notes of the same series. This carrying value is the aggregate principal amount of the outstanding Notes less any bond discount, as reflected in our accounting records on the date of exchange. Accordingly, we will not recognize any gain or loss for accounting purposes in connection with either exchange offer.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Other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Participation in an exchange offer is voluntary, and you should carefully consider whether to accept. You are urged to consult your financial and tax advisors in making your own decision on what action to take.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in the future seek to acquire untendered outstanding Notes in open market or privately negotiated transactions, through subsequent exchange offers or otherwise. We have no present plans to acquire any outstanding Notes that are not tendered in the exchange offers or to file a registration statement to permit resales of any untendered outstanding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6" w:name="104"/>
      <w:bookmarkEnd w:id="6"/>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RATIO OF EARNINGS TO FIXED CHARGES</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475"/>
        <w:gridCol w:w="172"/>
        <w:gridCol w:w="148"/>
        <w:gridCol w:w="623"/>
        <w:gridCol w:w="148"/>
        <w:gridCol w:w="239"/>
        <w:gridCol w:w="148"/>
        <w:gridCol w:w="623"/>
        <w:gridCol w:w="148"/>
        <w:gridCol w:w="239"/>
        <w:gridCol w:w="148"/>
        <w:gridCol w:w="622"/>
        <w:gridCol w:w="148"/>
        <w:gridCol w:w="239"/>
        <w:gridCol w:w="148"/>
        <w:gridCol w:w="623"/>
        <w:gridCol w:w="148"/>
        <w:gridCol w:w="239"/>
        <w:gridCol w:w="148"/>
        <w:gridCol w:w="623"/>
        <w:gridCol w:w="156"/>
      </w:tblGrid>
      <w:tr>
        <w:trPr/>
        <w:tc>
          <w:tcPr>
            <w:tcW w:w="4475"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right"/>
              <w:rPr/>
            </w:pPr>
            <w:r>
              <w:rPr/>
              <w:t> </w:t>
            </w:r>
          </w:p>
        </w:tc>
        <w:tc>
          <w:tcPr>
            <w:tcW w:w="623"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23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right"/>
              <w:rPr/>
            </w:pPr>
            <w:r>
              <w:rPr/>
              <w:t> </w:t>
            </w:r>
          </w:p>
        </w:tc>
        <w:tc>
          <w:tcPr>
            <w:tcW w:w="623"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23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right"/>
              <w:rPr/>
            </w:pPr>
            <w:r>
              <w:rPr/>
              <w:t> </w:t>
            </w:r>
          </w:p>
        </w:tc>
        <w:tc>
          <w:tcPr>
            <w:tcW w:w="622"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23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right"/>
              <w:rPr/>
            </w:pPr>
            <w:r>
              <w:rPr/>
              <w:t> </w:t>
            </w:r>
          </w:p>
        </w:tc>
        <w:tc>
          <w:tcPr>
            <w:tcW w:w="623"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239"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right"/>
              <w:rPr/>
            </w:pPr>
            <w:r>
              <w:rPr/>
              <w:t> </w:t>
            </w:r>
          </w:p>
        </w:tc>
        <w:tc>
          <w:tcPr>
            <w:tcW w:w="623"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r>
      <w:tr>
        <w:trPr/>
        <w:tc>
          <w:tcPr>
            <w:tcW w:w="4475" w:type="dxa"/>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5402" w:type="dxa"/>
            <w:gridSpan w:val="18"/>
            <w:tcBorders>
              <w:bottom w:val="single" w:sz="2" w:space="0" w:color="000000"/>
            </w:tcBorders>
            <w:shd w:fill="FFFFFF" w:val="clear"/>
            <w:tcMar>
              <w:bottom w:w="28" w:type="dxa"/>
            </w:tcMar>
            <w:vAlign w:val="bottom"/>
          </w:tcPr>
          <w:p>
            <w:pPr>
              <w:pStyle w:val="TableContents"/>
              <w:spacing w:before="0" w:after="283"/>
              <w:jc w:val="center"/>
              <w:rPr/>
            </w:pPr>
            <w:r>
              <w:rPr>
                <w:b/>
              </w:rPr>
              <w:t>Year Ended December 31,</w:t>
            </w:r>
            <w:r>
              <w:rPr/>
              <w:t xml:space="preserve"> </w:t>
            </w:r>
          </w:p>
        </w:tc>
        <w:tc>
          <w:tcPr>
            <w:tcW w:w="156" w:type="dxa"/>
            <w:tcBorders/>
            <w:shd w:fill="FFFFFF" w:val="clear"/>
            <w:vAlign w:val="bottom"/>
          </w:tcPr>
          <w:p>
            <w:pPr>
              <w:pStyle w:val="TableContents"/>
              <w:spacing w:before="0" w:after="283"/>
              <w:jc w:val="center"/>
              <w:rPr/>
            </w:pPr>
            <w:r>
              <w:rPr/>
              <w:t xml:space="preserve">  </w:t>
            </w:r>
          </w:p>
        </w:tc>
      </w:tr>
      <w:tr>
        <w:trPr/>
        <w:tc>
          <w:tcPr>
            <w:tcW w:w="4475" w:type="dxa"/>
            <w:tcBorders/>
            <w:shd w:fill="FFFFFF" w:val="clear"/>
            <w:vAlign w:val="bottom"/>
          </w:tcPr>
          <w:p>
            <w:pPr>
              <w:pStyle w:val="TableContents"/>
              <w:spacing w:before="0" w:after="283"/>
              <w:jc w:val="center"/>
              <w:rPr/>
            </w:pPr>
            <w:r>
              <w:rPr/>
              <w:t xml:space="preserve">  </w:t>
            </w:r>
          </w:p>
        </w:tc>
        <w:tc>
          <w:tcPr>
            <w:tcW w:w="172" w:type="dxa"/>
            <w:tcBorders/>
            <w:shd w:fill="FFFFFF" w:val="clear"/>
            <w:vAlign w:val="bottom"/>
          </w:tcPr>
          <w:p>
            <w:pPr>
              <w:pStyle w:val="TableContents"/>
              <w:spacing w:before="0" w:after="283"/>
              <w:jc w:val="center"/>
              <w:rPr/>
            </w:pPr>
            <w:r>
              <w:rPr/>
              <w:t xml:space="preserve">  </w:t>
            </w:r>
          </w:p>
        </w:tc>
        <w:tc>
          <w:tcPr>
            <w:tcW w:w="77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239" w:type="dxa"/>
            <w:tcBorders/>
            <w:shd w:fill="FFFFFF" w:val="clear"/>
            <w:vAlign w:val="bottom"/>
          </w:tcPr>
          <w:p>
            <w:pPr>
              <w:pStyle w:val="TableContents"/>
              <w:spacing w:before="0" w:after="283"/>
              <w:jc w:val="center"/>
              <w:rPr/>
            </w:pPr>
            <w:r>
              <w:rPr/>
              <w:t xml:space="preserve">  </w:t>
            </w:r>
          </w:p>
        </w:tc>
        <w:tc>
          <w:tcPr>
            <w:tcW w:w="77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239" w:type="dxa"/>
            <w:tcBorders/>
            <w:shd w:fill="FFFFFF" w:val="clear"/>
            <w:vAlign w:val="bottom"/>
          </w:tcPr>
          <w:p>
            <w:pPr>
              <w:pStyle w:val="TableContents"/>
              <w:spacing w:before="0" w:after="283"/>
              <w:jc w:val="center"/>
              <w:rPr/>
            </w:pPr>
            <w:r>
              <w:rPr/>
              <w:t xml:space="preserve">  </w:t>
            </w:r>
          </w:p>
        </w:tc>
        <w:tc>
          <w:tcPr>
            <w:tcW w:w="77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2004</w:t>
            </w: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239" w:type="dxa"/>
            <w:tcBorders/>
            <w:shd w:fill="FFFFFF" w:val="clear"/>
            <w:vAlign w:val="bottom"/>
          </w:tcPr>
          <w:p>
            <w:pPr>
              <w:pStyle w:val="TableContents"/>
              <w:spacing w:before="0" w:after="283"/>
              <w:jc w:val="center"/>
              <w:rPr/>
            </w:pPr>
            <w:r>
              <w:rPr/>
              <w:t xml:space="preserve">  </w:t>
            </w:r>
          </w:p>
        </w:tc>
        <w:tc>
          <w:tcPr>
            <w:tcW w:w="77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2003</w:t>
            </w: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239" w:type="dxa"/>
            <w:tcBorders/>
            <w:shd w:fill="FFFFFF" w:val="clear"/>
            <w:vAlign w:val="bottom"/>
          </w:tcPr>
          <w:p>
            <w:pPr>
              <w:pStyle w:val="TableContents"/>
              <w:spacing w:before="0" w:after="283"/>
              <w:jc w:val="center"/>
              <w:rPr/>
            </w:pPr>
            <w:r>
              <w:rPr/>
              <w:t xml:space="preserve">  </w:t>
            </w:r>
          </w:p>
        </w:tc>
        <w:tc>
          <w:tcPr>
            <w:tcW w:w="77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2002</w:t>
            </w:r>
            <w:r>
              <w:rPr/>
              <w:t xml:space="preserve"> </w:t>
            </w:r>
          </w:p>
        </w:tc>
        <w:tc>
          <w:tcPr>
            <w:tcW w:w="156" w:type="dxa"/>
            <w:tcBorders/>
            <w:shd w:fill="FFFFFF" w:val="clear"/>
            <w:vAlign w:val="bottom"/>
          </w:tcPr>
          <w:p>
            <w:pPr>
              <w:pStyle w:val="TableContents"/>
              <w:spacing w:before="0" w:after="283"/>
              <w:jc w:val="center"/>
              <w:rPr/>
            </w:pPr>
            <w:r>
              <w:rPr/>
              <w:t xml:space="preserve">  </w:t>
            </w:r>
          </w:p>
        </w:tc>
      </w:tr>
      <w:tr>
        <w:trPr/>
        <w:tc>
          <w:tcPr>
            <w:tcW w:w="4475" w:type="dxa"/>
            <w:tcBorders/>
            <w:shd w:fill="FFFFFF" w:val="clear"/>
            <w:vAlign w:val="center"/>
          </w:tcPr>
          <w:p>
            <w:pPr>
              <w:pStyle w:val="TableContents"/>
              <w:spacing w:before="0" w:after="283"/>
              <w:rPr/>
            </w:pPr>
            <w:r>
              <w:rPr/>
              <w:t xml:space="preserve">  </w:t>
            </w:r>
          </w:p>
        </w:tc>
        <w:tc>
          <w:tcPr>
            <w:tcW w:w="5730" w:type="dxa"/>
            <w:gridSpan w:val="20"/>
            <w:tcBorders/>
            <w:shd w:fill="FFFFFF" w:val="clear"/>
          </w:tcPr>
          <w:p>
            <w:pPr>
              <w:pStyle w:val="TableContents"/>
              <w:spacing w:before="0" w:after="283"/>
              <w:rPr>
                <w:sz w:val="4"/>
                <w:szCs w:val="4"/>
              </w:rPr>
            </w:pPr>
            <w:r>
              <w:rPr>
                <w:sz w:val="4"/>
                <w:szCs w:val="4"/>
              </w:rPr>
            </w:r>
          </w:p>
        </w:tc>
      </w:tr>
      <w:tr>
        <w:trPr/>
        <w:tc>
          <w:tcPr>
            <w:tcW w:w="4475" w:type="dxa"/>
            <w:tcBorders/>
            <w:shd w:fill="FFFFFF" w:val="clear"/>
            <w:vAlign w:val="bottom"/>
          </w:tcPr>
          <w:p>
            <w:pPr>
              <w:pStyle w:val="TableContents"/>
              <w:spacing w:before="0" w:after="0"/>
              <w:ind w:left="200" w:right="0" w:hanging="200"/>
              <w:jc w:val="left"/>
              <w:rPr>
                <w:sz w:val="17"/>
              </w:rPr>
            </w:pPr>
            <w:r>
              <w:rPr>
                <w:sz w:val="17"/>
              </w:rPr>
              <w:t xml:space="preserve">RATIO OF EARNINGS TO FIXED CHARGES(1) </w:t>
            </w:r>
          </w:p>
        </w:tc>
        <w:tc>
          <w:tcPr>
            <w:tcW w:w="172"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2.83x </w:t>
            </w:r>
          </w:p>
        </w:tc>
        <w:tc>
          <w:tcPr>
            <w:tcW w:w="148" w:type="dxa"/>
            <w:tcBorders/>
            <w:shd w:fill="FFFFFF" w:val="clear"/>
            <w:vAlign w:val="bottom"/>
          </w:tcPr>
          <w:p>
            <w:pPr>
              <w:pStyle w:val="TableContents"/>
              <w:spacing w:before="0" w:after="283"/>
              <w:jc w:val="left"/>
              <w:rPr/>
            </w:pPr>
            <w:r>
              <w:rPr/>
              <w:t xml:space="preserve">  </w:t>
            </w:r>
          </w:p>
        </w:tc>
        <w:tc>
          <w:tcPr>
            <w:tcW w:w="239"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3.34x </w:t>
            </w:r>
          </w:p>
        </w:tc>
        <w:tc>
          <w:tcPr>
            <w:tcW w:w="148" w:type="dxa"/>
            <w:tcBorders/>
            <w:shd w:fill="FFFFFF" w:val="clear"/>
            <w:vAlign w:val="bottom"/>
          </w:tcPr>
          <w:p>
            <w:pPr>
              <w:pStyle w:val="TableContents"/>
              <w:spacing w:before="0" w:after="283"/>
              <w:jc w:val="left"/>
              <w:rPr/>
            </w:pPr>
            <w:r>
              <w:rPr/>
              <w:t xml:space="preserve">  </w:t>
            </w:r>
          </w:p>
        </w:tc>
        <w:tc>
          <w:tcPr>
            <w:tcW w:w="239"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622" w:type="dxa"/>
            <w:tcBorders/>
            <w:shd w:fill="FFFFFF" w:val="clear"/>
            <w:vAlign w:val="bottom"/>
          </w:tcPr>
          <w:p>
            <w:pPr>
              <w:pStyle w:val="TableContents"/>
              <w:spacing w:before="0" w:after="283"/>
              <w:jc w:val="right"/>
              <w:rPr/>
            </w:pPr>
            <w:r>
              <w:rPr/>
              <w:t xml:space="preserve">3.37x </w:t>
            </w:r>
          </w:p>
        </w:tc>
        <w:tc>
          <w:tcPr>
            <w:tcW w:w="148" w:type="dxa"/>
            <w:tcBorders/>
            <w:shd w:fill="FFFFFF" w:val="clear"/>
            <w:vAlign w:val="bottom"/>
          </w:tcPr>
          <w:p>
            <w:pPr>
              <w:pStyle w:val="TableContents"/>
              <w:spacing w:before="0" w:after="283"/>
              <w:jc w:val="left"/>
              <w:rPr/>
            </w:pPr>
            <w:r>
              <w:rPr/>
              <w:t xml:space="preserve">  </w:t>
            </w:r>
          </w:p>
        </w:tc>
        <w:tc>
          <w:tcPr>
            <w:tcW w:w="239"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2.36x </w:t>
            </w:r>
          </w:p>
        </w:tc>
        <w:tc>
          <w:tcPr>
            <w:tcW w:w="148" w:type="dxa"/>
            <w:tcBorders/>
            <w:shd w:fill="FFFFFF" w:val="clear"/>
            <w:vAlign w:val="bottom"/>
          </w:tcPr>
          <w:p>
            <w:pPr>
              <w:pStyle w:val="TableContents"/>
              <w:spacing w:before="0" w:after="283"/>
              <w:jc w:val="left"/>
              <w:rPr/>
            </w:pPr>
            <w:r>
              <w:rPr/>
              <w:t xml:space="preserve">  </w:t>
            </w:r>
          </w:p>
        </w:tc>
        <w:tc>
          <w:tcPr>
            <w:tcW w:w="239" w:type="dxa"/>
            <w:tcBorders/>
            <w:shd w:fill="FFFFFF" w:val="cle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2.64x </w:t>
            </w:r>
          </w:p>
        </w:tc>
        <w:tc>
          <w:tcPr>
            <w:tcW w:w="156"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1"/>
        <w:gridCol w:w="9698"/>
      </w:tblGrid>
      <w:tr>
        <w:trPr/>
        <w:tc>
          <w:tcPr>
            <w:tcW w:w="406"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pPr>
            <w:r>
              <w:rPr/>
              <w:t xml:space="preserve">(1) </w:t>
            </w:r>
          </w:p>
        </w:tc>
        <w:tc>
          <w:tcPr>
            <w:tcW w:w="101"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pPr>
            <w:r>
              <w:rPr/>
              <w:t>Includes interest costs attributable to borrowings for inventory stored in a contango market of $49.2 million, $23.7 million, $2.0 million, $1.0 million and $3.0 million for each of the years ended December 31, 2006, 2005, 2004, 2003 and 2002, respectively.</w:t>
            </w:r>
          </w:p>
        </w:tc>
      </w:tr>
    </w:tbl>
    <w:p>
      <w:pPr>
        <w:pStyle w:val="TextBody"/>
        <w:spacing w:before="360" w:after="283"/>
        <w:rPr/>
      </w:pPr>
      <w:bookmarkStart w:id="7" w:name="105"/>
      <w:bookmarkEnd w:id="7"/>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USE OF PROCEEDS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exchange offer is intended to satisfy our obligations under the registration rights agreement. We will not receive any cash proceeds from the issuance of the new Notes in the exchange offer. In consideration for issuing the new Notes as contemplated by this prospectus, we will receive outstanding Notes in a like principal amount. The form and terms of the new Notes are identical in all respects to the form and terms of the outstanding Notes, except the new Notes do not include certain transfer restrictions. Outstanding Notes surrendered in exchange for the new Notes will be retired and cancelled and will not be reissued. Accordingly, the issuance of the new Notes will not result in any change in our outstanding indebtedness.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8" w:name="106"/>
      <w:bookmarkEnd w:id="8"/>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DESCRIPTION OF THE NOTES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used in this description, the terms we, us and our refer to Plains All American Pipeline, L.P. and PAA Finance Corp. as co-issuers of the Notes and not to any of their subsidiaries or affiliates, and references to Plains All American Pipeline are to Plains All American Pipeline, L.P.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issued the outstanding Notes, and will issue the new Notes, under an indenture (the Base Indenture) dated September 25, 2002, among us, the subsidiary guarantors and U.S. Bank National Association, as successor trustee, and two supplemental indentures thereto (each applicable to one of the series of the Notes) dated as of October 30, 2006 (each supplemental indenture, together with the Base Indenture, the Indenture). We refer to both the new Notes and the outstanding Notes in this description as the Notes. The Notes constituted two new series of debt securities under the Indenture, and six other series are now outstanding under the Base Indenture, each issued under a separate supplemental indenture.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 Capitalized terms that are used in this prospectus have the meanings assigned to them in the Indenture, and we have included some of those definitions at the end of this section. See  Definitions.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summarized some of the material provisions of the Notes and the Indenture below. The following description of the Notes is not complete and is subject to, and is qualified in its entirety by reference to, all the provisions of the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General Description of the Notes and the Guarantees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of each series are: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72"/>
        <w:gridCol w:w="9531"/>
      </w:tblGrid>
      <w:tr>
        <w:trPr/>
        <w:tc>
          <w:tcPr>
            <w:tcW w:w="4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our senior unsecured indebtedness ranking equally in right of payment with the Notes of the other series and with all of our existing and future unsubordinated debt;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unconditionally guaranteed by the subsidiary guarantors;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non-recourse to our general partner;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senior in right of payment to any of our future subordinated debt;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effectively junior to any of our existing and future secured debt, to the extent of the security for that debt;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72"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effectively junior to any existing and future debt of our subsidiaries that do not guarantee the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Initially our obligations under the Notes will be jointly and severally guaranteed by all of the existing subsidiaries of Plains All American Pipeline other than PAA Finance Corp., Atchafalaya Pipeline, L.L.C., Andrews Partners, LLC, Pacific Energy Management LLC, Pacific Energy GP LP, Pacific Pipeline System LLC and Pacific Terminals LLC, which we sometimes refer to collectively as the non-guarantor subsidiaries. Each guarantee by a subsidiary guarantor of the Notes is: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a general unsecured obligation of that subsidiary guarantor;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equal in right of payment with all other existing and future unsubordinated debt of that subsidiary guarantor;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senior in right of payment to any future subordinated debt of that subsidiary guarantor;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71" w:type="dxa"/>
            <w:tcBorders/>
            <w:shd w:fill="FFFFFF" w:val="clear"/>
          </w:tcPr>
          <w:p>
            <w:pPr>
              <w:pStyle w:val="TableContents"/>
              <w:spacing w:before="0" w:after="283"/>
              <w:rPr/>
            </w:pPr>
            <w:r>
              <w:rPr/>
              <w:t xml:space="preserve">  </w:t>
            </w:r>
          </w:p>
        </w:tc>
        <w:tc>
          <w:tcPr>
            <w:tcW w:w="9531" w:type="dxa"/>
            <w:tcBorders/>
            <w:shd w:fill="FFFFFF" w:val="clear"/>
          </w:tcPr>
          <w:p>
            <w:pPr>
              <w:pStyle w:val="TableContents"/>
              <w:spacing w:before="0" w:after="283"/>
              <w:jc w:val="left"/>
              <w:rPr/>
            </w:pPr>
            <w:r>
              <w:rPr/>
              <w:t xml:space="preserve">effectively junior to any secured debt of that subsidiary guarantor, to the extent of the security for that debt.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As of December 31, 2006, the Notes and the guarantees would have been effectively subordinated to approximately $835 million of short-term secured indebtedness. See Risk Factors  Risks Related to the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Exchange Offer and the Notes  Your right to receive payments on the Notes and the subsidiary guarantees is unsecured and will be effectively subordinated to our and our subsidiary guarantors existing and future secured indebtedness as well as to any existing and future indebtedness of our subsidiaries that do not guarantee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of our current subsidiaries are guarantors except subsidiaries that are not significant. Our subsidiaries that are not subsidiary guarantors held approximately 11.8% of our consolidated assets as of December 31, 2006. These subsidiaries will not have any debt or guarantee any other indebtedness.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does not limit the aggregate principal amount of debt securities that may be issued thereunder and provides that debt securities may be issued thereunder from time to time in one or more additional series. Except to the extent described under  Covenants, the Indenture does not limit our ability or the ability of our subsidiaries to incur additional indebtedness.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Further Issuances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from time to time, without notice to or the consent of the holders of the Notes, create and issue additional notes ranking equally and ratably with the Notes offered hereby in all respects, so that such additional notes form a single series with either series of the Notes and have the same terms as to status, redemption or otherwise as that series of Notes (except for the issue date, the initial payment date, if applicable, and the payment of interest accruing prior to the issue date of such additional notes). If we issue such additional notes of either series prior to the completion of the exchange offer for the Notes of the same series described under the caption Exchange Offers, the period of the resale restrictions applicable to any Notes of that series previously offered and sold in reliance on Rule 144A under the Securities Act will be automatically extended to the last day of the period of any resale restrictions imposed on any such additional notes.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Principal, Maturity and Interest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have issued the Notes in an initial aggregate principal amount of $1.0 billion, with the 2017 Notes having an aggregate principal amount of $400 million and the 2037 Notes having an aggregate principal amount of $600 million. The 2017 Notes will mature on January 15, 2017, and the 2037 Notes will mature on January 15, 2037. The 2017 Notes and the 2037 Notes will bear interest at the annual rate of 6.125% and 6.650%, respectively. Additional interest may also accrue on the Notes of either series in the circumstances described under Exchange Offers. All references to interest in this description of Notes include any such additional interest. Interest on the Notes will accrue from October 30, 2006 and will be payable semi-annually in arrears on January 15 and July 15 of each year, commencing July 15, 2007. We will make each interest payment to the holders of record at the close of business on the January 1 and July 1 preceding such interest payment dates. Interest will be computed on the basis of a 360-day year consisting of twelve 30-day months. We will issue the Notes in minimum denominations of $2,000 and integral multiples of $1,000.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 Liability of General Partner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Pipelines general partner and its directors, officers, employees and partners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The Guarantees</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Initially, our payment obligations under the Notes are jointly and severally guaranteed by all existing Subsidiaries of Plains All American Pipeline other than the non-guarantor subsidiaries. The obligations of each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subsidiary guarantor under its guarantee are limited to the maximum amount that will, after giving effect to all other contingent and fixed liabilities of the subsidiary guarantor and to any collections from or payments made by or on behalf of any other subsidiary guarantor in respect of the obligations of the other subsidiary guarantor under its guarantee, result in the obligations of the subsidiary guarantor under the guarantee not constituting a fraudulent conveyance or fraudulent transfer under federal or state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Provided that no default shall have occurred and shall be continuing under the Indenture, a subsidiary guarantor will be unconditionally released and discharged from its guarantee: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upon any sale or other disposition of all or substantially all of the assets of that subsidiary guarantor, including by way of merger, consolidation or otherwise, to any person that is not our affiliate (provided such sale or other disposition is not prohibited by the Indenture);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upon any sale or other disposition of all of our direct or indirect equity interests in that subsidiary guarantor to any person that is not our affiliate; or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following the release of all guarantees by the subsidiary guarantor of any debt of ours and any Subsidiary of Plains All American Pipeline (other than debt securities issued under the Indenture), upon delivery by us to the trustee of a written notice of such release.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at any time after the issuance of the Notes, including following any release of a subsidiary guarantor from its guarantee under the Indenture, a Subsidiary of Plains All American Pipeline (including any future Subsidiary) guarantees any of our debt or any debt of Plains All American Pipelines other Subsidiaries, we will cause such Subsidiary to guarantee the Notes in accordance with the Indenture by simultaneously executing and delivering a supplemental indenture.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Optional Redemption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Notes are redeemable, in whole or in part, at our option at any time and from time to time prior to maturity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 25 basis points in the case of the 2017 Notes and 30 basis points in the case of the 2037 Notes, in each case together with accrued interest to the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Quotation Agent means UBS Securities LLC or another Reference Treasury Dealer appointed by us.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Reference Treasury Dealer means (a) UBS Securities LLC and its successors; provided, however, that if the foregoing shall cease to be a primary U.S. Government securities dealer in the United States (a Primary Treasury Dealer), we shall substitute another Primary Treasury Dealer; and (b) any other Primary Treasury Dealer selected by us.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Unless we default in payment of the redemption price, on and after the date of redemption, interest will cease to accrue on the Notes or portions thereof called for redemption.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or before a redemption date, we will deposit with a paying agent (or with the trustee) sufficient money to pay the redemption price and accrued interest on the Notes to be redeemed.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less than all of the Notes are to be redeemed at any time, the trustee will select Notes (or any portion of Notes in integral multiples of $1,000) for redemption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6"/>
        <w:gridCol w:w="9534"/>
      </w:tblGrid>
      <w:tr>
        <w:trPr/>
        <w:tc>
          <w:tcPr>
            <w:tcW w:w="40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the Notes are listed, in compliance with the requirements of the principal national securities exchange on which the Notes are listed;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if the Notes are not so listed or there are no such requirements, on a pro rata basis, by lot or by such method as the trustee shall deem fair and appropriate.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However, no Note with a principal amount of $2,000 or less will be redeemed in part. Notice of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Events of Default</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of the following is an Event of Default with respect to each series of Notes: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5"/>
        <w:gridCol w:w="9540"/>
      </w:tblGrid>
      <w:tr>
        <w:trPr/>
        <w:tc>
          <w:tcPr>
            <w:tcW w:w="40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default in payment when due of the principal of or any premium on any Note of that series at maturity, upon redemption or otherwise;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default for 60 days in the payment when due of interest on any Note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by us or, so long as the Notes of that series are guaranteed by a subsidiary guarantor, by such subsidiary guarantor, for 30 days after receipt of notice from the trustee or the holders to comply with any other term, covenant or warranty in the Indenture or the Notes of that series (provided that notice need not be given, and an Event of Default will occur, 30 days after any breach of the covenants described under  Consolidation, Merger or Sale);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5"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specified events in bankruptcy, insolvency or reorganization of us or, so long as the Notes of that series are guaranteed by a subsidiary guarantor, by such subsidiary guarantor;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so long as the Notes of that series are guaranteed by a subsidiary guarantor: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599"/>
        <w:gridCol w:w="261"/>
        <w:gridCol w:w="9345"/>
      </w:tblGrid>
      <w:tr>
        <w:trPr/>
        <w:tc>
          <w:tcPr>
            <w:tcW w:w="59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345" w:type="dxa"/>
            <w:tcBorders/>
            <w:shd w:fill="auto" w:val="clear"/>
            <w:vAlign w:val="center"/>
          </w:tcPr>
          <w:p>
            <w:pPr>
              <w:pStyle w:val="TableContents"/>
              <w:spacing w:before="0" w:after="283"/>
              <w:rPr>
                <w:sz w:val="4"/>
                <w:szCs w:val="4"/>
              </w:rPr>
            </w:pPr>
            <w:r>
              <w:rPr>
                <w:sz w:val="4"/>
                <w:szCs w:val="4"/>
              </w:rPr>
            </w:r>
          </w:p>
        </w:tc>
      </w:tr>
      <w:tr>
        <w:trPr/>
        <w:tc>
          <w:tcPr>
            <w:tcW w:w="599"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345" w:type="dxa"/>
            <w:tcBorders/>
            <w:shd w:fill="FFFFFF" w:val="clear"/>
          </w:tcPr>
          <w:p>
            <w:pPr>
              <w:pStyle w:val="TableContents"/>
              <w:spacing w:before="0" w:after="283"/>
              <w:jc w:val="left"/>
              <w:rPr/>
            </w:pPr>
            <w:r>
              <w:rPr/>
              <w:t xml:space="preserve">the guarantee by such subsidiary guarantor ceases to be in full force and effect, except as otherwise provided in the Indenture; </w:t>
            </w:r>
          </w:p>
        </w:tc>
      </w:tr>
      <w:tr>
        <w:trPr/>
        <w:tc>
          <w:tcPr>
            <w:tcW w:w="599" w:type="dxa"/>
            <w:tcBorders/>
            <w:shd w:fill="auto" w:val="clear"/>
            <w:vAlign w:val="center"/>
          </w:tcPr>
          <w:p>
            <w:pPr>
              <w:pStyle w:val="TableContents"/>
              <w:spacing w:before="0" w:after="283"/>
              <w:rPr/>
            </w:pPr>
            <w:r>
              <w:rPr/>
              <w:t> </w:t>
            </w:r>
          </w:p>
        </w:tc>
        <w:tc>
          <w:tcPr>
            <w:tcW w:w="9606" w:type="dxa"/>
            <w:gridSpan w:val="2"/>
            <w:tcBorders/>
            <w:shd w:fill="auto" w:val="clear"/>
          </w:tcPr>
          <w:p>
            <w:pPr>
              <w:pStyle w:val="TableContents"/>
              <w:spacing w:before="0" w:after="283"/>
              <w:rPr>
                <w:sz w:val="4"/>
                <w:szCs w:val="4"/>
              </w:rPr>
            </w:pPr>
            <w:r>
              <w:rPr>
                <w:sz w:val="4"/>
                <w:szCs w:val="4"/>
              </w:rPr>
            </w:r>
          </w:p>
        </w:tc>
      </w:tr>
      <w:tr>
        <w:trPr/>
        <w:tc>
          <w:tcPr>
            <w:tcW w:w="599"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345" w:type="dxa"/>
            <w:tcBorders/>
            <w:shd w:fill="FFFFFF" w:val="clear"/>
          </w:tcPr>
          <w:p>
            <w:pPr>
              <w:pStyle w:val="TableContents"/>
              <w:spacing w:before="0" w:after="283"/>
              <w:jc w:val="left"/>
              <w:rPr/>
            </w:pPr>
            <w:r>
              <w:rPr/>
              <w:t xml:space="preserve">the guarantee by such subsidiary guarantor is declared null and void in a judicial proceeding; or </w:t>
            </w:r>
          </w:p>
        </w:tc>
      </w:tr>
      <w:tr>
        <w:trPr/>
        <w:tc>
          <w:tcPr>
            <w:tcW w:w="599" w:type="dxa"/>
            <w:tcBorders/>
            <w:shd w:fill="auto" w:val="clear"/>
            <w:vAlign w:val="center"/>
          </w:tcPr>
          <w:p>
            <w:pPr>
              <w:pStyle w:val="TableContents"/>
              <w:spacing w:before="0" w:after="283"/>
              <w:rPr/>
            </w:pPr>
            <w:r>
              <w:rPr/>
              <w:t> </w:t>
            </w:r>
          </w:p>
        </w:tc>
        <w:tc>
          <w:tcPr>
            <w:tcW w:w="9606" w:type="dxa"/>
            <w:gridSpan w:val="2"/>
            <w:tcBorders/>
            <w:shd w:fill="auto" w:val="clear"/>
          </w:tcPr>
          <w:p>
            <w:pPr>
              <w:pStyle w:val="TableContents"/>
              <w:spacing w:before="0" w:after="283"/>
              <w:rPr>
                <w:sz w:val="4"/>
                <w:szCs w:val="4"/>
              </w:rPr>
            </w:pPr>
            <w:r>
              <w:rPr>
                <w:sz w:val="4"/>
                <w:szCs w:val="4"/>
              </w:rPr>
            </w:r>
          </w:p>
        </w:tc>
      </w:tr>
      <w:tr>
        <w:trPr/>
        <w:tc>
          <w:tcPr>
            <w:tcW w:w="599"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345" w:type="dxa"/>
            <w:tcBorders/>
            <w:shd w:fill="FFFFFF" w:val="clear"/>
          </w:tcPr>
          <w:p>
            <w:pPr>
              <w:pStyle w:val="TableContents"/>
              <w:spacing w:before="0" w:after="283"/>
              <w:jc w:val="left"/>
              <w:rPr/>
            </w:pPr>
            <w:r>
              <w:rPr/>
              <w:t xml:space="preserve">such subsidiary guarantor denies or disaffirms its obligations under the Indenture or its guarantee.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 Event of Default for a particular series of Notes will not necessarily constitute an Event of Default for the other series of Notes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a series of Notes, the trustee or the holders of at least 25% in principal amount of the then outstanding Notes of that series may declare all the Notes of that series to be due and payable immediately.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Consolidation, Merger or Sale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9"/>
        <w:gridCol w:w="268"/>
        <w:gridCol w:w="9528"/>
      </w:tblGrid>
      <w:tr>
        <w:trPr/>
        <w:tc>
          <w:tcPr>
            <w:tcW w:w="4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9" w:type="dxa"/>
            <w:tcBorders/>
            <w:shd w:fill="FFFFFF" w:val="clear"/>
          </w:tcPr>
          <w:p>
            <w:pPr>
              <w:pStyle w:val="TableContents"/>
              <w:spacing w:before="0" w:after="283"/>
              <w:rPr/>
            </w:pPr>
            <w:r>
              <w:rPr/>
              <w:t> </w:t>
            </w:r>
          </w:p>
        </w:tc>
        <w:tc>
          <w:tcPr>
            <w:tcW w:w="268"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we are the surviving Person in the case of a merger, or the surviving Person: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595"/>
        <w:gridCol w:w="266"/>
        <w:gridCol w:w="9344"/>
      </w:tblGrid>
      <w:tr>
        <w:trPr/>
        <w:tc>
          <w:tcPr>
            <w:tcW w:w="59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44" w:type="dxa"/>
            <w:tcBorders/>
            <w:shd w:fill="auto" w:val="clear"/>
            <w:vAlign w:val="center"/>
          </w:tcPr>
          <w:p>
            <w:pPr>
              <w:pStyle w:val="TableContents"/>
              <w:spacing w:before="0" w:after="283"/>
              <w:rPr>
                <w:sz w:val="4"/>
                <w:szCs w:val="4"/>
              </w:rPr>
            </w:pPr>
            <w:r>
              <w:rPr>
                <w:sz w:val="4"/>
                <w:szCs w:val="4"/>
              </w:rPr>
            </w:r>
          </w:p>
        </w:tc>
      </w:tr>
      <w:tr>
        <w:trPr/>
        <w:tc>
          <w:tcPr>
            <w:tcW w:w="59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344" w:type="dxa"/>
            <w:tcBorders/>
            <w:shd w:fill="FFFFFF" w:val="clear"/>
          </w:tcPr>
          <w:p>
            <w:pPr>
              <w:pStyle w:val="TableContents"/>
              <w:spacing w:before="0" w:after="283"/>
              <w:jc w:val="left"/>
              <w:rPr/>
            </w:pPr>
            <w:r>
              <w:rPr/>
              <w:t xml:space="preserve">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 </w:t>
            </w:r>
          </w:p>
        </w:tc>
      </w:tr>
      <w:tr>
        <w:trPr/>
        <w:tc>
          <w:tcPr>
            <w:tcW w:w="595" w:type="dxa"/>
            <w:tcBorders/>
            <w:shd w:fill="auto" w:val="clear"/>
            <w:vAlign w:val="center"/>
          </w:tcPr>
          <w:p>
            <w:pPr>
              <w:pStyle w:val="TableContents"/>
              <w:spacing w:before="0" w:after="283"/>
              <w:rPr/>
            </w:pPr>
            <w:r>
              <w:rPr/>
              <w:t> </w:t>
            </w:r>
          </w:p>
        </w:tc>
        <w:tc>
          <w:tcPr>
            <w:tcW w:w="9610" w:type="dxa"/>
            <w:gridSpan w:val="2"/>
            <w:tcBorders/>
            <w:shd w:fill="auto" w:val="clear"/>
          </w:tcPr>
          <w:p>
            <w:pPr>
              <w:pStyle w:val="TableContents"/>
              <w:spacing w:before="0" w:after="283"/>
              <w:rPr>
                <w:sz w:val="4"/>
                <w:szCs w:val="4"/>
              </w:rPr>
            </w:pPr>
            <w:r>
              <w:rPr>
                <w:sz w:val="4"/>
                <w:szCs w:val="4"/>
              </w:rPr>
            </w:r>
          </w:p>
        </w:tc>
      </w:tr>
      <w:tr>
        <w:trPr/>
        <w:tc>
          <w:tcPr>
            <w:tcW w:w="59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344" w:type="dxa"/>
            <w:tcBorders/>
            <w:shd w:fill="FFFFFF" w:val="clear"/>
          </w:tcPr>
          <w:p>
            <w:pPr>
              <w:pStyle w:val="TableContents"/>
              <w:spacing w:before="0" w:after="283"/>
              <w:jc w:val="left"/>
              <w:rPr/>
            </w:pPr>
            <w:r>
              <w:rPr/>
              <w:t xml:space="preserve">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immediately after giving effect to the transaction or series of transactions, no Default or Event of Default has occurred and is continuing;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if we are not the surviving Person, then each subsidiary guarantor, unless such subsidiary guarantor is the Person with which we have consummated a transaction under this provision, shall have confirmed that its guarantee of the Notes shall continue to apply to the obligations under the Notes and the Indenture;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Modification of the Indenture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Generally, we, the subsidiary guarantors and the trustee may amend or supplement the Indenture, the guarantees and the Notes with the written consent of the holders of at least a majority in principal amount of the then outstanding Notes of the affected series. However, without the consent of each holder affected, an amendment, supplement or waiver may not (with respect to any Notes held by a nonconsenting holder):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reduce the principal amount of Notes whose holders must consent to an amendment, supplement or waiver;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reduce the principal of or change the fixed maturity of any note;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reduce or waive the premium payable upon redemption or alter or waive the other provisions with respect to the redemption of any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reduce the rate of or change the time for payment of interest on any note;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waive a Default or an Event of Default in the payment of principal of or premium, if any, or interest on, any Notes (except a rescission of acceleration of the Notes with respect to either series by the holders of at least a majority in aggregate principal amount of that series and a waiver of the payment default that resulted from such acceleration);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release any security that may have been granted with respect to the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make any note payable in currency other than that stated in the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make any change in the provisions of the Indenture relating to waivers of past Defaults or the rights of holders of Notes to receive payments of principal of or premium, if any, or interest on the Notes;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waive a redemption payment with respect to any note;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except as otherwise permitted in the Indenture, release any subsidiary guarantor from its obligations under its guarantee or the Indenture or change any guarantee in any manner that would adversely affect the rights of holders;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2" w:type="dxa"/>
            <w:tcBorders/>
            <w:shd w:fill="FFFFFF" w:val="clear"/>
          </w:tcPr>
          <w:p>
            <w:pPr>
              <w:pStyle w:val="TableContents"/>
              <w:spacing w:before="0" w:after="283"/>
              <w:jc w:val="left"/>
              <w:rPr/>
            </w:pPr>
            <w:r>
              <w:rPr/>
              <w:t xml:space="preserve">make any change in the preceding amendment, supplement and waiver provisions (except to increase any percentage set forth therein).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without the consent of any holder of Notes, we and the trustee may amend or supplement the Indenture or the Notes: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6"/>
        <w:gridCol w:w="9534"/>
      </w:tblGrid>
      <w:tr>
        <w:trPr/>
        <w:tc>
          <w:tcPr>
            <w:tcW w:w="40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cure any ambiguity, defect or inconsistency;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provide for uncertificated Notes in addition to or in place of certificated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provide for the assumption of our or the confirmation of a subsidiary guarantors obligations to holders of Notes in the case of a merger or consolidation or sale of all or substantially all of our assets;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add or release subsidiary guarantors as permitted pursuant to the terms of the Indenture (see  The Guarantees);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make any changes that would provide any additional rights or benefits to the holders of Notes that do not, taken as a whole, adversely affect the rights under the Indenture of any holder of the Notes;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comply with requirements of the SEC in order to effect or maintain the qualification of the Indenture under the Trust Indenture Act;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evidence or provide for the acceptance of appointment under the Indenture of a successor trustee;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add any additional Events of Default;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secure the Notes and/or the guarantees;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4" w:type="dxa"/>
            <w:tcBorders/>
            <w:shd w:fill="FFFFFF" w:val="clear"/>
          </w:tcPr>
          <w:p>
            <w:pPr>
              <w:pStyle w:val="TableContents"/>
              <w:spacing w:before="0" w:after="283"/>
              <w:jc w:val="left"/>
              <w:rPr/>
            </w:pPr>
            <w:r>
              <w:rPr/>
              <w:t xml:space="preserve">to establish the form or terms of any other series of debt securities under the Base Indenture.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Covenants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Liens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0"/>
        <w:gridCol w:w="9542"/>
      </w:tblGrid>
      <w:tr>
        <w:trPr/>
        <w:tc>
          <w:tcPr>
            <w:tcW w:w="40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2"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Permitted Liens;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upon any of our property or assets or the property or assets of any Restricted Subsidiary in existence on December 10, 2003 or provided for pursuant to agreements existing on December 10, 2003;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any lien resulting from the deposit of moneys or evidence of indebtedness in trust for the purpose of defeasing our debt or debt of any Restricted Subsidiary.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Indebtedness from Sale-leaseback Transactions, excluding Sale-leaseback Transactions permitted in the first paragraph under  Limitations on Sale-Leasebacks, does not exceed 10% of Consolidated Net Tangible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i/>
          <w:color w:val="000000"/>
          <w:sz w:val="17"/>
          <w:highlight w:val="white"/>
        </w:rPr>
        <w:t>Limitations on Sale-Leasebacks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and will not permit any Subsidiary to, engage in a Sale-leaseback Transaction, unless: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60"/>
        <w:gridCol w:w="9542"/>
      </w:tblGrid>
      <w:tr>
        <w:trPr/>
        <w:tc>
          <w:tcPr>
            <w:tcW w:w="40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2"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the Sale-leaseback Transaction involves a lease for a period, including renewals, of not more than three years;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2" w:type="dxa"/>
            <w:tcBorders/>
            <w:shd w:fill="FFFFFF" w:val="clear"/>
          </w:tcPr>
          <w:p>
            <w:pPr>
              <w:pStyle w:val="TableContents"/>
              <w:spacing w:before="0" w:after="283"/>
              <w:jc w:val="left"/>
              <w:rPr/>
            </w:pPr>
            <w:r>
              <w:rPr/>
              <w:t xml:space="preserve">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SEC Reports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Regardless of whether Plains All American Pipeline is required to remain subject to the reporting requirements of Section 13 or 15(d) of the Exchange Act, it will electronically file with the SEC, so long as either series of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will furnish to the holders of Notes and to prospective investors, upon the requests of holders of Notes, any information required to be delivered pursuant to Rule 144A(d)(4) under the Securities Act, so long as the Notes are not freely transferable under the Securities Act.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Defeasance and Discharge</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 any time we may terminate all our obligations under the Indenture as they relate to either series of Notes (legal defeasance), except for certain obligations, including those respecting the defeasance trust and timely payments therefrom and obligations to register the transfer of or exchange the Notes of either series, to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replace mutilated, destroyed, lost or stolen Notes and to maintain a registrar and paying agent in respect of the Notes of the relevant series.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Also, at any time we may terminate our obligations under covenants described in the last paragraph of  The Guarantees, under  Covenants and under  SEC Reports with respect to the Notes of either series (covenant defeasance), and thereafter our failure to comply with any of such covenants would not constitute an Event of Default.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may exercise our legal defeasance option notwithstanding our prior exercise of our covenant defeasance option. If we exercise our legal defeasance option, each guarantee obligation will be deemed to have been discharged with respect to the Notes of the relevant series.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relevant series to redemption or stated maturity, as the case may be, and must comply with certain other conditions, including delivery to the trustee of an opinion of counsel to the effect that holders of the Notes of the relevant series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the event of any legal defeasance, holders of the Notes of the relevant series would be entitled to look only to the trust for payment of principal of and any premium and interest on their Notes until maturity.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Although the amount of money and U.S. Government Obligations on deposit with the trustee would be intended to be sufficient to pay amounts due on the defeased Notes of the relevant series at the time of their stated maturity, if we exercise our covenant defeasance option for the Notes and the Notes are declared due and payable because of the occurrence of an Event of Default, such amount may not be sufficient to pay amounts due on the Notes of the relevant series at the time of the acceleration resulting from such Event of Default. We would remain liable for such payments, however.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addition, we may discharge all our obligations under the Indenture with respect to either series of Notes, other than certain obligations to the trustee and our obligation to register the transfer of and exchange Notes, provided that we either: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6"/>
        <w:gridCol w:w="9539"/>
      </w:tblGrid>
      <w:tr>
        <w:trPr/>
        <w:tc>
          <w:tcPr>
            <w:tcW w:w="40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deliver all outstanding Notes of the relevant series to the trustee for cancellation; or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9" w:type="dxa"/>
            <w:tcBorders/>
            <w:shd w:fill="FFFFFF" w:val="clear"/>
          </w:tcPr>
          <w:p>
            <w:pPr>
              <w:pStyle w:val="TableContents"/>
              <w:spacing w:before="0" w:after="283"/>
              <w:jc w:val="left"/>
              <w:rPr/>
            </w:pPr>
            <w:r>
              <w:rPr/>
              <w:t xml:space="preserve">all Notes of the relevant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of the relevant series, including interest and premium, if any, to the stated maturity or applicable redemption date.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Concerning the Trustee</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U.S. Bank National Association will act as indenture trustee, security registrar and paying agent with respect to the Notes. The trustee makes no representation or warranty, express or implied, as to the accuracy or completeness of any information contained in this confidential offering memorandum, except for such information that specifically pertains to the trustee, or any information incorporated by reference.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Governing Law</w:t>
      </w:r>
      <w:r>
        <w:rPr>
          <w:rFonts w:ascii="Arial;Helvetica" w:hAnsi="Arial;Helvetica"/>
          <w:color w:val="000000"/>
          <w:sz w:val="17"/>
          <w:highlight w:val="white"/>
        </w:rPr>
        <w:t xml:space="preser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Indenture and the Notes will be governed by and construed in accordance with the law of the State of New York.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Definitions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Board of Directors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Consolidated Net Tangible Assets means, at any date of determination, the total amount of assets after deducting therefrom: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all current liabilities excluding: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current liabilities that by their terms are extendible or renewable at the option of the obligor thereon to a time more than 12 months after the time as of which the amount thereof is being computed;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current maturities of long-term debt;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the amount, net of any applicable reserves, of all goodwill, trade names, trademarks, patents and other like intangible assets,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as set forth on the consolidated balance sheet of Plains All American Pipeline for its most recently completed fiscal quarter, prepared in accordance with generally accepted accounting principles.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Exchange Act means the Securities Exchange Act of 1934, as amended.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Issue Date means the date on which the Notes are initially issued.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Managing General Partner means Plains All American GP LLC, a Delaware limited liability company, and its successors and permitted assigns, as general partner of Plains AAP, L.P., a Delaware limited partnership (and its successors and permitted assigns, as general partner of Plains All American Pipeline) or as the business entity with the ultimate authority to manage the business and operations of Plains All American Pipeline.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Pari Passu Debt means any of our Funded Debt, whether outstanding on the Issue Date or thereafter created, incurred or assumed, unless, in the case of any particular Funded Debt, the instrument creating or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evidencing the same or pursuant to which the same is outstanding expressly provides that such Funded Debt shall be subordinated in right of payment to the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Permitted Liens means: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liens upon rights-of-way for pipeline purposes;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liens of taxes and assessments which are: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for the then current year,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not at the time delinquent,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delinquent but the validity of which is being contested at the time by us or any Restricted Subsidiary in good faith;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liens of, or to secure performance of, leases, other than capital leases;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any lien upon, or deposits of, any assets in favor of any surety company or clerk of court for the purpose of obtaining indemnity or stay of judicial proceedings;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any lien upon property or assets acquired or sold by us or any Restricted Subsidiary resulting from the exercise of any rights arising out of defaults on receivables;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(9) any lien in favor of us or any Restricted Subsidiary;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(11) any lien securing industrial development, pollution control or similar revenue bonds;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(12) 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(14) any lien upon or deposits of any assets to secure performance of bids, trade contracts, leases or statutory obligations;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leases,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(16) 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(18) any obligations or duties to any municipality or public authority with respect to any lease, easement, right-of-way, license, franchise, privilege, permit or grant.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Person means any individual, corporation, partnership, joint venture, limited liability company, association, joint stock company, trust, other entity, unincorporated organization or government or any agency or political subdivision thereof.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Principal Property means, whether owned or leased on the Issue Date or thereafter acquired: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any processing or manufacturing plant or terminal owned or leased by Plains All American Pipeline or any Subsidiary of Plains All American Pipeline; except, in either case above: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such assets consisting of inventories, furniture, office fixtures and equipment, including data processing equipment, vehicles and equipment used on, or useful with, vehicles,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any such assets, plant or terminal which, in the good faith opinion of the Board of Directors, is not material in relation to the activities of Plains All American Pipeline or the activities of Plains All American Pipeline and its Subsidiaries, taken as a whole.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Restricted Subsidiary means any Subsidiary of Plains All American Pipeline owning or leasing, directly or indirectly through ownership in another Subsidiary, any Principal Property.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Sale-leaseback Transaction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Securities Act means the Securities Act of 1933, as amended.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Subsidiary means, with respect to any Person: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9" w:name="107"/>
      <w:bookmarkEnd w:id="9"/>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FEDERAL INCOME TAX CONSIDERATIONS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is a summary of certain federal income tax consequences relevant to the exchange of exchange notes for outstanding notes, but does not purport to be a complete analysis for all potential tax effects. The summary is based upon the Internal Revenue Code of 1986, as amended, Treasury Regulations, Internal Revenue Service rulings and pronouncements and judicial decisions now in effect, all of which may be subject to change at any time by legislative, judicial or administrative action. These changes may be applied retroactively in a manner that could adversely affect a holder of exchange notes. The description does not consider the effect of any applicable foreign, state, local or other tax laws or estate or gift tax considerations. Each holder is encouraged to consult, and depend on, his own tax advisor in analyzing the particular tax consequences of exchanging such holders outstanding notes for new notes, including the applicability and effect of any federal, state, local and foreign tax laws.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exchange of exchange notes for outstanding notes will not be a taxable event to a holder for United States federal income tax purposes. Accordingly, a holder will have the same adjusted issue price, adjusted basis and holding period in the exchange notes as it had in the outstanding notes immediately before the exchange.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0" w:name="108"/>
      <w:bookmarkEnd w:id="10"/>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PLAN OF DISTRIBUTION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Based on interpretations by the staff of the SEC in no-action letters issued to third parties, we believe that you may transfer new Notes issued under either exchange offer in exchange for the outstanding Notes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you acquire the new Notes in the ordinary course of your business;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73" w:type="dxa"/>
            <w:tcBorders/>
            <w:shd w:fill="FFFFFF" w:val="clear"/>
          </w:tcPr>
          <w:p>
            <w:pPr>
              <w:pStyle w:val="TableContents"/>
              <w:spacing w:before="0" w:after="283"/>
              <w:rPr/>
            </w:pPr>
            <w:r>
              <w:rPr/>
              <w:t xml:space="preserve">  </w:t>
            </w:r>
          </w:p>
        </w:tc>
        <w:tc>
          <w:tcPr>
            <w:tcW w:w="9528" w:type="dxa"/>
            <w:tcBorders/>
            <w:shd w:fill="FFFFFF" w:val="clear"/>
          </w:tcPr>
          <w:p>
            <w:pPr>
              <w:pStyle w:val="TableContents"/>
              <w:spacing w:before="0" w:after="283"/>
              <w:jc w:val="left"/>
              <w:rPr/>
            </w:pPr>
            <w:r>
              <w:rPr/>
              <w:t xml:space="preserve">you are not engaged in, and do not intend to engage in, and have no arrangement or understanding with any person to participate in, a distribution of such new Notes.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not participate in either exchange offer if you are: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our affiliate within the meaning of Rule 405 under the Securities Act;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4"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a broker-dealer that acquired outstanding Notes directly from us.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broker-dealer that receives new Notes for its own account pursuant to either exchange offer must acknowledge that it will deliver a prospectus in connection with any resale of such new Notes. To date, the staff of the SEC has taken the position that broker-dealers may fulfill their prospectus delivery requirements with respect to transactions involving an exchange of securities such as these exchange offers, other than a resale of an unsold allotment from the original sale of the outstanding Notes, with a prospectus contained in a registration statement like this registration statement. This prospectus, as it may be amended or supplemented from time to time, may be used by a broker-dealer in connection with resales of new Notes received in exchange for outstanding Notes where such outstanding Notes were acquired as a result of market-making activities or other trading activities. We have agreed that, for a period of up to one year after the consummation of the exchange offers, we will make this prospectus, as amended or supplemented, promptly available to any broker-dealer for use in connection with any such resale.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If you wish to exchange your outstanding Notes for new Notes in the applicable exchange offer, you will be required to make representations to us as described in Exchange Offers  Purpose and Effect of the Exchange Offers and  Procedures for Tendering  Your Representations to Us in this prospectus and in the applicable letter of transmittal. In addition, if you are a broker-dealer who receives new Notes for your own account in exchange for outstanding Notes that were acquired by you as a result of market-making activities or other trading activities, you will be required to acknowledge that you will deliver a prospectus in connection with any resale by you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will not receive any proceeds from any sale of new Notes by broker-dealers. New Notes received by broker-dealers for their own account pursuant to the exchange offer may be sold from time to time in one or more transactions: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7"/>
        <w:gridCol w:w="9536"/>
      </w:tblGrid>
      <w:tr>
        <w:trPr/>
        <w:tc>
          <w:tcPr>
            <w:tcW w:w="402"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7" w:type="dxa"/>
            <w:tcBorders/>
            <w:shd w:fill="FFFFFF" w:val="clear"/>
          </w:tcPr>
          <w:p>
            <w:pPr>
              <w:pStyle w:val="TableContents"/>
              <w:spacing w:before="0" w:after="283"/>
              <w:rPr/>
            </w:pPr>
            <w:r>
              <w:rPr/>
              <w:t xml:space="preserve">  </w:t>
            </w:r>
          </w:p>
        </w:tc>
        <w:tc>
          <w:tcPr>
            <w:tcW w:w="9536" w:type="dxa"/>
            <w:tcBorders/>
            <w:shd w:fill="FFFFFF" w:val="clear"/>
          </w:tcPr>
          <w:p>
            <w:pPr>
              <w:pStyle w:val="TableContents"/>
              <w:spacing w:before="0" w:after="283"/>
              <w:jc w:val="left"/>
              <w:rPr/>
            </w:pPr>
            <w:r>
              <w:rPr/>
              <w:t xml:space="preserve">in the over-the-counter market; </w:t>
            </w:r>
          </w:p>
        </w:tc>
      </w:tr>
    </w:tbl>
    <w:p>
      <w:pPr>
        <w:pStyle w:val="TextBody"/>
        <w:spacing w:before="120" w:after="283"/>
        <w:rPr/>
      </w:pPr>
      <w:r>
        <w:rPr/>
        <w: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in negotiated transactions;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through the writing of options on the new Notes or a combination of the preceding methods of resale;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at market prices prevailing at the time of resale; and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rPr/>
            </w:pPr>
            <w:r>
              <w:rPr/>
              <w:t> </w:t>
            </w:r>
          </w:p>
        </w:tc>
        <w:tc>
          <w:tcPr>
            <w:tcW w:w="269" w:type="dxa"/>
            <w:tcBorders/>
            <w:shd w:fill="FFFFFF" w:val="clear"/>
          </w:tcPr>
          <w:p>
            <w:pPr>
              <w:pStyle w:val="TableContents"/>
              <w:spacing w:before="0" w:after="283"/>
              <w:rPr/>
            </w:pPr>
            <w:r>
              <w:rPr/>
              <w:t xml:space="preserve">  </w:t>
            </w:r>
          </w:p>
        </w:tc>
        <w:tc>
          <w:tcPr>
            <w:tcW w:w="9529" w:type="dxa"/>
            <w:tcBorders/>
            <w:shd w:fill="FFFFFF" w:val="clear"/>
          </w:tcPr>
          <w:p>
            <w:pPr>
              <w:pStyle w:val="TableContents"/>
              <w:spacing w:before="0" w:after="283"/>
              <w:jc w:val="left"/>
              <w:rPr/>
            </w:pPr>
            <w:r>
              <w:rPr/>
              <w:t xml:space="preserve">at prices related to such prevailing market prices or negotiated prices.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such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offers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Each letter of transmittal states that by acknowledging that it will deliver and by delivering a prospectus, a broker-dealer will not be deemed to admit that it is an underwriter within the meaning of the Securities Act.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For a period of one year after the consummation of each exchange offer, we will promptly send additional copies of this prospectus and any amendment or supplement to this prospectus to any broker-dealer that requests such documents in a letter of transmittal. We have agreed to pay all expenses incident to each exchange offer (including the expenses of one counsel for the holders of the outstanding Notes) other than commissions or concessions of any broker-dealers and will indemnify the holders of the outstanding Notes (including any broker-dealers) against certain liabilities, including liabilities under the Securities Act.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bookmarkStart w:id="11" w:name="109"/>
      <w:bookmarkEnd w:id="11"/>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LEGAL MATTERS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validity of the new Notes and the related guarantees will be passed upon for us by Vinson &amp; Elkins L.L.P., Houston, Texas. </w:t>
      </w:r>
    </w:p>
    <w:p>
      <w:pPr>
        <w:pStyle w:val="TextBody"/>
        <w:spacing w:before="360" w:after="283"/>
        <w:rPr/>
      </w:pPr>
      <w:bookmarkStart w:id="12" w:name="110"/>
      <w:bookmarkEnd w:id="12"/>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EXPERTS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2006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balance sheet of Plains AAP, L.P. incorporated in this prospectus by reference to Plains All American Pipeline, L.P.s Current Report on Form 8-K filed March 21, 2006 has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consolidated financial statements of Pacific Energy Partners, L.P. (Pacific Energy Partners) as of December 31, 2005 and 2004, and for each of the years in the three-year period ended December 31, 2005 have been incorporated by reference herein in reliance upon the reports of KPMG LLP, an independent registered public accounting firm, and upon the authority of said firm as experts in accounting and auditing. </w:t>
      </w:r>
    </w:p>
    <w:p>
      <w:pPr>
        <w:pStyle w:val="TextBody"/>
        <w:spacing w:before="360" w:after="283"/>
        <w:rPr/>
      </w:pPr>
      <w:bookmarkStart w:id="13" w:name="111"/>
      <w:bookmarkEnd w:id="13"/>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WHERE YOU CAN FIND MORE INFORMATION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(Commission File No. 1-14569) with the SEC under Sections 13(a), 13(c), 14 or 15(d) of the Securities Exchange Act of 1934 (excluding any information furnished and not filed with the SEC) until the offering under this registration statement is completed: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1"/>
        <w:gridCol w:w="9540"/>
      </w:tblGrid>
      <w:tr>
        <w:trPr/>
        <w:tc>
          <w:tcPr>
            <w:tcW w:w="40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Annual Report on Form 10-K for the year ended December 31, 2006;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Exhibit 99.3 to the Current Report on Form 8-K filed with the Commission on November 21, 2006 (audited financial statements of Pacific Energy Partners);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November 29, 2006 (unaudited balance sheet of Plains AAP, L.P. dated September 30, 2006);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March 21, 2006 (audited balance sheet of Plains AAP, L.P. dated December 31, 2005);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FFFFFF" w:val="clear"/>
          </w:tcPr>
          <w:p>
            <w:pPr>
              <w:pStyle w:val="TableContents"/>
              <w:spacing w:before="0" w:after="283"/>
              <w:rPr/>
            </w:pPr>
            <w:r>
              <w:rPr/>
              <w:t> </w:t>
            </w:r>
          </w:p>
        </w:tc>
        <w:tc>
          <w:tcPr>
            <w:tcW w:w="261"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Current Report on Form 8-K filed with the Commission on February 28, 2007 (LTIP grants to Named Executive Officers).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may request a copy of these filings at no cost by making written or telephone requests for copies to: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333 Clay Street, Suite 1600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Texas 77002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Tim Moore </w:t>
      </w:r>
    </w:p>
    <w:p>
      <w:pPr>
        <w:pStyle w:val="TextBody"/>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(713) 646-4100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www.sec.gov.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 should rely only on the information incorporated by reference or provided in this prospectus. We have not authorized anyone else to provide you with any information. You should not assume that the information provided in this prospectus or incorporated by reference is accurate as of any date other than the date on the front cover or the date of the incorporated material, as applicable. </w:t>
      </w:r>
    </w:p>
    <w:p>
      <w:pPr>
        <w:pStyle w:val="TextBody"/>
        <w:spacing w:before="360" w:after="283"/>
        <w:rPr/>
      </w:pPr>
      <w:bookmarkStart w:id="14" w:name="112"/>
      <w:bookmarkEnd w:id="14"/>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FORWARD-LOOKING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statements included or incorporated by reference in this prospectus,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 absence of these words, however, does not mean that the statements are not forward 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our failure to successfully integrate the business operations of Pacific Energy Partners or our failure to successfully integrate any future acquisitions;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failure to realize the anticipated cost savings, synergies and other benefits of the merger with Pacific Energy Partners;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success of our risk management activities;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environmental liabilities or events that are not covered by an indemnity, insurance or existing reserves;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abrupt or severe declines or interruptions in outer continental shelf production located offshore California and transported on our pipeline systems;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failure to implement or capitalize on planned internal growth projects;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availability of adequate third party production volumes for transportation and marketing in the areas in which we operate, and other factors that could cause declines in volumes shipped on our pipelines by us and third party shippers;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fluctuations in refinery capacity in areas supplied by our mainlines, and other factors affecting demand for various grades of crude oil, refined products and natural gas and resulting changes in pricing conditions or transmission throughput requirements;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availability of, and our ability to consummate, acquisition or combination opportunities;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our access to capital to fund additional acquisitions and our ability to obtain debt or equity financing on satisfactory terms;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future performance of acquired assets or businesses and the risks associated with operating in lines of business that are distinct and separate from our historical operations;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unanticipated changes in crude oil market structure and volatility (or lack thereof);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impact of current and future laws, rulings and governmental regulations;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rPr/>
            </w:pPr>
            <w:r>
              <w:rPr/>
              <w:t> </w:t>
            </w:r>
          </w:p>
        </w:tc>
        <w:tc>
          <w:tcPr>
            <w:tcW w:w="260" w:type="dxa"/>
            <w:tcBorders/>
            <w:shd w:fill="FFFFFF" w:val="clear"/>
          </w:tcPr>
          <w:p>
            <w:pPr>
              <w:pStyle w:val="TableContents"/>
              <w:spacing w:before="0" w:after="283"/>
              <w:rPr/>
            </w:pPr>
            <w:r>
              <w:rPr/>
              <w:t xml:space="preserve">  </w:t>
            </w:r>
          </w:p>
        </w:tc>
        <w:tc>
          <w:tcPr>
            <w:tcW w:w="9540" w:type="dxa"/>
            <w:tcBorders/>
            <w:shd w:fill="FFFFFF" w:val="clear"/>
          </w:tcPr>
          <w:p>
            <w:pPr>
              <w:pStyle w:val="TableContents"/>
              <w:spacing w:before="0" w:after="283"/>
              <w:jc w:val="left"/>
              <w:rPr/>
            </w:pPr>
            <w:r>
              <w:rPr/>
              <w:t xml:space="preserve">the effects of competition;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continued creditworthiness of, and performance by, our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interruptions in service and fluctuations in tariffs or volumes on third-party pipelines;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increased costs or lack of availability of insurance;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the currency exchange rate of the Canadian dollar;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shortages or cost increases of power supplies, materials or labor;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weather interference with business operations or project construction;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risks related to the development and operation of natural gas storage facilities;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general economic, market or business conditions;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FFFFFF" w:val="clear"/>
          </w:tcPr>
          <w:p>
            <w:pPr>
              <w:pStyle w:val="TableContents"/>
              <w:spacing w:before="0" w:after="283"/>
              <w:rPr/>
            </w:pPr>
            <w:r>
              <w:rPr/>
              <w:t> </w:t>
            </w:r>
          </w:p>
        </w:tc>
        <w:tc>
          <w:tcPr>
            <w:tcW w:w="266" w:type="dxa"/>
            <w:tcBorders/>
            <w:shd w:fill="FFFFFF" w:val="clear"/>
          </w:tcPr>
          <w:p>
            <w:pPr>
              <w:pStyle w:val="TableContents"/>
              <w:spacing w:before="0" w:after="283"/>
              <w:rPr/>
            </w:pPr>
            <w:r>
              <w:rPr/>
              <w:t xml:space="preserve">  </w:t>
            </w:r>
          </w:p>
        </w:tc>
        <w:tc>
          <w:tcPr>
            <w:tcW w:w="9537" w:type="dxa"/>
            <w:tcBorders/>
            <w:shd w:fill="FFFFFF" w:val="clear"/>
          </w:tcPr>
          <w:p>
            <w:pPr>
              <w:pStyle w:val="TableContents"/>
              <w:spacing w:before="0" w:after="283"/>
              <w:jc w:val="left"/>
              <w:rPr/>
            </w:pPr>
            <w:r>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2006. Except as required by securities laws applicable to the documents incorporated by reference, we do not intend to update these forward-looking statements and information.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34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p>
      <w:pPr>
        <w:pStyle w:val="TextBody"/>
        <w:spacing w:before="0" w:after="0"/>
        <w:jc w:val="right"/>
        <w:rPr>
          <w:rFonts w:ascii="Arial;Helvetica" w:hAnsi="Arial;Helvetica"/>
          <w:color w:val="000000"/>
          <w:sz w:val="17"/>
          <w:highlight w:val="white"/>
        </w:rPr>
      </w:pPr>
      <w:r>
        <w:rPr>
          <w:rFonts w:ascii="Times New Roman;Times" w:hAnsi="Times New Roman;Times"/>
          <w:b/>
          <w:color w:val="000000"/>
          <w:sz w:val="17"/>
          <w:highlight w:val="white"/>
        </w:rPr>
        <w:t>ANNEX A</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Arial;Helvetica" w:hAnsi="Arial;Helvetica"/>
          <w:color w:val="000000"/>
          <w:sz w:val="27"/>
          <w:highlight w:val="white"/>
        </w:rPr>
      </w:pPr>
      <w:bookmarkStart w:id="15" w:name="113"/>
      <w:bookmarkEnd w:id="15"/>
      <w:r>
        <w:rPr>
          <w:rFonts w:ascii="Times New Roman;Times" w:hAnsi="Times New Roman;Times"/>
          <w:b/>
          <w:color w:val="000000"/>
          <w:sz w:val="27"/>
          <w:highlight w:val="white"/>
        </w:rPr>
        <w:t>LETTER OF TRANSMITTAL</w:t>
        <w:br/>
      </w:r>
      <w:r>
        <w:rPr>
          <w:rFonts w:ascii="Times New Roman;Times" w:hAnsi="Times New Roman;Times"/>
          <w:b/>
          <w:color w:val="000000"/>
          <w:sz w:val="23"/>
          <w:highlight w:val="white"/>
        </w:rPr>
        <w:t>TO TENDER</w:t>
        <w:br/>
        <w:t>OUTSTANDING 6.125% SENIOR NOTES DUE 2017</w:t>
        <w:br/>
        <w:t>OF</w:t>
        <w:br/>
      </w:r>
      <w:r>
        <w:rPr>
          <w:rFonts w:ascii="Times New Roman;Times" w:hAnsi="Times New Roman;Times"/>
          <w:b/>
          <w:color w:val="000000"/>
          <w:sz w:val="27"/>
          <w:highlight w:val="white"/>
        </w:rPr>
        <w:t>PLAINS ALL AMERICAN PIPELINE, L.P.</w:t>
        <w:br/>
      </w:r>
      <w:r>
        <w:rPr>
          <w:rFonts w:ascii="Times New Roman;Times" w:hAnsi="Times New Roman;Times"/>
          <w:b/>
          <w:color w:val="000000"/>
          <w:sz w:val="23"/>
          <w:highlight w:val="white"/>
        </w:rPr>
        <w:t>AND</w:t>
        <w:br/>
      </w:r>
      <w:r>
        <w:rPr>
          <w:rFonts w:ascii="Times New Roman;Times" w:hAnsi="Times New Roman;Times"/>
          <w:b/>
          <w:color w:val="000000"/>
          <w:sz w:val="27"/>
          <w:highlight w:val="white"/>
        </w:rPr>
        <w:t>PAA FINANCE CORP.</w:t>
        <w:br/>
      </w:r>
      <w:r>
        <w:rPr>
          <w:rFonts w:ascii="Times New Roman;Times" w:hAnsi="Times New Roman;Times"/>
          <w:b/>
          <w:color w:val="000000"/>
          <w:sz w:val="23"/>
          <w:highlight w:val="white"/>
        </w:rPr>
        <w:t>PURSUANT TO THE EXCHANGE OFFER AND PROSPECTUS</w:t>
        <w:br/>
        <w:t>DATED          , 2007</w:t>
      </w:r>
      <w:r>
        <w:rPr>
          <w:rFonts w:ascii="Arial;Helvetica" w:hAnsi="Arial;Helvetica"/>
          <w:color w:val="000000"/>
          <w:sz w:val="27"/>
          <w:highlight w:val="white"/>
        </w:rPr>
        <w:t xml:space="preserve"> </w:t>
      </w:r>
    </w:p>
    <w:p>
      <w:pPr>
        <w:pStyle w:val="TextBody"/>
        <w:spacing w:before="360" w:after="283"/>
        <w:rPr/>
      </w:pPr>
      <w:r>
        <w:rPr/>
        <w:t> </w:t>
      </w:r>
    </w:p>
    <w:p>
      <w:pPr>
        <w:pStyle w:val="TextBody"/>
        <w:spacing w:before="0" w:after="0"/>
        <w:ind w:left="0" w:right="0" w:firstLine="240"/>
        <w:jc w:val="left"/>
        <w:rPr>
          <w:rFonts w:ascii="Times New Roman;Times" w:hAnsi="Times New Roman;Times"/>
          <w:color w:val="000000"/>
          <w:sz w:val="17"/>
          <w:highlight w:val="white"/>
          <w:bdr w:val="single" w:sz="2" w:space="12" w:color="000000"/>
        </w:rPr>
      </w:pPr>
      <w:r>
        <w:rPr>
          <w:rFonts w:ascii="Times New Roman;Times" w:hAnsi="Times New Roman;Times"/>
          <w:b/>
          <w:color w:val="000000"/>
          <w:sz w:val="20"/>
          <w:highlight w:val="white"/>
          <w:bdr w:val="single" w:sz="2" w:space="12" w:color="000000"/>
        </w:rPr>
        <w:t>THE EXCHANGE OFFER AND WITHDRAWAL RIGHTS WILL EXPIRE AT 5:00 P.M., NEW YORK CITY TIME, ON          , 2007 (THE EXPIRATION DATE), UNLESS THE EXCHANGE OFFER IS EXTENDED BY THE ISSUERS.</w:t>
      </w:r>
      <w:r>
        <w:rPr>
          <w:rFonts w:ascii="Times New Roman;Times" w:hAnsi="Times New Roman;Times"/>
          <w:color w:val="000000"/>
          <w:sz w:val="17"/>
          <w:highlight w:val="white"/>
          <w:bdr w:val="single" w:sz="2" w:space="12" w:color="000000"/>
        </w:rPr>
        <w:t xml:space="preserve"> </w:t>
      </w:r>
    </w:p>
    <w:p>
      <w:pPr>
        <w:pStyle w:val="TextBody"/>
        <w:spacing w:before="3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7"/>
          <w:highlight w:val="white"/>
        </w:rPr>
        <w:t>The Exchange Agent for the Exchange Offer is: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U.S. Bank Corporate Trust Services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Specialized Finance Dept.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60 Livingston Avenue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St. Paul, MN 55107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Brandi Steward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651-495-4738 </w:t>
      </w:r>
    </w:p>
    <w:p>
      <w:pPr>
        <w:pStyle w:val="TextBody"/>
        <w:spacing w:before="1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If you wish to exchange currently outstanding 6.125% Senior Notes due 2017 (the outstanding notes) for an equal aggregate principal amount at maturity of new 6.125% Senior Notes due 2017 pursuant to the exchange offer, you must validly tender (and not withdraw) outstanding notes to the exchange agent prior to the expiration date.</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undersigned hereby acknowledges receipt of the Prospectus, dated          , 2007 (the Prospectus), of Plains All American Pipeline, L.P. and PAA Finance Corp. (the Issuers), and this Letter of Transmittal (the Letter of Transmittal), which together describe the Issuers offer (the Exchange Offer) to exchange their 6.125% Senior Notes due 2017 (the New Notes) that have been registered under the Securities Act of 1933, as amended (the Securities Act), for a like principal amount of their issued and outstanding 6.125% Senior Notes due 2017 (the Outstanding Notes). Capitalized terms used but not defined herein have the respective meaning given to them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right, at any time or from time to time, to extend the Exchange Offer at their discretion, in which event the term Expiration Date shall mean the latest date to which the Exchange Offer is extended. The Issuers shall notify the Exchange Agent and each registered holder of the Outstanding Notes of any extension by oral or written notice prior to 9:00 a.m., New York City time, on the next business day after the previously scheduled Expiration Date.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Letter of Transmittal is to be used by holders of the Outstanding Notes. Tender of Outstanding Notes is to be made according to the Automated Tender Offer Program (ATOP) of The Depository Trust Company (DTC) pursuant to the procedures set forth in the Prospectus under the caption Exchange Offers  Procedures for Tendering. DTC participants that are accepting the Exchange Offer must transmit their acceptance to DTC, which will verify the acceptance and execute a book-entry delivery to the Exchange Agents DTC account. DTC will then send a computer-generated message known as an agents message to the Exchange Agent for its acceptance. For you to validly tender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your Outstanding Notes in the Exchange Offer, the Exchange Agent must receive, prior to the Expiration Date, an agents message under the ATOP procedures confirming that: </w:t>
      </w:r>
    </w:p>
    <w:p>
      <w:pPr>
        <w:pStyle w:val="TextBody"/>
        <w:spacing w:before="120" w:after="283"/>
        <w:rPr/>
      </w:pPr>
      <w:r>
        <w:rPr/>
        <w:t> </w:t>
      </w:r>
    </w:p>
    <w:p>
      <w:pPr>
        <w:pStyle w:val="TextBody"/>
        <w:spacing w:before="0" w:after="0"/>
        <w:jc w:val="left"/>
        <w:rPr>
          <w:color w:val="000000"/>
          <w:highlight w:val="white"/>
        </w:rPr>
      </w:pPr>
      <w:r>
        <w:rPr>
          <w:color w:val="000000"/>
          <w:highlight w:val="white"/>
        </w:rPr>
        <w:t> </w:t>
      </w:r>
      <w:r>
        <w:rPr>
          <w:rFonts w:ascii="Times New Roman;Times" w:hAnsi="Times New Roman;Times"/>
          <w:color w:val="000000"/>
          <w:sz w:val="17"/>
          <w:highlight w:val="white"/>
        </w:rPr>
        <w:t xml:space="preserve"> DTC has received your instructions to tender your Outstanding Notes; and </w:t>
      </w:r>
    </w:p>
    <w:p>
      <w:pPr>
        <w:pStyle w:val="TextBody"/>
        <w:spacing w:before="120" w:after="283"/>
        <w:rPr/>
      </w:pPr>
      <w:r>
        <w:rPr/>
        <w:t> </w:t>
      </w:r>
    </w:p>
    <w:p>
      <w:pPr>
        <w:pStyle w:val="TextBody"/>
        <w:spacing w:before="0" w:after="0"/>
        <w:jc w:val="left"/>
        <w:rPr>
          <w:color w:val="000000"/>
          <w:highlight w:val="white"/>
        </w:rPr>
      </w:pPr>
      <w:r>
        <w:rPr>
          <w:color w:val="000000"/>
          <w:highlight w:val="white"/>
        </w:rPr>
        <w:t> </w:t>
      </w:r>
      <w:r>
        <w:rPr>
          <w:rFonts w:ascii="Times New Roman;Times" w:hAnsi="Times New Roman;Times"/>
          <w:color w:val="000000"/>
          <w:sz w:val="17"/>
          <w:highlight w:val="white"/>
        </w:rPr>
        <w:t xml:space="preserve"> You agree to be bound by the terms of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 </w:t>
      </w:r>
    </w:p>
    <w:p>
      <w:pPr>
        <w:pStyle w:val="TextBody"/>
        <w:spacing w:before="360" w:after="283"/>
        <w:rPr/>
      </w:pPr>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SIGNATURES MUST BE PROVIDED</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PLEASE READ THE ACCOMPANYING INSTRUCTIONS CAREFULLY.</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Ladies and Gentlemen:</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By tendering Outstanding Notes in the Exchange Offer, you acknowledge receipt of the Prospectus and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By tendering Outstanding Notes in the Exchange Offer, you represent and warrant that you have full authority to tender the Outstanding Notes described above and will, upon request, execute and deliver any additional documents deemed by the Issuers to be necessary or desirable to complete the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You understand that the tender of the Outstanding Notes pursuant to all of the procedures set forth in the Prospectus will constitute an agreement between the undersigned and the Issuers as to the terms and conditions set forth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By tendering Outstanding Notes in the Exchange Offer, you acknowledge that the Exchange Offer is being made in reliance upon interpretations contained in no-action letters issued to third parties by the staff of the Securities and Exchange Commission (the SEC), including Exxon Capital Holdings Corp., SEC No-Action Letter (available April 13, 1989), Morgan Stanley &amp; Co. Inc., SEC No-Action Letter (available June 5, 1991) and Shearman &amp; Sterling, SEC No-Action Letter (available July 2, 1993), that the New Notes issued in exchange for the Outstanding Notes pursuant to the Exchange Offer may be offered for resale, resold and otherwise transferred by holders thereof without compliance with the registration and prospectus delivery provisions of the Securities Act (other than a broker-dealer who purchased Outstanding Notes exchanged for such New Notes directly from the Issuers to resell pursuant to Rule 144A or any other available exemption under the Securities Act of 1933, as amended (the Securities Act) and any such holder that is an affiliate of the Issuers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By tendering Outstanding Notes in the Exchange Offer, you hereby represent and warrant that: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the New Notes acquired pursuant to the Exchange Offer are being obtained in the ordinary course of your business, whether or not you are the holder;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you have no arrangement or understanding with any person to participate in the distribution of Outstanding Notes or New Notes within the meaning of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you are not an affiliate, as such term is defined under Rule 405 promulgated under the Securities Act, of the Issuers;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 if you are not a broker-dealer, that you are not engaged in, and do not intend to engage in, the distribution of the New Notes; and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 if you are a broker-dealer, that you will receive the New Notes for your own account in exchange for Outstanding Notes that were acquired as a result of market-making activities or other trading activities and that you acknowledge that you will deliver a prospectus in connection with any resale of such New Notes.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You may, if you are unable to make all of the representations and warranties contained in Item 5 above and as otherwise permitted in the Registration Rights Agreement (as defined below), elect to have your Outstanding Notes registered in the shelf registration statement described in the Exchange and Registration Rights Agreement, dated as of October 30, 2006 (the Registration Rights Agreement), by and among the Issuers, the Guarantors (as defined therein) and the Initial Purchasers (as defined therein). Such election may be made by notifying the Issuers in writing at 333 Clay Street, Suite 1600, Houston, Texas 77002, Attention: Tim Moore. By making such election, you agree, as a holder of Outstanding Notes participating in a shelf registration, to indemnify and hold harmless the Issuers, each of the directors of the Issuers, each of the officers of the Issuers who signs such shelf registration statement, each person who controls the Issuers within the meaning of either the Securities Act or the Securities Exchange Act of 1934, as amended (the Exchange Act), and each other holder of Outstanding Notes, from and against any and all losses, claims, damages or liabilities caused by any untrue statement or alleged untrue statement of a material fact contained in any shelf registration statement or prospectus, or in any supplement thereto or amendment thereof, or caused by the omission or alleged omission to state therein a material fact required to be stated therein or necessary to make the statements therein, in the light of the circumstances under which they were made, not misleading; but only with respect to information relating to you furnished in writing by you or on your behalf expressly for use in a shelf registration statement, a prospectus or any amendments or supplements thereto.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If you are a broker-dealer that will receive New Notes for your own account in exchange for Outstanding Notes that were acquired as a result of market-making activities or other trading activities, you acknowledge by tendering Outstanding Notes in the Exchange Offer, that you will deliver a prospectus in connection with any resale of such New Notes; however, by so acknowledging and by delivering a prospectus, you will not be deemed to admit that you are an underwriter within the meaning of the Securities Act. If you are a broker-dealer and Outstanding Notes held for your own account were not acquired as a result of market-making or other trading activities, such Outstanding Notes cannot be exchanged pursuant to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of your obligations hereunder shall be binding upon your successors, assigns, executors, administrators, trustees in bankruptcy and legal and personal representatives. </w:t>
      </w:r>
    </w:p>
    <w:p>
      <w:pPr>
        <w:pStyle w:val="TextBody"/>
        <w:spacing w:before="360" w:after="283"/>
        <w:rPr/>
      </w:pPr>
      <w:r>
        <w:rPr/>
        <w:t> </w:t>
      </w:r>
    </w:p>
    <w:p>
      <w:pPr>
        <w:pStyle w:val="TextBody"/>
        <w:spacing w:before="0" w:after="0"/>
        <w:jc w:val="center"/>
        <w:rPr>
          <w:rFonts w:ascii="Times New Roman;Times" w:hAnsi="Times New Roman;Times"/>
          <w:b/>
          <w:color w:val="000000"/>
          <w:sz w:val="17"/>
          <w:highlight w:val="white"/>
        </w:rPr>
      </w:pPr>
      <w:r>
        <w:rPr>
          <w:rFonts w:ascii="Times New Roman;Times" w:hAnsi="Times New Roman;Times"/>
          <w:b/>
          <w:color w:val="000000"/>
          <w:sz w:val="17"/>
          <w:highlight w:val="white"/>
        </w:rPr>
        <w:t>INSTRUCTIONS</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FORMING PART OF THE TERMS AND CONDITIONS OF THE EXCHANGE OFFER</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Book-Entry Confirmations.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confirmation of a book-entry transfer of Outstanding Notes to the Exchange Agents account at DTC (a Book-Entry Confirmation), as well as any agents message and any other documents required by this Letter of Transmittal, must be received by the Exchange Agent at its address set forth herein prior to 5:00 P.M., New York City time, on the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Partial Tenders.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of Outstanding Notes will be accepted only in integral multiples of $1,000. The entire principal amount of Outstanding Notes delivered to the Exchange Agent will be deemed to have been tendered unless otherwise communicated to the Exchange Agent. If the entire principal amount of all Outstanding Notes is not tendered, then Outstanding Notes for the principal amount of Outstanding Notes not tendered and New Notes issued in exchange for any Outstanding Notes accepted will be delivered to the holder via the facilities of DTC promptly after the Outstanding Notes are accepted for exchange.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Validity of Tenders.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questions as to the validity, form, eligibility (including time of receipt), acceptance, and withdrawal of tendered Outstanding Notes will be determined by the Issuers, in their sole discretion, which determination will be final and binding. The Issuers reserve the absolute right to reject any or all tenders not in proper form or the acceptance for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exchange of which may, in the opinion of counsel for the Issuers, be unlawful. The Issuers also reserve the absolute right to waive any of the conditions of the Exchange Offer or any defect or irregularity in the tender of any Outstanding Notes. The Issuers interpretation of the terms and conditions of the Exchange Offer (including the instructions on the Letter of Transmittal) will be final and binding on all parties. Unless waived, any defects or irregularities in connection with tenders of Outstanding Notes must be cured within such time as the Issuers shall determine. Although the Issuers intend to notify holders of defects or irregularities with respect to tenders of Outstanding Notes, neither the Issuers, the Exchange Agent, nor any other person shall be under any duty to give notification of any defects or irregularities in tenders or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Waiver of Conditions.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absolute right to waive, in whole or part, up to the expiration of the Exchange Offer, any of the conditions to the Exchange Offer set forth in the Prospectus or in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No Conditional Tender.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alternative, conditional, irregular or contingent tender of Outstanding Notes will be accepted.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Request for Assistance or Additional Copies.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Withdrawal.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may be withdrawn only pursuant to the limited withdrawal rights set forth in the Prospectus under the caption Exchange Offers  Withdrawal of Tenders.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No Guarantee of Late Delivery.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 of late delivery in the Exchange Offer.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IMPORTANT: BY USING THE ATOP PROCEDURES TO TENDER OUTSTANDING NOTES, YOU WILL NOT BE REQUIRED TO DELIVER THIS LETTER OF TRANSMITTAL TO THE EXCHANGE AGENT. YOU WILL, HOWEVER, BE BOUND BY ITS TERMS, AND YOU WILL BE DEEMED TO HAVE MADE THE ACKNOWLEDGMENTS AND THE REPRESENTATIONS AND WARRANTIES IT CONTAINS, JUST AS IF YOU HAD SIGNED IT.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A-4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right"/>
        <w:rPr>
          <w:rFonts w:ascii="Arial;Helvetica" w:hAnsi="Arial;Helvetica"/>
          <w:color w:val="000000"/>
          <w:sz w:val="17"/>
          <w:highlight w:val="white"/>
        </w:rPr>
      </w:pPr>
      <w:r>
        <w:rPr>
          <w:rFonts w:ascii="Times New Roman;Times" w:hAnsi="Times New Roman;Times"/>
          <w:b/>
          <w:color w:val="000000"/>
          <w:sz w:val="17"/>
          <w:highlight w:val="white"/>
        </w:rPr>
        <w:t>ANNEX B</w:t>
      </w:r>
      <w:r>
        <w:rPr>
          <w:rFonts w:ascii="Arial;Helvetica" w:hAnsi="Arial;Helvetica"/>
          <w:color w:val="000000"/>
          <w:sz w:val="17"/>
          <w:highlight w:val="white"/>
        </w:rPr>
        <w:t xml:space="preserve"> </w:t>
      </w:r>
    </w:p>
    <w:p>
      <w:pPr>
        <w:pStyle w:val="TextBody"/>
        <w:spacing w:before="240" w:after="283"/>
        <w:rPr/>
      </w:pPr>
      <w:r>
        <w:rPr/>
        <w:t> </w:t>
      </w:r>
    </w:p>
    <w:p>
      <w:pPr>
        <w:pStyle w:val="TextBody"/>
        <w:spacing w:before="0" w:after="0"/>
        <w:jc w:val="center"/>
        <w:rPr>
          <w:rFonts w:ascii="Arial;Helvetica" w:hAnsi="Arial;Helvetica"/>
          <w:color w:val="000000"/>
          <w:sz w:val="27"/>
          <w:highlight w:val="white"/>
        </w:rPr>
      </w:pPr>
      <w:bookmarkStart w:id="16" w:name="114"/>
      <w:bookmarkEnd w:id="16"/>
      <w:r>
        <w:rPr>
          <w:rFonts w:ascii="Times New Roman;Times" w:hAnsi="Times New Roman;Times"/>
          <w:b/>
          <w:color w:val="000000"/>
          <w:sz w:val="27"/>
          <w:highlight w:val="white"/>
        </w:rPr>
        <w:t>LETTER OF TRANSMITTAL</w:t>
      </w:r>
      <w:r>
        <w:rPr>
          <w:rFonts w:ascii="Arial;Helvetica" w:hAnsi="Arial;Helvetica"/>
          <w:color w:val="000000"/>
          <w:sz w:val="2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TO TENDER</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OUTSTANDING 6.650% SENIOR NOTES DUE 2037</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OF</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7"/>
          <w:highlight w:val="white"/>
        </w:rPr>
        <w:t>PLAINS ALL AMERICAN PIPELINE, L.P.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AND</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7"/>
          <w:highlight w:val="white"/>
        </w:rPr>
        <w:t>PAA FINANCE CORP.</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PURSUANT TO THE EXCHANGE OFFER AND PROSPECTUS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DATED          , 2007</w:t>
      </w:r>
      <w:r>
        <w:rPr>
          <w:rFonts w:ascii="Times New Roman;Times" w:hAnsi="Times New Roman;Times"/>
          <w:color w:val="000000"/>
          <w:sz w:val="17"/>
          <w:highlight w:val="white"/>
        </w:rPr>
        <w:t xml:space="preserve"> </w:t>
      </w:r>
    </w:p>
    <w:p>
      <w:pPr>
        <w:pStyle w:val="TextBody"/>
        <w:spacing w:before="320" w:after="283"/>
        <w:rPr/>
      </w:pPr>
      <w:r>
        <w:rPr/>
        <w:t> </w:t>
      </w:r>
    </w:p>
    <w:p>
      <w:pPr>
        <w:pStyle w:val="TextBody"/>
        <w:spacing w:before="0" w:after="0"/>
        <w:ind w:left="0" w:right="0" w:firstLine="240"/>
        <w:jc w:val="left"/>
        <w:rPr>
          <w:rFonts w:ascii="Times New Roman;Times" w:hAnsi="Times New Roman;Times"/>
          <w:color w:val="000000"/>
          <w:sz w:val="17"/>
          <w:highlight w:val="white"/>
          <w:bdr w:val="single" w:sz="2" w:space="12" w:color="000000"/>
        </w:rPr>
      </w:pPr>
      <w:r>
        <w:rPr>
          <w:rFonts w:ascii="Times New Roman;Times" w:hAnsi="Times New Roman;Times"/>
          <w:b/>
          <w:color w:val="000000"/>
          <w:sz w:val="20"/>
          <w:highlight w:val="white"/>
          <w:bdr w:val="single" w:sz="2" w:space="12" w:color="000000"/>
        </w:rPr>
        <w:t>THE EXCHANGE OFFER AND WITHDRAWAL RIGHTS WILL EXPIRE AT 5:00 P.M., NEW YORK CITY TIME, ON          , 2007 (THE EXPIRATION DATE), UNLESS THE EXCHANGE OFFER IS EXTENDED BY THE ISSUERS.</w:t>
      </w:r>
      <w:r>
        <w:rPr>
          <w:rFonts w:ascii="Times New Roman;Times" w:hAnsi="Times New Roman;Times"/>
          <w:color w:val="000000"/>
          <w:sz w:val="17"/>
          <w:highlight w:val="white"/>
          <w:bdr w:val="single" w:sz="2" w:space="12" w:color="000000"/>
        </w:rPr>
        <w:t xml:space="preserve"> </w:t>
      </w:r>
    </w:p>
    <w:p>
      <w:pPr>
        <w:pStyle w:val="TextBody"/>
        <w:spacing w:before="3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i/>
          <w:color w:val="000000"/>
          <w:sz w:val="17"/>
          <w:highlight w:val="white"/>
        </w:rPr>
        <w:t>The Exchange Agent for the Exchange Offer is:</w:t>
      </w:r>
      <w:r>
        <w:rPr>
          <w:rFonts w:ascii="Times New Roman;Times" w:hAnsi="Times New Roman;Times"/>
          <w:color w:val="000000"/>
          <w:sz w:val="17"/>
          <w:highlight w:val="white"/>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0"/>
          <w:highlight w:val="white"/>
        </w:rPr>
        <w:t>U.S. Bank Corporate Trust Services</w:t>
      </w:r>
      <w:r>
        <w:rPr>
          <w:rFonts w:ascii="Times New Roman;Times" w:hAnsi="Times New Roman;Times"/>
          <w:color w:val="000000"/>
          <w:sz w:val="17"/>
          <w:highlight w:val="white"/>
        </w:rPr>
        <w:t xml:space="preserv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Specialized Finance Dept.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60 Livingston Avenue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St. Paul, MN 55107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Attention: Brandi Steward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Telephone: 651-495-4738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If you wish to exchange currently outstanding 6.650% Senior Notes due 2037 (the outstanding notes) for an equal aggregate principal amount at maturity of new 6.650% Senior Notes due 2037 pursuant to the exchange offer, you must validly tender (and not withdraw) outstanding notes to the exchange agent prior to the expiration date.</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undersigned hereby acknowledges receipt of the Prospectus, dated          , 2007 (the Prospectus), of Plains All American Pipeline, L.P. and PAA Finance Corp. (the Issuers), and this Letter of Transmittal (the Letter of Transmittal), which together describe the Issuers offer (the Exchange Offer) to exchange their 6.650% Senior Notes due 2037 (the New Notes) that have been registered under the Securities Act of 1933, as amended (the Securities Act), for a like principal amount of their issued and outstanding 6.650% Senior Notes due 2037 (the Outstanding Notes). Capitalized terms used but not defined herein have the respective meaning given to them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right, at any time or from time to time, to extend the Exchange Offer at their discretion, in which event the term Expiration Date shall mean the latest date to which the Exchange Offer is extended. The Issuers shall notify the Exchange Agent and each registered holder of the Outstanding Notes of any extension by oral or written notice prior to 9:00 a.m., New York City time, on the next business day after the previously scheduled Expiration Date.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This Letter of Transmittal is to be used by holders of the Outstanding Notes. Tender of Outstanding Notes is to be made according to the Automated Tender Offer Program (ATOP) of The Depository Trust Company (DTC) pursuant to the procedures set forth in the Prospectus under the caption Exchange Offers  Procedures for Tendering. DTC participants that are accepting the Exchange Offer must transmit their acceptance to DTC, which will verify the acceptance and execute a book-entry delivery to the Exchange Agents DTC account. DTC will then send a computer-generated message known as an agents message to the Exchange Agent for its acceptance. For you to validly tender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B-1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your Outstanding Notes in the Exchange Offer, the Exchange Agent must receive, prior to the Expiration Date, an agents message under the ATOP procedures confirming that: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 DTC has received your instructions to tender your Outstanding Notes;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 You agree to be bound by the terms of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USING THE ATOP PROCEDURES TO TENDER OUTSTANDING NOTES, YOU WILL NOT BE REQUIRED TO DELIVER THIS LETTER OF TRANSMITTAL TO THE EXCHANGE AGENT. HOWEVER, YOU WILL BE BOUND BY ITS TERMS, AND YOU WILL BE DEEMED TO HAVE MADE THE ACKNOWLEDGMENTS AND THE REPRESENTATIONS AND WARRANTIES IT CONTAINS, JUST AS IF YOU HAD SIGNED IT.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SIGNATURES MUST BE PROVIDED</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PLEASE READ THE ACCOMPANYING INSTRUCTIONS CAREFULLY.</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Ladies and Gentlemen:</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By tendering Outstanding Notes in the Exchange Offer, you acknowledge receipt of the Prospectus and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By tendering Outstanding Notes in the Exchange Offer, you represent and warrant that you have full authority to tender the Outstanding Notes described above and will, upon request, execute and deliver any additional documents deemed by the Issuers to be necessary or desirable to complete the tender of Outstanding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You understand that the tender of the Outstanding Notes pursuant to all of the procedures set forth in the Prospectus will constitute an agreement between the undersigned and the Issuers as to the terms and conditions set forth in the Prospectus.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By tendering Outstanding Notes in the Exchange Offer, you acknowledge that the Exchange Offer is being made in reliance upon interpretations contained in no-action letters issued to third parties by the staff of the Securities and Exchange Commission (the SEC), including Exxon Capital Holdings Corp., SEC No-Action Letter (available April 13, 1989), Morgan Stanley &amp; Co. Inc., SEC No-Action Letter (available June 5, 1991) and Shearman &amp; Sterling, SEC No-Action Letter (available July 2, 1993), that the New Notes issued in exchange for the Outstanding Notes pursuant to the Exchange Offer may be offered for resale, resold and otherwise transferred by holders thereof without compliance with the registration and prospectus delivery provisions of the Securities Act (other than a broker-dealer who purchased Outstanding Notes exchanged for such New Notes directly from the Issuers to resell pursuant to Rule 144A or any other available exemption under the Securities Act of 1933, as amended (the Securities Act) and any such holder that is an affiliate of the Issuers within the meaning of Rule 405 under the Securities Act), provided that such New Notes are acquired in the ordinary course of such holders business and such holders are not participating in, and have no arrangement with any other person to participate in, the distribution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By tendering Outstanding Notes in the Exchange Offer, you hereby represent and warrant that: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the New Notes acquired pursuant to the Exchange Offer are being obtained in the ordinary course of your business, whether or not you are the holder;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you have no arrangement or understanding with any person to participate in the distribution of Outstanding Notes or New Notes within the meaning of the Securities Act;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you are not an affiliate, as such term is defined under Rule 405 promulgated under the Securities Act, of the Issuers;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 if you are not a broker-dealer, that you are not engaged in, and do not intend to engage in, the distribution of the New Notes; and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B-2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 if you are a broker-dealer, that you will receive the New Notes for your own account in exchange for Outstanding Notes that were acquired as a result of market-making activities or other trading activities and that you acknowledge that you will deliver a prospectus in connection with any resale of such New Notes.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You may, if you are unable to make all of the representations and warranties contained in Item 5 above and as otherwise permitted in the Registration Rights Agreement (as defined below), elect to have your Outstanding Notes registered in the shelf registration statement described in the Exchange and Registration Rights Agreement, dated as of October 30, 2006 (the Registration Rights Agreement), by and among the Issuers, the Guarantors (as defined therein) and the Initial Purchasers (as defined therein). Such election may be made by notifying the Issuers in writing at 333 Clay Street, Suite 1600, Houston, Texas 77002, Attention: Tim Moore. By making such election, you agree, as a holder of Outstanding Notes participating in a shelf registration, to indemnify and hold harmless the Issuers, each of the directors of the Issuers, each of the officers of the Issuers who signs such shelf registration statement, each person who controls the Issuers within the meaning of either the Securities Act or the Securities Exchange Act of 1934, as amended (the Exchange Act), and each other holder of Outstanding Notes, from and against any and all losses, claims, damages or liabilities caused by any untrue statement or alleged untrue statement of a material fact contained in any shelf registration statement or prospectus, or in any supplement thereto or amendment thereof, or caused by the omission or alleged omission to state therein a material fact required to be stated therein or necessary to make the statements therein, in the light of the circumstances under which they were made, not misleading; but only with respect to information relating to you furnished in writing by you or on your behalf expressly for use in a shelf registration statement, a prospectus or any amendments or supplements thereto. Any such indemnification shall be governed by the terms and subject to the conditions set forth in the Registration Rights Agreement, including, without limitation, the provisions regarding notice, retention of counsel, contribution and payment of expenses set forth therein. The above summary of the indemnification provision of the Registration Rights Agreement is not intended to be exhaustive and is qualified in its entirety by the Registration Rights Agreement.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If you are a broker-dealer that will receive New Notes for your own account in exchange for Outstanding Notes that were acquired as a result of market-making activities or other trading activities, you acknowledge by tendering Outstanding Notes in the Exchange Offer, that you will deliver a prospectus in connection with any resale of such New Notes; however, by so acknowledging and by delivering a prospectus, you will not be deemed to admit that you are an underwriter within the meaning of the Securities Act. If you are a broker-dealer and Outstanding Notes held for your own account were not acquired as a result of market-making or other trading activities, such Outstanding Notes cannot be exchanged pursuant to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Any of your obligations hereunder shall be binding upon your successors, assigns, executors, administrators, trustees in bankruptcy and legal and personal representatives.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INSTRUCTIONS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FORMING PART OF THE TERMS AND CONDITIONS OF THE EXCHANGE OFFER</w:t>
      </w:r>
      <w:r>
        <w:rPr>
          <w:rFonts w:ascii="Times New Roman;Times" w:hAnsi="Times New Roman;Times"/>
          <w:color w:val="000000"/>
          <w:sz w:val="17"/>
          <w:highlight w:val="white"/>
        </w:rPr>
        <w:t xml:space="preserve"> </w:t>
      </w:r>
    </w:p>
    <w:p>
      <w:pPr>
        <w:pStyle w:val="TextBody"/>
        <w:spacing w:before="24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Book-Entry Confirmations.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Any confirmation of a book-entry transfer of Outstanding Notes to the Exchange Agents account at DTC (a Book-Entry Confirmation), as well as any agents message and any other documents required by this Letter of Transmittal, must be received by the Exchange Agent at its address set forth herein prior to 5:00 P.M., New York City time, on the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Partial Tenders.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of Outstanding Notes will be accepted only in integral multiples of $1,000. The entire principal amount of Outstanding Notes delivered to the Exchange Agent will be deemed to have been tendered unless otherwise communicated to the Exchange Agent. If the entire principal amount of all Outstanding Notes is not tendered, then Outstanding Notes for the principal amount of Outstanding Notes not tendered and New Notes issued in exchange for any Outstanding Notes accepted will be delivered to the holder via the facilities of DTC promptly after the Outstanding Notes are accepted for exchange.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B-3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Validity of Tenders.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All questions as to the validity, form, eligibility (including time of receipt), acceptance, and withdrawal of tendered Outstanding Notes will be determined by the Issuers, in their sole discretion, which determination will be final and binding. The Issuers reserve the absolute right to reject any or all tenders not in proper form or the acceptance for exchange of which may, in the opinion of counsel for the Issuers, be unlawful. The Issuers also reserve the absolute right to waive any of the conditions of the Exchange Offer or any defect or irregularity in the tender of any Outstanding Notes. The Issuers interpretation of the terms and conditions of the Exchange Offer (including the instructions on the Letter of Transmittal) will be final and binding on all parties. Unless waived, any defects or irregularities in connection with tenders of Outstanding Notes must be cured within such time as the Issuers shall determine. Although the Issuers intend to notify holders of defects or irregularities with respect to tenders of Outstanding Notes, neither the Issuers, the Exchange Agent, nor any other person shall be under any duty to give notification of any defects or irregularities in tenders or incur any liability for failure to give such notification. Tenders of Outstanding Notes will not be deemed to have been made until such defects or irregularities have been cured or waived. Any Outstanding Notes received by the Exchange Agent that are not properly tendered and as to which the defects or irregularities have not been cured or waived will be returned by the Exchange Agent to the tendering holders, unless otherwise provided in the Letter of Transmittal, as soon as practicable following the Expiration Date.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Waiver of Conditions.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Issuers reserve the absolute right to waive, in whole or part, up to the expiration of the Exchange Offer, any of the conditions to the Exchange Offer set forth in the Prospectus or in this Letter of Transmittal.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No Conditional Tender.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No alternative, conditional, irregular or contingent tender of Outstanding Notes will be accepted.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6. Request for Assistance or Additional Copies.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Requests for assistance or for additional copies of the Prospectus or this Letter of Transmittal may be directed to the Exchange Agent at the address or telephone number set forth on the cover page of this Letter of Transmittal. Holders may also contact their broker, dealer, commercial bank, trust company or other nominee for assistance concerning the Exchange Offer.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7. Withdrawal.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Tenders may be withdrawn only pursuant to the limited withdrawal rights set forth in the Prospectus under the caption Exchange Offers  Withdrawal of Tenders.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8. No Guarantee of Late Delivery.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There is no procedure for guarantee of late delivery in the Exchange Offer.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IMPORTANT: BY USING THE ATOP PROCEDURES TO TENDER OUTSTANDING NOTES, YOU WILL NOT BE REQUIRED TO DELIVER THIS LETTER OF TRANSMITTAL TO THE EXCHANGE AGENT. YOU WILL, HOWEVER, BE BOUND BY ITS TERMS, AND YOU WILL BE DEEMED TO HAVE MADE THE ACKNOWLEDGMENTS AND THE REPRESENTATIONS AND WARRANTIES IT CONTAINS, JUST AS IF YOU HAD SIGNED IT.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B-4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PART II</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INFORMATION NOT REQUIRED IN PROSPECTUS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918"/>
        <w:gridCol w:w="9287"/>
      </w:tblGrid>
      <w:tr>
        <w:trPr/>
        <w:tc>
          <w:tcPr>
            <w:tcW w:w="918" w:type="dxa"/>
            <w:tcBorders/>
            <w:shd w:fill="FFFFFF" w:val="clear"/>
            <w:vAlign w:val="center"/>
          </w:tcPr>
          <w:p>
            <w:pPr>
              <w:pStyle w:val="TableContents"/>
              <w:spacing w:before="0" w:after="283"/>
              <w:rPr>
                <w:sz w:val="4"/>
                <w:szCs w:val="4"/>
              </w:rPr>
            </w:pPr>
            <w:r>
              <w:rPr>
                <w:sz w:val="4"/>
                <w:szCs w:val="4"/>
              </w:rPr>
            </w:r>
          </w:p>
        </w:tc>
        <w:tc>
          <w:tcPr>
            <w:tcW w:w="9287" w:type="dxa"/>
            <w:tcBorders/>
            <w:shd w:fill="FFFFFF" w:val="clear"/>
            <w:vAlign w:val="center"/>
          </w:tcPr>
          <w:p>
            <w:pPr>
              <w:pStyle w:val="TableContents"/>
              <w:spacing w:before="0" w:after="283"/>
              <w:rPr>
                <w:sz w:val="4"/>
                <w:szCs w:val="4"/>
              </w:rPr>
            </w:pPr>
            <w:r>
              <w:rPr>
                <w:sz w:val="4"/>
                <w:szCs w:val="4"/>
              </w:rPr>
            </w:r>
          </w:p>
        </w:tc>
      </w:tr>
      <w:tr>
        <w:trPr/>
        <w:tc>
          <w:tcPr>
            <w:tcW w:w="918" w:type="dxa"/>
            <w:tcBorders/>
            <w:shd w:fill="FFFFFF" w:val="clear"/>
          </w:tcPr>
          <w:p>
            <w:pPr>
              <w:pStyle w:val="TableContents"/>
              <w:spacing w:before="0" w:after="283"/>
              <w:rPr/>
            </w:pPr>
            <w:r>
              <w:rPr>
                <w:rFonts w:ascii="Times New Roman;Times" w:hAnsi="Times New Roman;Times"/>
                <w:b/>
              </w:rPr>
              <w:t>Item 20.  </w:t>
            </w:r>
            <w:r>
              <w:rPr/>
              <w:t xml:space="preserve"> </w:t>
            </w:r>
          </w:p>
        </w:tc>
        <w:tc>
          <w:tcPr>
            <w:tcW w:w="9287" w:type="dxa"/>
            <w:tcBorders/>
            <w:shd w:fill="FFFFFF" w:val="clear"/>
          </w:tcPr>
          <w:p>
            <w:pPr>
              <w:pStyle w:val="TableContents"/>
              <w:spacing w:before="0" w:after="283"/>
              <w:rPr/>
            </w:pPr>
            <w:r>
              <w:rPr>
                <w:rFonts w:ascii="Times New Roman;Times" w:hAnsi="Times New Roman;Times"/>
                <w:b/>
                <w:i/>
              </w:rPr>
              <w:t>Indemnification of Officers and Directors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17-108 of the Delaware Revised Limited Partnership Act empowers a Delaware limited partnership to indemnify and hold harmless any partner or other person from and against all claims and demands whatsoever. The partnership agreement of Plains All American Pipeline provides that Plains All American Pipeline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and, with respect to any criminal proceeding, had no reasonable cause to believe his, her or its conduct was unlawful. Any indemnification under these provisions will be only out of the assets of Plains All American Pipeline, and the general partner shall not be personally liable for, or have any obligation to contribute or loan funds or assets to Plains All American Pipeline to enable it to effectuate, such indemnification. Plains All American Pipeline is authorized to purchase (or to reimburse the general partner or its affiliates for the cost of) insurance against liabilities asserted against and expenses incurred by such persons in connection with Plains All American Pipelines activities, regardless of whether Plains All American Pipeline would have the power to indemnify such person against such liabilities under the provisions described above.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 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917"/>
        <w:gridCol w:w="9288"/>
      </w:tblGrid>
      <w:tr>
        <w:trPr/>
        <w:tc>
          <w:tcPr>
            <w:tcW w:w="917" w:type="dxa"/>
            <w:tcBorders/>
            <w:shd w:fill="FFFFFF" w:val="clear"/>
            <w:vAlign w:val="center"/>
          </w:tcPr>
          <w:p>
            <w:pPr>
              <w:pStyle w:val="TableContents"/>
              <w:spacing w:before="0" w:after="283"/>
              <w:rPr>
                <w:sz w:val="4"/>
                <w:szCs w:val="4"/>
              </w:rPr>
            </w:pPr>
            <w:r>
              <w:rPr>
                <w:sz w:val="4"/>
                <w:szCs w:val="4"/>
              </w:rPr>
            </w:r>
          </w:p>
        </w:tc>
        <w:tc>
          <w:tcPr>
            <w:tcW w:w="9288" w:type="dxa"/>
            <w:tcBorders/>
            <w:shd w:fill="FFFFFF" w:val="clear"/>
            <w:vAlign w:val="center"/>
          </w:tcPr>
          <w:p>
            <w:pPr>
              <w:pStyle w:val="TableContents"/>
              <w:spacing w:before="0" w:after="283"/>
              <w:rPr>
                <w:sz w:val="4"/>
                <w:szCs w:val="4"/>
              </w:rPr>
            </w:pPr>
            <w:r>
              <w:rPr>
                <w:sz w:val="4"/>
                <w:szCs w:val="4"/>
              </w:rPr>
            </w:r>
          </w:p>
        </w:tc>
      </w:tr>
      <w:tr>
        <w:trPr/>
        <w:tc>
          <w:tcPr>
            <w:tcW w:w="917" w:type="dxa"/>
            <w:tcBorders/>
            <w:shd w:fill="FFFFFF" w:val="clear"/>
          </w:tcPr>
          <w:p>
            <w:pPr>
              <w:pStyle w:val="TableContents"/>
              <w:spacing w:before="0" w:after="283"/>
              <w:rPr/>
            </w:pPr>
            <w:r>
              <w:rPr>
                <w:rFonts w:ascii="Times New Roman;Times" w:hAnsi="Times New Roman;Times"/>
                <w:b/>
              </w:rPr>
              <w:t>Item 21.  </w:t>
            </w:r>
            <w:r>
              <w:rPr/>
              <w:t xml:space="preserve"> </w:t>
            </w:r>
          </w:p>
        </w:tc>
        <w:tc>
          <w:tcPr>
            <w:tcW w:w="9288" w:type="dxa"/>
            <w:tcBorders/>
            <w:shd w:fill="FFFFFF" w:val="clear"/>
          </w:tcPr>
          <w:p>
            <w:pPr>
              <w:pStyle w:val="TableContents"/>
              <w:spacing w:before="0" w:after="283"/>
              <w:rPr/>
            </w:pPr>
            <w:r>
              <w:rPr>
                <w:rFonts w:ascii="Times New Roman;Times" w:hAnsi="Times New Roman;Times"/>
                <w:b/>
                <w:i/>
              </w:rPr>
              <w:t>Exhibits and Financial Statement Schedules</w:t>
            </w:r>
            <w:r>
              <w:rPr/>
              <w:t xml:space="preserve"> </w:t>
            </w:r>
          </w:p>
        </w:tc>
      </w:tr>
    </w:tbl>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247"/>
        <w:gridCol w:w="203"/>
        <w:gridCol w:w="395"/>
        <w:gridCol w:w="124"/>
        <w:gridCol w:w="383"/>
        <w:gridCol w:w="124"/>
        <w:gridCol w:w="8729"/>
      </w:tblGrid>
      <w:tr>
        <w:trPr/>
        <w:tc>
          <w:tcPr>
            <w:tcW w:w="247"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right"/>
              <w:rPr/>
            </w:pPr>
            <w:r>
              <w:rPr/>
              <w:t> </w:t>
            </w:r>
          </w:p>
        </w:tc>
        <w:tc>
          <w:tcPr>
            <w:tcW w:w="395"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8729" w:type="dxa"/>
            <w:tcBorders/>
            <w:shd w:fill="FFFFFF" w:val="clear"/>
            <w:vAlign w:val="bottom"/>
          </w:tcPr>
          <w:p>
            <w:pPr>
              <w:pStyle w:val="TableContents"/>
              <w:spacing w:before="0" w:after="283"/>
              <w:rPr/>
            </w:pPr>
            <w:r>
              <w:rPr/>
              <w:t>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Indenture dated September 25, 2002 among Plains All American Pipeline, L.P., PAA Finance Corp. and Wachovia Bank, National Association (incorporated by reference to Exhibit 4.1 to Quarterly Report on Form 10-Q for the quarter ended September 30, 2002)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.2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Quarterly Report on Form 10-Q for the quarter ended September 30, 2002)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.3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Annual Report on Form 10-K for the year ended December 31, 2003)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.4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Third Supplemental Indenture (Series A and Series B 4.750% Senior Notes due 2009) dated August 12, 2004 among Plains All American Pipeline, L.P., PAA Finance Corp., the Subsidiary Guarantors named therein and Wachovia, National Association (incorporated by reference to Exhibit 4.4 to the Registration Statement on Form S-4, File No. 333-121168)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.5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Fourth Supplemental Indenture (Series A and Series B 5.875% Senior Notes due 2016) dated August 12, 2004 among Plains All American Pipeline, L.P., PAA Finance Corp., the Subsidiary Guarantors named therein and Wachovia, National Association (incorporated by reference to Exhibit 4.5 to the Registration Statement on Form S-4, File No. 333-121168)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.6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Fifth Supplemental Indenture (Series A and Series B 5.25% Senior Notes due 2015) dated May 27, 2005 among Plains All American Pipeline, L.P., PAA Finance Corp., the Subsidiary Guarantors named therein and Wachovia Bank, National Association (incorporated by reference to Exhibit 4.1 to Current Report on Form 8-K filed May 31, 2005)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.7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Sixth Supplemental Indenture (Series A and Series B 6.70% Senior Notes due 2036) dated May 12, 2006 among Plains All American Pipeline, L.P., PAA Finance Corp., the Subsidiary Guarantors named therein and Wachovia Bank, National Association (incorporated by reference to Exhibit 4.1 to Current Report on Form 8-K filed May 12,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.8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Exchange and Registration Rights Agreement, dated as of May 12, 2006, among Plains All American Pipeline, L.P., PAA Finance Corp., the Guarantors named therein and the Initial Purchasers named therein (incorporated by reference to Exhibit 4.2 to Current Report on Form 8-K filed May 12,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.9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Seventh Supplemental Indenture, dated as of May 12, 2006, to Indenture, dated as of September 25, 2002, among Plains All American Pipeline, L.P., PAA Finance Corp., Plains LPG Services GP LLC, Plains LPG Services, L.P. and Lone Star Trucking, LLC and Wachovia Bank, National Association (incorporated by reference to Exhibit 4.3 to Current Report on Form 8-K filed May 12,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.10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Eighth Supplemental Indenture, dated as of August 25, 2006, to Indenture, dated as of September 25, 2002, among Plains All American Pipeline, L.P., PAA Finance Corp., Plains Marketing International GP LLC, Plains Marketing International, L.P. and Plains LPG Marketing, L.P. and Wachovia Bank, National Association (incorporated by reference to Exhibit 4.1 to Current Report on Form 8-K filed August 25,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.11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Ninth Supplemental Indenture (Series A and Series B 6.125% Senior Notes due 2017), dated as of October 30, 2006, to Indenture, dated as of September 25, 2002, among Plains All American Pipeline, L.P., PAA Finance Corp. and subsidiary guarantors signatory thereto and U.S. Bank National Association, as trustee (incorporated by reference to Exhibit 4.1 to the Current Report on Form 8-K filed October 30,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.12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Tenth Supplemental Indenture (Series A and Series B 6.650% Senior Notes due 2037), dated as of October 30, 2006, to Indenture, dated as of September 25, 2002, among Plains All American Pipeline, L.P., PAA Finance Corp. and subsidiary guarantors signatory thereto and U.S. Bank National Association, as trustee (incorporated by reference to Exhibit 4.2 to the Current Report on Form 8-K filed October 30, 2006)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247"/>
        <w:gridCol w:w="201"/>
        <w:gridCol w:w="392"/>
        <w:gridCol w:w="123"/>
        <w:gridCol w:w="383"/>
        <w:gridCol w:w="123"/>
        <w:gridCol w:w="8736"/>
      </w:tblGrid>
      <w:tr>
        <w:trPr/>
        <w:tc>
          <w:tcPr>
            <w:tcW w:w="247"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right"/>
              <w:rPr/>
            </w:pPr>
            <w:r>
              <w:rPr/>
              <w:t> </w:t>
            </w:r>
          </w:p>
        </w:tc>
        <w:tc>
          <w:tcPr>
            <w:tcW w:w="39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8736" w:type="dxa"/>
            <w:tcBorders/>
            <w:shd w:fill="FFFFFF" w:val="clear"/>
            <w:vAlign w:val="bottom"/>
          </w:tcPr>
          <w:p>
            <w:pPr>
              <w:pStyle w:val="TableContents"/>
              <w:spacing w:before="0" w:after="283"/>
              <w:rPr/>
            </w:pPr>
            <w:r>
              <w:rPr/>
              <w:t>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.13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 relating to the 2017 Notes (incorporated by reference to Exhibit 4.3 to the Current Report on Form 8-K filed October 30,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.14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Inc. and Wells Fargo Securities, LLC relating to the 2037 Notes (incorporated by reference to Exhibit 4.4 to the Current Report on Form 8-K filed October 30,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.15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Eleventh Supplemental Indenture dated November 15, 2006 to Indenture dated as of September 25, 2002, among Plains All American Pipeline, L.P., PAA Finance Corp., the guarantors named therein and U.S. Bank National Association, as trustee (incorporated by reference to Exhibit 4.1 to the Current Report on Form 8-K filed November 21,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.16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Indenture dated June 16, 2004 among Pacific Energy Partners, L.P. and Pacific Energy Finance Corporation, the guarantors named therein and Wells Fargo Bank, National Association, as trustee of the 71/8% senior notes due 2014 (incorporated by reference to Exhibit 4.21 to Pacifics Quarterly Report on Form 10-Q for the quarter ended June 30, 2004)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.17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First Supplemental Indenture dated March 3, 2005 among Pacific Energy Partners, L.P. and Pacific Energy Finance Corporation, the guarantors named therein and Wells Fargo Bank, National Association, as trustee of the 71/8% senior notes due 2014 (incorporated by reference to Exhibit 4.1 to Pacifics Current Report on Form 8-K filed March 9, 2005)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.18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Second Supplemental Indenture dated September 23, 2005 among Pacific Energy Partners, L.P. and Pacific Energy Finance Corporation, the guarantors named therein and Wells Fargo Bank, National Association, as trustee of the 71/8% senior notes due 2014 (incorporated by reference to Exhibit 4.17 to the Annual Report on Form 10-K for the year ended December 31,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.19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Third Supplemental Indenture dated November 15, 2006 to Indenture dated as of June 16, 2004, among Plains All American Pipeline, L.P., Pacific Energy Finance Corporation, the guarantors named therein and Wells Fargo Bank, National Association, as trustee (incorporated by reference to Exhibit 4.2 to the Current Report on Form 8-K filed November 21,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.20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Indenture dated September 23, 2005 among Pacific Energy Partners, L.P. and Pacific Energy Finance Corporation, the guarantors named therein and Wells Fargo Bank, National Association, as trustee of the 61/4% senior notes due 2015 (incorporated by reference to Exhibit 4.1 to Pacifics Current Report on Form 8-K filed September 28, 2005)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.21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First Supplemental Indenture dated November 15, 2006 to Indenture dated as of September 23, 2005, among Plains All American Pipeline, L.P., Pacific Energy Finance Corporation, the guarantors named therein and Wells Fargo Bank, National Association, as trustee (incorporated by reference to Exhibit 4.3 to the Current Report on Form 8-K filed November 21, 2006)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II-3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251"/>
        <w:gridCol w:w="328"/>
        <w:gridCol w:w="454"/>
        <w:gridCol w:w="126"/>
        <w:gridCol w:w="394"/>
        <w:gridCol w:w="126"/>
        <w:gridCol w:w="8526"/>
      </w:tblGrid>
      <w:tr>
        <w:trPr/>
        <w:tc>
          <w:tcPr>
            <w:tcW w:w="251" w:type="dxa"/>
            <w:tcBorders/>
            <w:shd w:fill="FFFFFF" w:val="clear"/>
            <w:vAlign w:val="bottom"/>
          </w:tcPr>
          <w:p>
            <w:pPr>
              <w:pStyle w:val="TableContents"/>
              <w:spacing w:before="0" w:after="283"/>
              <w:jc w:val="right"/>
              <w:rPr/>
            </w:pPr>
            <w:r>
              <w:rPr/>
              <w:t> </w:t>
            </w:r>
          </w:p>
        </w:tc>
        <w:tc>
          <w:tcPr>
            <w:tcW w:w="328" w:type="dxa"/>
            <w:tcBorders/>
            <w:shd w:fill="FFFFFF" w:val="clear"/>
            <w:vAlign w:val="bottom"/>
          </w:tcPr>
          <w:p>
            <w:pPr>
              <w:pStyle w:val="TableContents"/>
              <w:spacing w:before="0" w:after="283"/>
              <w:jc w:val="right"/>
              <w:rPr/>
            </w:pPr>
            <w:r>
              <w:rPr/>
              <w:t> </w:t>
            </w:r>
          </w:p>
        </w:tc>
        <w:tc>
          <w:tcPr>
            <w:tcW w:w="45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rPr/>
            </w:pPr>
            <w:r>
              <w:rPr/>
              <w:t> </w:t>
            </w:r>
          </w:p>
        </w:tc>
        <w:tc>
          <w:tcPr>
            <w:tcW w:w="39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8526" w:type="dxa"/>
            <w:tcBorders/>
            <w:shd w:fill="FFFFFF" w:val="clear"/>
            <w:vAlign w:val="bottom"/>
          </w:tcPr>
          <w:p>
            <w:pPr>
              <w:pStyle w:val="TableContents"/>
              <w:spacing w:before="0" w:after="283"/>
              <w:rPr/>
            </w:pPr>
            <w:r>
              <w:rPr/>
              <w:t>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5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Opinion of Vinson &amp; Elkins L.L.P. as to the legality of the securities being registered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12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Ratio of Earnings to Fixed Charges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Consent of PricewaterhouseCoopers LLP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54"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Consent of KPMG LLP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54" w:type="dxa"/>
            <w:tcBorders/>
            <w:shd w:fill="FFFFFF" w:val="clear"/>
          </w:tcPr>
          <w:p>
            <w:pPr>
              <w:pStyle w:val="TableContents"/>
              <w:spacing w:before="0" w:after="283"/>
              <w:jc w:val="left"/>
              <w:rPr/>
            </w:pPr>
            <w:r>
              <w:rPr/>
              <w:t xml:space="preserve">.3*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Consent of Vinson &amp; Elkins L.L.P. (contained in Exhibit 5.1)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24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Powers of Attorney (included on the signature page)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25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Form T-1 Statement of Eligibility and Qualification under the Trust Indenture Act of 1939 of the trustee under the Indenture with respect to the 6.125% Senior Notes due 2017 and the 6.650% Senior Notes due 2037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146"/>
        <w:gridCol w:w="106"/>
        <w:gridCol w:w="9953"/>
      </w:tblGrid>
      <w:tr>
        <w:trPr/>
        <w:tc>
          <w:tcPr>
            <w:tcW w:w="146" w:type="dxa"/>
            <w:tcBorders/>
            <w:shd w:fill="FFFFFF" w:val="clear"/>
            <w:vAlign w:val="center"/>
          </w:tcPr>
          <w:p>
            <w:pPr>
              <w:pStyle w:val="TableContents"/>
              <w:spacing w:before="0" w:after="283"/>
              <w:rPr>
                <w:sz w:val="4"/>
                <w:szCs w:val="4"/>
              </w:rPr>
            </w:pPr>
            <w:r>
              <w:rPr>
                <w:sz w:val="4"/>
                <w:szCs w:val="4"/>
              </w:rPr>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center"/>
          </w:tcPr>
          <w:p>
            <w:pPr>
              <w:pStyle w:val="TableContents"/>
              <w:spacing w:before="0" w:after="283"/>
              <w:rPr>
                <w:sz w:val="4"/>
                <w:szCs w:val="4"/>
              </w:rPr>
            </w:pPr>
            <w:r>
              <w:rPr>
                <w:sz w:val="4"/>
                <w:szCs w:val="4"/>
              </w:rPr>
            </w:r>
          </w:p>
        </w:tc>
      </w:tr>
      <w:tr>
        <w:trPr/>
        <w:tc>
          <w:tcPr>
            <w:tcW w:w="146" w:type="dxa"/>
            <w:tcBorders/>
            <w:shd w:fill="FFFFFF" w:val="clear"/>
          </w:tcPr>
          <w:p>
            <w:pPr>
              <w:pStyle w:val="TableContents"/>
              <w:spacing w:before="0" w:after="283"/>
              <w:jc w:val="right"/>
              <w:rPr/>
            </w:pPr>
            <w:r>
              <w:rPr/>
              <w:t xml:space="preserve">* </w:t>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bottom"/>
          </w:tcPr>
          <w:p>
            <w:pPr>
              <w:pStyle w:val="TableContents"/>
              <w:spacing w:before="0" w:after="283"/>
              <w:rPr/>
            </w:pPr>
            <w:r>
              <w:rPr/>
              <w:t>Filed herewith.</w:t>
            </w:r>
          </w:p>
        </w:tc>
      </w:tr>
    </w:tbl>
    <w:p>
      <w:pPr>
        <w:pStyle w:val="TextBody"/>
        <w:spacing w:before="240" w:after="283"/>
        <w:rPr/>
      </w:pPr>
      <w:r>
        <w:rPr/>
        <w:t> </w:t>
      </w:r>
    </w:p>
    <w:tbl>
      <w:tblPr>
        <w:tblW w:w="5000" w:type="pct"/>
        <w:jc w:val="left"/>
        <w:tblInd w:w="0" w:type="dxa"/>
        <w:shd w:fill="FFFFFF" w:val="clear"/>
        <w:tblCellMar>
          <w:top w:w="0" w:type="dxa"/>
          <w:left w:w="0" w:type="dxa"/>
          <w:bottom w:w="0" w:type="dxa"/>
          <w:right w:w="0" w:type="dxa"/>
        </w:tblCellMar>
      </w:tblPr>
      <w:tblGrid>
        <w:gridCol w:w="917"/>
        <w:gridCol w:w="9288"/>
      </w:tblGrid>
      <w:tr>
        <w:trPr/>
        <w:tc>
          <w:tcPr>
            <w:tcW w:w="917" w:type="dxa"/>
            <w:tcBorders/>
            <w:shd w:fill="FFFFFF" w:val="clear"/>
            <w:vAlign w:val="center"/>
          </w:tcPr>
          <w:p>
            <w:pPr>
              <w:pStyle w:val="TableContents"/>
              <w:spacing w:before="0" w:after="283"/>
              <w:rPr>
                <w:sz w:val="4"/>
                <w:szCs w:val="4"/>
              </w:rPr>
            </w:pPr>
            <w:r>
              <w:rPr>
                <w:sz w:val="4"/>
                <w:szCs w:val="4"/>
              </w:rPr>
            </w:r>
          </w:p>
        </w:tc>
        <w:tc>
          <w:tcPr>
            <w:tcW w:w="9288" w:type="dxa"/>
            <w:tcBorders/>
            <w:shd w:fill="FFFFFF" w:val="clear"/>
            <w:vAlign w:val="center"/>
          </w:tcPr>
          <w:p>
            <w:pPr>
              <w:pStyle w:val="TableContents"/>
              <w:spacing w:before="0" w:after="283"/>
              <w:rPr>
                <w:sz w:val="4"/>
                <w:szCs w:val="4"/>
              </w:rPr>
            </w:pPr>
            <w:r>
              <w:rPr>
                <w:sz w:val="4"/>
                <w:szCs w:val="4"/>
              </w:rPr>
            </w:r>
          </w:p>
        </w:tc>
      </w:tr>
      <w:tr>
        <w:trPr/>
        <w:tc>
          <w:tcPr>
            <w:tcW w:w="917" w:type="dxa"/>
            <w:tcBorders/>
            <w:shd w:fill="FFFFFF" w:val="clear"/>
          </w:tcPr>
          <w:p>
            <w:pPr>
              <w:pStyle w:val="TableContents"/>
              <w:spacing w:before="0" w:after="283"/>
              <w:rPr/>
            </w:pPr>
            <w:r>
              <w:rPr>
                <w:rFonts w:ascii="Times New Roman;Times" w:hAnsi="Times New Roman;Times"/>
                <w:b/>
              </w:rPr>
              <w:t>Item 22.  </w:t>
            </w:r>
            <w:r>
              <w:rPr/>
              <w:t xml:space="preserve"> </w:t>
            </w:r>
          </w:p>
        </w:tc>
        <w:tc>
          <w:tcPr>
            <w:tcW w:w="9288" w:type="dxa"/>
            <w:tcBorders/>
            <w:shd w:fill="FFFFFF" w:val="clear"/>
          </w:tcPr>
          <w:p>
            <w:pPr>
              <w:pStyle w:val="TableContents"/>
              <w:spacing w:before="0" w:after="283"/>
              <w:rPr/>
            </w:pPr>
            <w:r>
              <w:rPr>
                <w:rFonts w:ascii="Times New Roman;Times" w:hAnsi="Times New Roman;Times"/>
                <w:b/>
                <w:i/>
              </w:rPr>
              <w:t>Undertakings</w:t>
            </w: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Insofar as indemnification for liabilities arising under the Securities Act of 1933 may be permitted to directors, officers and controlling persons of any Registrant, we have been advised that in the opinion of the Securities and Exchange Commission such indemnification is against public policy and is, therefore, unenforceable. In the event that a claim for indemnification against such liabilities (other than the payment by any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registrant hereby undertakes: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file, during any period in which offers or sales are being made, a post-effective amendment to this registration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to include any prospectus required by section 10(a)(3) of the Securities Act of 1933;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to include any material information with respect to the plan of distribution not previously disclosed in the registration statement or any material change to such information in the registration statement.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remove from registration by means of a post-effective amendment any of the securities being registered which remain unsold at the termination of the offering.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the purpose of determining liability under the Securities Act of 1933 to any purchaser, if the registrants are subject to Rule 430C, each prospectus filed pursuant to Rule 424(b) as part of a registration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t xml:space="preserve">II-4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the purpose of determining liability of the registrants under the Securities Act of 1933 to any purchaser in the initial distribution of the securities,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a seller to the purchaser and will be considered to offer or sell such securities to such purchaser: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any preliminary prospectus or prospectus of the undersigned registrants relating to the offering required to be filed pursuant to Rule 424;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 any free writing prospectus relating to the offering prepared by or on behalf of the undersigned registrants or used or referred to by the undersigned registrants;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(c) the portion of any other free writing prospectus relating to the offering containing material information about the undersigned registrants or their securities provided by or on behalf of the undersigned registrants;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(d) any other communication that is an offer in the offering made by the undersigned registrants to the purchaser.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That, for purposes of determining any liability under the Securities Act of 1933, each filing of a registrant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120" w:after="283"/>
        <w:rPr/>
      </w:pPr>
      <w:r>
        <w:rPr/>
        <w:t> </w:t>
      </w:r>
    </w:p>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SIGNATURES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the requirements of the Securities Act of 1933, each Registrant has duly caused this Registration Statement to be signed on its behalf by the undersigned, thereunto duly authorized, in the City of Houston, State of Texas on March 23, 2007.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AAP, L.P., its general partner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All American GP LLC,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1"/>
        <w:gridCol w:w="407"/>
        <w:gridCol w:w="4797"/>
      </w:tblGrid>
      <w:tr>
        <w:trPr/>
        <w:tc>
          <w:tcPr>
            <w:tcW w:w="500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FFFFFF" w:val="clear"/>
          </w:tcPr>
          <w:p>
            <w:pPr>
              <w:pStyle w:val="TableContents"/>
              <w:spacing w:before="0" w:after="283"/>
              <w:rPr/>
            </w:pPr>
            <w:r>
              <w:rPr/>
              <w:t> </w:t>
            </w:r>
          </w:p>
        </w:tc>
        <w:tc>
          <w:tcPr>
            <w:tcW w:w="407"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Greg L. Armstrong</w:t>
            </w:r>
          </w:p>
          <w:p>
            <w:pPr>
              <w:pStyle w:val="TableContents"/>
              <w:spacing w:before="0" w:after="0"/>
              <w:jc w:val="left"/>
              <w:rPr/>
            </w:pPr>
            <w:r>
              <w:rPr/>
            </w:r>
          </w:p>
          <w:p>
            <w:pPr>
              <w:pStyle w:val="TableContents"/>
              <w:spacing w:before="0" w:after="0"/>
              <w:jc w:val="left"/>
              <w:rPr/>
            </w:pPr>
            <w:r>
              <w:rPr/>
              <w:t>Name: Greg L. Armstrong</w:t>
              <w:br/>
              <w:t xml:space="preserve">Title:   Chairman of the Board and 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PAA FINANCE CORP.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7"/>
        <w:gridCol w:w="4798"/>
      </w:tblGrid>
      <w:tr>
        <w:trPr/>
        <w:tc>
          <w:tcPr>
            <w:tcW w:w="500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7" w:type="dxa"/>
            <w:tcBorders/>
            <w:shd w:fill="FFFFFF" w:val="clear"/>
          </w:tcPr>
          <w:p>
            <w:pPr>
              <w:pStyle w:val="TableContents"/>
              <w:spacing w:before="0" w:after="283"/>
              <w:rPr/>
            </w:pPr>
            <w:r>
              <w:rPr/>
              <w:t xml:space="preserve">By:  </w:t>
            </w:r>
          </w:p>
        </w:tc>
        <w:tc>
          <w:tcPr>
            <w:tcW w:w="4798" w:type="dxa"/>
            <w:tcBorders/>
            <w:shd w:fill="FFFFFF" w:val="clear"/>
            <w:vAlign w:val="bottom"/>
          </w:tcPr>
          <w:p>
            <w:pPr>
              <w:pStyle w:val="TableContents"/>
              <w:spacing w:before="0" w:after="0"/>
              <w:jc w:val="left"/>
              <w:rPr/>
            </w:pPr>
            <w:r>
              <w:rPr/>
              <w:t>/s/  Greg L. Armstrong</w:t>
            </w:r>
          </w:p>
          <w:p>
            <w:pPr>
              <w:pStyle w:val="TableContents"/>
              <w:spacing w:before="0" w:after="0"/>
              <w:jc w:val="left"/>
              <w:rPr/>
            </w:pPr>
            <w:r>
              <w:rPr/>
            </w:r>
          </w:p>
          <w:p>
            <w:pPr>
              <w:pStyle w:val="TableContents"/>
              <w:spacing w:before="0" w:after="0"/>
              <w:jc w:val="left"/>
              <w:rPr/>
            </w:pPr>
            <w:r>
              <w:rPr/>
              <w:t>Name: Greg L. Armstrong</w:t>
              <w:br/>
              <w:t xml:space="preserve">Title: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MARKETING,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By: Plains Marketing GP Inc., its general partner</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Greg L. Armstrong</w:t>
            </w:r>
          </w:p>
          <w:p>
            <w:pPr>
              <w:pStyle w:val="TableContents"/>
              <w:spacing w:before="0" w:after="0"/>
              <w:jc w:val="left"/>
              <w:rPr/>
            </w:pPr>
            <w:r>
              <w:rPr/>
            </w:r>
          </w:p>
          <w:p>
            <w:pPr>
              <w:pStyle w:val="TableContents"/>
              <w:spacing w:before="0" w:after="0"/>
              <w:jc w:val="left"/>
              <w:rPr/>
            </w:pPr>
            <w:r>
              <w:rPr/>
              <w:t>Name: Greg L. Armstrong</w:t>
              <w:br/>
              <w:t xml:space="preserve">Title:   Chief Executive Officer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PIPELINE,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Greg L. Armstrong</w:t>
            </w:r>
          </w:p>
          <w:p>
            <w:pPr>
              <w:pStyle w:val="TableContents"/>
              <w:spacing w:before="0" w:after="0"/>
              <w:jc w:val="left"/>
              <w:rPr/>
            </w:pPr>
            <w:r>
              <w:rPr/>
            </w:r>
          </w:p>
          <w:p>
            <w:pPr>
              <w:pStyle w:val="TableContents"/>
              <w:spacing w:before="0" w:after="0"/>
              <w:jc w:val="left"/>
              <w:rPr/>
            </w:pPr>
            <w:r>
              <w:rPr/>
              <w:t>Name: Greg L. Armstrong</w:t>
              <w:br/>
              <w:t xml:space="preserve">Title:   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PLAINS MARKETING GP INC.</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Greg L. Armstrong</w:t>
            </w:r>
          </w:p>
          <w:p>
            <w:pPr>
              <w:pStyle w:val="TableContents"/>
              <w:spacing w:before="0" w:after="0"/>
              <w:jc w:val="left"/>
              <w:rPr/>
            </w:pPr>
            <w:r>
              <w:rPr/>
            </w:r>
          </w:p>
          <w:p>
            <w:pPr>
              <w:pStyle w:val="TableContents"/>
              <w:spacing w:before="0" w:after="0"/>
              <w:jc w:val="left"/>
              <w:rPr/>
            </w:pPr>
            <w:r>
              <w:rPr/>
              <w:t>Name: Greg L. Armstrong</w:t>
              <w:br/>
              <w:t xml:space="preserve">Title:   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PLAINS MARKETING CANADA LLC</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Greg L. Armstrong</w:t>
            </w:r>
          </w:p>
          <w:p>
            <w:pPr>
              <w:pStyle w:val="TableContents"/>
              <w:spacing w:before="0" w:after="0"/>
              <w:jc w:val="left"/>
              <w:rPr/>
            </w:pPr>
            <w:r>
              <w:rPr/>
            </w:r>
          </w:p>
          <w:p>
            <w:pPr>
              <w:pStyle w:val="TableContents"/>
              <w:spacing w:before="0" w:after="0"/>
              <w:jc w:val="left"/>
              <w:rPr/>
            </w:pPr>
            <w:r>
              <w:rPr/>
              <w:t>Name: Greg L. Armstrong</w:t>
              <w:br/>
              <w:t xml:space="preserve">Title:   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MARKETING CANADA,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PMC (Nova Scotia) Company,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Phil Kramer</w:t>
            </w:r>
          </w:p>
          <w:p>
            <w:pPr>
              <w:pStyle w:val="TableContents"/>
              <w:spacing w:before="0" w:after="0"/>
              <w:jc w:val="left"/>
              <w:rPr/>
            </w:pPr>
            <w:r>
              <w:rPr/>
            </w:r>
          </w:p>
          <w:p>
            <w:pPr>
              <w:pStyle w:val="TableContents"/>
              <w:spacing w:before="0" w:after="0"/>
              <w:jc w:val="left"/>
              <w:rPr/>
            </w:pPr>
            <w:r>
              <w:rPr/>
              <w:t>Name: Phil Kramer</w:t>
              <w:br/>
              <w:t xml:space="preserve">Title:   Executive Vice President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PMC (NOVA SCOTIA) COMPANY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Phil Kramer</w:t>
        <w:br/>
        <w:t xml:space="preserve">Title:   Executive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BASIN HOLDINGS GP LLC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Pipeline,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Greg L. Armstrong</w:t>
        <w:br/>
        <w:t xml:space="preserve">Title:   Chief Executive Officer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BASIN PIPELINE HOLDINGS,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Basin Holdings GP LLC, its general partner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Pipeline,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By: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/s/  Greg L. Armstrong</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Name: Greg L. Armstrong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Title:   Chief Executive Officer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RANCHO HOLDINGS GP LLC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Pipeline,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Greg L. Armstrong</w:t>
            </w:r>
          </w:p>
          <w:p>
            <w:pPr>
              <w:pStyle w:val="TableContents"/>
              <w:spacing w:before="0" w:after="0"/>
              <w:jc w:val="left"/>
              <w:rPr/>
            </w:pPr>
            <w:r>
              <w:rPr/>
            </w:r>
          </w:p>
          <w:p>
            <w:pPr>
              <w:pStyle w:val="TableContents"/>
              <w:spacing w:before="0" w:after="0"/>
              <w:jc w:val="left"/>
              <w:rPr/>
            </w:pPr>
            <w:r>
              <w:rPr/>
              <w:t>Name:   Greg L. Armstrong</w:t>
              <w:br/>
              <w:t xml:space="preserve">Title:   Chief Executive Officer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RANCHO PIPELINE HOLDINGS,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Rancho Holdings GP LLC, its general partner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Pipeline,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Greg L. Armstrong</w:t>
            </w:r>
          </w:p>
          <w:p>
            <w:pPr>
              <w:pStyle w:val="TableContents"/>
              <w:spacing w:before="0" w:after="0"/>
              <w:jc w:val="left"/>
              <w:rPr/>
            </w:pPr>
            <w:r>
              <w:rPr/>
            </w:r>
          </w:p>
          <w:p>
            <w:pPr>
              <w:pStyle w:val="TableContents"/>
              <w:spacing w:before="0" w:after="0"/>
              <w:jc w:val="left"/>
              <w:rPr/>
            </w:pPr>
            <w:r>
              <w:rPr/>
              <w:t>Name: Greg L. Armstrong</w:t>
              <w:br/>
              <w:t xml:space="preserve">Title:   Chief Executive Officer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LPG SERVICES GP LLC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Phil Kramer</w:t>
            </w:r>
          </w:p>
          <w:p>
            <w:pPr>
              <w:pStyle w:val="TableContents"/>
              <w:spacing w:before="0" w:after="0"/>
              <w:jc w:val="left"/>
              <w:rPr/>
            </w:pPr>
            <w:r>
              <w:rPr/>
            </w:r>
          </w:p>
          <w:p>
            <w:pPr>
              <w:pStyle w:val="TableContents"/>
              <w:spacing w:before="0" w:after="0"/>
              <w:jc w:val="left"/>
              <w:rPr/>
            </w:pPr>
            <w:r>
              <w:rPr/>
              <w:t>Name: Phil Kramer</w:t>
              <w:br/>
              <w:t xml:space="preserve">Title: Executive Vice President </w:t>
            </w:r>
          </w:p>
        </w:tc>
      </w:tr>
    </w:tbl>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LPG SERVICES,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LPG Services GP LLC, its general partner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vAlign w:val="bottom"/>
          </w:tcPr>
          <w:p>
            <w:pPr>
              <w:pStyle w:val="TableContents"/>
              <w:spacing w:before="0" w:after="0"/>
              <w:jc w:val="left"/>
              <w:rPr/>
            </w:pPr>
            <w:r>
              <w:rPr/>
              <w:t>/s/  Phil Kramer</w:t>
            </w:r>
          </w:p>
          <w:p>
            <w:pPr>
              <w:pStyle w:val="TableContents"/>
              <w:spacing w:before="0" w:after="0"/>
              <w:jc w:val="left"/>
              <w:rPr/>
            </w:pPr>
            <w:r>
              <w:rPr/>
            </w:r>
          </w:p>
          <w:p>
            <w:pPr>
              <w:pStyle w:val="TableContents"/>
              <w:spacing w:before="0" w:after="0"/>
              <w:jc w:val="left"/>
              <w:rPr/>
            </w:pPr>
            <w:r>
              <w:rPr/>
              <w:t>Name: Phil Kramer</w:t>
              <w:br/>
              <w:t xml:space="preserve">Title: Executive Vice President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LONE STAR TRUCKING, LLC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LPG Services, L.P., its sole member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283"/>
              <w:jc w:val="left"/>
              <w:rPr/>
            </w:pPr>
            <w:r>
              <w:rPr/>
              <w:t xml:space="preserve">Plains LPG Services GP LLC, its general partner </w:t>
            </w:r>
          </w:p>
        </w:tc>
      </w:tr>
    </w:tbl>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Phil Kramer</w:t>
        <w:br/>
        <w:t xml:space="preserve">Title: Executive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MARKETING INTERNATIONAL GP LLC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Phil Kramer</w:t>
        <w:br/>
        <w:t xml:space="preserve">Title: Executive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MARKETING INTERNATIONAL, L.P.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283"/>
              <w:jc w:val="left"/>
              <w:rPr/>
            </w:pPr>
            <w:r>
              <w:rPr/>
              <w:t xml:space="preserve">Plains Marketing International GP LLC, its general partner </w:t>
            </w:r>
          </w:p>
        </w:tc>
      </w:tr>
    </w:tbl>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Phil Kramer</w:t>
            </w:r>
          </w:p>
        </w:tc>
      </w:tr>
    </w:tbl>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Name: Phil Kramer</w:t>
        <w:br/>
        <w:t xml:space="preserve">Title: Executive Vice President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LPG MARKETING, L.P.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LPG Services GP LLC, its general partner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L.P., its sole member </w:t>
      </w:r>
    </w:p>
    <w:p>
      <w:pPr>
        <w:pStyle w:val="TextBody"/>
        <w:spacing w:before="24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Plains Marketing GP Inc., its general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Phil Kramer</w:t>
        <w:br/>
        <w:t xml:space="preserve">Title: Executive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PACIFIC ENERGY GROUP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Greg L. Armstrong</w:t>
        <w:br/>
        <w:t xml:space="preserve">Title: Chief Executive Officer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PACIFIC MARKETING AND TRANSPORTATION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Greg L. Armstrong</w:t>
        <w:br/>
        <w:t xml:space="preserve">Title: Chief Executive Officer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PACIFIC ATLANTIC TERMINALS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Greg L. Armstrong</w:t>
            </w:r>
          </w:p>
        </w:tc>
      </w:tr>
    </w:tbl>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Name: Greg L. Armstrong</w:t>
        <w:br/>
        <w:t xml:space="preserve">Title: Chief Executive Officer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ROCKY MOUNTAIN PIPELINE SYSTEM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Greg L. Armstrong</w:t>
        <w:br/>
        <w:t xml:space="preserve">Title: Chief Executive Officer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RANCH PIPELINE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Greg L. Armstrong</w:t>
        <w:br/>
        <w:t xml:space="preserve">Title: Chief Executive Officer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PEG CANADA GP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Greg L. Armstrong</w:t>
        <w:br/>
        <w:t xml:space="preserve">Title: Chief Executive Officer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PEG CANADA, L.P.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283"/>
              <w:jc w:val="left"/>
              <w:rPr/>
            </w:pPr>
            <w:r>
              <w:rPr/>
              <w:t xml:space="preserve">PEG Canada GP LLC, its general partner </w:t>
            </w:r>
          </w:p>
        </w:tc>
      </w:tr>
    </w:tbl>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408"/>
        <w:gridCol w:w="408"/>
        <w:gridCol w:w="4389"/>
      </w:tblGrid>
      <w:tr>
        <w:trPr/>
        <w:tc>
          <w:tcPr>
            <w:tcW w:w="5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389" w:type="dxa"/>
            <w:tcBorders/>
            <w:shd w:fill="auto" w:val="clear"/>
            <w:vAlign w:val="center"/>
          </w:tcPr>
          <w:p>
            <w:pPr>
              <w:pStyle w:val="TableContents"/>
              <w:spacing w:before="0" w:after="283"/>
              <w:rPr>
                <w:sz w:val="4"/>
                <w:szCs w:val="4"/>
              </w:rPr>
            </w:pPr>
            <w:r>
              <w:rPr>
                <w:sz w:val="4"/>
                <w:szCs w:val="4"/>
              </w:rPr>
            </w:r>
          </w:p>
        </w:tc>
      </w:tr>
      <w:tr>
        <w:trPr/>
        <w:tc>
          <w:tcPr>
            <w:tcW w:w="5408"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389"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Greg L. Armstrong</w:t>
        <w:br/>
        <w:t xml:space="preserve">Title: Chief Executive Officer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PACIFIC ENERGY FINANCE CORPORATION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Greg L. Armstrong</w:t>
            </w:r>
          </w:p>
        </w:tc>
      </w:tr>
    </w:tbl>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Name: Greg L. Armstrong</w:t>
        <w:br/>
        <w:t xml:space="preserve">Title: Chief Executive Officer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PACIFIC L.A. MARINE TERMINAL LLC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Greg L. Armstrong</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Greg L. Armstrong</w:t>
        <w:br/>
        <w:t xml:space="preserve">Title: Chief Executive Officer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RANGELAND PIPELINE COMPANY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Phil Kramer</w:t>
        <w:br/>
        <w:t xml:space="preserve">Title: Executive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RANGELAND PIPELINE PARTNERSHIP </w:t>
      </w:r>
    </w:p>
    <w:p>
      <w:pPr>
        <w:pStyle w:val="TextBody"/>
        <w:spacing w:before="9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By: Rangeland Pipeline Company, its managing partner </w:t>
      </w:r>
    </w:p>
    <w:p>
      <w:pPr>
        <w:pStyle w:val="TextBody"/>
        <w:spacing w:before="24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Phil Kramer</w:t>
        <w:br/>
        <w:t xml:space="preserve">Title: Executive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RANGELAND NORTHERN PIPELINE COMPANY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Phil Kramer</w:t>
        <w:br/>
        <w:t xml:space="preserve">Title: Executive Vice President </w:t>
      </w:r>
    </w:p>
    <w:p>
      <w:pPr>
        <w:pStyle w:val="TextBody"/>
        <w:spacing w:before="4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RANGELAND MARKETING COMPANY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Phil Kramer</w:t>
            </w:r>
          </w:p>
        </w:tc>
      </w:tr>
    </w:tbl>
    <w:p>
      <w:pPr>
        <w:pStyle w:val="TextBody"/>
        <w:jc w:val="left"/>
        <w:rPr>
          <w:rFonts w:ascii="Times New Roman;Times" w:hAnsi="Times New Roman;Times"/>
          <w:color w:val="000000"/>
          <w:sz w:val="17"/>
          <w:highlight w:val="white"/>
        </w:rPr>
      </w:pPr>
      <w:r>
        <w:rPr>
          <w:rFonts w:ascii="Times New Roman;Times" w:hAnsi="Times New Roman;Times"/>
          <w:color w:val="000000"/>
          <w:sz w:val="17"/>
          <w:highlight w:val="white"/>
        </w:rPr>
        <w:t>Name: Phil Kramer</w:t>
        <w:br/>
        <w:t xml:space="preserve">Title: Executive Vice President </w:t>
      </w:r>
    </w:p>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AURORA PIPELINE COMPANY LTD. </w:t>
      </w:r>
    </w:p>
    <w:p>
      <w:pPr>
        <w:pStyle w:val="TextBody"/>
        <w:spacing w:before="960" w:after="283"/>
        <w:rPr/>
      </w:pPr>
      <w:r>
        <w:rPr/>
        <w:t> </w:t>
      </w:r>
    </w:p>
    <w:tbl>
      <w:tblPr>
        <w:tblW w:w="5000" w:type="pct"/>
        <w:jc w:val="left"/>
        <w:tblInd w:w="0" w:type="dxa"/>
        <w:tblCellMar>
          <w:top w:w="0" w:type="dxa"/>
          <w:left w:w="0" w:type="dxa"/>
          <w:bottom w:w="0" w:type="dxa"/>
          <w:right w:w="0" w:type="dxa"/>
        </w:tblCellMar>
      </w:tblPr>
      <w:tblGrid>
        <w:gridCol w:w="5000"/>
        <w:gridCol w:w="408"/>
        <w:gridCol w:w="4797"/>
      </w:tblGrid>
      <w:tr>
        <w:trPr/>
        <w:tc>
          <w:tcPr>
            <w:tcW w:w="500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000" w:type="dxa"/>
            <w:tcBorders/>
            <w:shd w:fill="FFFFFF" w:val="clear"/>
          </w:tcPr>
          <w:p>
            <w:pPr>
              <w:pStyle w:val="TableContents"/>
              <w:spacing w:before="0" w:after="283"/>
              <w:rPr/>
            </w:pPr>
            <w:r>
              <w:rPr/>
              <w:t> </w:t>
            </w:r>
          </w:p>
        </w:tc>
        <w:tc>
          <w:tcPr>
            <w:tcW w:w="408" w:type="dxa"/>
            <w:tcBorders/>
            <w:shd w:fill="FFFFFF" w:val="clear"/>
          </w:tcPr>
          <w:p>
            <w:pPr>
              <w:pStyle w:val="TableContents"/>
              <w:spacing w:before="0" w:after="283"/>
              <w:rPr/>
            </w:pPr>
            <w:r>
              <w:rPr/>
              <w:t xml:space="preserve">By:  </w:t>
            </w:r>
          </w:p>
        </w:tc>
        <w:tc>
          <w:tcPr>
            <w:tcW w:w="4797" w:type="dxa"/>
            <w:tcBorders/>
            <w:shd w:fill="FFFFFF" w:val="clear"/>
          </w:tcPr>
          <w:p>
            <w:pPr>
              <w:pStyle w:val="TableContents"/>
              <w:spacing w:before="0" w:after="0"/>
              <w:jc w:val="left"/>
              <w:rPr/>
            </w:pPr>
            <w:r>
              <w:rPr/>
              <w:t>/s/  Phil Kramer</w:t>
            </w:r>
          </w:p>
        </w:tc>
      </w:tr>
    </w:tbl>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Name: Phil Kramer</w:t>
        <w:br/>
        <w:t xml:space="preserve">Title: Executive Vice President </w:t>
      </w:r>
    </w:p>
    <w:p>
      <w:pPr>
        <w:pStyle w:val="TextBody"/>
        <w:spacing w:before="360" w:after="283"/>
        <w:rPr/>
      </w:pPr>
      <w:r>
        <w:rPr/>
        <w:t> </w:t>
      </w:r>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POWER OF ATTORNEY</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Each person whose signature appears below appoints Phil Kramer and Tim Moore, and each of them, either of whom may act without the joinder of the other, as his true and lawful attorneys-in-fact and agents, with full power of substitution and resubstitution, for him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of their or his substitute and substitutes, may lawfully do or cause to be done by virtue hereof.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Pursuant to the requirements of the Securities Act of 1933, as amended, this registration statement has been signed below by the following persons in the capacities and on the dates indicated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GP LLC., as the general partner of PLAINS AAP, L.P., as the general partner of PLAINS ALL AMERICAN PIPELINE, L.P.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95"/>
        <w:gridCol w:w="358"/>
        <w:gridCol w:w="2843"/>
        <w:gridCol w:w="255"/>
        <w:gridCol w:w="4061"/>
        <w:gridCol w:w="255"/>
        <w:gridCol w:w="1938"/>
      </w:tblGrid>
      <w:tr>
        <w:trPr/>
        <w:tc>
          <w:tcPr>
            <w:tcW w:w="495" w:type="dxa"/>
            <w:tcBorders/>
            <w:shd w:fill="FFFFFF" w:val="clear"/>
            <w:vAlign w:val="bottom"/>
          </w:tcPr>
          <w:p>
            <w:pPr>
              <w:pStyle w:val="TableContents"/>
              <w:spacing w:before="0" w:after="283"/>
              <w:rPr/>
            </w:pPr>
            <w:r>
              <w:rPr/>
              <w:t> </w:t>
            </w:r>
          </w:p>
        </w:tc>
        <w:tc>
          <w:tcPr>
            <w:tcW w:w="358" w:type="dxa"/>
            <w:tcBorders/>
            <w:shd w:fill="FFFFFF" w:val="clear"/>
            <w:vAlign w:val="bottom"/>
          </w:tcPr>
          <w:p>
            <w:pPr>
              <w:pStyle w:val="TableContents"/>
              <w:spacing w:before="0" w:after="283"/>
              <w:rPr/>
            </w:pPr>
            <w:r>
              <w:rPr/>
              <w:t> </w:t>
            </w:r>
          </w:p>
        </w:tc>
        <w:tc>
          <w:tcPr>
            <w:tcW w:w="2843" w:type="dxa"/>
            <w:tcBorders/>
            <w:shd w:fill="FFFFFF" w:val="clear"/>
            <w:vAlign w:val="bottom"/>
          </w:tcPr>
          <w:p>
            <w:pPr>
              <w:pStyle w:val="TableContents"/>
              <w:spacing w:before="0" w:after="283"/>
              <w:rPr/>
            </w:pPr>
            <w:r>
              <w:rPr/>
              <w:t> </w:t>
            </w:r>
          </w:p>
        </w:tc>
        <w:tc>
          <w:tcPr>
            <w:tcW w:w="255" w:type="dxa"/>
            <w:tcBorders/>
            <w:shd w:fill="FFFFFF" w:val="clear"/>
            <w:vAlign w:val="bottom"/>
          </w:tcPr>
          <w:p>
            <w:pPr>
              <w:pStyle w:val="TableContents"/>
              <w:spacing w:before="0" w:after="283"/>
              <w:rPr/>
            </w:pPr>
            <w:r>
              <w:rPr/>
              <w:t> </w:t>
            </w:r>
          </w:p>
        </w:tc>
        <w:tc>
          <w:tcPr>
            <w:tcW w:w="4061" w:type="dxa"/>
            <w:tcBorders/>
            <w:shd w:fill="FFFFFF" w:val="clear"/>
            <w:vAlign w:val="bottom"/>
          </w:tcPr>
          <w:p>
            <w:pPr>
              <w:pStyle w:val="TableContents"/>
              <w:spacing w:before="0" w:after="283"/>
              <w:rPr/>
            </w:pPr>
            <w:r>
              <w:rPr/>
              <w:t> </w:t>
            </w:r>
          </w:p>
        </w:tc>
        <w:tc>
          <w:tcPr>
            <w:tcW w:w="255" w:type="dxa"/>
            <w:tcBorders/>
            <w:shd w:fill="FFFFFF" w:val="clear"/>
            <w:vAlign w:val="bottom"/>
          </w:tcPr>
          <w:p>
            <w:pPr>
              <w:pStyle w:val="TableContents"/>
              <w:spacing w:before="0" w:after="283"/>
              <w:rPr/>
            </w:pPr>
            <w:r>
              <w:rPr/>
              <w:t> </w:t>
            </w:r>
          </w:p>
        </w:tc>
        <w:tc>
          <w:tcPr>
            <w:tcW w:w="1938" w:type="dxa"/>
            <w:tcBorders/>
            <w:shd w:fill="FFFFFF" w:val="clear"/>
            <w:vAlign w:val="bottom"/>
          </w:tcPr>
          <w:p>
            <w:pPr>
              <w:pStyle w:val="TableContents"/>
              <w:spacing w:before="0" w:after="283"/>
              <w:rPr/>
            </w:pPr>
            <w:r>
              <w:rPr/>
              <w:t> </w:t>
            </w:r>
          </w:p>
        </w:tc>
      </w:tr>
      <w:tr>
        <w:trPr/>
        <w:tc>
          <w:tcPr>
            <w:tcW w:w="3696"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Signature</w:t>
            </w:r>
            <w:r>
              <w:rPr>
                <w:bdr w:val="single" w:sz="2" w:space="1" w:color="000000"/>
              </w:rPr>
              <w:t xml:space="preserve"> </w:t>
            </w:r>
          </w:p>
        </w:tc>
        <w:tc>
          <w:tcPr>
            <w:tcW w:w="255" w:type="dxa"/>
            <w:tcBorders/>
            <w:shd w:fill="FFFFFF" w:val="clear"/>
            <w:vAlign w:val="bottom"/>
          </w:tcPr>
          <w:p>
            <w:pPr>
              <w:pStyle w:val="TableContents"/>
              <w:spacing w:before="0" w:after="283"/>
              <w:jc w:val="center"/>
              <w:rPr/>
            </w:pPr>
            <w:r>
              <w:rPr/>
              <w:t xml:space="preserve">  </w:t>
            </w:r>
          </w:p>
        </w:tc>
        <w:tc>
          <w:tcPr>
            <w:tcW w:w="4061"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255" w:type="dxa"/>
            <w:tcBorders/>
            <w:shd w:fill="FFFFFF" w:val="clear"/>
            <w:vAlign w:val="bottom"/>
          </w:tcPr>
          <w:p>
            <w:pPr>
              <w:pStyle w:val="TableContents"/>
              <w:spacing w:before="0" w:after="283"/>
              <w:jc w:val="center"/>
              <w:rPr/>
            </w:pPr>
            <w:r>
              <w:rPr/>
              <w:t xml:space="preserve">  </w:t>
            </w:r>
          </w:p>
        </w:tc>
        <w:tc>
          <w:tcPr>
            <w:tcW w:w="1938"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495" w:type="dxa"/>
            <w:tcBorders/>
            <w:shd w:fill="FFFFFF" w:val="clear"/>
            <w:vAlign w:val="center"/>
          </w:tcPr>
          <w:p>
            <w:pPr>
              <w:pStyle w:val="TableContents"/>
              <w:spacing w:before="0" w:after="283"/>
              <w:rPr/>
            </w:pPr>
            <w:r>
              <w:rPr/>
              <w:t xml:space="preserve">  </w:t>
            </w:r>
          </w:p>
        </w:tc>
        <w:tc>
          <w:tcPr>
            <w:tcW w:w="9710" w:type="dxa"/>
            <w:gridSpan w:val="6"/>
            <w:tcBorders/>
            <w:shd w:fill="FFFFFF" w:val="clear"/>
          </w:tcPr>
          <w:p>
            <w:pPr>
              <w:pStyle w:val="TableContents"/>
              <w:spacing w:before="0" w:after="283"/>
              <w:rPr>
                <w:sz w:val="4"/>
                <w:szCs w:val="4"/>
              </w:rPr>
            </w:pPr>
            <w:r>
              <w:rPr>
                <w:sz w:val="4"/>
                <w:szCs w:val="4"/>
              </w:rPr>
            </w:r>
          </w:p>
        </w:tc>
      </w:tr>
      <w:tr>
        <w:trPr/>
        <w:tc>
          <w:tcPr>
            <w:tcW w:w="3696"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tcPr>
          <w:p>
            <w:pPr>
              <w:pStyle w:val="TableContents"/>
              <w:spacing w:before="0" w:after="283"/>
              <w:jc w:val="center"/>
              <w:rPr>
                <w:sz w:val="17"/>
              </w:rPr>
            </w:pPr>
            <w:r>
              <w:rPr>
                <w:sz w:val="17"/>
              </w:rPr>
              <w:t>Chairman of the Board, Chief Executive Officer and Director (Principal</w:t>
              <w:br/>
              <w:t xml:space="preserve">Executive Officer)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tcPr>
          <w:p>
            <w:pPr>
              <w:pStyle w:val="TableContents"/>
              <w:spacing w:before="0" w:after="283"/>
              <w:jc w:val="center"/>
              <w:rPr>
                <w:sz w:val="17"/>
              </w:rPr>
            </w:pPr>
            <w:r>
              <w:rPr>
                <w:sz w:val="17"/>
              </w:rPr>
              <w:t xml:space="preserve">March 23, 2007 </w:t>
            </w:r>
          </w:p>
        </w:tc>
      </w:tr>
      <w:tr>
        <w:trPr/>
        <w:tc>
          <w:tcPr>
            <w:tcW w:w="3696" w:type="dxa"/>
            <w:gridSpan w:val="3"/>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vAlign w:val="bottom"/>
          </w:tcPr>
          <w:p>
            <w:pPr>
              <w:pStyle w:val="TableContents"/>
              <w:spacing w:before="0" w:after="283"/>
              <w:rPr/>
            </w:pPr>
            <w:r>
              <w:rPr/>
              <w:t xml:space="preserve">  </w:t>
            </w:r>
          </w:p>
        </w:tc>
      </w:tr>
      <w:tr>
        <w:trPr/>
        <w:tc>
          <w:tcPr>
            <w:tcW w:w="3696" w:type="dxa"/>
            <w:gridSpan w:val="3"/>
            <w:tcBorders/>
            <w:shd w:fill="FFFFFF" w:val="clear"/>
          </w:tcPr>
          <w:p>
            <w:pPr>
              <w:pStyle w:val="TableContents"/>
              <w:spacing w:before="0" w:after="0"/>
              <w:jc w:val="left"/>
              <w:rPr>
                <w:sz w:val="17"/>
              </w:rPr>
            </w:pPr>
            <w:r>
              <w:rPr>
                <w:sz w:val="17"/>
              </w:rPr>
              <w:t>/s/  Phil Kramer</w:t>
            </w:r>
          </w:p>
          <w:p>
            <w:pPr>
              <w:pStyle w:val="TableContents"/>
              <w:spacing w:before="0" w:after="0"/>
              <w:rPr/>
            </w:pPr>
            <w:r>
              <w:rPr/>
            </w:r>
          </w:p>
          <w:p>
            <w:pPr>
              <w:pStyle w:val="TableContents"/>
              <w:spacing w:before="0" w:after="0"/>
              <w:rPr>
                <w:sz w:val="17"/>
              </w:rPr>
            </w:pPr>
            <w:r>
              <w:rPr>
                <w:sz w:val="17"/>
              </w:rPr>
              <w:t xml:space="preserve">Phil Kramer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tcPr>
          <w:p>
            <w:pPr>
              <w:pStyle w:val="TableContents"/>
              <w:spacing w:before="0" w:after="283"/>
              <w:jc w:val="center"/>
              <w:rPr>
                <w:sz w:val="17"/>
              </w:rPr>
            </w:pPr>
            <w:r>
              <w:rPr>
                <w:sz w:val="17"/>
              </w:rPr>
              <w:t>Executive Vice President and Chief Financial Officer (Principal</w:t>
              <w:br/>
              <w:t xml:space="preserve">Financial Officer)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tcPr>
          <w:p>
            <w:pPr>
              <w:pStyle w:val="TableContents"/>
              <w:spacing w:before="0" w:after="283"/>
              <w:jc w:val="center"/>
              <w:rPr>
                <w:sz w:val="17"/>
              </w:rPr>
            </w:pPr>
            <w:r>
              <w:rPr>
                <w:sz w:val="17"/>
              </w:rPr>
              <w:t xml:space="preserve">March 23, 2007 </w:t>
            </w:r>
          </w:p>
        </w:tc>
      </w:tr>
      <w:tr>
        <w:trPr/>
        <w:tc>
          <w:tcPr>
            <w:tcW w:w="3696" w:type="dxa"/>
            <w:gridSpan w:val="3"/>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vAlign w:val="bottom"/>
          </w:tcPr>
          <w:p>
            <w:pPr>
              <w:pStyle w:val="TableContents"/>
              <w:spacing w:before="0" w:after="283"/>
              <w:rPr/>
            </w:pPr>
            <w:r>
              <w:rPr/>
              <w:t xml:space="preserve">  </w:t>
            </w:r>
          </w:p>
        </w:tc>
      </w:tr>
      <w:tr>
        <w:trPr/>
        <w:tc>
          <w:tcPr>
            <w:tcW w:w="3696" w:type="dxa"/>
            <w:gridSpan w:val="3"/>
            <w:tcBorders/>
            <w:shd w:fill="FFFFFF" w:val="clear"/>
          </w:tcPr>
          <w:p>
            <w:pPr>
              <w:pStyle w:val="TableContents"/>
              <w:spacing w:before="0" w:after="0"/>
              <w:jc w:val="left"/>
              <w:rPr>
                <w:sz w:val="17"/>
              </w:rPr>
            </w:pPr>
            <w:r>
              <w:rPr>
                <w:sz w:val="17"/>
              </w:rPr>
              <w:t>/s/  Tina L. Val</w:t>
            </w:r>
          </w:p>
          <w:p>
            <w:pPr>
              <w:pStyle w:val="TableContents"/>
              <w:spacing w:before="0" w:after="0"/>
              <w:rPr/>
            </w:pPr>
            <w:r>
              <w:rPr/>
            </w:r>
          </w:p>
          <w:p>
            <w:pPr>
              <w:pStyle w:val="TableContents"/>
              <w:spacing w:before="0" w:after="0"/>
              <w:rPr>
                <w:sz w:val="17"/>
              </w:rPr>
            </w:pPr>
            <w:r>
              <w:rPr>
                <w:sz w:val="17"/>
              </w:rPr>
              <w:t xml:space="preserve">Tina L. Val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tcPr>
          <w:p>
            <w:pPr>
              <w:pStyle w:val="TableContents"/>
              <w:spacing w:before="0" w:after="283"/>
              <w:jc w:val="center"/>
              <w:rPr>
                <w:sz w:val="17"/>
              </w:rPr>
            </w:pPr>
            <w:r>
              <w:rPr>
                <w:sz w:val="17"/>
              </w:rPr>
              <w:t>Vice President  Accounting and Chief Accounting Officer (Principal</w:t>
              <w:br/>
              <w:t xml:space="preserve">Accounting Officer)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tcPr>
          <w:p>
            <w:pPr>
              <w:pStyle w:val="TableContents"/>
              <w:spacing w:before="0" w:after="283"/>
              <w:jc w:val="center"/>
              <w:rPr>
                <w:sz w:val="17"/>
              </w:rPr>
            </w:pPr>
            <w:r>
              <w:rPr>
                <w:sz w:val="17"/>
              </w:rPr>
              <w:t xml:space="preserve">March 23, 2007 </w:t>
            </w:r>
          </w:p>
        </w:tc>
      </w:tr>
      <w:tr>
        <w:trPr/>
        <w:tc>
          <w:tcPr>
            <w:tcW w:w="3696" w:type="dxa"/>
            <w:gridSpan w:val="3"/>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vAlign w:val="bottom"/>
          </w:tcPr>
          <w:p>
            <w:pPr>
              <w:pStyle w:val="TableContents"/>
              <w:spacing w:before="0" w:after="283"/>
              <w:rPr/>
            </w:pPr>
            <w:r>
              <w:rPr/>
              <w:t xml:space="preserve">  </w:t>
            </w:r>
          </w:p>
        </w:tc>
      </w:tr>
      <w:tr>
        <w:trPr/>
        <w:tc>
          <w:tcPr>
            <w:tcW w:w="3696" w:type="dxa"/>
            <w:gridSpan w:val="3"/>
            <w:tcBorders/>
            <w:shd w:fill="FFFFFF" w:val="clear"/>
          </w:tcPr>
          <w:p>
            <w:pPr>
              <w:pStyle w:val="TableContents"/>
              <w:spacing w:before="0" w:after="0"/>
              <w:jc w:val="left"/>
              <w:rPr>
                <w:sz w:val="17"/>
              </w:rPr>
            </w:pPr>
            <w:r>
              <w:rPr>
                <w:sz w:val="17"/>
              </w:rPr>
              <w:t>/s/  David N. Capobianco</w:t>
            </w:r>
          </w:p>
          <w:p>
            <w:pPr>
              <w:pStyle w:val="TableContents"/>
              <w:spacing w:before="0" w:after="0"/>
              <w:rPr/>
            </w:pPr>
            <w:r>
              <w:rPr/>
            </w:r>
          </w:p>
          <w:p>
            <w:pPr>
              <w:pStyle w:val="TableContents"/>
              <w:spacing w:before="0" w:after="0"/>
              <w:rPr>
                <w:sz w:val="17"/>
              </w:rPr>
            </w:pPr>
            <w:r>
              <w:rPr>
                <w:sz w:val="17"/>
              </w:rPr>
              <w:t xml:space="preserve">David N. Capobianco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tcPr>
          <w:p>
            <w:pPr>
              <w:pStyle w:val="TableContents"/>
              <w:spacing w:before="0" w:after="283"/>
              <w:jc w:val="center"/>
              <w:rPr>
                <w:sz w:val="17"/>
              </w:rPr>
            </w:pPr>
            <w:r>
              <w:rPr>
                <w:sz w:val="17"/>
              </w:rPr>
              <w:t xml:space="preserve">Director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tcPr>
          <w:p>
            <w:pPr>
              <w:pStyle w:val="TableContents"/>
              <w:spacing w:before="0" w:after="283"/>
              <w:jc w:val="center"/>
              <w:rPr>
                <w:sz w:val="17"/>
              </w:rPr>
            </w:pPr>
            <w:r>
              <w:rPr>
                <w:sz w:val="17"/>
              </w:rPr>
              <w:t xml:space="preserve">March 23, 2007 </w:t>
            </w:r>
          </w:p>
        </w:tc>
      </w:tr>
      <w:tr>
        <w:trPr/>
        <w:tc>
          <w:tcPr>
            <w:tcW w:w="3696" w:type="dxa"/>
            <w:gridSpan w:val="3"/>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vAlign w:val="bottom"/>
          </w:tcPr>
          <w:p>
            <w:pPr>
              <w:pStyle w:val="TableContents"/>
              <w:spacing w:before="0" w:after="283"/>
              <w:rPr/>
            </w:pPr>
            <w:r>
              <w:rPr/>
              <w:t xml:space="preserve">  </w:t>
            </w:r>
          </w:p>
        </w:tc>
      </w:tr>
      <w:tr>
        <w:trPr/>
        <w:tc>
          <w:tcPr>
            <w:tcW w:w="3696" w:type="dxa"/>
            <w:gridSpan w:val="3"/>
            <w:tcBorders/>
            <w:shd w:fill="FFFFFF" w:val="clear"/>
          </w:tcPr>
          <w:p>
            <w:pPr>
              <w:pStyle w:val="TableContents"/>
              <w:spacing w:before="0" w:after="0"/>
              <w:jc w:val="left"/>
              <w:rPr>
                <w:sz w:val="17"/>
              </w:rPr>
            </w:pPr>
            <w:r>
              <w:rPr>
                <w:sz w:val="17"/>
              </w:rPr>
              <w:t>/s/  Everardo Goyanes</w:t>
            </w:r>
          </w:p>
          <w:p>
            <w:pPr>
              <w:pStyle w:val="TableContents"/>
              <w:spacing w:before="0" w:after="0"/>
              <w:rPr/>
            </w:pPr>
            <w:r>
              <w:rPr/>
            </w:r>
          </w:p>
          <w:p>
            <w:pPr>
              <w:pStyle w:val="TableContents"/>
              <w:spacing w:before="0" w:after="0"/>
              <w:rPr>
                <w:sz w:val="17"/>
              </w:rPr>
            </w:pPr>
            <w:r>
              <w:rPr>
                <w:sz w:val="17"/>
              </w:rPr>
              <w:t xml:space="preserve">Everardo Goyanes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tcPr>
          <w:p>
            <w:pPr>
              <w:pStyle w:val="TableContents"/>
              <w:spacing w:before="0" w:after="283"/>
              <w:jc w:val="center"/>
              <w:rPr>
                <w:sz w:val="17"/>
              </w:rPr>
            </w:pPr>
            <w:r>
              <w:rPr>
                <w:sz w:val="17"/>
              </w:rPr>
              <w:t xml:space="preserve">Director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tcPr>
          <w:p>
            <w:pPr>
              <w:pStyle w:val="TableContents"/>
              <w:spacing w:before="0" w:after="283"/>
              <w:jc w:val="center"/>
              <w:rPr>
                <w:sz w:val="17"/>
              </w:rPr>
            </w:pPr>
            <w:r>
              <w:rPr>
                <w:sz w:val="17"/>
              </w:rPr>
              <w:t xml:space="preserve">March 23, 2007 </w:t>
            </w:r>
          </w:p>
        </w:tc>
      </w:tr>
      <w:tr>
        <w:trPr/>
        <w:tc>
          <w:tcPr>
            <w:tcW w:w="3696" w:type="dxa"/>
            <w:gridSpan w:val="3"/>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vAlign w:val="bottom"/>
          </w:tcPr>
          <w:p>
            <w:pPr>
              <w:pStyle w:val="TableContents"/>
              <w:spacing w:before="0" w:after="283"/>
              <w:rPr/>
            </w:pPr>
            <w:r>
              <w:rPr/>
              <w:t xml:space="preserve">  </w:t>
            </w:r>
          </w:p>
        </w:tc>
      </w:tr>
      <w:tr>
        <w:trPr/>
        <w:tc>
          <w:tcPr>
            <w:tcW w:w="3696" w:type="dxa"/>
            <w:gridSpan w:val="3"/>
            <w:tcBorders/>
            <w:shd w:fill="FFFFFF" w:val="clear"/>
          </w:tcPr>
          <w:p>
            <w:pPr>
              <w:pStyle w:val="TableContents"/>
              <w:spacing w:before="0" w:after="0"/>
              <w:jc w:val="left"/>
              <w:rPr>
                <w:sz w:val="17"/>
              </w:rPr>
            </w:pPr>
            <w:r>
              <w:rPr>
                <w:sz w:val="17"/>
              </w:rPr>
              <w:t>/s/  Gary R. Petersen</w:t>
            </w:r>
          </w:p>
          <w:p>
            <w:pPr>
              <w:pStyle w:val="TableContents"/>
              <w:spacing w:before="0" w:after="0"/>
              <w:rPr/>
            </w:pPr>
            <w:r>
              <w:rPr/>
            </w:r>
          </w:p>
          <w:p>
            <w:pPr>
              <w:pStyle w:val="TableContents"/>
              <w:spacing w:before="0" w:after="0"/>
              <w:rPr>
                <w:sz w:val="17"/>
              </w:rPr>
            </w:pPr>
            <w:r>
              <w:rPr>
                <w:sz w:val="17"/>
              </w:rPr>
              <w:t xml:space="preserve">Gary R. Petersen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tcPr>
          <w:p>
            <w:pPr>
              <w:pStyle w:val="TableContents"/>
              <w:spacing w:before="0" w:after="283"/>
              <w:jc w:val="center"/>
              <w:rPr>
                <w:sz w:val="17"/>
              </w:rPr>
            </w:pPr>
            <w:r>
              <w:rPr>
                <w:sz w:val="17"/>
              </w:rPr>
              <w:t xml:space="preserve">Director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tcPr>
          <w:p>
            <w:pPr>
              <w:pStyle w:val="TableContents"/>
              <w:spacing w:before="0" w:after="283"/>
              <w:jc w:val="center"/>
              <w:rPr>
                <w:sz w:val="17"/>
              </w:rPr>
            </w:pPr>
            <w:r>
              <w:rPr>
                <w:sz w:val="17"/>
              </w:rPr>
              <w:t xml:space="preserve">March 23, 2007 </w:t>
            </w:r>
          </w:p>
        </w:tc>
      </w:tr>
      <w:tr>
        <w:trPr/>
        <w:tc>
          <w:tcPr>
            <w:tcW w:w="3696" w:type="dxa"/>
            <w:gridSpan w:val="3"/>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vAlign w:val="bottom"/>
          </w:tcPr>
          <w:p>
            <w:pPr>
              <w:pStyle w:val="TableContents"/>
              <w:spacing w:before="0" w:after="283"/>
              <w:rPr/>
            </w:pPr>
            <w:r>
              <w:rPr/>
              <w:t xml:space="preserve">  </w:t>
            </w:r>
          </w:p>
        </w:tc>
      </w:tr>
      <w:tr>
        <w:trPr/>
        <w:tc>
          <w:tcPr>
            <w:tcW w:w="3696" w:type="dxa"/>
            <w:gridSpan w:val="3"/>
            <w:tcBorders/>
            <w:shd w:fill="FFFFFF" w:val="clear"/>
          </w:tcPr>
          <w:p>
            <w:pPr>
              <w:pStyle w:val="TableContents"/>
              <w:spacing w:before="0" w:after="0"/>
              <w:jc w:val="left"/>
              <w:rPr>
                <w:sz w:val="17"/>
              </w:rPr>
            </w:pPr>
            <w:r>
              <w:rPr>
                <w:sz w:val="17"/>
              </w:rPr>
              <w:t>/s/  Robert V. Sinnott</w:t>
            </w:r>
          </w:p>
          <w:p>
            <w:pPr>
              <w:pStyle w:val="TableContents"/>
              <w:spacing w:before="0" w:after="0"/>
              <w:rPr/>
            </w:pPr>
            <w:r>
              <w:rPr/>
            </w:r>
          </w:p>
          <w:p>
            <w:pPr>
              <w:pStyle w:val="TableContents"/>
              <w:spacing w:before="0" w:after="0"/>
              <w:rPr>
                <w:sz w:val="17"/>
              </w:rPr>
            </w:pPr>
            <w:r>
              <w:rPr>
                <w:sz w:val="17"/>
              </w:rPr>
              <w:t xml:space="preserve">Robert V. Sinnott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tcPr>
          <w:p>
            <w:pPr>
              <w:pStyle w:val="TableContents"/>
              <w:spacing w:before="0" w:after="283"/>
              <w:jc w:val="center"/>
              <w:rPr>
                <w:sz w:val="17"/>
              </w:rPr>
            </w:pPr>
            <w:r>
              <w:rPr>
                <w:sz w:val="17"/>
              </w:rPr>
              <w:t xml:space="preserve">Director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tcPr>
          <w:p>
            <w:pPr>
              <w:pStyle w:val="TableContents"/>
              <w:spacing w:before="0" w:after="283"/>
              <w:jc w:val="center"/>
              <w:rPr>
                <w:sz w:val="17"/>
              </w:rPr>
            </w:pPr>
            <w:r>
              <w:rPr>
                <w:sz w:val="17"/>
              </w:rPr>
              <w:t xml:space="preserve">March 23, 2007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515"/>
        <w:gridCol w:w="360"/>
        <w:gridCol w:w="3175"/>
        <w:gridCol w:w="281"/>
        <w:gridCol w:w="3551"/>
        <w:gridCol w:w="281"/>
        <w:gridCol w:w="2042"/>
      </w:tblGrid>
      <w:tr>
        <w:trPr/>
        <w:tc>
          <w:tcPr>
            <w:tcW w:w="515" w:type="dxa"/>
            <w:tcBorders/>
            <w:shd w:fill="FFFFFF" w:val="clear"/>
            <w:vAlign w:val="bottom"/>
          </w:tcPr>
          <w:p>
            <w:pPr>
              <w:pStyle w:val="TableContents"/>
              <w:spacing w:before="0" w:after="283"/>
              <w:rPr/>
            </w:pPr>
            <w:r>
              <w:rPr/>
              <w:t> </w:t>
            </w:r>
          </w:p>
        </w:tc>
        <w:tc>
          <w:tcPr>
            <w:tcW w:w="360" w:type="dxa"/>
            <w:tcBorders/>
            <w:shd w:fill="FFFFFF" w:val="clear"/>
            <w:vAlign w:val="bottom"/>
          </w:tcPr>
          <w:p>
            <w:pPr>
              <w:pStyle w:val="TableContents"/>
              <w:spacing w:before="0" w:after="283"/>
              <w:rPr/>
            </w:pPr>
            <w:r>
              <w:rPr/>
              <w:t> </w:t>
            </w:r>
          </w:p>
        </w:tc>
        <w:tc>
          <w:tcPr>
            <w:tcW w:w="3175" w:type="dxa"/>
            <w:tcBorders/>
            <w:shd w:fill="FFFFFF" w:val="clear"/>
            <w:vAlign w:val="bottom"/>
          </w:tcPr>
          <w:p>
            <w:pPr>
              <w:pStyle w:val="TableContents"/>
              <w:spacing w:before="0" w:after="283"/>
              <w:rPr/>
            </w:pPr>
            <w:r>
              <w:rPr/>
              <w:t> </w:t>
            </w:r>
          </w:p>
        </w:tc>
        <w:tc>
          <w:tcPr>
            <w:tcW w:w="281" w:type="dxa"/>
            <w:tcBorders/>
            <w:shd w:fill="FFFFFF" w:val="clear"/>
            <w:vAlign w:val="bottom"/>
          </w:tcPr>
          <w:p>
            <w:pPr>
              <w:pStyle w:val="TableContents"/>
              <w:spacing w:before="0" w:after="283"/>
              <w:rPr/>
            </w:pPr>
            <w:r>
              <w:rPr/>
              <w:t> </w:t>
            </w:r>
          </w:p>
        </w:tc>
        <w:tc>
          <w:tcPr>
            <w:tcW w:w="3551" w:type="dxa"/>
            <w:tcBorders/>
            <w:shd w:fill="FFFFFF" w:val="clear"/>
            <w:vAlign w:val="bottom"/>
          </w:tcPr>
          <w:p>
            <w:pPr>
              <w:pStyle w:val="TableContents"/>
              <w:spacing w:before="0" w:after="283"/>
              <w:rPr/>
            </w:pPr>
            <w:r>
              <w:rPr/>
              <w:t> </w:t>
            </w:r>
          </w:p>
        </w:tc>
        <w:tc>
          <w:tcPr>
            <w:tcW w:w="281" w:type="dxa"/>
            <w:tcBorders/>
            <w:shd w:fill="FFFFFF" w:val="clear"/>
            <w:vAlign w:val="bottom"/>
          </w:tcPr>
          <w:p>
            <w:pPr>
              <w:pStyle w:val="TableContents"/>
              <w:spacing w:before="0" w:after="283"/>
              <w:rPr/>
            </w:pPr>
            <w:r>
              <w:rPr/>
              <w:t> </w:t>
            </w:r>
          </w:p>
        </w:tc>
        <w:tc>
          <w:tcPr>
            <w:tcW w:w="2042" w:type="dxa"/>
            <w:tcBorders/>
            <w:shd w:fill="FFFFFF" w:val="clear"/>
            <w:vAlign w:val="bottom"/>
          </w:tcPr>
          <w:p>
            <w:pPr>
              <w:pStyle w:val="TableContents"/>
              <w:spacing w:before="0" w:after="283"/>
              <w:rPr/>
            </w:pPr>
            <w:r>
              <w:rPr/>
              <w:t> </w:t>
            </w:r>
          </w:p>
        </w:tc>
      </w:tr>
      <w:tr>
        <w:trPr/>
        <w:tc>
          <w:tcPr>
            <w:tcW w:w="4050"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Signature</w:t>
            </w:r>
            <w:r>
              <w:rPr>
                <w:bdr w:val="single" w:sz="2" w:space="1" w:color="000000"/>
              </w:rPr>
              <w:t xml:space="preserve"> </w:t>
            </w:r>
          </w:p>
        </w:tc>
        <w:tc>
          <w:tcPr>
            <w:tcW w:w="281" w:type="dxa"/>
            <w:tcBorders/>
            <w:shd w:fill="FFFFFF" w:val="clear"/>
            <w:vAlign w:val="bottom"/>
          </w:tcPr>
          <w:p>
            <w:pPr>
              <w:pStyle w:val="TableContents"/>
              <w:spacing w:before="0" w:after="283"/>
              <w:jc w:val="center"/>
              <w:rPr/>
            </w:pPr>
            <w:r>
              <w:rPr/>
              <w:t xml:space="preserve">  </w:t>
            </w:r>
          </w:p>
        </w:tc>
        <w:tc>
          <w:tcPr>
            <w:tcW w:w="3551"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281" w:type="dxa"/>
            <w:tcBorders/>
            <w:shd w:fill="FFFFFF" w:val="clear"/>
            <w:vAlign w:val="bottom"/>
          </w:tcPr>
          <w:p>
            <w:pPr>
              <w:pStyle w:val="TableContents"/>
              <w:spacing w:before="0" w:after="283"/>
              <w:jc w:val="center"/>
              <w:rPr/>
            </w:pPr>
            <w:r>
              <w:rPr/>
              <w:t xml:space="preserve">  </w:t>
            </w:r>
          </w:p>
        </w:tc>
        <w:tc>
          <w:tcPr>
            <w:tcW w:w="2042"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515" w:type="dxa"/>
            <w:tcBorders/>
            <w:shd w:fill="FFFFFF" w:val="clear"/>
            <w:vAlign w:val="center"/>
          </w:tcPr>
          <w:p>
            <w:pPr>
              <w:pStyle w:val="TableContents"/>
              <w:spacing w:before="0" w:after="283"/>
              <w:rPr/>
            </w:pPr>
            <w:r>
              <w:rPr/>
              <w:t xml:space="preserve">  </w:t>
            </w:r>
          </w:p>
        </w:tc>
        <w:tc>
          <w:tcPr>
            <w:tcW w:w="9690" w:type="dxa"/>
            <w:gridSpan w:val="6"/>
            <w:tcBorders/>
            <w:shd w:fill="FFFFFF" w:val="clear"/>
          </w:tcPr>
          <w:p>
            <w:pPr>
              <w:pStyle w:val="TableContents"/>
              <w:spacing w:before="0" w:after="283"/>
              <w:rPr>
                <w:sz w:val="4"/>
                <w:szCs w:val="4"/>
              </w:rPr>
            </w:pPr>
            <w:r>
              <w:rPr>
                <w:sz w:val="4"/>
                <w:szCs w:val="4"/>
              </w:rPr>
            </w:r>
          </w:p>
        </w:tc>
      </w:tr>
      <w:tr>
        <w:trPr/>
        <w:tc>
          <w:tcPr>
            <w:tcW w:w="4050" w:type="dxa"/>
            <w:gridSpan w:val="3"/>
            <w:tcBorders/>
            <w:shd w:fill="FFFFFF" w:val="clear"/>
          </w:tcPr>
          <w:p>
            <w:pPr>
              <w:pStyle w:val="TableContents"/>
              <w:spacing w:before="0" w:after="0"/>
              <w:jc w:val="left"/>
              <w:rPr>
                <w:sz w:val="17"/>
              </w:rPr>
            </w:pPr>
            <w:r>
              <w:rPr>
                <w:sz w:val="17"/>
              </w:rPr>
              <w:t>/s/  Arthur L. Smith</w:t>
            </w:r>
          </w:p>
          <w:p>
            <w:pPr>
              <w:pStyle w:val="TableContents"/>
              <w:spacing w:before="0" w:after="0"/>
              <w:rPr/>
            </w:pPr>
            <w:r>
              <w:rPr/>
            </w:r>
          </w:p>
          <w:p>
            <w:pPr>
              <w:pStyle w:val="TableContents"/>
              <w:spacing w:before="0" w:after="0"/>
              <w:rPr>
                <w:sz w:val="17"/>
              </w:rPr>
            </w:pPr>
            <w:r>
              <w:rPr>
                <w:sz w:val="17"/>
              </w:rPr>
              <w:t xml:space="preserve">Arthur L. Smith </w:t>
            </w:r>
          </w:p>
        </w:tc>
        <w:tc>
          <w:tcPr>
            <w:tcW w:w="281" w:type="dxa"/>
            <w:tcBorders/>
            <w:shd w:fill="FFFFFF" w:val="clear"/>
            <w:vAlign w:val="bottom"/>
          </w:tcPr>
          <w:p>
            <w:pPr>
              <w:pStyle w:val="TableContents"/>
              <w:spacing w:before="0" w:after="283"/>
              <w:rPr/>
            </w:pPr>
            <w:r>
              <w:rPr/>
              <w:t xml:space="preserve">  </w:t>
            </w:r>
          </w:p>
        </w:tc>
        <w:tc>
          <w:tcPr>
            <w:tcW w:w="3551" w:type="dxa"/>
            <w:tcBorders/>
            <w:shd w:fill="FFFFFF" w:val="clear"/>
          </w:tcPr>
          <w:p>
            <w:pPr>
              <w:pStyle w:val="TableContents"/>
              <w:spacing w:before="0" w:after="283"/>
              <w:jc w:val="center"/>
              <w:rPr>
                <w:sz w:val="17"/>
              </w:rPr>
            </w:pPr>
            <w:r>
              <w:rPr>
                <w:sz w:val="17"/>
              </w:rPr>
              <w:t xml:space="preserve">Director </w:t>
            </w:r>
          </w:p>
        </w:tc>
        <w:tc>
          <w:tcPr>
            <w:tcW w:w="281" w:type="dxa"/>
            <w:tcBorders/>
            <w:shd w:fill="FFFFFF" w:val="clear"/>
            <w:vAlign w:val="bottom"/>
          </w:tcPr>
          <w:p>
            <w:pPr>
              <w:pStyle w:val="TableContents"/>
              <w:spacing w:before="0" w:after="283"/>
              <w:rPr/>
            </w:pPr>
            <w:r>
              <w:rPr/>
              <w:t xml:space="preserve">  </w:t>
            </w:r>
          </w:p>
        </w:tc>
        <w:tc>
          <w:tcPr>
            <w:tcW w:w="2042" w:type="dxa"/>
            <w:tcBorders/>
            <w:shd w:fill="FFFFFF" w:val="clear"/>
          </w:tcPr>
          <w:p>
            <w:pPr>
              <w:pStyle w:val="TableContents"/>
              <w:spacing w:before="0" w:after="283"/>
              <w:jc w:val="center"/>
              <w:rPr>
                <w:sz w:val="17"/>
              </w:rPr>
            </w:pPr>
            <w:r>
              <w:rPr>
                <w:sz w:val="17"/>
              </w:rPr>
              <w:t xml:space="preserve">March 23, 2007 </w:t>
            </w:r>
          </w:p>
        </w:tc>
      </w:tr>
      <w:tr>
        <w:trPr/>
        <w:tc>
          <w:tcPr>
            <w:tcW w:w="4050" w:type="dxa"/>
            <w:gridSpan w:val="3"/>
            <w:tcBorders/>
            <w:shd w:fill="FFFFFF" w:val="clear"/>
            <w:vAlign w:val="bottom"/>
          </w:tcPr>
          <w:p>
            <w:pPr>
              <w:pStyle w:val="TableContents"/>
              <w:spacing w:before="0" w:after="283"/>
              <w:rPr/>
            </w:pPr>
            <w:r>
              <w:rPr/>
              <w:t xml:space="preserve">  </w:t>
            </w:r>
          </w:p>
        </w:tc>
        <w:tc>
          <w:tcPr>
            <w:tcW w:w="281" w:type="dxa"/>
            <w:tcBorders/>
            <w:shd w:fill="FFFFFF" w:val="clear"/>
            <w:vAlign w:val="bottom"/>
          </w:tcPr>
          <w:p>
            <w:pPr>
              <w:pStyle w:val="TableContents"/>
              <w:spacing w:before="0" w:after="283"/>
              <w:rPr/>
            </w:pPr>
            <w:r>
              <w:rPr/>
              <w:t xml:space="preserve">  </w:t>
            </w:r>
          </w:p>
        </w:tc>
        <w:tc>
          <w:tcPr>
            <w:tcW w:w="3551" w:type="dxa"/>
            <w:tcBorders/>
            <w:shd w:fill="FFFFFF" w:val="clear"/>
            <w:vAlign w:val="bottom"/>
          </w:tcPr>
          <w:p>
            <w:pPr>
              <w:pStyle w:val="TableContents"/>
              <w:spacing w:before="0" w:after="283"/>
              <w:rPr/>
            </w:pPr>
            <w:r>
              <w:rPr/>
              <w:t xml:space="preserve">  </w:t>
            </w:r>
          </w:p>
        </w:tc>
        <w:tc>
          <w:tcPr>
            <w:tcW w:w="281" w:type="dxa"/>
            <w:tcBorders/>
            <w:shd w:fill="FFFFFF" w:val="clear"/>
            <w:vAlign w:val="bottom"/>
          </w:tcPr>
          <w:p>
            <w:pPr>
              <w:pStyle w:val="TableContents"/>
              <w:spacing w:before="0" w:after="283"/>
              <w:rPr/>
            </w:pPr>
            <w:r>
              <w:rPr/>
              <w:t xml:space="preserve">  </w:t>
            </w:r>
          </w:p>
        </w:tc>
        <w:tc>
          <w:tcPr>
            <w:tcW w:w="2042" w:type="dxa"/>
            <w:tcBorders/>
            <w:shd w:fill="FFFFFF" w:val="clear"/>
            <w:vAlign w:val="bottom"/>
          </w:tcPr>
          <w:p>
            <w:pPr>
              <w:pStyle w:val="TableContents"/>
              <w:spacing w:before="0" w:after="283"/>
              <w:rPr/>
            </w:pPr>
            <w:r>
              <w:rPr/>
              <w:t xml:space="preserve">  </w:t>
            </w:r>
          </w:p>
        </w:tc>
      </w:tr>
      <w:tr>
        <w:trPr/>
        <w:tc>
          <w:tcPr>
            <w:tcW w:w="4050" w:type="dxa"/>
            <w:gridSpan w:val="3"/>
            <w:tcBorders/>
            <w:shd w:fill="FFFFFF" w:val="clear"/>
          </w:tcPr>
          <w:p>
            <w:pPr>
              <w:pStyle w:val="TableContents"/>
              <w:spacing w:before="0" w:after="0"/>
              <w:jc w:val="left"/>
              <w:rPr>
                <w:sz w:val="17"/>
              </w:rPr>
            </w:pPr>
            <w:r>
              <w:rPr>
                <w:sz w:val="17"/>
              </w:rPr>
              <w:t>/s/  J. Taft Symonds</w:t>
            </w:r>
          </w:p>
          <w:p>
            <w:pPr>
              <w:pStyle w:val="TableContents"/>
              <w:spacing w:before="0" w:after="0"/>
              <w:rPr/>
            </w:pPr>
            <w:r>
              <w:rPr/>
            </w:r>
          </w:p>
          <w:p>
            <w:pPr>
              <w:pStyle w:val="TableContents"/>
              <w:spacing w:before="0" w:after="0"/>
              <w:rPr>
                <w:sz w:val="17"/>
              </w:rPr>
            </w:pPr>
            <w:r>
              <w:rPr>
                <w:sz w:val="17"/>
              </w:rPr>
              <w:t xml:space="preserve">J. Taft Symonds </w:t>
            </w:r>
          </w:p>
        </w:tc>
        <w:tc>
          <w:tcPr>
            <w:tcW w:w="281" w:type="dxa"/>
            <w:tcBorders/>
            <w:shd w:fill="FFFFFF" w:val="clear"/>
            <w:vAlign w:val="bottom"/>
          </w:tcPr>
          <w:p>
            <w:pPr>
              <w:pStyle w:val="TableContents"/>
              <w:spacing w:before="0" w:after="283"/>
              <w:rPr/>
            </w:pPr>
            <w:r>
              <w:rPr/>
              <w:t xml:space="preserve">  </w:t>
            </w:r>
          </w:p>
        </w:tc>
        <w:tc>
          <w:tcPr>
            <w:tcW w:w="3551" w:type="dxa"/>
            <w:tcBorders/>
            <w:shd w:fill="FFFFFF" w:val="clear"/>
          </w:tcPr>
          <w:p>
            <w:pPr>
              <w:pStyle w:val="TableContents"/>
              <w:spacing w:before="0" w:after="283"/>
              <w:jc w:val="center"/>
              <w:rPr>
                <w:sz w:val="17"/>
              </w:rPr>
            </w:pPr>
            <w:r>
              <w:rPr>
                <w:sz w:val="17"/>
              </w:rPr>
              <w:t xml:space="preserve">Director </w:t>
            </w:r>
          </w:p>
        </w:tc>
        <w:tc>
          <w:tcPr>
            <w:tcW w:w="281" w:type="dxa"/>
            <w:tcBorders/>
            <w:shd w:fill="FFFFFF" w:val="clear"/>
            <w:vAlign w:val="bottom"/>
          </w:tcPr>
          <w:p>
            <w:pPr>
              <w:pStyle w:val="TableContents"/>
              <w:spacing w:before="0" w:after="283"/>
              <w:rPr/>
            </w:pPr>
            <w:r>
              <w:rPr/>
              <w:t xml:space="preserve">  </w:t>
            </w:r>
          </w:p>
        </w:tc>
        <w:tc>
          <w:tcPr>
            <w:tcW w:w="2042" w:type="dxa"/>
            <w:tcBorders/>
            <w:shd w:fill="FFFFFF" w:val="clear"/>
          </w:tcPr>
          <w:p>
            <w:pPr>
              <w:pStyle w:val="TableContents"/>
              <w:spacing w:before="0" w:after="283"/>
              <w:jc w:val="center"/>
              <w:rPr>
                <w:sz w:val="17"/>
              </w:rPr>
            </w:pPr>
            <w:r>
              <w:rPr>
                <w:sz w:val="17"/>
              </w:rPr>
              <w:t xml:space="preserve">March 23, 2007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MARKETING GP INC., for itself and as the general partner of (1) PLAINS MARKETING, L.P., which is the sole member of each of PLAINS MARKETING CANADA LLC; PLAINS LPG SERVICES GP LLC, the general partner of each of PLAINS LPG MARKETING, L.P. and PLAINS LPG SERVICES, L.P., the sole member of LONE STAR TRUCKING, LLC; and PLAINS MARKETING INTERNATIONAL GP LLC, the general partner of PLAINS MARKETING INTERNATIONAL, L.P., and (2) PLAINS PIPELINE, L.P., which is the sole member of each of BASIN HOLDINGS GP LLC, the general partner of BASIN PIPELINE HOLDINGS, L.P. and RANCHO HOLDINGS GP LLC, the general partner of RANCHO PIPELINE HOLDINGS, L.P.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95"/>
        <w:gridCol w:w="358"/>
        <w:gridCol w:w="2843"/>
        <w:gridCol w:w="255"/>
        <w:gridCol w:w="4061"/>
        <w:gridCol w:w="255"/>
        <w:gridCol w:w="1938"/>
      </w:tblGrid>
      <w:tr>
        <w:trPr/>
        <w:tc>
          <w:tcPr>
            <w:tcW w:w="495" w:type="dxa"/>
            <w:tcBorders/>
            <w:shd w:fill="FFFFFF" w:val="clear"/>
            <w:vAlign w:val="bottom"/>
          </w:tcPr>
          <w:p>
            <w:pPr>
              <w:pStyle w:val="TableContents"/>
              <w:spacing w:before="0" w:after="283"/>
              <w:rPr/>
            </w:pPr>
            <w:r>
              <w:rPr/>
              <w:t> </w:t>
            </w:r>
          </w:p>
        </w:tc>
        <w:tc>
          <w:tcPr>
            <w:tcW w:w="358" w:type="dxa"/>
            <w:tcBorders/>
            <w:shd w:fill="FFFFFF" w:val="clear"/>
            <w:vAlign w:val="bottom"/>
          </w:tcPr>
          <w:p>
            <w:pPr>
              <w:pStyle w:val="TableContents"/>
              <w:spacing w:before="0" w:after="283"/>
              <w:rPr/>
            </w:pPr>
            <w:r>
              <w:rPr/>
              <w:t> </w:t>
            </w:r>
          </w:p>
        </w:tc>
        <w:tc>
          <w:tcPr>
            <w:tcW w:w="2843" w:type="dxa"/>
            <w:tcBorders/>
            <w:shd w:fill="FFFFFF" w:val="clear"/>
            <w:vAlign w:val="bottom"/>
          </w:tcPr>
          <w:p>
            <w:pPr>
              <w:pStyle w:val="TableContents"/>
              <w:spacing w:before="0" w:after="283"/>
              <w:rPr/>
            </w:pPr>
            <w:r>
              <w:rPr/>
              <w:t> </w:t>
            </w:r>
          </w:p>
        </w:tc>
        <w:tc>
          <w:tcPr>
            <w:tcW w:w="255" w:type="dxa"/>
            <w:tcBorders/>
            <w:shd w:fill="FFFFFF" w:val="clear"/>
            <w:vAlign w:val="bottom"/>
          </w:tcPr>
          <w:p>
            <w:pPr>
              <w:pStyle w:val="TableContents"/>
              <w:spacing w:before="0" w:after="283"/>
              <w:rPr/>
            </w:pPr>
            <w:r>
              <w:rPr/>
              <w:t> </w:t>
            </w:r>
          </w:p>
        </w:tc>
        <w:tc>
          <w:tcPr>
            <w:tcW w:w="4061" w:type="dxa"/>
            <w:tcBorders/>
            <w:shd w:fill="FFFFFF" w:val="clear"/>
            <w:vAlign w:val="bottom"/>
          </w:tcPr>
          <w:p>
            <w:pPr>
              <w:pStyle w:val="TableContents"/>
              <w:spacing w:before="0" w:after="283"/>
              <w:rPr/>
            </w:pPr>
            <w:r>
              <w:rPr/>
              <w:t> </w:t>
            </w:r>
          </w:p>
        </w:tc>
        <w:tc>
          <w:tcPr>
            <w:tcW w:w="255" w:type="dxa"/>
            <w:tcBorders/>
            <w:shd w:fill="FFFFFF" w:val="clear"/>
            <w:vAlign w:val="bottom"/>
          </w:tcPr>
          <w:p>
            <w:pPr>
              <w:pStyle w:val="TableContents"/>
              <w:spacing w:before="0" w:after="283"/>
              <w:rPr/>
            </w:pPr>
            <w:r>
              <w:rPr/>
              <w:t> </w:t>
            </w:r>
          </w:p>
        </w:tc>
        <w:tc>
          <w:tcPr>
            <w:tcW w:w="1938" w:type="dxa"/>
            <w:tcBorders/>
            <w:shd w:fill="FFFFFF" w:val="clear"/>
            <w:vAlign w:val="bottom"/>
          </w:tcPr>
          <w:p>
            <w:pPr>
              <w:pStyle w:val="TableContents"/>
              <w:spacing w:before="0" w:after="283"/>
              <w:rPr/>
            </w:pPr>
            <w:r>
              <w:rPr/>
              <w:t> </w:t>
            </w:r>
          </w:p>
        </w:tc>
      </w:tr>
      <w:tr>
        <w:trPr/>
        <w:tc>
          <w:tcPr>
            <w:tcW w:w="3696" w:type="dxa"/>
            <w:gridSpan w:val="3"/>
            <w:tcBorders/>
            <w:shd w:fill="FFFFFF" w:val="clear"/>
            <w:vAlign w:val="bottom"/>
          </w:tcPr>
          <w:p>
            <w:pPr>
              <w:pStyle w:val="TableContents"/>
              <w:spacing w:before="0" w:after="0"/>
              <w:jc w:val="center"/>
              <w:rPr>
                <w:bdr w:val="single" w:sz="2" w:space="1" w:color="000000"/>
              </w:rPr>
            </w:pPr>
            <w:r>
              <w:rPr>
                <w:b/>
                <w:bdr w:val="single" w:sz="2" w:space="1" w:color="000000"/>
              </w:rPr>
              <w:t>Signature</w:t>
            </w:r>
            <w:r>
              <w:rPr>
                <w:bdr w:val="single" w:sz="2" w:space="1" w:color="000000"/>
              </w:rPr>
              <w:t xml:space="preserve"> </w:t>
            </w:r>
          </w:p>
        </w:tc>
        <w:tc>
          <w:tcPr>
            <w:tcW w:w="255" w:type="dxa"/>
            <w:tcBorders/>
            <w:shd w:fill="FFFFFF" w:val="clear"/>
            <w:vAlign w:val="bottom"/>
          </w:tcPr>
          <w:p>
            <w:pPr>
              <w:pStyle w:val="TableContents"/>
              <w:spacing w:before="0" w:after="283"/>
              <w:jc w:val="center"/>
              <w:rPr/>
            </w:pPr>
            <w:r>
              <w:rPr/>
              <w:t xml:space="preserve">  </w:t>
            </w:r>
          </w:p>
        </w:tc>
        <w:tc>
          <w:tcPr>
            <w:tcW w:w="4061" w:type="dxa"/>
            <w:tcBorders/>
            <w:shd w:fill="FFFFFF" w:val="clear"/>
            <w:vAlign w:val="bottom"/>
          </w:tcPr>
          <w:p>
            <w:pPr>
              <w:pStyle w:val="TableContents"/>
              <w:spacing w:before="0" w:after="0"/>
              <w:jc w:val="center"/>
              <w:rPr>
                <w:bdr w:val="single" w:sz="2" w:space="1" w:color="000000"/>
              </w:rPr>
            </w:pPr>
            <w:r>
              <w:rPr>
                <w:b/>
                <w:bdr w:val="single" w:sz="2" w:space="1" w:color="000000"/>
              </w:rPr>
              <w:t>Title</w:t>
            </w:r>
            <w:r>
              <w:rPr>
                <w:bdr w:val="single" w:sz="2" w:space="1" w:color="000000"/>
              </w:rPr>
              <w:t xml:space="preserve"> </w:t>
            </w:r>
          </w:p>
        </w:tc>
        <w:tc>
          <w:tcPr>
            <w:tcW w:w="255" w:type="dxa"/>
            <w:tcBorders/>
            <w:shd w:fill="FFFFFF" w:val="clear"/>
            <w:vAlign w:val="bottom"/>
          </w:tcPr>
          <w:p>
            <w:pPr>
              <w:pStyle w:val="TableContents"/>
              <w:spacing w:before="0" w:after="283"/>
              <w:jc w:val="center"/>
              <w:rPr/>
            </w:pPr>
            <w:r>
              <w:rPr/>
              <w:t xml:space="preserve">  </w:t>
            </w:r>
          </w:p>
        </w:tc>
        <w:tc>
          <w:tcPr>
            <w:tcW w:w="1938" w:type="dxa"/>
            <w:tcBorders/>
            <w:shd w:fill="FFFFFF" w:val="clear"/>
            <w:vAlign w:val="bottom"/>
          </w:tcPr>
          <w:p>
            <w:pPr>
              <w:pStyle w:val="TableContents"/>
              <w:spacing w:before="0" w:after="0"/>
              <w:jc w:val="center"/>
              <w:rPr>
                <w:bdr w:val="single" w:sz="2" w:space="1" w:color="000000"/>
              </w:rPr>
            </w:pPr>
            <w:r>
              <w:rPr>
                <w:b/>
                <w:bdr w:val="single" w:sz="2" w:space="1" w:color="000000"/>
              </w:rPr>
              <w:t>Date</w:t>
            </w:r>
            <w:r>
              <w:rPr>
                <w:bdr w:val="single" w:sz="2" w:space="1" w:color="000000"/>
              </w:rPr>
              <w:t xml:space="preserve"> </w:t>
            </w:r>
          </w:p>
        </w:tc>
      </w:tr>
      <w:tr>
        <w:trPr/>
        <w:tc>
          <w:tcPr>
            <w:tcW w:w="495" w:type="dxa"/>
            <w:tcBorders/>
            <w:shd w:fill="FFFFFF" w:val="clear"/>
            <w:vAlign w:val="center"/>
          </w:tcPr>
          <w:p>
            <w:pPr>
              <w:pStyle w:val="TableContents"/>
              <w:spacing w:before="0" w:after="283"/>
              <w:rPr/>
            </w:pPr>
            <w:r>
              <w:rPr/>
              <w:t xml:space="preserve">  </w:t>
            </w:r>
          </w:p>
        </w:tc>
        <w:tc>
          <w:tcPr>
            <w:tcW w:w="9710" w:type="dxa"/>
            <w:gridSpan w:val="6"/>
            <w:tcBorders/>
            <w:shd w:fill="FFFFFF" w:val="clear"/>
          </w:tcPr>
          <w:p>
            <w:pPr>
              <w:pStyle w:val="TableContents"/>
              <w:spacing w:before="0" w:after="283"/>
              <w:rPr>
                <w:sz w:val="4"/>
                <w:szCs w:val="4"/>
              </w:rPr>
            </w:pPr>
            <w:r>
              <w:rPr>
                <w:sz w:val="4"/>
                <w:szCs w:val="4"/>
              </w:rPr>
            </w:r>
          </w:p>
        </w:tc>
      </w:tr>
      <w:tr>
        <w:trPr/>
        <w:tc>
          <w:tcPr>
            <w:tcW w:w="3696"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tcPr>
          <w:p>
            <w:pPr>
              <w:pStyle w:val="TableContents"/>
              <w:spacing w:before="0" w:after="283"/>
              <w:jc w:val="center"/>
              <w:rPr>
                <w:sz w:val="17"/>
              </w:rPr>
            </w:pPr>
            <w:r>
              <w:rPr>
                <w:sz w:val="17"/>
              </w:rPr>
              <w:t>Chairman of the Board, Chief Executive Officer and Director (Principal</w:t>
              <w:br/>
              <w:t xml:space="preserve">Executive Officer)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tcPr>
          <w:p>
            <w:pPr>
              <w:pStyle w:val="TableContents"/>
              <w:spacing w:before="0" w:after="283"/>
              <w:jc w:val="center"/>
              <w:rPr>
                <w:sz w:val="17"/>
              </w:rPr>
            </w:pPr>
            <w:r>
              <w:rPr>
                <w:sz w:val="17"/>
              </w:rPr>
              <w:t xml:space="preserve">March 23, 2007 </w:t>
            </w:r>
          </w:p>
        </w:tc>
      </w:tr>
      <w:tr>
        <w:trPr/>
        <w:tc>
          <w:tcPr>
            <w:tcW w:w="3696" w:type="dxa"/>
            <w:gridSpan w:val="3"/>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vAlign w:val="bottom"/>
          </w:tcPr>
          <w:p>
            <w:pPr>
              <w:pStyle w:val="TableContents"/>
              <w:spacing w:before="0" w:after="283"/>
              <w:rPr/>
            </w:pPr>
            <w:r>
              <w:rPr/>
              <w:t xml:space="preserve">  </w:t>
            </w:r>
          </w:p>
        </w:tc>
      </w:tr>
      <w:tr>
        <w:trPr/>
        <w:tc>
          <w:tcPr>
            <w:tcW w:w="3696" w:type="dxa"/>
            <w:gridSpan w:val="3"/>
            <w:tcBorders/>
            <w:shd w:fill="FFFFFF" w:val="clear"/>
          </w:tcPr>
          <w:p>
            <w:pPr>
              <w:pStyle w:val="TableContents"/>
              <w:spacing w:before="0" w:after="0"/>
              <w:jc w:val="left"/>
              <w:rPr>
                <w:sz w:val="17"/>
              </w:rPr>
            </w:pPr>
            <w:r>
              <w:rPr>
                <w:sz w:val="17"/>
              </w:rPr>
              <w:t>/s/  Harry N. Pefanis</w:t>
            </w:r>
          </w:p>
          <w:p>
            <w:pPr>
              <w:pStyle w:val="TableContents"/>
              <w:spacing w:before="0" w:after="0"/>
              <w:rPr/>
            </w:pPr>
            <w:r>
              <w:rPr/>
            </w:r>
          </w:p>
          <w:p>
            <w:pPr>
              <w:pStyle w:val="TableContents"/>
              <w:spacing w:before="0" w:after="0"/>
              <w:rPr>
                <w:sz w:val="17"/>
              </w:rPr>
            </w:pPr>
            <w:r>
              <w:rPr>
                <w:sz w:val="17"/>
              </w:rPr>
              <w:t xml:space="preserve">Harry N. Pefanis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tcPr>
          <w:p>
            <w:pPr>
              <w:pStyle w:val="TableContents"/>
              <w:spacing w:before="0" w:after="283"/>
              <w:jc w:val="center"/>
              <w:rPr>
                <w:sz w:val="17"/>
              </w:rPr>
            </w:pPr>
            <w:r>
              <w:rPr>
                <w:sz w:val="17"/>
              </w:rPr>
              <w:t>President, Chief Operating Officer</w:t>
              <w:br/>
              <w:t xml:space="preserve">and Director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tcPr>
          <w:p>
            <w:pPr>
              <w:pStyle w:val="TableContents"/>
              <w:spacing w:before="0" w:after="283"/>
              <w:jc w:val="center"/>
              <w:rPr>
                <w:sz w:val="17"/>
              </w:rPr>
            </w:pPr>
            <w:r>
              <w:rPr>
                <w:sz w:val="17"/>
              </w:rPr>
              <w:t xml:space="preserve">March 23, 2007 </w:t>
            </w:r>
          </w:p>
        </w:tc>
      </w:tr>
      <w:tr>
        <w:trPr/>
        <w:tc>
          <w:tcPr>
            <w:tcW w:w="3696" w:type="dxa"/>
            <w:gridSpan w:val="3"/>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vAlign w:val="bottom"/>
          </w:tcPr>
          <w:p>
            <w:pPr>
              <w:pStyle w:val="TableContents"/>
              <w:spacing w:before="0" w:after="283"/>
              <w:rPr/>
            </w:pPr>
            <w:r>
              <w:rPr/>
              <w:t xml:space="preserve">  </w:t>
            </w:r>
          </w:p>
        </w:tc>
      </w:tr>
      <w:tr>
        <w:trPr/>
        <w:tc>
          <w:tcPr>
            <w:tcW w:w="3696" w:type="dxa"/>
            <w:gridSpan w:val="3"/>
            <w:tcBorders/>
            <w:shd w:fill="FFFFFF" w:val="clear"/>
          </w:tcPr>
          <w:p>
            <w:pPr>
              <w:pStyle w:val="TableContents"/>
              <w:spacing w:before="0" w:after="0"/>
              <w:jc w:val="left"/>
              <w:rPr>
                <w:sz w:val="17"/>
              </w:rPr>
            </w:pPr>
            <w:r>
              <w:rPr>
                <w:sz w:val="17"/>
              </w:rPr>
              <w:t>/s/  Phil Kramer</w:t>
            </w:r>
          </w:p>
          <w:p>
            <w:pPr>
              <w:pStyle w:val="TableContents"/>
              <w:spacing w:before="0" w:after="0"/>
              <w:rPr/>
            </w:pPr>
            <w:r>
              <w:rPr/>
            </w:r>
          </w:p>
          <w:p>
            <w:pPr>
              <w:pStyle w:val="TableContents"/>
              <w:spacing w:before="0" w:after="0"/>
              <w:rPr>
                <w:sz w:val="17"/>
              </w:rPr>
            </w:pPr>
            <w:r>
              <w:rPr>
                <w:sz w:val="17"/>
              </w:rPr>
              <w:t xml:space="preserve">Phil Kramer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tcPr>
          <w:p>
            <w:pPr>
              <w:pStyle w:val="TableContents"/>
              <w:spacing w:before="0" w:after="283"/>
              <w:jc w:val="center"/>
              <w:rPr>
                <w:sz w:val="17"/>
              </w:rPr>
            </w:pPr>
            <w:r>
              <w:rPr>
                <w:sz w:val="17"/>
              </w:rPr>
              <w:t>Executive Vice President and Chief Financial Officer (Principal</w:t>
              <w:br/>
              <w:t xml:space="preserve">Financial Officer)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tcPr>
          <w:p>
            <w:pPr>
              <w:pStyle w:val="TableContents"/>
              <w:spacing w:before="0" w:after="283"/>
              <w:jc w:val="center"/>
              <w:rPr>
                <w:sz w:val="17"/>
              </w:rPr>
            </w:pPr>
            <w:r>
              <w:rPr>
                <w:sz w:val="17"/>
              </w:rPr>
              <w:t xml:space="preserve">March 23, 2007 </w:t>
            </w:r>
          </w:p>
        </w:tc>
      </w:tr>
      <w:tr>
        <w:trPr/>
        <w:tc>
          <w:tcPr>
            <w:tcW w:w="3696" w:type="dxa"/>
            <w:gridSpan w:val="3"/>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vAlign w:val="bottom"/>
          </w:tcPr>
          <w:p>
            <w:pPr>
              <w:pStyle w:val="TableContents"/>
              <w:spacing w:before="0" w:after="283"/>
              <w:rPr/>
            </w:pPr>
            <w:r>
              <w:rPr/>
              <w:t xml:space="preserve">  </w:t>
            </w:r>
          </w:p>
        </w:tc>
      </w:tr>
      <w:tr>
        <w:trPr/>
        <w:tc>
          <w:tcPr>
            <w:tcW w:w="3696" w:type="dxa"/>
            <w:gridSpan w:val="3"/>
            <w:tcBorders/>
            <w:shd w:fill="FFFFFF" w:val="clear"/>
          </w:tcPr>
          <w:p>
            <w:pPr>
              <w:pStyle w:val="TableContents"/>
              <w:spacing w:before="0" w:after="0"/>
              <w:jc w:val="left"/>
              <w:rPr>
                <w:sz w:val="17"/>
              </w:rPr>
            </w:pPr>
            <w:r>
              <w:rPr>
                <w:sz w:val="17"/>
              </w:rPr>
              <w:t>/s/  Tina L. Val</w:t>
            </w:r>
          </w:p>
          <w:p>
            <w:pPr>
              <w:pStyle w:val="TableContents"/>
              <w:spacing w:before="0" w:after="0"/>
              <w:rPr/>
            </w:pPr>
            <w:r>
              <w:rPr/>
            </w:r>
          </w:p>
          <w:p>
            <w:pPr>
              <w:pStyle w:val="TableContents"/>
              <w:spacing w:before="0" w:after="0"/>
              <w:rPr>
                <w:sz w:val="17"/>
              </w:rPr>
            </w:pPr>
            <w:r>
              <w:rPr>
                <w:sz w:val="17"/>
              </w:rPr>
              <w:t xml:space="preserve">Tina L. Val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tcPr>
          <w:p>
            <w:pPr>
              <w:pStyle w:val="TableContents"/>
              <w:spacing w:before="0" w:after="283"/>
              <w:jc w:val="center"/>
              <w:rPr>
                <w:sz w:val="17"/>
              </w:rPr>
            </w:pPr>
            <w:r>
              <w:rPr>
                <w:sz w:val="17"/>
              </w:rPr>
              <w:t>Vice President  Accounting and Chief Accounting Officer (Principal</w:t>
              <w:br/>
              <w:t xml:space="preserve">Accounting Officer)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tcPr>
          <w:p>
            <w:pPr>
              <w:pStyle w:val="TableContents"/>
              <w:spacing w:before="0" w:after="283"/>
              <w:jc w:val="center"/>
              <w:rPr>
                <w:sz w:val="17"/>
              </w:rPr>
            </w:pPr>
            <w:r>
              <w:rPr>
                <w:sz w:val="17"/>
              </w:rPr>
              <w:t xml:space="preserve">March 23, 2007 </w:t>
            </w:r>
          </w:p>
        </w:tc>
      </w:tr>
      <w:tr>
        <w:trPr/>
        <w:tc>
          <w:tcPr>
            <w:tcW w:w="3696" w:type="dxa"/>
            <w:gridSpan w:val="3"/>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vAlign w:val="bottom"/>
          </w:tcPr>
          <w:p>
            <w:pPr>
              <w:pStyle w:val="TableContents"/>
              <w:spacing w:before="0" w:after="283"/>
              <w:rPr/>
            </w:pPr>
            <w:r>
              <w:rPr/>
              <w:t xml:space="preserve">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vAlign w:val="bottom"/>
          </w:tcPr>
          <w:p>
            <w:pPr>
              <w:pStyle w:val="TableContents"/>
              <w:spacing w:before="0" w:after="283"/>
              <w:rPr/>
            </w:pPr>
            <w:r>
              <w:rPr/>
              <w:t xml:space="preserve">  </w:t>
            </w:r>
          </w:p>
        </w:tc>
      </w:tr>
      <w:tr>
        <w:trPr/>
        <w:tc>
          <w:tcPr>
            <w:tcW w:w="3696"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255" w:type="dxa"/>
            <w:tcBorders/>
            <w:shd w:fill="FFFFFF" w:val="clear"/>
            <w:vAlign w:val="bottom"/>
          </w:tcPr>
          <w:p>
            <w:pPr>
              <w:pStyle w:val="TableContents"/>
              <w:spacing w:before="0" w:after="283"/>
              <w:rPr/>
            </w:pPr>
            <w:r>
              <w:rPr/>
              <w:t xml:space="preserve">  </w:t>
            </w:r>
          </w:p>
        </w:tc>
        <w:tc>
          <w:tcPr>
            <w:tcW w:w="4061" w:type="dxa"/>
            <w:tcBorders/>
            <w:shd w:fill="FFFFFF" w:val="clear"/>
          </w:tcPr>
          <w:p>
            <w:pPr>
              <w:pStyle w:val="TableContents"/>
              <w:spacing w:before="0" w:after="283"/>
              <w:jc w:val="center"/>
              <w:rPr>
                <w:sz w:val="17"/>
              </w:rPr>
            </w:pPr>
            <w:r>
              <w:rPr>
                <w:sz w:val="17"/>
              </w:rPr>
              <w:t xml:space="preserve">Vice President, General Counsel, Secretary and Director </w:t>
            </w:r>
          </w:p>
        </w:tc>
        <w:tc>
          <w:tcPr>
            <w:tcW w:w="255" w:type="dxa"/>
            <w:tcBorders/>
            <w:shd w:fill="FFFFFF" w:val="clear"/>
            <w:vAlign w:val="bottom"/>
          </w:tcPr>
          <w:p>
            <w:pPr>
              <w:pStyle w:val="TableContents"/>
              <w:spacing w:before="0" w:after="283"/>
              <w:rPr/>
            </w:pPr>
            <w:r>
              <w:rPr/>
              <w:t xml:space="preserve">  </w:t>
            </w:r>
          </w:p>
        </w:tc>
        <w:tc>
          <w:tcPr>
            <w:tcW w:w="1938" w:type="dxa"/>
            <w:tcBorders/>
            <w:shd w:fill="FFFFFF" w:val="clear"/>
          </w:tcPr>
          <w:p>
            <w:pPr>
              <w:pStyle w:val="TableContents"/>
              <w:spacing w:before="0" w:after="283"/>
              <w:jc w:val="center"/>
              <w:rPr>
                <w:sz w:val="17"/>
              </w:rPr>
            </w:pPr>
            <w:r>
              <w:rPr>
                <w:sz w:val="17"/>
              </w:rPr>
              <w:t xml:space="preserve">March 23, 2007 </w:t>
            </w:r>
          </w:p>
        </w:tc>
      </w:tr>
    </w:tbl>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PAA FINANCE CORP.</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08"/>
        <w:gridCol w:w="259"/>
        <w:gridCol w:w="2957"/>
        <w:gridCol w:w="267"/>
        <w:gridCol w:w="4136"/>
        <w:gridCol w:w="267"/>
        <w:gridCol w:w="1911"/>
      </w:tblGrid>
      <w:tr>
        <w:trPr/>
        <w:tc>
          <w:tcPr>
            <w:tcW w:w="408" w:type="dxa"/>
            <w:tcBorders/>
            <w:shd w:fill="FFFFFF" w:val="clear"/>
            <w:vAlign w:val="bottom"/>
          </w:tcPr>
          <w:p>
            <w:pPr>
              <w:pStyle w:val="TableContents"/>
              <w:spacing w:before="0" w:after="283"/>
              <w:rPr/>
            </w:pPr>
            <w:r>
              <w:rPr/>
              <w:t> </w:t>
            </w:r>
          </w:p>
        </w:tc>
        <w:tc>
          <w:tcPr>
            <w:tcW w:w="259" w:type="dxa"/>
            <w:tcBorders/>
            <w:shd w:fill="FFFFFF" w:val="clear"/>
            <w:vAlign w:val="bottom"/>
          </w:tcPr>
          <w:p>
            <w:pPr>
              <w:pStyle w:val="TableContents"/>
              <w:spacing w:before="0" w:after="283"/>
              <w:rPr/>
            </w:pPr>
            <w:r>
              <w:rPr/>
              <w:t> </w:t>
            </w:r>
          </w:p>
        </w:tc>
        <w:tc>
          <w:tcPr>
            <w:tcW w:w="2957"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rPr/>
            </w:pPr>
            <w:r>
              <w:rPr/>
              <w:t> </w:t>
            </w:r>
          </w:p>
        </w:tc>
        <w:tc>
          <w:tcPr>
            <w:tcW w:w="4136"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rPr/>
            </w:pPr>
            <w:r>
              <w:rPr/>
              <w:t> </w:t>
            </w:r>
          </w:p>
        </w:tc>
        <w:tc>
          <w:tcPr>
            <w:tcW w:w="1911" w:type="dxa"/>
            <w:tcBorders/>
            <w:shd w:fill="FFFFFF" w:val="clear"/>
            <w:vAlign w:val="bottom"/>
          </w:tcPr>
          <w:p>
            <w:pPr>
              <w:pStyle w:val="TableContents"/>
              <w:spacing w:before="0" w:after="283"/>
              <w:rPr/>
            </w:pPr>
            <w:r>
              <w:rPr/>
              <w:t> </w:t>
            </w:r>
          </w:p>
        </w:tc>
      </w:tr>
      <w:tr>
        <w:trPr/>
        <w:tc>
          <w:tcPr>
            <w:tcW w:w="3624"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President and Director (Principal</w:t>
              <w:br/>
              <w:t xml:space="preserve">Executive Officer)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r>
        <w:trPr/>
        <w:tc>
          <w:tcPr>
            <w:tcW w:w="3624" w:type="dxa"/>
            <w:gridSpan w:val="3"/>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vAlign w:val="bottom"/>
          </w:tcPr>
          <w:p>
            <w:pPr>
              <w:pStyle w:val="TableContents"/>
              <w:spacing w:before="0" w:after="283"/>
              <w:rPr/>
            </w:pPr>
            <w:r>
              <w:rPr/>
              <w:t xml:space="preserve">  </w:t>
            </w:r>
          </w:p>
        </w:tc>
      </w:tr>
      <w:tr>
        <w:trPr/>
        <w:tc>
          <w:tcPr>
            <w:tcW w:w="3624" w:type="dxa"/>
            <w:gridSpan w:val="3"/>
            <w:tcBorders/>
            <w:shd w:fill="FFFFFF" w:val="clear"/>
          </w:tcPr>
          <w:p>
            <w:pPr>
              <w:pStyle w:val="TableContents"/>
              <w:spacing w:before="0" w:after="0"/>
              <w:jc w:val="left"/>
              <w:rPr>
                <w:sz w:val="17"/>
              </w:rPr>
            </w:pPr>
            <w:r>
              <w:rPr>
                <w:sz w:val="17"/>
              </w:rPr>
              <w:t>/s/  Phil Kramer</w:t>
            </w:r>
          </w:p>
          <w:p>
            <w:pPr>
              <w:pStyle w:val="TableContents"/>
              <w:spacing w:before="0" w:after="0"/>
              <w:rPr/>
            </w:pPr>
            <w:r>
              <w:rPr/>
            </w:r>
          </w:p>
          <w:p>
            <w:pPr>
              <w:pStyle w:val="TableContents"/>
              <w:spacing w:before="0" w:after="0"/>
              <w:rPr>
                <w:sz w:val="17"/>
              </w:rPr>
            </w:pPr>
            <w:r>
              <w:rPr>
                <w:sz w:val="17"/>
              </w:rPr>
              <w:t xml:space="preserve">Phil Kramer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Executive Vice President, Chief Financial Officer and Director (Principal</w:t>
              <w:br/>
              <w:t xml:space="preserve">Financial Officer)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r>
        <w:trPr/>
        <w:tc>
          <w:tcPr>
            <w:tcW w:w="3624" w:type="dxa"/>
            <w:gridSpan w:val="3"/>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vAlign w:val="bottom"/>
          </w:tcPr>
          <w:p>
            <w:pPr>
              <w:pStyle w:val="TableContents"/>
              <w:spacing w:before="0" w:after="283"/>
              <w:rPr/>
            </w:pPr>
            <w:r>
              <w:rPr/>
              <w:t xml:space="preserve">  </w:t>
            </w:r>
          </w:p>
        </w:tc>
      </w:tr>
      <w:tr>
        <w:trPr/>
        <w:tc>
          <w:tcPr>
            <w:tcW w:w="3624" w:type="dxa"/>
            <w:gridSpan w:val="3"/>
            <w:tcBorders/>
            <w:shd w:fill="FFFFFF" w:val="clear"/>
          </w:tcPr>
          <w:p>
            <w:pPr>
              <w:pStyle w:val="TableContents"/>
              <w:spacing w:before="0" w:after="0"/>
              <w:jc w:val="left"/>
              <w:rPr>
                <w:sz w:val="17"/>
              </w:rPr>
            </w:pPr>
            <w:r>
              <w:rPr>
                <w:sz w:val="17"/>
              </w:rPr>
              <w:t>/s/  Tina L. Val</w:t>
            </w:r>
          </w:p>
          <w:p>
            <w:pPr>
              <w:pStyle w:val="TableContents"/>
              <w:spacing w:before="0" w:after="0"/>
              <w:rPr/>
            </w:pPr>
            <w:r>
              <w:rPr/>
            </w:r>
          </w:p>
          <w:p>
            <w:pPr>
              <w:pStyle w:val="TableContents"/>
              <w:spacing w:before="0" w:after="0"/>
              <w:rPr>
                <w:sz w:val="17"/>
              </w:rPr>
            </w:pPr>
            <w:r>
              <w:rPr>
                <w:sz w:val="17"/>
              </w:rPr>
              <w:t xml:space="preserve">Tina L. Val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Vice President  Accounting and Chief Accounting Officer (Principal</w:t>
              <w:br/>
              <w:t xml:space="preserve">Accounting Officer)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r>
        <w:trPr/>
        <w:tc>
          <w:tcPr>
            <w:tcW w:w="3624" w:type="dxa"/>
            <w:gridSpan w:val="3"/>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vAlign w:val="bottom"/>
          </w:tcPr>
          <w:p>
            <w:pPr>
              <w:pStyle w:val="TableContents"/>
              <w:spacing w:before="0" w:after="283"/>
              <w:rPr/>
            </w:pPr>
            <w:r>
              <w:rPr/>
              <w:t xml:space="preserve">  </w:t>
            </w:r>
          </w:p>
        </w:tc>
      </w:tr>
      <w:tr>
        <w:trPr/>
        <w:tc>
          <w:tcPr>
            <w:tcW w:w="3624" w:type="dxa"/>
            <w:gridSpan w:val="3"/>
            <w:tcBorders/>
            <w:shd w:fill="FFFFFF" w:val="clear"/>
          </w:tcPr>
          <w:p>
            <w:pPr>
              <w:pStyle w:val="TableContents"/>
              <w:spacing w:before="0" w:after="0"/>
              <w:jc w:val="left"/>
              <w:rPr>
                <w:sz w:val="17"/>
              </w:rPr>
            </w:pPr>
            <w:r>
              <w:rPr>
                <w:sz w:val="17"/>
              </w:rPr>
              <w:t>/s/  Harry N. Pefanis</w:t>
            </w:r>
          </w:p>
          <w:p>
            <w:pPr>
              <w:pStyle w:val="TableContents"/>
              <w:spacing w:before="0" w:after="0"/>
              <w:rPr/>
            </w:pPr>
            <w:r>
              <w:rPr/>
            </w:r>
          </w:p>
          <w:p>
            <w:pPr>
              <w:pStyle w:val="TableContents"/>
              <w:spacing w:before="0" w:after="0"/>
              <w:rPr>
                <w:sz w:val="17"/>
              </w:rPr>
            </w:pPr>
            <w:r>
              <w:rPr>
                <w:sz w:val="17"/>
              </w:rPr>
              <w:t xml:space="preserve">Harry N. Pefanis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 xml:space="preserve">Vice President and Director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PACIFIC ENERGY FINANCE CORPORATION</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08"/>
        <w:gridCol w:w="259"/>
        <w:gridCol w:w="2957"/>
        <w:gridCol w:w="267"/>
        <w:gridCol w:w="4136"/>
        <w:gridCol w:w="267"/>
        <w:gridCol w:w="1911"/>
      </w:tblGrid>
      <w:tr>
        <w:trPr/>
        <w:tc>
          <w:tcPr>
            <w:tcW w:w="408" w:type="dxa"/>
            <w:tcBorders/>
            <w:shd w:fill="FFFFFF" w:val="clear"/>
            <w:vAlign w:val="bottom"/>
          </w:tcPr>
          <w:p>
            <w:pPr>
              <w:pStyle w:val="TableContents"/>
              <w:spacing w:before="0" w:after="283"/>
              <w:rPr/>
            </w:pPr>
            <w:r>
              <w:rPr/>
              <w:t> </w:t>
            </w:r>
          </w:p>
        </w:tc>
        <w:tc>
          <w:tcPr>
            <w:tcW w:w="259" w:type="dxa"/>
            <w:tcBorders/>
            <w:shd w:fill="FFFFFF" w:val="clear"/>
            <w:vAlign w:val="bottom"/>
          </w:tcPr>
          <w:p>
            <w:pPr>
              <w:pStyle w:val="TableContents"/>
              <w:spacing w:before="0" w:after="283"/>
              <w:rPr/>
            </w:pPr>
            <w:r>
              <w:rPr/>
              <w:t> </w:t>
            </w:r>
          </w:p>
        </w:tc>
        <w:tc>
          <w:tcPr>
            <w:tcW w:w="2957"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rPr/>
            </w:pPr>
            <w:r>
              <w:rPr/>
              <w:t> </w:t>
            </w:r>
          </w:p>
        </w:tc>
        <w:tc>
          <w:tcPr>
            <w:tcW w:w="4136"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rPr/>
            </w:pPr>
            <w:r>
              <w:rPr/>
              <w:t> </w:t>
            </w:r>
          </w:p>
        </w:tc>
        <w:tc>
          <w:tcPr>
            <w:tcW w:w="1911" w:type="dxa"/>
            <w:tcBorders/>
            <w:shd w:fill="FFFFFF" w:val="clear"/>
            <w:vAlign w:val="bottom"/>
          </w:tcPr>
          <w:p>
            <w:pPr>
              <w:pStyle w:val="TableContents"/>
              <w:spacing w:before="0" w:after="283"/>
              <w:rPr/>
            </w:pPr>
            <w:r>
              <w:rPr/>
              <w:t> </w:t>
            </w:r>
          </w:p>
        </w:tc>
      </w:tr>
      <w:tr>
        <w:trPr/>
        <w:tc>
          <w:tcPr>
            <w:tcW w:w="3624"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Chief Executive Officer (Principal</w:t>
              <w:br/>
              <w:t xml:space="preserve">Executive Officer)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r>
        <w:trPr/>
        <w:tc>
          <w:tcPr>
            <w:tcW w:w="3624" w:type="dxa"/>
            <w:gridSpan w:val="3"/>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vAlign w:val="bottom"/>
          </w:tcPr>
          <w:p>
            <w:pPr>
              <w:pStyle w:val="TableContents"/>
              <w:spacing w:before="0" w:after="283"/>
              <w:rPr/>
            </w:pPr>
            <w:r>
              <w:rPr/>
              <w:t xml:space="preserve">  </w:t>
            </w:r>
          </w:p>
        </w:tc>
      </w:tr>
      <w:tr>
        <w:trPr/>
        <w:tc>
          <w:tcPr>
            <w:tcW w:w="3624" w:type="dxa"/>
            <w:gridSpan w:val="3"/>
            <w:tcBorders/>
            <w:shd w:fill="FFFFFF" w:val="clear"/>
          </w:tcPr>
          <w:p>
            <w:pPr>
              <w:pStyle w:val="TableContents"/>
              <w:spacing w:before="0" w:after="0"/>
              <w:jc w:val="left"/>
              <w:rPr>
                <w:sz w:val="17"/>
              </w:rPr>
            </w:pPr>
            <w:r>
              <w:rPr>
                <w:sz w:val="17"/>
              </w:rPr>
              <w:t>/s/  Harry Pefanis</w:t>
            </w:r>
          </w:p>
          <w:p>
            <w:pPr>
              <w:pStyle w:val="TableContents"/>
              <w:spacing w:before="0" w:after="0"/>
              <w:rPr/>
            </w:pPr>
            <w:r>
              <w:rPr/>
            </w:r>
          </w:p>
          <w:p>
            <w:pPr>
              <w:pStyle w:val="TableContents"/>
              <w:spacing w:before="0" w:after="0"/>
              <w:rPr>
                <w:sz w:val="17"/>
              </w:rPr>
            </w:pPr>
            <w:r>
              <w:rPr>
                <w:sz w:val="17"/>
              </w:rPr>
              <w:t xml:space="preserve">Harry Pefanis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President, Chief Operating Officer</w:t>
              <w:br/>
              <w:t xml:space="preserve">and Director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r>
        <w:trPr/>
        <w:tc>
          <w:tcPr>
            <w:tcW w:w="3624" w:type="dxa"/>
            <w:gridSpan w:val="3"/>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vAlign w:val="bottom"/>
          </w:tcPr>
          <w:p>
            <w:pPr>
              <w:pStyle w:val="TableContents"/>
              <w:spacing w:before="0" w:after="283"/>
              <w:rPr/>
            </w:pPr>
            <w:r>
              <w:rPr/>
              <w:t xml:space="preserve">  </w:t>
            </w:r>
          </w:p>
        </w:tc>
      </w:tr>
      <w:tr>
        <w:trPr/>
        <w:tc>
          <w:tcPr>
            <w:tcW w:w="3624" w:type="dxa"/>
            <w:gridSpan w:val="3"/>
            <w:tcBorders/>
            <w:shd w:fill="FFFFFF" w:val="clear"/>
          </w:tcPr>
          <w:p>
            <w:pPr>
              <w:pStyle w:val="TableContents"/>
              <w:spacing w:before="0" w:after="0"/>
              <w:jc w:val="left"/>
              <w:rPr>
                <w:sz w:val="17"/>
              </w:rPr>
            </w:pPr>
            <w:r>
              <w:rPr>
                <w:sz w:val="17"/>
              </w:rPr>
              <w:t>/s/  Phil Kramer</w:t>
            </w:r>
          </w:p>
          <w:p>
            <w:pPr>
              <w:pStyle w:val="TableContents"/>
              <w:spacing w:before="0" w:after="0"/>
              <w:rPr/>
            </w:pPr>
            <w:r>
              <w:rPr/>
            </w:r>
          </w:p>
          <w:p>
            <w:pPr>
              <w:pStyle w:val="TableContents"/>
              <w:spacing w:before="0" w:after="0"/>
              <w:rPr>
                <w:sz w:val="17"/>
              </w:rPr>
            </w:pPr>
            <w:r>
              <w:rPr>
                <w:sz w:val="17"/>
              </w:rPr>
              <w:t xml:space="preserve">Phil Kramer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Executive Vice President and Chief Financial Officer (Principal</w:t>
              <w:br/>
              <w:t xml:space="preserve">Financial Officer)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r>
        <w:trPr/>
        <w:tc>
          <w:tcPr>
            <w:tcW w:w="3624" w:type="dxa"/>
            <w:gridSpan w:val="3"/>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vAlign w:val="bottom"/>
          </w:tcPr>
          <w:p>
            <w:pPr>
              <w:pStyle w:val="TableContents"/>
              <w:spacing w:before="0" w:after="283"/>
              <w:rPr/>
            </w:pPr>
            <w:r>
              <w:rPr/>
              <w:t xml:space="preserve">  </w:t>
            </w:r>
          </w:p>
        </w:tc>
      </w:tr>
      <w:tr>
        <w:trPr/>
        <w:tc>
          <w:tcPr>
            <w:tcW w:w="3624" w:type="dxa"/>
            <w:gridSpan w:val="3"/>
            <w:tcBorders/>
            <w:shd w:fill="FFFFFF" w:val="clear"/>
          </w:tcPr>
          <w:p>
            <w:pPr>
              <w:pStyle w:val="TableContents"/>
              <w:spacing w:before="0" w:after="0"/>
              <w:jc w:val="left"/>
              <w:rPr>
                <w:sz w:val="17"/>
              </w:rPr>
            </w:pPr>
            <w:r>
              <w:rPr>
                <w:sz w:val="17"/>
              </w:rPr>
              <w:t>/s/  Tina L. Val</w:t>
            </w:r>
          </w:p>
          <w:p>
            <w:pPr>
              <w:pStyle w:val="TableContents"/>
              <w:spacing w:before="0" w:after="0"/>
              <w:rPr/>
            </w:pPr>
            <w:r>
              <w:rPr/>
            </w:r>
          </w:p>
          <w:p>
            <w:pPr>
              <w:pStyle w:val="TableContents"/>
              <w:spacing w:before="0" w:after="0"/>
              <w:rPr>
                <w:sz w:val="17"/>
              </w:rPr>
            </w:pPr>
            <w:r>
              <w:rPr>
                <w:sz w:val="17"/>
              </w:rPr>
              <w:t xml:space="preserve">Tina L. Val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Vice President  Accounting and Chief Accounting Officer (Principal</w:t>
              <w:br/>
              <w:t xml:space="preserve">Accounting Officer)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r>
        <w:trPr/>
        <w:tc>
          <w:tcPr>
            <w:tcW w:w="3624" w:type="dxa"/>
            <w:gridSpan w:val="3"/>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vAlign w:val="bottom"/>
          </w:tcPr>
          <w:p>
            <w:pPr>
              <w:pStyle w:val="TableContents"/>
              <w:spacing w:before="0" w:after="283"/>
              <w:rPr/>
            </w:pPr>
            <w:r>
              <w:rPr/>
              <w:t xml:space="preserve">  </w:t>
            </w:r>
          </w:p>
        </w:tc>
      </w:tr>
      <w:tr>
        <w:trPr/>
        <w:tc>
          <w:tcPr>
            <w:tcW w:w="3624"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 xml:space="preserve">Vice President, Secretary and Director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bl>
    <w:p>
      <w:pPr>
        <w:pStyle w:val="TextBody"/>
        <w:spacing w:before="1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PMC (NOVA SCOTIA) COMPANY, for itself and as the general partner of PLAINS MARKETING CANADA, L.P.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77"/>
        <w:gridCol w:w="189"/>
        <w:gridCol w:w="3280"/>
        <w:gridCol w:w="290"/>
        <w:gridCol w:w="3809"/>
        <w:gridCol w:w="290"/>
        <w:gridCol w:w="1870"/>
      </w:tblGrid>
      <w:tr>
        <w:trPr/>
        <w:tc>
          <w:tcPr>
            <w:tcW w:w="477" w:type="dxa"/>
            <w:tcBorders/>
            <w:shd w:fill="FFFFFF" w:val="clear"/>
            <w:vAlign w:val="bottom"/>
          </w:tcPr>
          <w:p>
            <w:pPr>
              <w:pStyle w:val="TableContents"/>
              <w:spacing w:before="0" w:after="283"/>
              <w:rPr/>
            </w:pPr>
            <w:r>
              <w:rPr/>
              <w:t> </w:t>
            </w:r>
          </w:p>
        </w:tc>
        <w:tc>
          <w:tcPr>
            <w:tcW w:w="189" w:type="dxa"/>
            <w:tcBorders/>
            <w:shd w:fill="FFFFFF" w:val="clear"/>
            <w:vAlign w:val="bottom"/>
          </w:tcPr>
          <w:p>
            <w:pPr>
              <w:pStyle w:val="TableContents"/>
              <w:spacing w:before="0" w:after="283"/>
              <w:rPr/>
            </w:pPr>
            <w:r>
              <w:rPr/>
              <w:t> </w:t>
            </w:r>
          </w:p>
        </w:tc>
        <w:tc>
          <w:tcPr>
            <w:tcW w:w="3280"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rPr/>
            </w:pPr>
            <w:r>
              <w:rPr/>
              <w:t> </w:t>
            </w:r>
          </w:p>
        </w:tc>
        <w:tc>
          <w:tcPr>
            <w:tcW w:w="3809" w:type="dxa"/>
            <w:tcBorders/>
            <w:shd w:fill="FFFFFF" w:val="clear"/>
            <w:vAlign w:val="bottom"/>
          </w:tcPr>
          <w:p>
            <w:pPr>
              <w:pStyle w:val="TableContents"/>
              <w:spacing w:before="0" w:after="283"/>
              <w:rPr/>
            </w:pPr>
            <w:r>
              <w:rPr/>
              <w:t> </w:t>
            </w:r>
          </w:p>
        </w:tc>
        <w:tc>
          <w:tcPr>
            <w:tcW w:w="290" w:type="dxa"/>
            <w:tcBorders/>
            <w:shd w:fill="FFFFFF" w:val="clear"/>
            <w:vAlign w:val="bottom"/>
          </w:tcPr>
          <w:p>
            <w:pPr>
              <w:pStyle w:val="TableContents"/>
              <w:spacing w:before="0" w:after="283"/>
              <w:rPr/>
            </w:pPr>
            <w:r>
              <w:rPr/>
              <w:t> </w:t>
            </w:r>
          </w:p>
        </w:tc>
        <w:tc>
          <w:tcPr>
            <w:tcW w:w="1870" w:type="dxa"/>
            <w:tcBorders/>
            <w:shd w:fill="FFFFFF" w:val="clear"/>
            <w:vAlign w:val="bottom"/>
          </w:tcPr>
          <w:p>
            <w:pPr>
              <w:pStyle w:val="TableContents"/>
              <w:spacing w:before="0" w:after="283"/>
              <w:rPr/>
            </w:pPr>
            <w:r>
              <w:rPr/>
              <w:t> </w:t>
            </w:r>
          </w:p>
        </w:tc>
      </w:tr>
      <w:tr>
        <w:trPr/>
        <w:tc>
          <w:tcPr>
            <w:tcW w:w="3946" w:type="dxa"/>
            <w:gridSpan w:val="3"/>
            <w:tcBorders/>
            <w:shd w:fill="FFFFFF" w:val="clear"/>
          </w:tcPr>
          <w:p>
            <w:pPr>
              <w:pStyle w:val="TableContents"/>
              <w:spacing w:before="0" w:after="0"/>
              <w:jc w:val="left"/>
              <w:rPr>
                <w:sz w:val="17"/>
              </w:rPr>
            </w:pPr>
            <w:r>
              <w:rPr>
                <w:sz w:val="17"/>
              </w:rPr>
              <w:t>/s/  W. David Duckett</w:t>
            </w:r>
          </w:p>
          <w:p>
            <w:pPr>
              <w:pStyle w:val="TableContents"/>
              <w:spacing w:before="0" w:after="0"/>
              <w:rPr/>
            </w:pPr>
            <w:r>
              <w:rPr/>
            </w:r>
          </w:p>
          <w:p>
            <w:pPr>
              <w:pStyle w:val="TableContents"/>
              <w:spacing w:before="0" w:after="0"/>
              <w:rPr>
                <w:sz w:val="17"/>
              </w:rPr>
            </w:pPr>
            <w:r>
              <w:rPr>
                <w:sz w:val="17"/>
              </w:rPr>
              <w:t xml:space="preserve">W. David Duckett </w:t>
            </w:r>
          </w:p>
        </w:tc>
        <w:tc>
          <w:tcPr>
            <w:tcW w:w="290" w:type="dxa"/>
            <w:tcBorders/>
            <w:shd w:fill="FFFFFF" w:val="clear"/>
            <w:vAlign w:val="bottom"/>
          </w:tcPr>
          <w:p>
            <w:pPr>
              <w:pStyle w:val="TableContents"/>
              <w:spacing w:before="0" w:after="283"/>
              <w:rPr/>
            </w:pPr>
            <w:r>
              <w:rPr/>
              <w:t xml:space="preserve">  </w:t>
            </w:r>
          </w:p>
        </w:tc>
        <w:tc>
          <w:tcPr>
            <w:tcW w:w="3809" w:type="dxa"/>
            <w:tcBorders/>
            <w:shd w:fill="FFFFFF" w:val="clear"/>
          </w:tcPr>
          <w:p>
            <w:pPr>
              <w:pStyle w:val="TableContents"/>
              <w:spacing w:before="0" w:after="283"/>
              <w:jc w:val="center"/>
              <w:rPr>
                <w:sz w:val="17"/>
              </w:rPr>
            </w:pPr>
            <w:r>
              <w:rPr>
                <w:sz w:val="17"/>
              </w:rPr>
              <w:t xml:space="preserve">President (Principal Executive Officer) </w:t>
            </w:r>
          </w:p>
        </w:tc>
        <w:tc>
          <w:tcPr>
            <w:tcW w:w="290" w:type="dxa"/>
            <w:tcBorders/>
            <w:shd w:fill="FFFFFF" w:val="clear"/>
            <w:vAlign w:val="bottom"/>
          </w:tcPr>
          <w:p>
            <w:pPr>
              <w:pStyle w:val="TableContents"/>
              <w:spacing w:before="0" w:after="283"/>
              <w:rPr/>
            </w:pPr>
            <w:r>
              <w:rPr/>
              <w:t xml:space="preserve">  </w:t>
            </w:r>
          </w:p>
        </w:tc>
        <w:tc>
          <w:tcPr>
            <w:tcW w:w="1870" w:type="dxa"/>
            <w:tcBorders/>
            <w:shd w:fill="FFFFFF" w:val="clear"/>
          </w:tcPr>
          <w:p>
            <w:pPr>
              <w:pStyle w:val="TableContents"/>
              <w:spacing w:before="0" w:after="283"/>
              <w:jc w:val="center"/>
              <w:rPr>
                <w:sz w:val="17"/>
              </w:rPr>
            </w:pPr>
            <w:r>
              <w:rPr>
                <w:sz w:val="17"/>
              </w:rPr>
              <w:t xml:space="preserve">March 23, 2007 </w:t>
            </w:r>
          </w:p>
        </w:tc>
      </w:tr>
      <w:tr>
        <w:trPr/>
        <w:tc>
          <w:tcPr>
            <w:tcW w:w="3946" w:type="dxa"/>
            <w:gridSpan w:val="3"/>
            <w:tcBorders/>
            <w:shd w:fill="FFFFFF" w:val="clear"/>
            <w:vAlign w:val="bottom"/>
          </w:tcPr>
          <w:p>
            <w:pPr>
              <w:pStyle w:val="TableContents"/>
              <w:spacing w:before="0" w:after="283"/>
              <w:rPr/>
            </w:pPr>
            <w:r>
              <w:rPr/>
              <w:t xml:space="preserve">  </w:t>
            </w:r>
          </w:p>
        </w:tc>
        <w:tc>
          <w:tcPr>
            <w:tcW w:w="290" w:type="dxa"/>
            <w:tcBorders/>
            <w:shd w:fill="FFFFFF" w:val="clear"/>
            <w:vAlign w:val="bottom"/>
          </w:tcPr>
          <w:p>
            <w:pPr>
              <w:pStyle w:val="TableContents"/>
              <w:spacing w:before="0" w:after="283"/>
              <w:rPr/>
            </w:pPr>
            <w:r>
              <w:rPr/>
              <w:t xml:space="preserve">  </w:t>
            </w:r>
          </w:p>
        </w:tc>
        <w:tc>
          <w:tcPr>
            <w:tcW w:w="3809" w:type="dxa"/>
            <w:tcBorders/>
            <w:shd w:fill="FFFFFF" w:val="clear"/>
            <w:vAlign w:val="bottom"/>
          </w:tcPr>
          <w:p>
            <w:pPr>
              <w:pStyle w:val="TableContents"/>
              <w:spacing w:before="0" w:after="283"/>
              <w:rPr/>
            </w:pPr>
            <w:r>
              <w:rPr/>
              <w:t xml:space="preserve">  </w:t>
            </w:r>
          </w:p>
        </w:tc>
        <w:tc>
          <w:tcPr>
            <w:tcW w:w="290" w:type="dxa"/>
            <w:tcBorders/>
            <w:shd w:fill="FFFFFF" w:val="clear"/>
            <w:vAlign w:val="bottom"/>
          </w:tcPr>
          <w:p>
            <w:pPr>
              <w:pStyle w:val="TableContents"/>
              <w:spacing w:before="0" w:after="283"/>
              <w:rPr/>
            </w:pPr>
            <w:r>
              <w:rPr/>
              <w:t xml:space="preserve">  </w:t>
            </w:r>
          </w:p>
        </w:tc>
        <w:tc>
          <w:tcPr>
            <w:tcW w:w="1870" w:type="dxa"/>
            <w:tcBorders/>
            <w:shd w:fill="FFFFFF" w:val="clear"/>
            <w:vAlign w:val="bottom"/>
          </w:tcPr>
          <w:p>
            <w:pPr>
              <w:pStyle w:val="TableContents"/>
              <w:spacing w:before="0" w:after="283"/>
              <w:rPr/>
            </w:pPr>
            <w:r>
              <w:rPr/>
              <w:t xml:space="preserve">  </w:t>
            </w:r>
          </w:p>
        </w:tc>
      </w:tr>
      <w:tr>
        <w:trPr/>
        <w:tc>
          <w:tcPr>
            <w:tcW w:w="3946" w:type="dxa"/>
            <w:gridSpan w:val="3"/>
            <w:tcBorders/>
            <w:shd w:fill="FFFFFF" w:val="clear"/>
          </w:tcPr>
          <w:p>
            <w:pPr>
              <w:pStyle w:val="TableContents"/>
              <w:spacing w:before="0" w:after="0"/>
              <w:jc w:val="left"/>
              <w:rPr>
                <w:sz w:val="17"/>
              </w:rPr>
            </w:pPr>
            <w:r>
              <w:rPr>
                <w:sz w:val="17"/>
              </w:rPr>
              <w:t>/s/  D. Mark Alenius</w:t>
            </w:r>
          </w:p>
          <w:p>
            <w:pPr>
              <w:pStyle w:val="TableContents"/>
              <w:spacing w:before="0" w:after="0"/>
              <w:rPr/>
            </w:pPr>
            <w:r>
              <w:rPr/>
            </w:r>
          </w:p>
          <w:p>
            <w:pPr>
              <w:pStyle w:val="TableContents"/>
              <w:spacing w:before="0" w:after="0"/>
              <w:rPr>
                <w:sz w:val="17"/>
              </w:rPr>
            </w:pPr>
            <w:r>
              <w:rPr>
                <w:sz w:val="17"/>
              </w:rPr>
              <w:t xml:space="preserve">D. Mark Alenius </w:t>
            </w:r>
          </w:p>
        </w:tc>
        <w:tc>
          <w:tcPr>
            <w:tcW w:w="290" w:type="dxa"/>
            <w:tcBorders/>
            <w:shd w:fill="FFFFFF" w:val="clear"/>
            <w:vAlign w:val="bottom"/>
          </w:tcPr>
          <w:p>
            <w:pPr>
              <w:pStyle w:val="TableContents"/>
              <w:spacing w:before="0" w:after="283"/>
              <w:rPr/>
            </w:pPr>
            <w:r>
              <w:rPr/>
              <w:t xml:space="preserve">  </w:t>
            </w:r>
          </w:p>
        </w:tc>
        <w:tc>
          <w:tcPr>
            <w:tcW w:w="3809" w:type="dxa"/>
            <w:tcBorders/>
            <w:shd w:fill="FFFFFF" w:val="clear"/>
          </w:tcPr>
          <w:p>
            <w:pPr>
              <w:pStyle w:val="TableContents"/>
              <w:spacing w:before="0" w:after="283"/>
              <w:jc w:val="center"/>
              <w:rPr>
                <w:sz w:val="17"/>
              </w:rPr>
            </w:pPr>
            <w:r>
              <w:rPr>
                <w:sz w:val="17"/>
              </w:rPr>
              <w:t xml:space="preserve">Vice President and Chief Financial Officer (Principal Financial and Accounting Officer) </w:t>
            </w:r>
          </w:p>
        </w:tc>
        <w:tc>
          <w:tcPr>
            <w:tcW w:w="290" w:type="dxa"/>
            <w:tcBorders/>
            <w:shd w:fill="FFFFFF" w:val="clear"/>
            <w:vAlign w:val="bottom"/>
          </w:tcPr>
          <w:p>
            <w:pPr>
              <w:pStyle w:val="TableContents"/>
              <w:spacing w:before="0" w:after="283"/>
              <w:rPr/>
            </w:pPr>
            <w:r>
              <w:rPr/>
              <w:t xml:space="preserve">  </w:t>
            </w:r>
          </w:p>
        </w:tc>
        <w:tc>
          <w:tcPr>
            <w:tcW w:w="1870" w:type="dxa"/>
            <w:tcBorders/>
            <w:shd w:fill="FFFFFF" w:val="clear"/>
          </w:tcPr>
          <w:p>
            <w:pPr>
              <w:pStyle w:val="TableContents"/>
              <w:spacing w:before="0" w:after="283"/>
              <w:jc w:val="center"/>
              <w:rPr>
                <w:sz w:val="17"/>
              </w:rPr>
            </w:pPr>
            <w:r>
              <w:rPr>
                <w:sz w:val="17"/>
              </w:rPr>
              <w:t xml:space="preserve">March 23, 2007 </w:t>
            </w:r>
          </w:p>
        </w:tc>
      </w:tr>
      <w:tr>
        <w:trPr/>
        <w:tc>
          <w:tcPr>
            <w:tcW w:w="3946" w:type="dxa"/>
            <w:gridSpan w:val="3"/>
            <w:tcBorders/>
            <w:shd w:fill="FFFFFF" w:val="clear"/>
            <w:vAlign w:val="bottom"/>
          </w:tcPr>
          <w:p>
            <w:pPr>
              <w:pStyle w:val="TableContents"/>
              <w:spacing w:before="0" w:after="283"/>
              <w:rPr/>
            </w:pPr>
            <w:r>
              <w:rPr/>
              <w:t xml:space="preserve">  </w:t>
            </w:r>
          </w:p>
        </w:tc>
        <w:tc>
          <w:tcPr>
            <w:tcW w:w="290" w:type="dxa"/>
            <w:tcBorders/>
            <w:shd w:fill="FFFFFF" w:val="clear"/>
            <w:vAlign w:val="bottom"/>
          </w:tcPr>
          <w:p>
            <w:pPr>
              <w:pStyle w:val="TableContents"/>
              <w:spacing w:before="0" w:after="283"/>
              <w:rPr/>
            </w:pPr>
            <w:r>
              <w:rPr/>
              <w:t xml:space="preserve">  </w:t>
            </w:r>
          </w:p>
        </w:tc>
        <w:tc>
          <w:tcPr>
            <w:tcW w:w="3809" w:type="dxa"/>
            <w:tcBorders/>
            <w:shd w:fill="FFFFFF" w:val="clear"/>
            <w:vAlign w:val="bottom"/>
          </w:tcPr>
          <w:p>
            <w:pPr>
              <w:pStyle w:val="TableContents"/>
              <w:spacing w:before="0" w:after="283"/>
              <w:rPr/>
            </w:pPr>
            <w:r>
              <w:rPr/>
              <w:t xml:space="preserve">  </w:t>
            </w:r>
          </w:p>
        </w:tc>
        <w:tc>
          <w:tcPr>
            <w:tcW w:w="290" w:type="dxa"/>
            <w:tcBorders/>
            <w:shd w:fill="FFFFFF" w:val="clear"/>
            <w:vAlign w:val="bottom"/>
          </w:tcPr>
          <w:p>
            <w:pPr>
              <w:pStyle w:val="TableContents"/>
              <w:spacing w:before="0" w:after="283"/>
              <w:rPr/>
            </w:pPr>
            <w:r>
              <w:rPr/>
              <w:t xml:space="preserve">  </w:t>
            </w:r>
          </w:p>
        </w:tc>
        <w:tc>
          <w:tcPr>
            <w:tcW w:w="1870" w:type="dxa"/>
            <w:tcBorders/>
            <w:shd w:fill="FFFFFF" w:val="clear"/>
            <w:vAlign w:val="bottom"/>
          </w:tcPr>
          <w:p>
            <w:pPr>
              <w:pStyle w:val="TableContents"/>
              <w:spacing w:before="0" w:after="283"/>
              <w:rPr/>
            </w:pPr>
            <w:r>
              <w:rPr/>
              <w:t xml:space="preserve">  </w:t>
            </w:r>
          </w:p>
        </w:tc>
      </w:tr>
      <w:tr>
        <w:trPr/>
        <w:tc>
          <w:tcPr>
            <w:tcW w:w="3946"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290" w:type="dxa"/>
            <w:tcBorders/>
            <w:shd w:fill="FFFFFF" w:val="clear"/>
            <w:vAlign w:val="bottom"/>
          </w:tcPr>
          <w:p>
            <w:pPr>
              <w:pStyle w:val="TableContents"/>
              <w:spacing w:before="0" w:after="283"/>
              <w:rPr/>
            </w:pPr>
            <w:r>
              <w:rPr/>
              <w:t xml:space="preserve">  </w:t>
            </w:r>
          </w:p>
        </w:tc>
        <w:tc>
          <w:tcPr>
            <w:tcW w:w="3809" w:type="dxa"/>
            <w:tcBorders/>
            <w:shd w:fill="FFFFFF" w:val="clear"/>
          </w:tcPr>
          <w:p>
            <w:pPr>
              <w:pStyle w:val="TableContents"/>
              <w:spacing w:before="0" w:after="283"/>
              <w:jc w:val="center"/>
              <w:rPr>
                <w:sz w:val="17"/>
              </w:rPr>
            </w:pPr>
            <w:r>
              <w:rPr>
                <w:sz w:val="17"/>
              </w:rPr>
              <w:t xml:space="preserve">Vice President and Director </w:t>
            </w:r>
          </w:p>
        </w:tc>
        <w:tc>
          <w:tcPr>
            <w:tcW w:w="290" w:type="dxa"/>
            <w:tcBorders/>
            <w:shd w:fill="FFFFFF" w:val="clear"/>
            <w:vAlign w:val="bottom"/>
          </w:tcPr>
          <w:p>
            <w:pPr>
              <w:pStyle w:val="TableContents"/>
              <w:spacing w:before="0" w:after="283"/>
              <w:rPr/>
            </w:pPr>
            <w:r>
              <w:rPr/>
              <w:t xml:space="preserve">  </w:t>
            </w:r>
          </w:p>
        </w:tc>
        <w:tc>
          <w:tcPr>
            <w:tcW w:w="1870" w:type="dxa"/>
            <w:tcBorders/>
            <w:shd w:fill="FFFFFF" w:val="clear"/>
          </w:tcPr>
          <w:p>
            <w:pPr>
              <w:pStyle w:val="TableContents"/>
              <w:spacing w:before="0" w:after="283"/>
              <w:jc w:val="center"/>
              <w:rPr>
                <w:sz w:val="17"/>
              </w:rPr>
            </w:pPr>
            <w:r>
              <w:rPr>
                <w:sz w:val="17"/>
              </w:rPr>
              <w:t xml:space="preserve">March 23, 2007 </w:t>
            </w:r>
          </w:p>
        </w:tc>
      </w:tr>
      <w:tr>
        <w:trPr/>
        <w:tc>
          <w:tcPr>
            <w:tcW w:w="3946" w:type="dxa"/>
            <w:gridSpan w:val="3"/>
            <w:tcBorders/>
            <w:shd w:fill="FFFFFF" w:val="clear"/>
            <w:vAlign w:val="bottom"/>
          </w:tcPr>
          <w:p>
            <w:pPr>
              <w:pStyle w:val="TableContents"/>
              <w:spacing w:before="0" w:after="283"/>
              <w:rPr/>
            </w:pPr>
            <w:r>
              <w:rPr/>
              <w:t xml:space="preserve">  </w:t>
            </w:r>
          </w:p>
        </w:tc>
        <w:tc>
          <w:tcPr>
            <w:tcW w:w="290" w:type="dxa"/>
            <w:tcBorders/>
            <w:shd w:fill="FFFFFF" w:val="clear"/>
            <w:vAlign w:val="bottom"/>
          </w:tcPr>
          <w:p>
            <w:pPr>
              <w:pStyle w:val="TableContents"/>
              <w:spacing w:before="0" w:after="283"/>
              <w:rPr/>
            </w:pPr>
            <w:r>
              <w:rPr/>
              <w:t xml:space="preserve">  </w:t>
            </w:r>
          </w:p>
        </w:tc>
        <w:tc>
          <w:tcPr>
            <w:tcW w:w="3809" w:type="dxa"/>
            <w:tcBorders/>
            <w:shd w:fill="FFFFFF" w:val="clear"/>
            <w:vAlign w:val="bottom"/>
          </w:tcPr>
          <w:p>
            <w:pPr>
              <w:pStyle w:val="TableContents"/>
              <w:spacing w:before="0" w:after="283"/>
              <w:rPr/>
            </w:pPr>
            <w:r>
              <w:rPr/>
              <w:t xml:space="preserve">  </w:t>
            </w:r>
          </w:p>
        </w:tc>
        <w:tc>
          <w:tcPr>
            <w:tcW w:w="290" w:type="dxa"/>
            <w:tcBorders/>
            <w:shd w:fill="FFFFFF" w:val="clear"/>
            <w:vAlign w:val="bottom"/>
          </w:tcPr>
          <w:p>
            <w:pPr>
              <w:pStyle w:val="TableContents"/>
              <w:spacing w:before="0" w:after="283"/>
              <w:rPr/>
            </w:pPr>
            <w:r>
              <w:rPr/>
              <w:t xml:space="preserve">  </w:t>
            </w:r>
          </w:p>
        </w:tc>
        <w:tc>
          <w:tcPr>
            <w:tcW w:w="1870" w:type="dxa"/>
            <w:tcBorders/>
            <w:shd w:fill="FFFFFF" w:val="clear"/>
            <w:vAlign w:val="bottom"/>
          </w:tcPr>
          <w:p>
            <w:pPr>
              <w:pStyle w:val="TableContents"/>
              <w:spacing w:before="0" w:after="283"/>
              <w:rPr/>
            </w:pPr>
            <w:r>
              <w:rPr/>
              <w:t xml:space="preserve">  </w:t>
            </w:r>
          </w:p>
        </w:tc>
      </w:tr>
      <w:tr>
        <w:trPr/>
        <w:tc>
          <w:tcPr>
            <w:tcW w:w="3946"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90" w:type="dxa"/>
            <w:tcBorders/>
            <w:shd w:fill="FFFFFF" w:val="clear"/>
            <w:vAlign w:val="bottom"/>
          </w:tcPr>
          <w:p>
            <w:pPr>
              <w:pStyle w:val="TableContents"/>
              <w:spacing w:before="0" w:after="283"/>
              <w:rPr/>
            </w:pPr>
            <w:r>
              <w:rPr/>
              <w:t xml:space="preserve">  </w:t>
            </w:r>
          </w:p>
        </w:tc>
        <w:tc>
          <w:tcPr>
            <w:tcW w:w="3809" w:type="dxa"/>
            <w:tcBorders/>
            <w:shd w:fill="FFFFFF" w:val="clear"/>
          </w:tcPr>
          <w:p>
            <w:pPr>
              <w:pStyle w:val="TableContents"/>
              <w:spacing w:before="0" w:after="283"/>
              <w:jc w:val="center"/>
              <w:rPr>
                <w:sz w:val="17"/>
              </w:rPr>
            </w:pPr>
            <w:r>
              <w:rPr>
                <w:sz w:val="17"/>
              </w:rPr>
              <w:t xml:space="preserve">Director </w:t>
            </w:r>
          </w:p>
        </w:tc>
        <w:tc>
          <w:tcPr>
            <w:tcW w:w="290" w:type="dxa"/>
            <w:tcBorders/>
            <w:shd w:fill="FFFFFF" w:val="clear"/>
            <w:vAlign w:val="bottom"/>
          </w:tcPr>
          <w:p>
            <w:pPr>
              <w:pStyle w:val="TableContents"/>
              <w:spacing w:before="0" w:after="283"/>
              <w:rPr/>
            </w:pPr>
            <w:r>
              <w:rPr/>
              <w:t xml:space="preserve">  </w:t>
            </w:r>
          </w:p>
        </w:tc>
        <w:tc>
          <w:tcPr>
            <w:tcW w:w="1870" w:type="dxa"/>
            <w:tcBorders/>
            <w:shd w:fill="FFFFFF" w:val="clear"/>
          </w:tcPr>
          <w:p>
            <w:pPr>
              <w:pStyle w:val="TableContents"/>
              <w:spacing w:before="0" w:after="283"/>
              <w:jc w:val="center"/>
              <w:rPr>
                <w:sz w:val="17"/>
              </w:rPr>
            </w:pPr>
            <w:r>
              <w:rPr>
                <w:sz w:val="17"/>
              </w:rPr>
              <w:t xml:space="preserve">March 23, 2007 </w:t>
            </w:r>
          </w:p>
        </w:tc>
      </w:tr>
      <w:tr>
        <w:trPr/>
        <w:tc>
          <w:tcPr>
            <w:tcW w:w="3946" w:type="dxa"/>
            <w:gridSpan w:val="3"/>
            <w:tcBorders/>
            <w:shd w:fill="FFFFFF" w:val="clear"/>
            <w:vAlign w:val="bottom"/>
          </w:tcPr>
          <w:p>
            <w:pPr>
              <w:pStyle w:val="TableContents"/>
              <w:spacing w:before="0" w:after="283"/>
              <w:rPr/>
            </w:pPr>
            <w:r>
              <w:rPr/>
              <w:t xml:space="preserve">  </w:t>
            </w:r>
          </w:p>
        </w:tc>
        <w:tc>
          <w:tcPr>
            <w:tcW w:w="290" w:type="dxa"/>
            <w:tcBorders/>
            <w:shd w:fill="FFFFFF" w:val="clear"/>
            <w:vAlign w:val="bottom"/>
          </w:tcPr>
          <w:p>
            <w:pPr>
              <w:pStyle w:val="TableContents"/>
              <w:spacing w:before="0" w:after="283"/>
              <w:rPr/>
            </w:pPr>
            <w:r>
              <w:rPr/>
              <w:t xml:space="preserve">  </w:t>
            </w:r>
          </w:p>
        </w:tc>
        <w:tc>
          <w:tcPr>
            <w:tcW w:w="3809" w:type="dxa"/>
            <w:tcBorders/>
            <w:shd w:fill="FFFFFF" w:val="clear"/>
            <w:vAlign w:val="bottom"/>
          </w:tcPr>
          <w:p>
            <w:pPr>
              <w:pStyle w:val="TableContents"/>
              <w:spacing w:before="0" w:after="283"/>
              <w:rPr/>
            </w:pPr>
            <w:r>
              <w:rPr/>
              <w:t xml:space="preserve">  </w:t>
            </w:r>
          </w:p>
        </w:tc>
        <w:tc>
          <w:tcPr>
            <w:tcW w:w="290" w:type="dxa"/>
            <w:tcBorders/>
            <w:shd w:fill="FFFFFF" w:val="clear"/>
            <w:vAlign w:val="bottom"/>
          </w:tcPr>
          <w:p>
            <w:pPr>
              <w:pStyle w:val="TableContents"/>
              <w:spacing w:before="0" w:after="283"/>
              <w:rPr/>
            </w:pPr>
            <w:r>
              <w:rPr/>
              <w:t xml:space="preserve">  </w:t>
            </w:r>
          </w:p>
        </w:tc>
        <w:tc>
          <w:tcPr>
            <w:tcW w:w="1870" w:type="dxa"/>
            <w:tcBorders/>
            <w:shd w:fill="FFFFFF" w:val="clear"/>
            <w:vAlign w:val="bottom"/>
          </w:tcPr>
          <w:p>
            <w:pPr>
              <w:pStyle w:val="TableContents"/>
              <w:spacing w:before="0" w:after="283"/>
              <w:rPr/>
            </w:pPr>
            <w:r>
              <w:rPr/>
              <w:t xml:space="preserve">  </w:t>
            </w:r>
          </w:p>
        </w:tc>
      </w:tr>
      <w:tr>
        <w:trPr/>
        <w:tc>
          <w:tcPr>
            <w:tcW w:w="3946" w:type="dxa"/>
            <w:gridSpan w:val="3"/>
            <w:tcBorders/>
            <w:shd w:fill="FFFFFF" w:val="clear"/>
          </w:tcPr>
          <w:p>
            <w:pPr>
              <w:pStyle w:val="TableContents"/>
              <w:spacing w:before="0" w:after="0"/>
              <w:jc w:val="left"/>
              <w:rPr>
                <w:sz w:val="17"/>
              </w:rPr>
            </w:pPr>
            <w:r>
              <w:rPr>
                <w:sz w:val="17"/>
              </w:rPr>
              <w:t>/s/  Harry N. Pefanis</w:t>
            </w:r>
          </w:p>
          <w:p>
            <w:pPr>
              <w:pStyle w:val="TableContents"/>
              <w:spacing w:before="0" w:after="0"/>
              <w:rPr/>
            </w:pPr>
            <w:r>
              <w:rPr/>
            </w:r>
          </w:p>
          <w:p>
            <w:pPr>
              <w:pStyle w:val="TableContents"/>
              <w:spacing w:before="0" w:after="0"/>
              <w:rPr>
                <w:sz w:val="17"/>
              </w:rPr>
            </w:pPr>
            <w:r>
              <w:rPr>
                <w:sz w:val="17"/>
              </w:rPr>
              <w:t xml:space="preserve">Harry N. Pefanis </w:t>
            </w:r>
          </w:p>
        </w:tc>
        <w:tc>
          <w:tcPr>
            <w:tcW w:w="290" w:type="dxa"/>
            <w:tcBorders/>
            <w:shd w:fill="FFFFFF" w:val="clear"/>
            <w:vAlign w:val="bottom"/>
          </w:tcPr>
          <w:p>
            <w:pPr>
              <w:pStyle w:val="TableContents"/>
              <w:spacing w:before="0" w:after="283"/>
              <w:rPr/>
            </w:pPr>
            <w:r>
              <w:rPr/>
              <w:t xml:space="preserve">  </w:t>
            </w:r>
          </w:p>
        </w:tc>
        <w:tc>
          <w:tcPr>
            <w:tcW w:w="3809" w:type="dxa"/>
            <w:tcBorders/>
            <w:shd w:fill="FFFFFF" w:val="clear"/>
          </w:tcPr>
          <w:p>
            <w:pPr>
              <w:pStyle w:val="TableContents"/>
              <w:spacing w:before="0" w:after="283"/>
              <w:jc w:val="center"/>
              <w:rPr>
                <w:sz w:val="17"/>
              </w:rPr>
            </w:pPr>
            <w:r>
              <w:rPr>
                <w:sz w:val="17"/>
              </w:rPr>
              <w:t xml:space="preserve">Director </w:t>
            </w:r>
          </w:p>
        </w:tc>
        <w:tc>
          <w:tcPr>
            <w:tcW w:w="290" w:type="dxa"/>
            <w:tcBorders/>
            <w:shd w:fill="FFFFFF" w:val="clear"/>
            <w:vAlign w:val="bottom"/>
          </w:tcPr>
          <w:p>
            <w:pPr>
              <w:pStyle w:val="TableContents"/>
              <w:spacing w:before="0" w:after="283"/>
              <w:rPr/>
            </w:pPr>
            <w:r>
              <w:rPr/>
              <w:t xml:space="preserve">  </w:t>
            </w:r>
          </w:p>
        </w:tc>
        <w:tc>
          <w:tcPr>
            <w:tcW w:w="1870" w:type="dxa"/>
            <w:tcBorders/>
            <w:shd w:fill="FFFFFF" w:val="clear"/>
          </w:tcPr>
          <w:p>
            <w:pPr>
              <w:pStyle w:val="TableContents"/>
              <w:spacing w:before="0" w:after="283"/>
              <w:jc w:val="center"/>
              <w:rPr>
                <w:sz w:val="17"/>
              </w:rPr>
            </w:pPr>
            <w:r>
              <w:rPr>
                <w:sz w:val="17"/>
              </w:rPr>
              <w:t xml:space="preserve">March 23, 2007 </w:t>
            </w:r>
          </w:p>
        </w:tc>
      </w:tr>
    </w:tbl>
    <w:p>
      <w:pPr>
        <w:pStyle w:val="TextBody"/>
        <w:spacing w:before="18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PACIFIC ENERGY GROUP LLC, for itself and as the sole member of PACIFIC L.A. MARINE TERMINAL, LLC, PACIFIC MARKETING AND TRANSPORTATION LLC, ROCKY MOUNTAIN PIPELINE SYSTEM LLC, PACIFIC ATLANTIC TERMINALS LLC and RANCH PIPELINE LLC</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08"/>
        <w:gridCol w:w="259"/>
        <w:gridCol w:w="2957"/>
        <w:gridCol w:w="267"/>
        <w:gridCol w:w="4136"/>
        <w:gridCol w:w="267"/>
        <w:gridCol w:w="1911"/>
      </w:tblGrid>
      <w:tr>
        <w:trPr/>
        <w:tc>
          <w:tcPr>
            <w:tcW w:w="408" w:type="dxa"/>
            <w:tcBorders/>
            <w:shd w:fill="FFFFFF" w:val="clear"/>
            <w:vAlign w:val="bottom"/>
          </w:tcPr>
          <w:p>
            <w:pPr>
              <w:pStyle w:val="TableContents"/>
              <w:spacing w:before="0" w:after="283"/>
              <w:rPr/>
            </w:pPr>
            <w:r>
              <w:rPr/>
              <w:t> </w:t>
            </w:r>
          </w:p>
        </w:tc>
        <w:tc>
          <w:tcPr>
            <w:tcW w:w="259" w:type="dxa"/>
            <w:tcBorders/>
            <w:shd w:fill="FFFFFF" w:val="clear"/>
            <w:vAlign w:val="bottom"/>
          </w:tcPr>
          <w:p>
            <w:pPr>
              <w:pStyle w:val="TableContents"/>
              <w:spacing w:before="0" w:after="283"/>
              <w:rPr/>
            </w:pPr>
            <w:r>
              <w:rPr/>
              <w:t> </w:t>
            </w:r>
          </w:p>
        </w:tc>
        <w:tc>
          <w:tcPr>
            <w:tcW w:w="2957"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rPr/>
            </w:pPr>
            <w:r>
              <w:rPr/>
              <w:t> </w:t>
            </w:r>
          </w:p>
        </w:tc>
        <w:tc>
          <w:tcPr>
            <w:tcW w:w="4136"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rPr/>
            </w:pPr>
            <w:r>
              <w:rPr/>
              <w:t> </w:t>
            </w:r>
          </w:p>
        </w:tc>
        <w:tc>
          <w:tcPr>
            <w:tcW w:w="1911" w:type="dxa"/>
            <w:tcBorders/>
            <w:shd w:fill="FFFFFF" w:val="clear"/>
            <w:vAlign w:val="bottom"/>
          </w:tcPr>
          <w:p>
            <w:pPr>
              <w:pStyle w:val="TableContents"/>
              <w:spacing w:before="0" w:after="283"/>
              <w:rPr/>
            </w:pPr>
            <w:r>
              <w:rPr/>
              <w:t> </w:t>
            </w:r>
          </w:p>
        </w:tc>
      </w:tr>
      <w:tr>
        <w:trPr/>
        <w:tc>
          <w:tcPr>
            <w:tcW w:w="3624"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Chief Executive Officer (Principal</w:t>
              <w:br/>
              <w:t xml:space="preserve">Executive Officer)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r>
        <w:trPr/>
        <w:tc>
          <w:tcPr>
            <w:tcW w:w="3624" w:type="dxa"/>
            <w:gridSpan w:val="3"/>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vAlign w:val="bottom"/>
          </w:tcPr>
          <w:p>
            <w:pPr>
              <w:pStyle w:val="TableContents"/>
              <w:spacing w:before="0" w:after="283"/>
              <w:rPr/>
            </w:pPr>
            <w:r>
              <w:rPr/>
              <w:t xml:space="preserve">  </w:t>
            </w:r>
          </w:p>
        </w:tc>
      </w:tr>
      <w:tr>
        <w:trPr/>
        <w:tc>
          <w:tcPr>
            <w:tcW w:w="3624" w:type="dxa"/>
            <w:gridSpan w:val="3"/>
            <w:tcBorders/>
            <w:shd w:fill="FFFFFF" w:val="clear"/>
          </w:tcPr>
          <w:p>
            <w:pPr>
              <w:pStyle w:val="TableContents"/>
              <w:spacing w:before="0" w:after="0"/>
              <w:jc w:val="left"/>
              <w:rPr>
                <w:sz w:val="17"/>
              </w:rPr>
            </w:pPr>
            <w:r>
              <w:rPr>
                <w:sz w:val="17"/>
              </w:rPr>
              <w:t>/s/  Phil Kramer</w:t>
            </w:r>
          </w:p>
          <w:p>
            <w:pPr>
              <w:pStyle w:val="TableContents"/>
              <w:spacing w:before="0" w:after="0"/>
              <w:rPr/>
            </w:pPr>
            <w:r>
              <w:rPr/>
            </w:r>
          </w:p>
          <w:p>
            <w:pPr>
              <w:pStyle w:val="TableContents"/>
              <w:spacing w:before="0" w:after="0"/>
              <w:rPr>
                <w:sz w:val="17"/>
              </w:rPr>
            </w:pPr>
            <w:r>
              <w:rPr>
                <w:sz w:val="17"/>
              </w:rPr>
              <w:t xml:space="preserve">Phil Kramer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Executive Vice President and Chief Financial Officer (Principal</w:t>
              <w:br/>
              <w:t xml:space="preserve">Financial Officer)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r>
        <w:trPr/>
        <w:tc>
          <w:tcPr>
            <w:tcW w:w="3624" w:type="dxa"/>
            <w:gridSpan w:val="3"/>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vAlign w:val="bottom"/>
          </w:tcPr>
          <w:p>
            <w:pPr>
              <w:pStyle w:val="TableContents"/>
              <w:spacing w:before="0" w:after="283"/>
              <w:rPr/>
            </w:pPr>
            <w:r>
              <w:rPr/>
              <w:t xml:space="preserve">  </w:t>
            </w:r>
          </w:p>
        </w:tc>
      </w:tr>
      <w:tr>
        <w:trPr/>
        <w:tc>
          <w:tcPr>
            <w:tcW w:w="3624" w:type="dxa"/>
            <w:gridSpan w:val="3"/>
            <w:tcBorders/>
            <w:shd w:fill="FFFFFF" w:val="clear"/>
          </w:tcPr>
          <w:p>
            <w:pPr>
              <w:pStyle w:val="TableContents"/>
              <w:spacing w:before="0" w:after="0"/>
              <w:jc w:val="left"/>
              <w:rPr>
                <w:sz w:val="17"/>
              </w:rPr>
            </w:pPr>
            <w:r>
              <w:rPr>
                <w:sz w:val="17"/>
              </w:rPr>
              <w:t>/s/  Tina L. Val</w:t>
            </w:r>
          </w:p>
          <w:p>
            <w:pPr>
              <w:pStyle w:val="TableContents"/>
              <w:spacing w:before="0" w:after="0"/>
              <w:rPr/>
            </w:pPr>
            <w:r>
              <w:rPr/>
            </w:r>
          </w:p>
          <w:p>
            <w:pPr>
              <w:pStyle w:val="TableContents"/>
              <w:spacing w:before="0" w:after="0"/>
              <w:rPr>
                <w:sz w:val="17"/>
              </w:rPr>
            </w:pPr>
            <w:r>
              <w:rPr>
                <w:sz w:val="17"/>
              </w:rPr>
              <w:t xml:space="preserve">Tina L. Val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Vice President  Accounting and Chief Accounting Officer (Principal</w:t>
              <w:br/>
              <w:t xml:space="preserve">Accounting Officer)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PEG CANADA GP, LLC, for itself and as the general partner of PEG CANADA L.P.</w:t>
      </w:r>
      <w:r>
        <w:rPr>
          <w:rFonts w:ascii="Times New Roman;Times" w:hAnsi="Times New Roman;Times"/>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408"/>
        <w:gridCol w:w="259"/>
        <w:gridCol w:w="2957"/>
        <w:gridCol w:w="267"/>
        <w:gridCol w:w="4136"/>
        <w:gridCol w:w="267"/>
        <w:gridCol w:w="1911"/>
      </w:tblGrid>
      <w:tr>
        <w:trPr/>
        <w:tc>
          <w:tcPr>
            <w:tcW w:w="408" w:type="dxa"/>
            <w:tcBorders/>
            <w:shd w:fill="FFFFFF" w:val="clear"/>
            <w:vAlign w:val="bottom"/>
          </w:tcPr>
          <w:p>
            <w:pPr>
              <w:pStyle w:val="TableContents"/>
              <w:spacing w:before="0" w:after="283"/>
              <w:rPr/>
            </w:pPr>
            <w:r>
              <w:rPr/>
              <w:t> </w:t>
            </w:r>
          </w:p>
        </w:tc>
        <w:tc>
          <w:tcPr>
            <w:tcW w:w="259" w:type="dxa"/>
            <w:tcBorders/>
            <w:shd w:fill="FFFFFF" w:val="clear"/>
            <w:vAlign w:val="bottom"/>
          </w:tcPr>
          <w:p>
            <w:pPr>
              <w:pStyle w:val="TableContents"/>
              <w:spacing w:before="0" w:after="283"/>
              <w:rPr/>
            </w:pPr>
            <w:r>
              <w:rPr/>
              <w:t> </w:t>
            </w:r>
          </w:p>
        </w:tc>
        <w:tc>
          <w:tcPr>
            <w:tcW w:w="2957"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rPr/>
            </w:pPr>
            <w:r>
              <w:rPr/>
              <w:t> </w:t>
            </w:r>
          </w:p>
        </w:tc>
        <w:tc>
          <w:tcPr>
            <w:tcW w:w="4136" w:type="dxa"/>
            <w:tcBorders/>
            <w:shd w:fill="FFFFFF" w:val="clear"/>
            <w:vAlign w:val="bottom"/>
          </w:tcPr>
          <w:p>
            <w:pPr>
              <w:pStyle w:val="TableContents"/>
              <w:spacing w:before="0" w:after="283"/>
              <w:rPr/>
            </w:pPr>
            <w:r>
              <w:rPr/>
              <w:t> </w:t>
            </w:r>
          </w:p>
        </w:tc>
        <w:tc>
          <w:tcPr>
            <w:tcW w:w="267" w:type="dxa"/>
            <w:tcBorders/>
            <w:shd w:fill="FFFFFF" w:val="clear"/>
            <w:vAlign w:val="bottom"/>
          </w:tcPr>
          <w:p>
            <w:pPr>
              <w:pStyle w:val="TableContents"/>
              <w:spacing w:before="0" w:after="283"/>
              <w:rPr/>
            </w:pPr>
            <w:r>
              <w:rPr/>
              <w:t> </w:t>
            </w:r>
          </w:p>
        </w:tc>
        <w:tc>
          <w:tcPr>
            <w:tcW w:w="1911" w:type="dxa"/>
            <w:tcBorders/>
            <w:shd w:fill="FFFFFF" w:val="clear"/>
            <w:vAlign w:val="bottom"/>
          </w:tcPr>
          <w:p>
            <w:pPr>
              <w:pStyle w:val="TableContents"/>
              <w:spacing w:before="0" w:after="283"/>
              <w:rPr/>
            </w:pPr>
            <w:r>
              <w:rPr/>
              <w:t> </w:t>
            </w:r>
          </w:p>
        </w:tc>
      </w:tr>
      <w:tr>
        <w:trPr/>
        <w:tc>
          <w:tcPr>
            <w:tcW w:w="3624"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Chief Executive Officer (Principal</w:t>
              <w:br/>
              <w:t xml:space="preserve">Executive Officer)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r>
        <w:trPr/>
        <w:tc>
          <w:tcPr>
            <w:tcW w:w="3624" w:type="dxa"/>
            <w:gridSpan w:val="3"/>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vAlign w:val="bottom"/>
          </w:tcPr>
          <w:p>
            <w:pPr>
              <w:pStyle w:val="TableContents"/>
              <w:spacing w:before="0" w:after="283"/>
              <w:rPr/>
            </w:pPr>
            <w:r>
              <w:rPr/>
              <w:t xml:space="preserve">  </w:t>
            </w:r>
          </w:p>
        </w:tc>
      </w:tr>
      <w:tr>
        <w:trPr/>
        <w:tc>
          <w:tcPr>
            <w:tcW w:w="3624" w:type="dxa"/>
            <w:gridSpan w:val="3"/>
            <w:tcBorders/>
            <w:shd w:fill="FFFFFF" w:val="clear"/>
          </w:tcPr>
          <w:p>
            <w:pPr>
              <w:pStyle w:val="TableContents"/>
              <w:spacing w:before="0" w:after="0"/>
              <w:jc w:val="left"/>
              <w:rPr>
                <w:sz w:val="17"/>
              </w:rPr>
            </w:pPr>
            <w:r>
              <w:rPr>
                <w:sz w:val="17"/>
              </w:rPr>
              <w:t>/s/  Phil Kramer</w:t>
            </w:r>
          </w:p>
          <w:p>
            <w:pPr>
              <w:pStyle w:val="TableContents"/>
              <w:spacing w:before="0" w:after="0"/>
              <w:rPr/>
            </w:pPr>
            <w:r>
              <w:rPr/>
            </w:r>
          </w:p>
          <w:p>
            <w:pPr>
              <w:pStyle w:val="TableContents"/>
              <w:spacing w:before="0" w:after="0"/>
              <w:rPr>
                <w:sz w:val="17"/>
              </w:rPr>
            </w:pPr>
            <w:r>
              <w:rPr>
                <w:sz w:val="17"/>
              </w:rPr>
              <w:t xml:space="preserve">Phil Kramer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Executive Vice President and Chief Financial Officer (Principal</w:t>
              <w:br/>
              <w:t xml:space="preserve">Financial Officer)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r>
        <w:trPr/>
        <w:tc>
          <w:tcPr>
            <w:tcW w:w="3624" w:type="dxa"/>
            <w:gridSpan w:val="3"/>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vAlign w:val="bottom"/>
          </w:tcPr>
          <w:p>
            <w:pPr>
              <w:pStyle w:val="TableContents"/>
              <w:spacing w:before="0" w:after="283"/>
              <w:rPr/>
            </w:pPr>
            <w:r>
              <w:rPr/>
              <w:t xml:space="preserve">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vAlign w:val="bottom"/>
          </w:tcPr>
          <w:p>
            <w:pPr>
              <w:pStyle w:val="TableContents"/>
              <w:spacing w:before="0" w:after="283"/>
              <w:rPr/>
            </w:pPr>
            <w:r>
              <w:rPr/>
              <w:t xml:space="preserve">  </w:t>
            </w:r>
          </w:p>
        </w:tc>
      </w:tr>
      <w:tr>
        <w:trPr/>
        <w:tc>
          <w:tcPr>
            <w:tcW w:w="3624" w:type="dxa"/>
            <w:gridSpan w:val="3"/>
            <w:tcBorders/>
            <w:shd w:fill="FFFFFF" w:val="clear"/>
          </w:tcPr>
          <w:p>
            <w:pPr>
              <w:pStyle w:val="TableContents"/>
              <w:spacing w:before="0" w:after="0"/>
              <w:jc w:val="left"/>
              <w:rPr>
                <w:sz w:val="17"/>
              </w:rPr>
            </w:pPr>
            <w:r>
              <w:rPr>
                <w:sz w:val="17"/>
              </w:rPr>
              <w:t>/s/  Tina L. Val</w:t>
            </w:r>
          </w:p>
          <w:p>
            <w:pPr>
              <w:pStyle w:val="TableContents"/>
              <w:spacing w:before="0" w:after="0"/>
              <w:rPr/>
            </w:pPr>
            <w:r>
              <w:rPr/>
            </w:r>
          </w:p>
          <w:p>
            <w:pPr>
              <w:pStyle w:val="TableContents"/>
              <w:spacing w:before="0" w:after="0"/>
              <w:rPr>
                <w:sz w:val="17"/>
              </w:rPr>
            </w:pPr>
            <w:r>
              <w:rPr>
                <w:sz w:val="17"/>
              </w:rPr>
              <w:t xml:space="preserve">Tina L. Val </w:t>
            </w:r>
          </w:p>
        </w:tc>
        <w:tc>
          <w:tcPr>
            <w:tcW w:w="267" w:type="dxa"/>
            <w:tcBorders/>
            <w:shd w:fill="FFFFFF" w:val="clear"/>
            <w:vAlign w:val="bottom"/>
          </w:tcPr>
          <w:p>
            <w:pPr>
              <w:pStyle w:val="TableContents"/>
              <w:spacing w:before="0" w:after="283"/>
              <w:rPr/>
            </w:pPr>
            <w:r>
              <w:rPr/>
              <w:t xml:space="preserve">  </w:t>
            </w:r>
          </w:p>
        </w:tc>
        <w:tc>
          <w:tcPr>
            <w:tcW w:w="4136" w:type="dxa"/>
            <w:tcBorders/>
            <w:shd w:fill="FFFFFF" w:val="clear"/>
          </w:tcPr>
          <w:p>
            <w:pPr>
              <w:pStyle w:val="TableContents"/>
              <w:spacing w:before="0" w:after="283"/>
              <w:jc w:val="center"/>
              <w:rPr>
                <w:sz w:val="17"/>
              </w:rPr>
            </w:pPr>
            <w:r>
              <w:rPr>
                <w:sz w:val="17"/>
              </w:rPr>
              <w:t>Vice President  Accounting and Chief Accounting Officer (Principal</w:t>
              <w:br/>
              <w:t xml:space="preserve">Accounting Officer) </w:t>
            </w:r>
          </w:p>
        </w:tc>
        <w:tc>
          <w:tcPr>
            <w:tcW w:w="267" w:type="dxa"/>
            <w:tcBorders/>
            <w:shd w:fill="FFFFFF" w:val="clear"/>
            <w:vAlign w:val="bottom"/>
          </w:tcPr>
          <w:p>
            <w:pPr>
              <w:pStyle w:val="TableContents"/>
              <w:spacing w:before="0" w:after="283"/>
              <w:rPr/>
            </w:pPr>
            <w:r>
              <w:rPr/>
              <w:t xml:space="preserve">  </w:t>
            </w:r>
          </w:p>
        </w:tc>
        <w:tc>
          <w:tcPr>
            <w:tcW w:w="1911" w:type="dxa"/>
            <w:tcBorders/>
            <w:shd w:fill="FFFFFF" w:val="clear"/>
          </w:tcPr>
          <w:p>
            <w:pPr>
              <w:pStyle w:val="TableContents"/>
              <w:spacing w:before="0" w:after="283"/>
              <w:jc w:val="center"/>
              <w:rPr>
                <w:sz w:val="17"/>
              </w:rPr>
            </w:pPr>
            <w:r>
              <w:rPr>
                <w:sz w:val="17"/>
              </w:rPr>
              <w:t xml:space="preserve">March 23, 2007 </w:t>
            </w:r>
          </w:p>
        </w:tc>
      </w:tr>
    </w:tbl>
    <w:p>
      <w:pPr>
        <w:pStyle w:val="TextBody"/>
        <w:spacing w:before="18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RANGELAND MARKETING COMPANY</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RANGELAND NORTHERN PIPELINE COMPANY</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RANGELAND PIPELINE COMPANY, for itself and as managing partner of RANGELAND</w:t>
        <w:br/>
        <w:t>PIPELINE PARTNERSHIP</w:t>
      </w:r>
      <w:r>
        <w:rPr>
          <w:rFonts w:ascii="Times New Roman;Times" w:hAnsi="Times New Roman;Times"/>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63"/>
        <w:gridCol w:w="206"/>
        <w:gridCol w:w="3262"/>
        <w:gridCol w:w="289"/>
        <w:gridCol w:w="3799"/>
        <w:gridCol w:w="289"/>
        <w:gridCol w:w="1897"/>
      </w:tblGrid>
      <w:tr>
        <w:trPr/>
        <w:tc>
          <w:tcPr>
            <w:tcW w:w="463"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3262" w:type="dxa"/>
            <w:tcBorders/>
            <w:shd w:fill="FFFFFF" w:val="clear"/>
            <w:vAlign w:val="bottom"/>
          </w:tcPr>
          <w:p>
            <w:pPr>
              <w:pStyle w:val="TableContents"/>
              <w:spacing w:before="0" w:after="283"/>
              <w:rPr/>
            </w:pPr>
            <w:r>
              <w:rPr/>
              <w:t> </w:t>
            </w:r>
          </w:p>
        </w:tc>
        <w:tc>
          <w:tcPr>
            <w:tcW w:w="289" w:type="dxa"/>
            <w:tcBorders/>
            <w:shd w:fill="FFFFFF" w:val="clear"/>
            <w:vAlign w:val="bottom"/>
          </w:tcPr>
          <w:p>
            <w:pPr>
              <w:pStyle w:val="TableContents"/>
              <w:spacing w:before="0" w:after="283"/>
              <w:rPr/>
            </w:pPr>
            <w:r>
              <w:rPr/>
              <w:t> </w:t>
            </w:r>
          </w:p>
        </w:tc>
        <w:tc>
          <w:tcPr>
            <w:tcW w:w="3799" w:type="dxa"/>
            <w:tcBorders/>
            <w:shd w:fill="FFFFFF" w:val="clear"/>
            <w:vAlign w:val="bottom"/>
          </w:tcPr>
          <w:p>
            <w:pPr>
              <w:pStyle w:val="TableContents"/>
              <w:spacing w:before="0" w:after="283"/>
              <w:rPr/>
            </w:pPr>
            <w:r>
              <w:rPr/>
              <w:t> </w:t>
            </w:r>
          </w:p>
        </w:tc>
        <w:tc>
          <w:tcPr>
            <w:tcW w:w="289" w:type="dxa"/>
            <w:tcBorders/>
            <w:shd w:fill="FFFFFF" w:val="clear"/>
            <w:vAlign w:val="bottom"/>
          </w:tcPr>
          <w:p>
            <w:pPr>
              <w:pStyle w:val="TableContents"/>
              <w:spacing w:before="0" w:after="283"/>
              <w:rPr/>
            </w:pPr>
            <w:r>
              <w:rPr/>
              <w:t> </w:t>
            </w:r>
          </w:p>
        </w:tc>
        <w:tc>
          <w:tcPr>
            <w:tcW w:w="1897" w:type="dxa"/>
            <w:tcBorders/>
            <w:shd w:fill="FFFFFF" w:val="clear"/>
            <w:vAlign w:val="bottom"/>
          </w:tcPr>
          <w:p>
            <w:pPr>
              <w:pStyle w:val="TableContents"/>
              <w:spacing w:before="0" w:after="283"/>
              <w:rPr/>
            </w:pPr>
            <w:r>
              <w:rPr/>
              <w:t> </w:t>
            </w:r>
          </w:p>
        </w:tc>
      </w:tr>
      <w:tr>
        <w:trPr/>
        <w:tc>
          <w:tcPr>
            <w:tcW w:w="3931" w:type="dxa"/>
            <w:gridSpan w:val="3"/>
            <w:tcBorders/>
            <w:shd w:fill="FFFFFF" w:val="clear"/>
          </w:tcPr>
          <w:p>
            <w:pPr>
              <w:pStyle w:val="TableContents"/>
              <w:spacing w:before="0" w:after="0"/>
              <w:jc w:val="left"/>
              <w:rPr>
                <w:sz w:val="17"/>
              </w:rPr>
            </w:pPr>
            <w:r>
              <w:rPr>
                <w:sz w:val="17"/>
              </w:rPr>
              <w:t>/s/  Dave Duckett</w:t>
            </w:r>
          </w:p>
          <w:p>
            <w:pPr>
              <w:pStyle w:val="TableContents"/>
              <w:spacing w:before="0" w:after="0"/>
              <w:rPr/>
            </w:pPr>
            <w:r>
              <w:rPr/>
            </w:r>
          </w:p>
          <w:p>
            <w:pPr>
              <w:pStyle w:val="TableContents"/>
              <w:spacing w:before="0" w:after="0"/>
              <w:rPr>
                <w:sz w:val="17"/>
              </w:rPr>
            </w:pPr>
            <w:r>
              <w:rPr>
                <w:sz w:val="17"/>
              </w:rPr>
              <w:t xml:space="preserve">Dave Duckett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tcPr>
          <w:p>
            <w:pPr>
              <w:pStyle w:val="TableContents"/>
              <w:spacing w:before="0" w:after="283"/>
              <w:jc w:val="center"/>
              <w:rPr>
                <w:sz w:val="17"/>
              </w:rPr>
            </w:pPr>
            <w:r>
              <w:rPr>
                <w:sz w:val="17"/>
              </w:rPr>
              <w:t xml:space="preserve">President (Principal Executive Officer)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tcPr>
          <w:p>
            <w:pPr>
              <w:pStyle w:val="TableContents"/>
              <w:spacing w:before="0" w:after="283"/>
              <w:jc w:val="center"/>
              <w:rPr>
                <w:sz w:val="17"/>
              </w:rPr>
            </w:pPr>
            <w:r>
              <w:rPr>
                <w:sz w:val="17"/>
              </w:rPr>
              <w:t xml:space="preserve">March 23, 2007 </w:t>
            </w:r>
          </w:p>
        </w:tc>
      </w:tr>
      <w:tr>
        <w:trPr/>
        <w:tc>
          <w:tcPr>
            <w:tcW w:w="3931" w:type="dxa"/>
            <w:gridSpan w:val="3"/>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vAlign w:val="bottom"/>
          </w:tcPr>
          <w:p>
            <w:pPr>
              <w:pStyle w:val="TableContents"/>
              <w:spacing w:before="0" w:after="283"/>
              <w:rPr/>
            </w:pPr>
            <w:r>
              <w:rPr/>
              <w:t xml:space="preserve">  </w:t>
            </w:r>
          </w:p>
        </w:tc>
      </w:tr>
      <w:tr>
        <w:trPr/>
        <w:tc>
          <w:tcPr>
            <w:tcW w:w="3931" w:type="dxa"/>
            <w:gridSpan w:val="3"/>
            <w:tcBorders/>
            <w:shd w:fill="FFFFFF" w:val="clear"/>
          </w:tcPr>
          <w:p>
            <w:pPr>
              <w:pStyle w:val="TableContents"/>
              <w:spacing w:before="0" w:after="0"/>
              <w:jc w:val="left"/>
              <w:rPr>
                <w:sz w:val="17"/>
              </w:rPr>
            </w:pPr>
            <w:r>
              <w:rPr>
                <w:sz w:val="17"/>
              </w:rPr>
              <w:t>/s/  Mark Alenius</w:t>
            </w:r>
          </w:p>
          <w:p>
            <w:pPr>
              <w:pStyle w:val="TableContents"/>
              <w:spacing w:before="0" w:after="0"/>
              <w:rPr/>
            </w:pPr>
            <w:r>
              <w:rPr/>
            </w:r>
          </w:p>
          <w:p>
            <w:pPr>
              <w:pStyle w:val="TableContents"/>
              <w:spacing w:before="0" w:after="0"/>
              <w:rPr>
                <w:sz w:val="17"/>
              </w:rPr>
            </w:pPr>
            <w:r>
              <w:rPr>
                <w:sz w:val="17"/>
              </w:rPr>
              <w:t xml:space="preserve">Mark Alenius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tcPr>
          <w:p>
            <w:pPr>
              <w:pStyle w:val="TableContents"/>
              <w:spacing w:before="0" w:after="283"/>
              <w:jc w:val="center"/>
              <w:rPr>
                <w:sz w:val="17"/>
              </w:rPr>
            </w:pPr>
            <w:r>
              <w:rPr>
                <w:sz w:val="17"/>
              </w:rPr>
              <w:t xml:space="preserve">Vice President and Chief Financial Officer (Principal Financial and Accounting Officer)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tcPr>
          <w:p>
            <w:pPr>
              <w:pStyle w:val="TableContents"/>
              <w:spacing w:before="0" w:after="283"/>
              <w:jc w:val="center"/>
              <w:rPr>
                <w:sz w:val="17"/>
              </w:rPr>
            </w:pPr>
            <w:r>
              <w:rPr>
                <w:sz w:val="17"/>
              </w:rPr>
              <w:t xml:space="preserve">March 23, 2007 </w:t>
            </w:r>
          </w:p>
        </w:tc>
      </w:tr>
      <w:tr>
        <w:trPr/>
        <w:tc>
          <w:tcPr>
            <w:tcW w:w="3931" w:type="dxa"/>
            <w:gridSpan w:val="3"/>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vAlign w:val="bottom"/>
          </w:tcPr>
          <w:p>
            <w:pPr>
              <w:pStyle w:val="TableContents"/>
              <w:spacing w:before="0" w:after="283"/>
              <w:rPr/>
            </w:pPr>
            <w:r>
              <w:rPr/>
              <w:t xml:space="preserve">  </w:t>
            </w:r>
          </w:p>
        </w:tc>
      </w:tr>
      <w:tr>
        <w:trPr/>
        <w:tc>
          <w:tcPr>
            <w:tcW w:w="3931"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tcPr>
          <w:p>
            <w:pPr>
              <w:pStyle w:val="TableContents"/>
              <w:spacing w:before="0" w:after="283"/>
              <w:jc w:val="center"/>
              <w:rPr>
                <w:sz w:val="17"/>
              </w:rPr>
            </w:pPr>
            <w:r>
              <w:rPr>
                <w:sz w:val="17"/>
              </w:rPr>
              <w:t xml:space="preserve">Director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tcPr>
          <w:p>
            <w:pPr>
              <w:pStyle w:val="TableContents"/>
              <w:spacing w:before="0" w:after="283"/>
              <w:jc w:val="center"/>
              <w:rPr>
                <w:sz w:val="17"/>
              </w:rPr>
            </w:pPr>
            <w:r>
              <w:rPr>
                <w:sz w:val="17"/>
              </w:rPr>
              <w:t xml:space="preserve">March 23, 2007 </w:t>
            </w:r>
          </w:p>
        </w:tc>
      </w:tr>
      <w:tr>
        <w:trPr/>
        <w:tc>
          <w:tcPr>
            <w:tcW w:w="3931" w:type="dxa"/>
            <w:gridSpan w:val="3"/>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vAlign w:val="bottom"/>
          </w:tcPr>
          <w:p>
            <w:pPr>
              <w:pStyle w:val="TableContents"/>
              <w:spacing w:before="0" w:after="283"/>
              <w:rPr/>
            </w:pPr>
            <w:r>
              <w:rPr/>
              <w:t xml:space="preserve">  </w:t>
            </w:r>
          </w:p>
        </w:tc>
      </w:tr>
      <w:tr>
        <w:trPr/>
        <w:tc>
          <w:tcPr>
            <w:tcW w:w="3931" w:type="dxa"/>
            <w:gridSpan w:val="3"/>
            <w:tcBorders/>
            <w:shd w:fill="FFFFFF" w:val="clear"/>
          </w:tcPr>
          <w:p>
            <w:pPr>
              <w:pStyle w:val="TableContents"/>
              <w:spacing w:before="0" w:after="0"/>
              <w:jc w:val="left"/>
              <w:rPr>
                <w:sz w:val="17"/>
              </w:rPr>
            </w:pPr>
            <w:r>
              <w:rPr>
                <w:sz w:val="17"/>
              </w:rPr>
              <w:t>/s/  Harry Pefanis</w:t>
            </w:r>
          </w:p>
          <w:p>
            <w:pPr>
              <w:pStyle w:val="TableContents"/>
              <w:spacing w:before="0" w:after="0"/>
              <w:rPr/>
            </w:pPr>
            <w:r>
              <w:rPr/>
            </w:r>
          </w:p>
          <w:p>
            <w:pPr>
              <w:pStyle w:val="TableContents"/>
              <w:spacing w:before="0" w:after="0"/>
              <w:rPr>
                <w:sz w:val="17"/>
              </w:rPr>
            </w:pPr>
            <w:r>
              <w:rPr>
                <w:sz w:val="17"/>
              </w:rPr>
              <w:t xml:space="preserve">Harry Pefanis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tcPr>
          <w:p>
            <w:pPr>
              <w:pStyle w:val="TableContents"/>
              <w:spacing w:before="0" w:after="283"/>
              <w:jc w:val="center"/>
              <w:rPr>
                <w:sz w:val="17"/>
              </w:rPr>
            </w:pPr>
            <w:r>
              <w:rPr>
                <w:sz w:val="17"/>
              </w:rPr>
              <w:t xml:space="preserve">Director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tcPr>
          <w:p>
            <w:pPr>
              <w:pStyle w:val="TableContents"/>
              <w:spacing w:before="0" w:after="283"/>
              <w:jc w:val="center"/>
              <w:rPr>
                <w:sz w:val="17"/>
              </w:rPr>
            </w:pPr>
            <w:r>
              <w:rPr>
                <w:sz w:val="17"/>
              </w:rPr>
              <w:t xml:space="preserve">March 23, 2007 </w:t>
            </w:r>
          </w:p>
        </w:tc>
      </w:tr>
      <w:tr>
        <w:trPr/>
        <w:tc>
          <w:tcPr>
            <w:tcW w:w="3931" w:type="dxa"/>
            <w:gridSpan w:val="3"/>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vAlign w:val="bottom"/>
          </w:tcPr>
          <w:p>
            <w:pPr>
              <w:pStyle w:val="TableContents"/>
              <w:spacing w:before="0" w:after="283"/>
              <w:rPr/>
            </w:pPr>
            <w:r>
              <w:rPr/>
              <w:t xml:space="preserve">  </w:t>
            </w:r>
          </w:p>
        </w:tc>
      </w:tr>
      <w:tr>
        <w:trPr/>
        <w:tc>
          <w:tcPr>
            <w:tcW w:w="3931"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tcPr>
          <w:p>
            <w:pPr>
              <w:pStyle w:val="TableContents"/>
              <w:spacing w:before="0" w:after="283"/>
              <w:jc w:val="center"/>
              <w:rPr>
                <w:sz w:val="17"/>
              </w:rPr>
            </w:pPr>
            <w:r>
              <w:rPr>
                <w:sz w:val="17"/>
              </w:rPr>
              <w:t xml:space="preserve">Vice President and Director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tcPr>
          <w:p>
            <w:pPr>
              <w:pStyle w:val="TableContents"/>
              <w:spacing w:before="0" w:after="283"/>
              <w:jc w:val="center"/>
              <w:rPr>
                <w:sz w:val="17"/>
              </w:rPr>
            </w:pPr>
            <w:r>
              <w:rPr>
                <w:sz w:val="17"/>
              </w:rPr>
              <w:t xml:space="preserve">March 23, 2007 </w:t>
            </w:r>
          </w:p>
        </w:tc>
      </w:tr>
    </w:tbl>
    <w:p>
      <w:pPr>
        <w:pStyle w:val="TextBody"/>
        <w:spacing w:before="18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AURORA PIPELINE COMPANY LTD.</w:t>
      </w:r>
      <w:r>
        <w:rPr>
          <w:rFonts w:ascii="Arial;Helvetica" w:hAnsi="Arial;Helvetica"/>
          <w:color w:val="000000"/>
          <w:sz w:val="17"/>
          <w:highlight w:val="white"/>
        </w:rPr>
        <w:t xml:space="preserve">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63"/>
        <w:gridCol w:w="206"/>
        <w:gridCol w:w="3262"/>
        <w:gridCol w:w="289"/>
        <w:gridCol w:w="3799"/>
        <w:gridCol w:w="289"/>
        <w:gridCol w:w="1897"/>
      </w:tblGrid>
      <w:tr>
        <w:trPr/>
        <w:tc>
          <w:tcPr>
            <w:tcW w:w="463"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3262" w:type="dxa"/>
            <w:tcBorders/>
            <w:shd w:fill="FFFFFF" w:val="clear"/>
            <w:vAlign w:val="bottom"/>
          </w:tcPr>
          <w:p>
            <w:pPr>
              <w:pStyle w:val="TableContents"/>
              <w:spacing w:before="0" w:after="283"/>
              <w:rPr/>
            </w:pPr>
            <w:r>
              <w:rPr/>
              <w:t> </w:t>
            </w:r>
          </w:p>
        </w:tc>
        <w:tc>
          <w:tcPr>
            <w:tcW w:w="289" w:type="dxa"/>
            <w:tcBorders/>
            <w:shd w:fill="FFFFFF" w:val="clear"/>
            <w:vAlign w:val="bottom"/>
          </w:tcPr>
          <w:p>
            <w:pPr>
              <w:pStyle w:val="TableContents"/>
              <w:spacing w:before="0" w:after="283"/>
              <w:rPr/>
            </w:pPr>
            <w:r>
              <w:rPr/>
              <w:t> </w:t>
            </w:r>
          </w:p>
        </w:tc>
        <w:tc>
          <w:tcPr>
            <w:tcW w:w="3799" w:type="dxa"/>
            <w:tcBorders/>
            <w:shd w:fill="FFFFFF" w:val="clear"/>
            <w:vAlign w:val="bottom"/>
          </w:tcPr>
          <w:p>
            <w:pPr>
              <w:pStyle w:val="TableContents"/>
              <w:spacing w:before="0" w:after="283"/>
              <w:rPr/>
            </w:pPr>
            <w:r>
              <w:rPr/>
              <w:t> </w:t>
            </w:r>
          </w:p>
        </w:tc>
        <w:tc>
          <w:tcPr>
            <w:tcW w:w="289" w:type="dxa"/>
            <w:tcBorders/>
            <w:shd w:fill="FFFFFF" w:val="clear"/>
            <w:vAlign w:val="bottom"/>
          </w:tcPr>
          <w:p>
            <w:pPr>
              <w:pStyle w:val="TableContents"/>
              <w:spacing w:before="0" w:after="283"/>
              <w:rPr/>
            </w:pPr>
            <w:r>
              <w:rPr/>
              <w:t> </w:t>
            </w:r>
          </w:p>
        </w:tc>
        <w:tc>
          <w:tcPr>
            <w:tcW w:w="1897" w:type="dxa"/>
            <w:tcBorders/>
            <w:shd w:fill="FFFFFF" w:val="clear"/>
            <w:vAlign w:val="bottom"/>
          </w:tcPr>
          <w:p>
            <w:pPr>
              <w:pStyle w:val="TableContents"/>
              <w:spacing w:before="0" w:after="283"/>
              <w:rPr/>
            </w:pPr>
            <w:r>
              <w:rPr/>
              <w:t> </w:t>
            </w:r>
          </w:p>
        </w:tc>
      </w:tr>
      <w:tr>
        <w:trPr/>
        <w:tc>
          <w:tcPr>
            <w:tcW w:w="3931" w:type="dxa"/>
            <w:gridSpan w:val="3"/>
            <w:tcBorders/>
            <w:shd w:fill="FFFFFF" w:val="clear"/>
          </w:tcPr>
          <w:p>
            <w:pPr>
              <w:pStyle w:val="TableContents"/>
              <w:spacing w:before="0" w:after="0"/>
              <w:jc w:val="left"/>
              <w:rPr>
                <w:sz w:val="17"/>
              </w:rPr>
            </w:pPr>
            <w:r>
              <w:rPr>
                <w:sz w:val="17"/>
              </w:rPr>
              <w:t>/s/  Dave Duckett</w:t>
            </w:r>
          </w:p>
          <w:p>
            <w:pPr>
              <w:pStyle w:val="TableContents"/>
              <w:spacing w:before="0" w:after="0"/>
              <w:rPr/>
            </w:pPr>
            <w:r>
              <w:rPr/>
            </w:r>
          </w:p>
          <w:p>
            <w:pPr>
              <w:pStyle w:val="TableContents"/>
              <w:spacing w:before="0" w:after="0"/>
              <w:rPr>
                <w:sz w:val="17"/>
              </w:rPr>
            </w:pPr>
            <w:r>
              <w:rPr>
                <w:sz w:val="17"/>
              </w:rPr>
              <w:t xml:space="preserve">Dave Duckett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tcPr>
          <w:p>
            <w:pPr>
              <w:pStyle w:val="TableContents"/>
              <w:spacing w:before="0" w:after="283"/>
              <w:jc w:val="center"/>
              <w:rPr>
                <w:sz w:val="17"/>
              </w:rPr>
            </w:pPr>
            <w:r>
              <w:rPr>
                <w:sz w:val="17"/>
              </w:rPr>
              <w:t>President and Director (Principal</w:t>
              <w:br/>
              <w:t xml:space="preserve">Executive Officer)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tcPr>
          <w:p>
            <w:pPr>
              <w:pStyle w:val="TableContents"/>
              <w:spacing w:before="0" w:after="283"/>
              <w:jc w:val="center"/>
              <w:rPr>
                <w:sz w:val="17"/>
              </w:rPr>
            </w:pPr>
            <w:r>
              <w:rPr>
                <w:sz w:val="17"/>
              </w:rPr>
              <w:t xml:space="preserve">March 23, 2007 </w:t>
            </w:r>
          </w:p>
        </w:tc>
      </w:tr>
      <w:tr>
        <w:trPr/>
        <w:tc>
          <w:tcPr>
            <w:tcW w:w="3931" w:type="dxa"/>
            <w:gridSpan w:val="3"/>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vAlign w:val="bottom"/>
          </w:tcPr>
          <w:p>
            <w:pPr>
              <w:pStyle w:val="TableContents"/>
              <w:spacing w:before="0" w:after="283"/>
              <w:rPr/>
            </w:pPr>
            <w:r>
              <w:rPr/>
              <w:t xml:space="preserve">  </w:t>
            </w:r>
          </w:p>
        </w:tc>
      </w:tr>
      <w:tr>
        <w:trPr/>
        <w:tc>
          <w:tcPr>
            <w:tcW w:w="3931" w:type="dxa"/>
            <w:gridSpan w:val="3"/>
            <w:tcBorders/>
            <w:shd w:fill="FFFFFF" w:val="clear"/>
          </w:tcPr>
          <w:p>
            <w:pPr>
              <w:pStyle w:val="TableContents"/>
              <w:spacing w:before="0" w:after="0"/>
              <w:jc w:val="left"/>
              <w:rPr>
                <w:sz w:val="17"/>
              </w:rPr>
            </w:pPr>
            <w:r>
              <w:rPr>
                <w:sz w:val="17"/>
              </w:rPr>
              <w:t>/s/  Mark Alenius</w:t>
            </w:r>
          </w:p>
          <w:p>
            <w:pPr>
              <w:pStyle w:val="TableContents"/>
              <w:spacing w:before="0" w:after="0"/>
              <w:rPr/>
            </w:pPr>
            <w:r>
              <w:rPr/>
            </w:r>
          </w:p>
          <w:p>
            <w:pPr>
              <w:pStyle w:val="TableContents"/>
              <w:spacing w:before="0" w:after="0"/>
              <w:rPr>
                <w:sz w:val="17"/>
              </w:rPr>
            </w:pPr>
            <w:r>
              <w:rPr>
                <w:sz w:val="17"/>
              </w:rPr>
              <w:t xml:space="preserve">Mark Alenius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tcPr>
          <w:p>
            <w:pPr>
              <w:pStyle w:val="TableContents"/>
              <w:spacing w:before="0" w:after="283"/>
              <w:jc w:val="center"/>
              <w:rPr>
                <w:sz w:val="17"/>
              </w:rPr>
            </w:pPr>
            <w:r>
              <w:rPr>
                <w:sz w:val="17"/>
              </w:rPr>
              <w:t xml:space="preserve">Vice President and Chief Financial Officer (Principal Financial and Accounting Officer)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tcPr>
          <w:p>
            <w:pPr>
              <w:pStyle w:val="TableContents"/>
              <w:spacing w:before="0" w:after="283"/>
              <w:jc w:val="center"/>
              <w:rPr>
                <w:sz w:val="17"/>
              </w:rPr>
            </w:pPr>
            <w:r>
              <w:rPr>
                <w:sz w:val="17"/>
              </w:rPr>
              <w:t xml:space="preserve">March 23, 2007 </w:t>
            </w:r>
          </w:p>
        </w:tc>
      </w:tr>
      <w:tr>
        <w:trPr/>
        <w:tc>
          <w:tcPr>
            <w:tcW w:w="3931" w:type="dxa"/>
            <w:gridSpan w:val="3"/>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vAlign w:val="bottom"/>
          </w:tcPr>
          <w:p>
            <w:pPr>
              <w:pStyle w:val="TableContents"/>
              <w:spacing w:before="0" w:after="283"/>
              <w:rPr/>
            </w:pPr>
            <w:r>
              <w:rPr/>
              <w:t xml:space="preserve">  </w:t>
            </w:r>
          </w:p>
        </w:tc>
      </w:tr>
      <w:tr>
        <w:trPr/>
        <w:tc>
          <w:tcPr>
            <w:tcW w:w="3931" w:type="dxa"/>
            <w:gridSpan w:val="3"/>
            <w:tcBorders/>
            <w:shd w:fill="FFFFFF" w:val="clear"/>
          </w:tcPr>
          <w:p>
            <w:pPr>
              <w:pStyle w:val="TableContents"/>
              <w:spacing w:before="0" w:after="0"/>
              <w:jc w:val="left"/>
              <w:rPr>
                <w:sz w:val="17"/>
              </w:rPr>
            </w:pPr>
            <w:r>
              <w:rPr>
                <w:sz w:val="17"/>
              </w:rPr>
              <w:t>/s/  Greg L. Armstrong</w:t>
            </w:r>
          </w:p>
          <w:p>
            <w:pPr>
              <w:pStyle w:val="TableContents"/>
              <w:spacing w:before="0" w:after="0"/>
              <w:rPr/>
            </w:pPr>
            <w:r>
              <w:rPr/>
            </w:r>
          </w:p>
          <w:p>
            <w:pPr>
              <w:pStyle w:val="TableContents"/>
              <w:spacing w:before="0" w:after="0"/>
              <w:rPr>
                <w:sz w:val="17"/>
              </w:rPr>
            </w:pPr>
            <w:r>
              <w:rPr>
                <w:sz w:val="17"/>
              </w:rPr>
              <w:t xml:space="preserve">Greg L. Armstrong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tcPr>
          <w:p>
            <w:pPr>
              <w:pStyle w:val="TableContents"/>
              <w:spacing w:before="0" w:after="283"/>
              <w:jc w:val="center"/>
              <w:rPr>
                <w:sz w:val="17"/>
              </w:rPr>
            </w:pPr>
            <w:r>
              <w:rPr>
                <w:sz w:val="17"/>
              </w:rPr>
              <w:t xml:space="preserve">Director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tcPr>
          <w:p>
            <w:pPr>
              <w:pStyle w:val="TableContents"/>
              <w:spacing w:before="0" w:after="283"/>
              <w:jc w:val="center"/>
              <w:rPr>
                <w:sz w:val="17"/>
              </w:rPr>
            </w:pPr>
            <w:r>
              <w:rPr>
                <w:sz w:val="17"/>
              </w:rPr>
              <w:t xml:space="preserve">March 23, 2007 </w:t>
            </w:r>
          </w:p>
        </w:tc>
      </w:tr>
      <w:tr>
        <w:trPr/>
        <w:tc>
          <w:tcPr>
            <w:tcW w:w="3931" w:type="dxa"/>
            <w:gridSpan w:val="3"/>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vAlign w:val="bottom"/>
          </w:tcPr>
          <w:p>
            <w:pPr>
              <w:pStyle w:val="TableContents"/>
              <w:spacing w:before="0" w:after="283"/>
              <w:rPr/>
            </w:pPr>
            <w:r>
              <w:rPr/>
              <w:t xml:space="preserve">  </w:t>
            </w:r>
          </w:p>
        </w:tc>
      </w:tr>
      <w:tr>
        <w:trPr/>
        <w:tc>
          <w:tcPr>
            <w:tcW w:w="3931" w:type="dxa"/>
            <w:gridSpan w:val="3"/>
            <w:tcBorders/>
            <w:shd w:fill="FFFFFF" w:val="clear"/>
          </w:tcPr>
          <w:p>
            <w:pPr>
              <w:pStyle w:val="TableContents"/>
              <w:spacing w:before="0" w:after="0"/>
              <w:jc w:val="left"/>
              <w:rPr>
                <w:sz w:val="17"/>
              </w:rPr>
            </w:pPr>
            <w:r>
              <w:rPr>
                <w:sz w:val="17"/>
              </w:rPr>
              <w:t>/s/  Harry Pefanis</w:t>
            </w:r>
          </w:p>
          <w:p>
            <w:pPr>
              <w:pStyle w:val="TableContents"/>
              <w:spacing w:before="0" w:after="0"/>
              <w:rPr/>
            </w:pPr>
            <w:r>
              <w:rPr/>
            </w:r>
          </w:p>
          <w:p>
            <w:pPr>
              <w:pStyle w:val="TableContents"/>
              <w:spacing w:before="0" w:after="0"/>
              <w:rPr>
                <w:sz w:val="17"/>
              </w:rPr>
            </w:pPr>
            <w:r>
              <w:rPr>
                <w:sz w:val="17"/>
              </w:rPr>
              <w:t xml:space="preserve">Harry Pefanis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tcPr>
          <w:p>
            <w:pPr>
              <w:pStyle w:val="TableContents"/>
              <w:spacing w:before="0" w:after="283"/>
              <w:jc w:val="center"/>
              <w:rPr>
                <w:sz w:val="17"/>
              </w:rPr>
            </w:pPr>
            <w:r>
              <w:rPr>
                <w:sz w:val="17"/>
              </w:rPr>
              <w:t xml:space="preserve">Director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tcPr>
          <w:p>
            <w:pPr>
              <w:pStyle w:val="TableContents"/>
              <w:spacing w:before="0" w:after="283"/>
              <w:jc w:val="center"/>
              <w:rPr>
                <w:sz w:val="17"/>
              </w:rPr>
            </w:pPr>
            <w:r>
              <w:rPr>
                <w:sz w:val="17"/>
              </w:rPr>
              <w:t xml:space="preserve">March 23, 2007 </w:t>
            </w:r>
          </w:p>
        </w:tc>
      </w:tr>
      <w:tr>
        <w:trPr/>
        <w:tc>
          <w:tcPr>
            <w:tcW w:w="3931" w:type="dxa"/>
            <w:gridSpan w:val="3"/>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vAlign w:val="bottom"/>
          </w:tcPr>
          <w:p>
            <w:pPr>
              <w:pStyle w:val="TableContents"/>
              <w:spacing w:before="0" w:after="283"/>
              <w:rPr/>
            </w:pPr>
            <w:r>
              <w:rPr/>
              <w:t xml:space="preserve">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vAlign w:val="bottom"/>
          </w:tcPr>
          <w:p>
            <w:pPr>
              <w:pStyle w:val="TableContents"/>
              <w:spacing w:before="0" w:after="283"/>
              <w:rPr/>
            </w:pPr>
            <w:r>
              <w:rPr/>
              <w:t xml:space="preserve">  </w:t>
            </w:r>
          </w:p>
        </w:tc>
      </w:tr>
      <w:tr>
        <w:trPr/>
        <w:tc>
          <w:tcPr>
            <w:tcW w:w="3931" w:type="dxa"/>
            <w:gridSpan w:val="3"/>
            <w:tcBorders/>
            <w:shd w:fill="FFFFFF" w:val="clear"/>
          </w:tcPr>
          <w:p>
            <w:pPr>
              <w:pStyle w:val="TableContents"/>
              <w:spacing w:before="0" w:after="0"/>
              <w:jc w:val="left"/>
              <w:rPr>
                <w:sz w:val="17"/>
              </w:rPr>
            </w:pPr>
            <w:r>
              <w:rPr>
                <w:sz w:val="17"/>
              </w:rPr>
              <w:t>/s/  Tim Moore</w:t>
            </w:r>
          </w:p>
          <w:p>
            <w:pPr>
              <w:pStyle w:val="TableContents"/>
              <w:spacing w:before="0" w:after="0"/>
              <w:rPr/>
            </w:pPr>
            <w:r>
              <w:rPr/>
            </w:r>
          </w:p>
          <w:p>
            <w:pPr>
              <w:pStyle w:val="TableContents"/>
              <w:spacing w:before="0" w:after="0"/>
              <w:rPr>
                <w:sz w:val="17"/>
              </w:rPr>
            </w:pPr>
            <w:r>
              <w:rPr>
                <w:sz w:val="17"/>
              </w:rPr>
              <w:t xml:space="preserve">Tim Moore </w:t>
            </w:r>
          </w:p>
        </w:tc>
        <w:tc>
          <w:tcPr>
            <w:tcW w:w="289" w:type="dxa"/>
            <w:tcBorders/>
            <w:shd w:fill="FFFFFF" w:val="clear"/>
            <w:vAlign w:val="bottom"/>
          </w:tcPr>
          <w:p>
            <w:pPr>
              <w:pStyle w:val="TableContents"/>
              <w:spacing w:before="0" w:after="283"/>
              <w:rPr/>
            </w:pPr>
            <w:r>
              <w:rPr/>
              <w:t xml:space="preserve">  </w:t>
            </w:r>
          </w:p>
        </w:tc>
        <w:tc>
          <w:tcPr>
            <w:tcW w:w="3799" w:type="dxa"/>
            <w:tcBorders/>
            <w:shd w:fill="FFFFFF" w:val="clear"/>
          </w:tcPr>
          <w:p>
            <w:pPr>
              <w:pStyle w:val="TableContents"/>
              <w:spacing w:before="0" w:after="283"/>
              <w:jc w:val="center"/>
              <w:rPr>
                <w:sz w:val="17"/>
              </w:rPr>
            </w:pPr>
            <w:r>
              <w:rPr>
                <w:sz w:val="17"/>
              </w:rPr>
              <w:t xml:space="preserve">Vice President and Director </w:t>
            </w:r>
          </w:p>
        </w:tc>
        <w:tc>
          <w:tcPr>
            <w:tcW w:w="289" w:type="dxa"/>
            <w:tcBorders/>
            <w:shd w:fill="FFFFFF" w:val="clear"/>
            <w:vAlign w:val="bottom"/>
          </w:tcPr>
          <w:p>
            <w:pPr>
              <w:pStyle w:val="TableContents"/>
              <w:spacing w:before="0" w:after="283"/>
              <w:rPr/>
            </w:pPr>
            <w:r>
              <w:rPr/>
              <w:t xml:space="preserve">  </w:t>
            </w:r>
          </w:p>
        </w:tc>
        <w:tc>
          <w:tcPr>
            <w:tcW w:w="1897" w:type="dxa"/>
            <w:tcBorders/>
            <w:shd w:fill="FFFFFF" w:val="clear"/>
          </w:tcPr>
          <w:p>
            <w:pPr>
              <w:pStyle w:val="TableContents"/>
              <w:spacing w:before="0" w:after="283"/>
              <w:jc w:val="center"/>
              <w:rPr>
                <w:sz w:val="17"/>
              </w:rPr>
            </w:pPr>
            <w:r>
              <w:rPr>
                <w:sz w:val="17"/>
              </w:rPr>
              <w:t xml:space="preserve">March 23, 2007 </w:t>
            </w:r>
          </w:p>
        </w:tc>
      </w:tr>
    </w:tbl>
    <w:p>
      <w:pPr>
        <w:pStyle w:val="TextBody"/>
        <w:shd w:fill="FFFFFF" w:val="clear"/>
        <w:jc w:val="center"/>
        <w:rPr>
          <w:rFonts w:ascii="Times New Roman;Times" w:hAnsi="Times New Roman;Times"/>
          <w:color w:val="000000"/>
          <w:sz w:val="17"/>
        </w:rPr>
      </w:pPr>
      <w:r>
        <w:rPr>
          <w:rFonts w:ascii="Times New Roman;Times" w:hAnsi="Times New Roman;Times"/>
          <w:color w:val="000000"/>
          <w:sz w:val="17"/>
        </w:rPr>
        <w:br/>
        <w:t xml:space="preserve">II-17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0" w:after="0"/>
        <w:jc w:val="center"/>
        <w:rPr>
          <w:rFonts w:ascii="Arial;Helvetica" w:hAnsi="Arial;Helvetica"/>
          <w:color w:val="000000"/>
          <w:sz w:val="17"/>
          <w:highlight w:val="white"/>
        </w:rPr>
      </w:pPr>
      <w:r>
        <w:rPr>
          <w:rFonts w:ascii="Times New Roman;Times" w:hAnsi="Times New Roman;Times"/>
          <w:b/>
          <w:color w:val="000000"/>
          <w:sz w:val="17"/>
          <w:highlight w:val="white"/>
        </w:rPr>
        <w:t>INDEX TO EXHIBITS</w:t>
      </w:r>
      <w:r>
        <w:rPr>
          <w:rFonts w:ascii="Arial;Helvetica" w:hAnsi="Arial;Helvetica"/>
          <w:color w:val="000000"/>
          <w:sz w:val="17"/>
          <w:highlight w:val="white"/>
        </w:rPr>
        <w:t xml:space="preserve">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247"/>
        <w:gridCol w:w="203"/>
        <w:gridCol w:w="395"/>
        <w:gridCol w:w="124"/>
        <w:gridCol w:w="383"/>
        <w:gridCol w:w="124"/>
        <w:gridCol w:w="8729"/>
      </w:tblGrid>
      <w:tr>
        <w:trPr/>
        <w:tc>
          <w:tcPr>
            <w:tcW w:w="247" w:type="dxa"/>
            <w:tcBorders/>
            <w:shd w:fill="FFFFFF" w:val="clear"/>
            <w:vAlign w:val="bottom"/>
          </w:tcPr>
          <w:p>
            <w:pPr>
              <w:pStyle w:val="TableContents"/>
              <w:spacing w:before="0" w:after="283"/>
              <w:jc w:val="right"/>
              <w:rPr/>
            </w:pPr>
            <w:r>
              <w:rPr/>
              <w:t> </w:t>
            </w:r>
          </w:p>
        </w:tc>
        <w:tc>
          <w:tcPr>
            <w:tcW w:w="203" w:type="dxa"/>
            <w:tcBorders/>
            <w:shd w:fill="FFFFFF" w:val="clear"/>
            <w:vAlign w:val="bottom"/>
          </w:tcPr>
          <w:p>
            <w:pPr>
              <w:pStyle w:val="TableContents"/>
              <w:spacing w:before="0" w:after="283"/>
              <w:jc w:val="right"/>
              <w:rPr/>
            </w:pPr>
            <w:r>
              <w:rPr/>
              <w:t> </w:t>
            </w:r>
          </w:p>
        </w:tc>
        <w:tc>
          <w:tcPr>
            <w:tcW w:w="395" w:type="dxa"/>
            <w:tcBorders/>
            <w:shd w:fill="FFFFFF" w:val="clear"/>
            <w:vAlign w:val="bottom"/>
          </w:tcPr>
          <w:p>
            <w:pPr>
              <w:pStyle w:val="TableContents"/>
              <w:spacing w:before="0" w:after="283"/>
              <w:jc w:val="left"/>
              <w:rPr/>
            </w:pPr>
            <w:r>
              <w:rPr/>
              <w:t> </w:t>
            </w:r>
          </w:p>
        </w:tc>
        <w:tc>
          <w:tcPr>
            <w:tcW w:w="124"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8729" w:type="dxa"/>
            <w:tcBorders/>
            <w:shd w:fill="FFFFFF" w:val="clear"/>
            <w:vAlign w:val="bottom"/>
          </w:tcPr>
          <w:p>
            <w:pPr>
              <w:pStyle w:val="TableContents"/>
              <w:spacing w:before="0" w:after="283"/>
              <w:rPr/>
            </w:pPr>
            <w:r>
              <w:rPr/>
              <w:t>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Indenture dated September 25, 2002 among Plains All American Pipeline, L.P., PAA Finance Corp. and Wachovia Bank, National Association (incorporated by reference to Exhibit 4.1 to Quarterly Report on Form 10-Q for the quarter ended September 30, 2002)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.2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Quarterly Report on Form 10-Q for the quarter ended September 30, 2002)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.3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Annual Report on Form 10-K for the year ended December 31, 2003)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.4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Third Supplemental Indenture (Series A and Series B 4.750% Senior Notes due 2009) dated August 12, 2004 among Plains All American Pipeline, L.P., PAA Finance Corp., the Subsidiary Guarantors named therein and Wachovia, National Association (incorporated by reference to Exhibit 4.4 to the Registration Statement on Form S-4, File No. 333-121168)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.5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Fourth Supplemental Indenture (Series A and Series B 5.875% Senior Notes due 2016) dated August 12, 2004 among Plains All American Pipeline, L.P., PAA Finance Corp., the Subsidiary Guarantors named therein and Wachovia, National Association (incorporated by reference to Exhibit 4.5 to the Registration Statement on Form S-4, File No. 333-121168)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.6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Fifth Supplemental Indenture (Series A and Series B 5.25% Senior Notes due 2015) dated May 27, 2005 among Plains All American Pipeline, L.P., PAA Finance Corp., the Subsidiary Guarantors named therein and Wachovia Bank, National Association (incorporated by reference to Exhibit 4.1 to Current Report on Form 8-K filed May 31, 2005)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.7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Sixth Supplemental Indenture (Series A and Series B 6.70% Senior Notes due 2036) dated May 12, 2006 among Plains All American Pipeline, L.P., PAA Finance Corp., the Subsidiary Guarantors named therein and Wachovia Bank, National Association (incorporated by reference to Exhibit 4.1 to Current Report on Form 8-K filed May 12,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.8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Exchange and Registration Rights Agreement, dated as of May 12, 2006, among Plains All American Pipeline, L.P., PAA Finance Corp., the Guarantors named therein and the Initial Purchasers named therein (incorporated by reference to Exhibit 4.2 to Current Report on Form 8-K filed May 12,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.9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Seventh Supplemental Indenture, dated as of May 12, 2006, to Indenture, dated as of September 25, 2002, among Plains All American Pipeline, L.P., PAA Finance Corp., Plains LPG Services GP LLC, Plains LPG Services, L.P. and Lone Star Trucking, LLC and Wachovia Bank, National Association (incorporated by reference to Exhibit 4.3 to Current Report on Form 8-K filed May 12,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.10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Eighth Supplemental Indenture, dated as of August 25, 2006, to Indenture, dated as of September 25, 2002, among Plains All American Pipeline, L.P., PAA Finance Corp., Plains Marketing International GP LLC, Plains Marketing International, L.P. and Plains LPG Marketing, L.P. and Wachovia Bank, National Association (incorporated by reference to Exhibit 4.1 to Current Report on Form 8-K filed August 25,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.11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Ninth Supplemental Indenture (Series A and Series B 6.125% Senior Notes due 2017), dated as of October 30, 2006, to Indenture, dated as of September 25, 2002, among Plains All American Pipeline, L.P., PAA Finance Corp. and subsidiary guarantors signatory thereto and U.S. Bank National Association, as trustee (incorporated by reference to Exhibit 4.1 to the Current Report on Form 8-K filed October 30, 2006) </w:t>
            </w:r>
          </w:p>
        </w:tc>
      </w:tr>
      <w:tr>
        <w:trPr/>
        <w:tc>
          <w:tcPr>
            <w:tcW w:w="247" w:type="dxa"/>
            <w:tcBorders/>
            <w:shd w:fill="FFFFFF" w:val="clear"/>
          </w:tcPr>
          <w:p>
            <w:pPr>
              <w:pStyle w:val="TableContents"/>
              <w:spacing w:before="0" w:after="283"/>
              <w:jc w:val="right"/>
              <w:rPr/>
            </w:pPr>
            <w:r>
              <w:rPr/>
              <w:t xml:space="preserve">  </w:t>
            </w:r>
          </w:p>
        </w:tc>
        <w:tc>
          <w:tcPr>
            <w:tcW w:w="203" w:type="dxa"/>
            <w:tcBorders/>
            <w:shd w:fill="FFFFFF" w:val="clear"/>
          </w:tcPr>
          <w:p>
            <w:pPr>
              <w:pStyle w:val="TableContents"/>
              <w:spacing w:before="0" w:after="283"/>
              <w:jc w:val="right"/>
              <w:rPr/>
            </w:pPr>
            <w:r>
              <w:rPr/>
              <w:t xml:space="preserve">4 </w:t>
            </w:r>
          </w:p>
        </w:tc>
        <w:tc>
          <w:tcPr>
            <w:tcW w:w="395" w:type="dxa"/>
            <w:tcBorders/>
            <w:shd w:fill="FFFFFF" w:val="clear"/>
          </w:tcPr>
          <w:p>
            <w:pPr>
              <w:pStyle w:val="TableContents"/>
              <w:spacing w:before="0" w:after="283"/>
              <w:jc w:val="left"/>
              <w:rPr/>
            </w:pPr>
            <w:r>
              <w:rPr/>
              <w:t xml:space="preserve">.12 </w:t>
            </w:r>
          </w:p>
        </w:tc>
        <w:tc>
          <w:tcPr>
            <w:tcW w:w="124"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4" w:type="dxa"/>
            <w:tcBorders/>
            <w:shd w:fill="FFFFFF" w:val="clear"/>
            <w:vAlign w:val="bottom"/>
          </w:tcPr>
          <w:p>
            <w:pPr>
              <w:pStyle w:val="TableContents"/>
              <w:spacing w:before="0" w:after="283"/>
              <w:rPr/>
            </w:pPr>
            <w:r>
              <w:rPr/>
              <w:t xml:space="preserve">  </w:t>
            </w:r>
          </w:p>
        </w:tc>
        <w:tc>
          <w:tcPr>
            <w:tcW w:w="8729" w:type="dxa"/>
            <w:tcBorders/>
            <w:shd w:fill="FFFFFF" w:val="clear"/>
          </w:tcPr>
          <w:p>
            <w:pPr>
              <w:pStyle w:val="TableContents"/>
              <w:spacing w:before="0" w:after="283"/>
              <w:jc w:val="left"/>
              <w:rPr>
                <w:sz w:val="17"/>
              </w:rPr>
            </w:pPr>
            <w:r>
              <w:rPr>
                <w:sz w:val="17"/>
              </w:rPr>
              <w:t xml:space="preserve">Tenth Supplemental Indenture (Series A and Series B 6.650% Senior Notes due 2037), dated as of October 30, 2006, to Indenture, dated as of September 25, 2002, among Plains All American Pipeline, L.P., PAA Finance Corp. and subsidiary guarantors signatory thereto and U.S. Bank National Association, as trustee (incorporated by reference to Exhibit 4.2 to the Current Report on Form 8-K filed October 30, 2006)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247"/>
        <w:gridCol w:w="201"/>
        <w:gridCol w:w="392"/>
        <w:gridCol w:w="123"/>
        <w:gridCol w:w="383"/>
        <w:gridCol w:w="123"/>
        <w:gridCol w:w="8736"/>
      </w:tblGrid>
      <w:tr>
        <w:trPr/>
        <w:tc>
          <w:tcPr>
            <w:tcW w:w="247" w:type="dxa"/>
            <w:tcBorders/>
            <w:shd w:fill="FFFFFF" w:val="clear"/>
            <w:vAlign w:val="bottom"/>
          </w:tcPr>
          <w:p>
            <w:pPr>
              <w:pStyle w:val="TableContents"/>
              <w:spacing w:before="0" w:after="283"/>
              <w:jc w:val="right"/>
              <w:rPr/>
            </w:pPr>
            <w:r>
              <w:rPr/>
              <w:t> </w:t>
            </w:r>
          </w:p>
        </w:tc>
        <w:tc>
          <w:tcPr>
            <w:tcW w:w="201" w:type="dxa"/>
            <w:tcBorders/>
            <w:shd w:fill="FFFFFF" w:val="clear"/>
            <w:vAlign w:val="bottom"/>
          </w:tcPr>
          <w:p>
            <w:pPr>
              <w:pStyle w:val="TableContents"/>
              <w:spacing w:before="0" w:after="283"/>
              <w:jc w:val="right"/>
              <w:rPr/>
            </w:pPr>
            <w:r>
              <w:rPr/>
              <w:t> </w:t>
            </w:r>
          </w:p>
        </w:tc>
        <w:tc>
          <w:tcPr>
            <w:tcW w:w="392" w:type="dxa"/>
            <w:tcBorders/>
            <w:shd w:fill="FFFFFF" w:val="clear"/>
            <w:vAlign w:val="bottom"/>
          </w:tcPr>
          <w:p>
            <w:pPr>
              <w:pStyle w:val="TableContents"/>
              <w:spacing w:before="0" w:after="283"/>
              <w:jc w:val="left"/>
              <w:rPr/>
            </w:pPr>
            <w:r>
              <w:rPr/>
              <w:t> </w:t>
            </w:r>
          </w:p>
        </w:tc>
        <w:tc>
          <w:tcPr>
            <w:tcW w:w="123" w:type="dxa"/>
            <w:tcBorders/>
            <w:shd w:fill="FFFFFF" w:val="clear"/>
            <w:vAlign w:val="bottom"/>
          </w:tcPr>
          <w:p>
            <w:pPr>
              <w:pStyle w:val="TableContents"/>
              <w:spacing w:before="0" w:after="283"/>
              <w:rPr/>
            </w:pPr>
            <w:r>
              <w:rPr/>
              <w:t> </w:t>
            </w:r>
          </w:p>
        </w:tc>
        <w:tc>
          <w:tcPr>
            <w:tcW w:w="383" w:type="dxa"/>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rPr/>
            </w:pPr>
            <w:r>
              <w:rPr/>
              <w:t> </w:t>
            </w:r>
          </w:p>
        </w:tc>
        <w:tc>
          <w:tcPr>
            <w:tcW w:w="8736" w:type="dxa"/>
            <w:tcBorders/>
            <w:shd w:fill="FFFFFF" w:val="clear"/>
            <w:vAlign w:val="bottom"/>
          </w:tcPr>
          <w:p>
            <w:pPr>
              <w:pStyle w:val="TableContents"/>
              <w:spacing w:before="0" w:after="283"/>
              <w:rPr/>
            </w:pPr>
            <w:r>
              <w:rPr/>
              <w:t>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.13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LLC, Wedbush Morgan Securities Inc. and Wells Fargo Securities, LLC relating to the 2017 Notes (incorporated by reference to Exhibit 4.3 to the Current Report on Form 8-K filed October 30,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.14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Exchange and Registration Rights Agreement dated as of October 30,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Plains Marketing International GP LLC, Plains LPG Marketing, L.P., Plains Marketing International, L.P., Citigroup Global Markets Inc., UBS Securities LLC, Banc of America Securities LLC, J.P. Morgan Securities Inc., Wachovia Capital Markets, LLC, BNP Paribas Securities Corp., SunTrust Capital Markets, Inc., Fortis Securities LLC, Scotia Capital (USA) Inc., Comerica Securities, Inc., Commerzbank Capital Markets Corp., Daiwa Securities America Inc., DnB NOR Markets, Inc., HSBC Securities (USA) Inc., ING Financial Markets LLC, Mitsubishi UFJ Securities International plc, Piper Jaffray &amp; Co., RBC Capital Markets Corporation, SG Americas Securities Inc. and Wells Fargo Securities, LLC relating to the 2037 Notes (incorporated by reference to Exhibit 4.4 to the Current Report on Form 8-K filed October 30,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.15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Eleventh Supplemental Indenture dated November 15, 2006 to Indenture dated as of September 25, 2002, among Plains All American Pipeline, L.P., PAA Finance Corp., the guarantors named therein and U.S. Bank National Association, as trustee (incorporated by reference to Exhibit 4.1 to the Current Report on Form 8-K filed November 21,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.16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Indenture dated June 16, 2004 among Pacific Energy Partners, L.P. and Pacific Energy Finance Corporation, the guarantors named therein and Wells Fargo Bank, National Association, as trustee of the 71/8% senior notes due 2014 (incorporated by reference to Exhibit 4.21 to Pacifics Quarterly Report on Form 10-Q for the quarter ended June 30, 2004)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.17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First Supplemental Indenture dated March 3, 2005 among Pacific Energy Partners, L.P. and Pacific Energy Finance Corporation, the guarantors named therein and Wells Fargo Bank, National Association, as trustee of the 71/8% senior notes due 2014 (incorporated by reference to Exhibit 4.1 to Pacifics Current Report on Form 8-K filed March 9, 2005)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.18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Second Supplemental Indenture dated September 23, 2005 among Pacific Energy Partners, L.P. and Pacific Energy Finance Corporation, the guarantors named therein and Wells Fargo Bank, National Association, as trustee of the 71/8% senior notes due 2014 (incorporated by reference to Exhibit 4.17 to the Annual Report on Form 10-K for the year ended December 31,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.19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Third Supplemental Indenture dated November 15, 2006 to Indenture dated as of June 16, 2004, among Plains All American Pipeline, L.P., Pacific Energy Finance Corporation, the guarantors named therein and Wells Fargo Bank, National Association, as trustee (incorporated by reference to Exhibit 4.2 to the Current Report on Form 8-K filed November 21, 2006) </w:t>
            </w:r>
          </w:p>
        </w:tc>
      </w:tr>
      <w:tr>
        <w:trPr/>
        <w:tc>
          <w:tcPr>
            <w:tcW w:w="247" w:type="dxa"/>
            <w:tcBorders/>
            <w:shd w:fill="FFFFFF" w:val="clear"/>
          </w:tcPr>
          <w:p>
            <w:pPr>
              <w:pStyle w:val="TableContents"/>
              <w:spacing w:before="0" w:after="283"/>
              <w:jc w:val="right"/>
              <w:rPr/>
            </w:pPr>
            <w:r>
              <w:rPr/>
              <w:t xml:space="preserve">  </w:t>
            </w:r>
          </w:p>
        </w:tc>
        <w:tc>
          <w:tcPr>
            <w:tcW w:w="201" w:type="dxa"/>
            <w:tcBorders/>
            <w:shd w:fill="FFFFFF" w:val="clear"/>
          </w:tcPr>
          <w:p>
            <w:pPr>
              <w:pStyle w:val="TableContents"/>
              <w:spacing w:before="0" w:after="283"/>
              <w:jc w:val="right"/>
              <w:rPr/>
            </w:pPr>
            <w:r>
              <w:rPr/>
              <w:t xml:space="preserve">4 </w:t>
            </w:r>
          </w:p>
        </w:tc>
        <w:tc>
          <w:tcPr>
            <w:tcW w:w="392" w:type="dxa"/>
            <w:tcBorders/>
            <w:shd w:fill="FFFFFF" w:val="clear"/>
          </w:tcPr>
          <w:p>
            <w:pPr>
              <w:pStyle w:val="TableContents"/>
              <w:spacing w:before="0" w:after="283"/>
              <w:jc w:val="left"/>
              <w:rPr/>
            </w:pPr>
            <w:r>
              <w:rPr/>
              <w:t xml:space="preserve">.20 </w:t>
            </w:r>
          </w:p>
        </w:tc>
        <w:tc>
          <w:tcPr>
            <w:tcW w:w="123" w:type="dxa"/>
            <w:tcBorders/>
            <w:shd w:fill="FFFFFF" w:val="clear"/>
            <w:vAlign w:val="bottom"/>
          </w:tcPr>
          <w:p>
            <w:pPr>
              <w:pStyle w:val="TableContents"/>
              <w:spacing w:before="0" w:after="283"/>
              <w:rPr/>
            </w:pPr>
            <w:r>
              <w:rPr/>
              <w:t xml:space="preserve">  </w:t>
            </w:r>
          </w:p>
        </w:tc>
        <w:tc>
          <w:tcPr>
            <w:tcW w:w="383" w:type="dxa"/>
            <w:tcBorders/>
            <w:shd w:fill="FFFFFF" w:val="clear"/>
          </w:tcPr>
          <w:p>
            <w:pPr>
              <w:pStyle w:val="TableContents"/>
              <w:spacing w:before="0" w:after="283"/>
              <w:jc w:val="right"/>
              <w:rPr>
                <w:sz w:val="17"/>
              </w:rPr>
            </w:pPr>
            <w:r>
              <w:rPr>
                <w:sz w:val="17"/>
              </w:rPr>
              <w:t xml:space="preserve"> </w:t>
            </w:r>
          </w:p>
        </w:tc>
        <w:tc>
          <w:tcPr>
            <w:tcW w:w="123" w:type="dxa"/>
            <w:tcBorders/>
            <w:shd w:fill="FFFFFF" w:val="clear"/>
            <w:vAlign w:val="bottom"/>
          </w:tcPr>
          <w:p>
            <w:pPr>
              <w:pStyle w:val="TableContents"/>
              <w:spacing w:before="0" w:after="283"/>
              <w:rPr/>
            </w:pPr>
            <w:r>
              <w:rPr/>
              <w:t xml:space="preserve">  </w:t>
            </w:r>
          </w:p>
        </w:tc>
        <w:tc>
          <w:tcPr>
            <w:tcW w:w="8736" w:type="dxa"/>
            <w:tcBorders/>
            <w:shd w:fill="FFFFFF" w:val="clear"/>
          </w:tcPr>
          <w:p>
            <w:pPr>
              <w:pStyle w:val="TableContents"/>
              <w:spacing w:before="0" w:after="283"/>
              <w:jc w:val="left"/>
              <w:rPr>
                <w:sz w:val="17"/>
              </w:rPr>
            </w:pPr>
            <w:r>
              <w:rPr>
                <w:sz w:val="17"/>
              </w:rPr>
              <w:t xml:space="preserve">Indenture dated September 23, 2005 among Pacific Energy Partners, L.P. and Pacific Energy Finance Corporation, the guarantors named therein and Wells Fargo Bank, National Association, as trustee of the 61/4% senior notes due 2015 (incorporated by reference to Exhibit 4.1 to Pacifics Current Report on Form 8-K filed September 28, 2005) </w:t>
            </w:r>
          </w:p>
        </w:tc>
      </w:tr>
    </w:tbl>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shd w:fill="FFFFFF" w:val="clear"/>
        <w:tblCellMar>
          <w:top w:w="0" w:type="dxa"/>
          <w:left w:w="0" w:type="dxa"/>
          <w:bottom w:w="0" w:type="dxa"/>
          <w:right w:w="0" w:type="dxa"/>
        </w:tblCellMar>
      </w:tblPr>
      <w:tblGrid>
        <w:gridCol w:w="251"/>
        <w:gridCol w:w="328"/>
        <w:gridCol w:w="454"/>
        <w:gridCol w:w="126"/>
        <w:gridCol w:w="394"/>
        <w:gridCol w:w="126"/>
        <w:gridCol w:w="8526"/>
      </w:tblGrid>
      <w:tr>
        <w:trPr/>
        <w:tc>
          <w:tcPr>
            <w:tcW w:w="251" w:type="dxa"/>
            <w:tcBorders/>
            <w:shd w:fill="FFFFFF" w:val="clear"/>
            <w:vAlign w:val="bottom"/>
          </w:tcPr>
          <w:p>
            <w:pPr>
              <w:pStyle w:val="TableContents"/>
              <w:spacing w:before="0" w:after="283"/>
              <w:jc w:val="right"/>
              <w:rPr/>
            </w:pPr>
            <w:r>
              <w:rPr/>
              <w:t> </w:t>
            </w:r>
          </w:p>
        </w:tc>
        <w:tc>
          <w:tcPr>
            <w:tcW w:w="328" w:type="dxa"/>
            <w:tcBorders/>
            <w:shd w:fill="FFFFFF" w:val="clear"/>
            <w:vAlign w:val="bottom"/>
          </w:tcPr>
          <w:p>
            <w:pPr>
              <w:pStyle w:val="TableContents"/>
              <w:spacing w:before="0" w:after="283"/>
              <w:jc w:val="right"/>
              <w:rPr/>
            </w:pPr>
            <w:r>
              <w:rPr/>
              <w:t> </w:t>
            </w:r>
          </w:p>
        </w:tc>
        <w:tc>
          <w:tcPr>
            <w:tcW w:w="454"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rPr/>
            </w:pPr>
            <w:r>
              <w:rPr/>
              <w:t> </w:t>
            </w:r>
          </w:p>
        </w:tc>
        <w:tc>
          <w:tcPr>
            <w:tcW w:w="394"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rPr/>
            </w:pPr>
            <w:r>
              <w:rPr/>
              <w:t> </w:t>
            </w:r>
          </w:p>
        </w:tc>
        <w:tc>
          <w:tcPr>
            <w:tcW w:w="8526" w:type="dxa"/>
            <w:tcBorders/>
            <w:shd w:fill="FFFFFF" w:val="clear"/>
            <w:vAlign w:val="bottom"/>
          </w:tcPr>
          <w:p>
            <w:pPr>
              <w:pStyle w:val="TableContents"/>
              <w:spacing w:before="0" w:after="283"/>
              <w:rPr/>
            </w:pPr>
            <w:r>
              <w:rPr/>
              <w:t>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4 </w:t>
            </w:r>
          </w:p>
        </w:tc>
        <w:tc>
          <w:tcPr>
            <w:tcW w:w="454" w:type="dxa"/>
            <w:tcBorders/>
            <w:shd w:fill="FFFFFF" w:val="clear"/>
          </w:tcPr>
          <w:p>
            <w:pPr>
              <w:pStyle w:val="TableContents"/>
              <w:spacing w:before="0" w:after="283"/>
              <w:jc w:val="left"/>
              <w:rPr/>
            </w:pPr>
            <w:r>
              <w:rPr/>
              <w:t xml:space="preserve">.21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First Supplemental Indenture dated November 15, 2006 to Indenture dated as of September 23, 2005, among Plains All American Pipeline, L.P., Pacific Energy Finance Corporation, the guarantors named therein and Wells Fargo Bank, National Association, as trustee (incorporated by reference to Exhibit 4.3 to the Current Report on Form 8-K filed November 21, 2006)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5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Opinion of Vinson &amp; Elkins L.L.P. as to the legality of the securities being registered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12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Ratio of Earnings to Fixed Charges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Consent of PricewaterhouseCoopers LLP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54" w:type="dxa"/>
            <w:tcBorders/>
            <w:shd w:fill="FFFFFF" w:val="clear"/>
          </w:tcPr>
          <w:p>
            <w:pPr>
              <w:pStyle w:val="TableContents"/>
              <w:spacing w:before="0" w:after="283"/>
              <w:jc w:val="left"/>
              <w:rPr/>
            </w:pPr>
            <w:r>
              <w:rPr/>
              <w:t xml:space="preserve">.2*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Consent of KPMG LLP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23 </w:t>
            </w:r>
          </w:p>
        </w:tc>
        <w:tc>
          <w:tcPr>
            <w:tcW w:w="454" w:type="dxa"/>
            <w:tcBorders/>
            <w:shd w:fill="FFFFFF" w:val="clear"/>
          </w:tcPr>
          <w:p>
            <w:pPr>
              <w:pStyle w:val="TableContents"/>
              <w:spacing w:before="0" w:after="283"/>
              <w:jc w:val="left"/>
              <w:rPr/>
            </w:pPr>
            <w:r>
              <w:rPr/>
              <w:t xml:space="preserve">.3*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Consent of Vinson &amp; Elkins L.L.P. (contained in Exhibit 5.1)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24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Powers of Attorney (included on the signature page) </w:t>
            </w:r>
          </w:p>
        </w:tc>
      </w:tr>
      <w:tr>
        <w:trPr/>
        <w:tc>
          <w:tcPr>
            <w:tcW w:w="251" w:type="dxa"/>
            <w:tcBorders/>
            <w:shd w:fill="FFFFFF" w:val="clear"/>
          </w:tcPr>
          <w:p>
            <w:pPr>
              <w:pStyle w:val="TableContents"/>
              <w:spacing w:before="0" w:after="283"/>
              <w:jc w:val="right"/>
              <w:rPr/>
            </w:pPr>
            <w:r>
              <w:rPr/>
              <w:t xml:space="preserve">  </w:t>
            </w:r>
          </w:p>
        </w:tc>
        <w:tc>
          <w:tcPr>
            <w:tcW w:w="328" w:type="dxa"/>
            <w:tcBorders/>
            <w:shd w:fill="FFFFFF" w:val="clear"/>
          </w:tcPr>
          <w:p>
            <w:pPr>
              <w:pStyle w:val="TableContents"/>
              <w:spacing w:before="0" w:after="283"/>
              <w:jc w:val="right"/>
              <w:rPr/>
            </w:pPr>
            <w:r>
              <w:rPr/>
              <w:t xml:space="preserve">25 </w:t>
            </w:r>
          </w:p>
        </w:tc>
        <w:tc>
          <w:tcPr>
            <w:tcW w:w="454" w:type="dxa"/>
            <w:tcBorders/>
            <w:shd w:fill="FFFFFF" w:val="clear"/>
          </w:tcPr>
          <w:p>
            <w:pPr>
              <w:pStyle w:val="TableContents"/>
              <w:spacing w:before="0" w:after="283"/>
              <w:jc w:val="left"/>
              <w:rPr/>
            </w:pPr>
            <w:r>
              <w:rPr/>
              <w:t xml:space="preserve">.1* </w:t>
            </w:r>
          </w:p>
        </w:tc>
        <w:tc>
          <w:tcPr>
            <w:tcW w:w="126" w:type="dxa"/>
            <w:tcBorders/>
            <w:shd w:fill="FFFFFF" w:val="clear"/>
            <w:vAlign w:val="bottom"/>
          </w:tcPr>
          <w:p>
            <w:pPr>
              <w:pStyle w:val="TableContents"/>
              <w:spacing w:before="0" w:after="283"/>
              <w:rPr/>
            </w:pPr>
            <w:r>
              <w:rPr/>
              <w:t xml:space="preserve">  </w:t>
            </w:r>
          </w:p>
        </w:tc>
        <w:tc>
          <w:tcPr>
            <w:tcW w:w="394" w:type="dxa"/>
            <w:tcBorders/>
            <w:shd w:fill="FFFFFF" w:val="clear"/>
          </w:tcPr>
          <w:p>
            <w:pPr>
              <w:pStyle w:val="TableContents"/>
              <w:spacing w:before="0" w:after="283"/>
              <w:jc w:val="right"/>
              <w:rPr>
                <w:sz w:val="17"/>
              </w:rPr>
            </w:pPr>
            <w:r>
              <w:rPr>
                <w:sz w:val="17"/>
              </w:rPr>
              <w:t xml:space="preserve"> </w:t>
            </w:r>
          </w:p>
        </w:tc>
        <w:tc>
          <w:tcPr>
            <w:tcW w:w="126" w:type="dxa"/>
            <w:tcBorders/>
            <w:shd w:fill="FFFFFF" w:val="clear"/>
            <w:vAlign w:val="bottom"/>
          </w:tcPr>
          <w:p>
            <w:pPr>
              <w:pStyle w:val="TableContents"/>
              <w:spacing w:before="0" w:after="283"/>
              <w:rPr/>
            </w:pPr>
            <w:r>
              <w:rPr/>
              <w:t xml:space="preserve">  </w:t>
            </w:r>
          </w:p>
        </w:tc>
        <w:tc>
          <w:tcPr>
            <w:tcW w:w="8526" w:type="dxa"/>
            <w:tcBorders/>
            <w:shd w:fill="FFFFFF" w:val="clear"/>
          </w:tcPr>
          <w:p>
            <w:pPr>
              <w:pStyle w:val="TableContents"/>
              <w:spacing w:before="0" w:after="283"/>
              <w:jc w:val="left"/>
              <w:rPr>
                <w:sz w:val="17"/>
              </w:rPr>
            </w:pPr>
            <w:r>
              <w:rPr>
                <w:sz w:val="17"/>
              </w:rPr>
              <w:t xml:space="preserve">Form T-1 Statement of Eligibility and Qualification under the Trust Indenture Act of 1939 of the trustee under the Indenture with respect to the 6.125% Senior Notes due 2017 and the 6.650% Senior Notes due 2037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146"/>
        <w:gridCol w:w="106"/>
        <w:gridCol w:w="9953"/>
      </w:tblGrid>
      <w:tr>
        <w:trPr/>
        <w:tc>
          <w:tcPr>
            <w:tcW w:w="146" w:type="dxa"/>
            <w:tcBorders/>
            <w:shd w:fill="FFFFFF" w:val="clear"/>
            <w:vAlign w:val="center"/>
          </w:tcPr>
          <w:p>
            <w:pPr>
              <w:pStyle w:val="TableContents"/>
              <w:spacing w:before="0" w:after="283"/>
              <w:rPr>
                <w:sz w:val="4"/>
                <w:szCs w:val="4"/>
              </w:rPr>
            </w:pPr>
            <w:r>
              <w:rPr>
                <w:sz w:val="4"/>
                <w:szCs w:val="4"/>
              </w:rPr>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center"/>
          </w:tcPr>
          <w:p>
            <w:pPr>
              <w:pStyle w:val="TableContents"/>
              <w:spacing w:before="0" w:after="283"/>
              <w:rPr>
                <w:sz w:val="4"/>
                <w:szCs w:val="4"/>
              </w:rPr>
            </w:pPr>
            <w:r>
              <w:rPr>
                <w:sz w:val="4"/>
                <w:szCs w:val="4"/>
              </w:rPr>
            </w:r>
          </w:p>
        </w:tc>
      </w:tr>
      <w:tr>
        <w:trPr/>
        <w:tc>
          <w:tcPr>
            <w:tcW w:w="146" w:type="dxa"/>
            <w:tcBorders/>
            <w:shd w:fill="FFFFFF" w:val="clear"/>
          </w:tcPr>
          <w:p>
            <w:pPr>
              <w:pStyle w:val="TableContents"/>
              <w:spacing w:before="0" w:after="283"/>
              <w:jc w:val="right"/>
              <w:rPr/>
            </w:pPr>
            <w:r>
              <w:rPr/>
              <w:t xml:space="preserve">* </w:t>
            </w:r>
          </w:p>
        </w:tc>
        <w:tc>
          <w:tcPr>
            <w:tcW w:w="106" w:type="dxa"/>
            <w:tcBorders/>
            <w:shd w:fill="FFFFFF" w:val="clear"/>
            <w:vAlign w:val="center"/>
          </w:tcPr>
          <w:p>
            <w:pPr>
              <w:pStyle w:val="TableContents"/>
              <w:spacing w:before="0" w:after="283"/>
              <w:rPr>
                <w:sz w:val="4"/>
                <w:szCs w:val="4"/>
              </w:rPr>
            </w:pPr>
            <w:r>
              <w:rPr>
                <w:sz w:val="4"/>
                <w:szCs w:val="4"/>
              </w:rPr>
            </w:r>
          </w:p>
        </w:tc>
        <w:tc>
          <w:tcPr>
            <w:tcW w:w="9953" w:type="dxa"/>
            <w:tcBorders/>
            <w:shd w:fill="FFFFFF" w:val="clear"/>
            <w:vAlign w:val="bottom"/>
          </w:tcPr>
          <w:p>
            <w:pPr>
              <w:pStyle w:val="TableContents"/>
              <w:spacing w:before="0" w:after="283"/>
              <w:rPr/>
            </w:pPr>
            <w:r>
              <w:rPr/>
              <w:t>Filed herewith.</w:t>
            </w:r>
          </w:p>
        </w:tc>
      </w:tr>
    </w:tbl>
    <w:p>
      <w:pPr>
        <w:pStyle w:val="Heading5"/>
        <w:jc w:val="left"/>
        <w:rPr/>
      </w:pPr>
      <w:r>
        <w:br w:type="page"/>
      </w:r>
      <w:bookmarkStart w:id="17" w:name="h43563exv5w1.htm"/>
      <w:bookmarkStart w:id="18" w:name="ksh43563exv5w1"/>
      <w:bookmarkEnd w:id="17"/>
      <w:bookmarkEnd w:id="18"/>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5.1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March 23,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 xml:space="preserve">Houston, Texas 77002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We have acted as counsel for Plains All American Pipeline, L.P., a Delaware limited partnership (the Partnership), PAA Finance Corp. (PAA Finance and collectively with the Partnership, the Issuers) and certain of the Partnerships other subsidiaries with respect to with the preparation of the Registration Statement on Form S-4 (the Registration Statement) filed with the Securities and Exchange Commission (the Commission) in connection with the registration by the Issuers under the Securities Act of 1933, as amended (the Securities Act) of (i) the offers and exchanges by the Issuers (the Exchange Offers) of up to $400,000,000 aggregate principal amount of their 6.125% Senior Notes due 2017 (2017 Notes) and of up to $600,000,000 aggregate principal amount of their 6.650% Senior Notes due 2037 (2037 Notes, and together with the 2017 Notes, the Outstanding Notes), for new series of notes bearing substantially identical terms and in like principal amount (the Exchange Notes) and (ii) the guarantees (the Guarantees) of certain subsidiaries of the Issuers listed in the Registration Statement as guarantors (the Subsidiary Guarantors) of the Outstanding Notes and the Exchange Notes. The Outstanding Notes and the Exchange Notes are collectively referred to herein as the Notes. The Outstanding Notes were issued, and the Exchange Notes will be issued, under an Indenture dated as of September 25, 2002, supplemented by the Ninth Supplemental Indenture dated October 30, 2006 and the Tenth Supplemental Indenture dated October 30, 2006 among the Issuers, the Subsidiary Guarantors and U.S. Bank, National Association, as Trustee (collectively, the Indenture). The Exchange Offers will be conducted on such terms and conditions as are set forth in the prospectus contained in the Registration Statement to which this opinion is an exhibit. </w:t>
      </w:r>
    </w:p>
    <w:p>
      <w:pPr>
        <w:pStyle w:val="TextBody"/>
        <w:spacing w:before="120" w:after="283"/>
        <w:jc w:val="left"/>
        <w:rPr/>
      </w:pPr>
      <w:r>
        <w:rPr/>
        <w:t>     </w:t>
      </w:r>
      <w:r>
        <w:rPr>
          <w:rFonts w:ascii="Times New Roman;Times;serif" w:hAnsi="Times New Roman;Times;serif"/>
          <w:sz w:val="17"/>
        </w:rPr>
        <w:t xml:space="preserve">We have examined originals or copies, certified or otherwise identified to our satisfaction, of (i) the Registration Statement, (ii) the Indenture and (iii) such other certificates, statutes and other instruments and documents as we considered appropriate for purposes of the opinions hereafter expressed. In connection with this opinion, we have assumed that the Registration Statement, and any amendments thereto (including post-effective amendments), will have become effective and the Exchange Notes will be issued and sold in compliance with applicable federal and state securities laws and in the manner described in the Registration Statement. </w:t>
      </w:r>
    </w:p>
    <w:p>
      <w:pPr>
        <w:pStyle w:val="TextBody"/>
        <w:spacing w:before="120" w:after="283"/>
        <w:jc w:val="left"/>
        <w:rPr/>
      </w:pPr>
      <w:r>
        <w:rPr/>
        <w:t>     </w:t>
      </w:r>
      <w:r>
        <w:rPr>
          <w:rFonts w:ascii="Times New Roman;Times;serif" w:hAnsi="Times New Roman;Times;serif"/>
          <w:sz w:val="17"/>
        </w:rPr>
        <w:t xml:space="preserve">Based on the foregoing, we are of the opinion that when the Exchange Notes have been duly executed, authenticated, issued and delivered in accordance with the provisions of the Indenture, (i) such Exchange Notes will be legally issued and will constitute valid and binding obligations of the Issuers enforceable against the Issuers in accordance with their terms, and (ii) the Guarantees of the Subsidiary Guarantors remain valid and binding obligations of the applicable Subsidiary Guarantor, enforceable against such Subsidiary Guarantor in accordance with their terms, except in each case as such enforcement is subject to any applicable bankruptcy, insolvency, reorganization or other law relating to or affecting creditors rights generally and general principles of equity. </w:t>
      </w:r>
    </w:p>
    <w:p>
      <w:pPr>
        <w:pStyle w:val="TextBody"/>
        <w:spacing w:before="120" w:after="283"/>
        <w:jc w:val="left"/>
        <w:rPr/>
      </w:pPr>
      <w:r>
        <w:rPr/>
        <w:t>     </w:t>
      </w:r>
      <w:r>
        <w:rPr>
          <w:rFonts w:ascii="Times New Roman;Times;serif" w:hAnsi="Times New Roman;Times;serif"/>
          <w:sz w:val="17"/>
        </w:rPr>
        <w:t xml:space="preserve">We express no opinions concerning (a) the validity or enforceability of any provisions contained in the Indenture that purport to waive or not give effect to rights to notices, defenses, subrogation or other rights or benefits that cannot be effectively waived under applicable law; or (b) the enforceability of indemnification provisions to the extent they purport to relate to liabilities resulting from or based upon negligence or any violation of federal or state securities or blue sky laws. </w:t>
      </w:r>
    </w:p>
    <w:p>
      <w:pPr>
        <w:pStyle w:val="TextBody"/>
        <w:spacing w:before="120" w:after="283"/>
        <w:jc w:val="left"/>
        <w:rPr/>
      </w:pPr>
      <w:r>
        <w:rPr/>
        <w:t>     </w:t>
      </w:r>
      <w:r>
        <w:rPr>
          <w:rFonts w:ascii="Times New Roman;Times;serif" w:hAnsi="Times New Roman;Times;serif"/>
          <w:sz w:val="17"/>
        </w:rPr>
        <w:t xml:space="preserve">The opinions expressed herein are limited exclusively to the federal laws of the United States of America, the laws of the State of New York, and we are expressing no opinion as to the effect of the laws of any other jurisdiction, domestic or foreign. </w:t>
      </w:r>
    </w:p>
    <w:p>
      <w:pPr>
        <w:pStyle w:val="TextBody"/>
        <w:spacing w:before="120" w:after="283"/>
        <w:jc w:val="left"/>
        <w:rPr/>
      </w:pPr>
      <w:r>
        <w:rPr/>
        <w:t>     </w:t>
      </w:r>
      <w:r>
        <w:rPr>
          <w:rFonts w:ascii="Times New Roman;Times;serif" w:hAnsi="Times New Roman;Times;serif"/>
          <w:sz w:val="17"/>
        </w:rPr>
        <w:t xml:space="preserve">We hereby consent to the filing of this opinion as an exhibit to the Registration Statement and to the use of our firm name in the prospectus forming a part of the Registration Statement under the caption Legal Matters. By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giving such consent, we do not admit that we are within the category of persons whose consent is required under Section 7 of the Securities Act or the rules and regulations of the Commission issued thereunder. </w:t>
      </w:r>
    </w:p>
    <w:p>
      <w:pPr>
        <w:pStyle w:val="TextBody"/>
        <w:spacing w:before="720" w:after="283"/>
        <w:jc w:val="left"/>
        <w:rPr>
          <w:rFonts w:ascii="Times New Roman;Times;serif" w:hAnsi="Times New Roman;Times;serif"/>
          <w:sz w:val="17"/>
        </w:rPr>
      </w:pPr>
      <w:r>
        <w:rPr>
          <w:rFonts w:ascii="Times New Roman;Times;serif" w:hAnsi="Times New Roman;Times;serif"/>
          <w:sz w:val="17"/>
        </w:rPr>
        <w:t xml:space="preserve">Very truly yours </w:t>
      </w:r>
    </w:p>
    <w:p>
      <w:pPr>
        <w:pStyle w:val="TextBody"/>
        <w:spacing w:before="320" w:after="283"/>
        <w:jc w:val="left"/>
        <w:rPr>
          <w:rFonts w:ascii="Times New Roman;Times;serif" w:hAnsi="Times New Roman;Times;serif"/>
          <w:sz w:val="17"/>
        </w:rPr>
      </w:pPr>
      <w:r>
        <w:rPr>
          <w:rFonts w:ascii="Times New Roman;Times;serif" w:hAnsi="Times New Roman;Times;serif"/>
          <w:sz w:val="17"/>
        </w:rPr>
        <w:t xml:space="preserve">/s/ Vinson &amp; Elkins L.L.P. </w:t>
      </w:r>
    </w:p>
    <w:p>
      <w:pPr>
        <w:pStyle w:val="TextBody"/>
        <w:jc w:val="center"/>
        <w:rPr/>
      </w:pPr>
      <w:r>
        <w:rPr/>
        <w:t xml:space="preserve">  </w:t>
      </w:r>
      <w:r>
        <w:br w:type="page"/>
      </w:r>
    </w:p>
    <w:p>
      <w:pPr>
        <w:pStyle w:val="Heading5"/>
        <w:jc w:val="left"/>
        <w:rPr/>
      </w:pPr>
      <w:bookmarkStart w:id="19" w:name="h43563exv12w1.htm"/>
      <w:bookmarkStart w:id="20" w:name="ksh43563exv12w1"/>
      <w:bookmarkEnd w:id="19"/>
      <w:bookmarkEnd w:id="20"/>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12.1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STATEMENT OF COMPUTATION OF RATIO OF EARNINGS TO FIXED CHARGES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026"/>
        <w:gridCol w:w="308"/>
        <w:gridCol w:w="280"/>
        <w:gridCol w:w="564"/>
        <w:gridCol w:w="280"/>
        <w:gridCol w:w="308"/>
        <w:gridCol w:w="280"/>
        <w:gridCol w:w="564"/>
        <w:gridCol w:w="280"/>
        <w:gridCol w:w="308"/>
        <w:gridCol w:w="280"/>
        <w:gridCol w:w="563"/>
        <w:gridCol w:w="280"/>
        <w:gridCol w:w="308"/>
        <w:gridCol w:w="280"/>
        <w:gridCol w:w="564"/>
        <w:gridCol w:w="280"/>
        <w:gridCol w:w="308"/>
        <w:gridCol w:w="280"/>
        <w:gridCol w:w="564"/>
        <w:gridCol w:w="300"/>
      </w:tblGrid>
      <w:tr>
        <w:trPr/>
        <w:tc>
          <w:tcPr>
            <w:tcW w:w="302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r>
      <w:tr>
        <w:trPr/>
        <w:tc>
          <w:tcPr>
            <w:tcW w:w="302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871" w:type="dxa"/>
            <w:gridSpan w:val="19"/>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w:t>
            </w:r>
          </w:p>
        </w:tc>
      </w:tr>
      <w:tr>
        <w:trPr/>
        <w:tc>
          <w:tcPr>
            <w:tcW w:w="302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124" w:type="dxa"/>
            <w:gridSpan w:val="3"/>
            <w:tcBorders/>
            <w:shd w:fill="auto" w:val="clear"/>
            <w:vAlign w:val="bottom"/>
          </w:tcPr>
          <w:p>
            <w:pPr>
              <w:pStyle w:val="TableContents"/>
              <w:spacing w:before="0" w:after="283"/>
              <w:jc w:val="center"/>
              <w:rPr>
                <w:b/>
              </w:rPr>
            </w:pPr>
            <w:r>
              <w:rPr>
                <w:b/>
              </w:rPr>
              <w:t>2006</w:t>
            </w:r>
          </w:p>
        </w:tc>
        <w:tc>
          <w:tcPr>
            <w:tcW w:w="308" w:type="dxa"/>
            <w:tcBorders/>
            <w:shd w:fill="auto" w:val="clear"/>
            <w:vAlign w:val="bottom"/>
          </w:tcPr>
          <w:p>
            <w:pPr>
              <w:pStyle w:val="TableContents"/>
              <w:spacing w:before="0" w:after="283"/>
              <w:rPr/>
            </w:pPr>
            <w:r>
              <w:rPr/>
              <w:t> </w:t>
            </w:r>
          </w:p>
        </w:tc>
        <w:tc>
          <w:tcPr>
            <w:tcW w:w="1124" w:type="dxa"/>
            <w:gridSpan w:val="3"/>
            <w:tcBorders/>
            <w:shd w:fill="auto" w:val="clear"/>
            <w:vAlign w:val="bottom"/>
          </w:tcPr>
          <w:p>
            <w:pPr>
              <w:pStyle w:val="TableContents"/>
              <w:spacing w:before="0" w:after="283"/>
              <w:jc w:val="center"/>
              <w:rPr>
                <w:b/>
              </w:rPr>
            </w:pPr>
            <w:r>
              <w:rPr>
                <w:b/>
              </w:rPr>
              <w:t>2005</w:t>
            </w:r>
          </w:p>
        </w:tc>
        <w:tc>
          <w:tcPr>
            <w:tcW w:w="308" w:type="dxa"/>
            <w:tcBorders/>
            <w:shd w:fill="auto" w:val="clear"/>
            <w:vAlign w:val="bottom"/>
          </w:tcPr>
          <w:p>
            <w:pPr>
              <w:pStyle w:val="TableContents"/>
              <w:spacing w:before="0" w:after="283"/>
              <w:rPr/>
            </w:pPr>
            <w:r>
              <w:rPr/>
              <w:t> </w:t>
            </w:r>
          </w:p>
        </w:tc>
        <w:tc>
          <w:tcPr>
            <w:tcW w:w="1123" w:type="dxa"/>
            <w:gridSpan w:val="3"/>
            <w:tcBorders/>
            <w:shd w:fill="auto" w:val="clear"/>
            <w:vAlign w:val="bottom"/>
          </w:tcPr>
          <w:p>
            <w:pPr>
              <w:pStyle w:val="TableContents"/>
              <w:spacing w:before="0" w:after="283"/>
              <w:jc w:val="center"/>
              <w:rPr>
                <w:b/>
              </w:rPr>
            </w:pPr>
            <w:r>
              <w:rPr>
                <w:b/>
              </w:rPr>
              <w:t>2004</w:t>
            </w:r>
          </w:p>
        </w:tc>
        <w:tc>
          <w:tcPr>
            <w:tcW w:w="308" w:type="dxa"/>
            <w:tcBorders/>
            <w:shd w:fill="auto" w:val="clear"/>
            <w:vAlign w:val="bottom"/>
          </w:tcPr>
          <w:p>
            <w:pPr>
              <w:pStyle w:val="TableContents"/>
              <w:spacing w:before="0" w:after="283"/>
              <w:rPr/>
            </w:pPr>
            <w:r>
              <w:rPr/>
              <w:t> </w:t>
            </w:r>
          </w:p>
        </w:tc>
        <w:tc>
          <w:tcPr>
            <w:tcW w:w="1124" w:type="dxa"/>
            <w:gridSpan w:val="3"/>
            <w:tcBorders/>
            <w:shd w:fill="auto" w:val="clear"/>
            <w:vAlign w:val="bottom"/>
          </w:tcPr>
          <w:p>
            <w:pPr>
              <w:pStyle w:val="TableContents"/>
              <w:spacing w:before="0" w:after="283"/>
              <w:jc w:val="center"/>
              <w:rPr>
                <w:b/>
              </w:rPr>
            </w:pPr>
            <w:r>
              <w:rPr>
                <w:b/>
              </w:rPr>
              <w:t>2003</w:t>
            </w:r>
          </w:p>
        </w:tc>
        <w:tc>
          <w:tcPr>
            <w:tcW w:w="308" w:type="dxa"/>
            <w:tcBorders/>
            <w:shd w:fill="auto" w:val="clear"/>
            <w:vAlign w:val="bottom"/>
          </w:tcPr>
          <w:p>
            <w:pPr>
              <w:pStyle w:val="TableContents"/>
              <w:spacing w:before="0" w:after="283"/>
              <w:rPr/>
            </w:pPr>
            <w:r>
              <w:rPr/>
              <w:t> </w:t>
            </w:r>
          </w:p>
        </w:tc>
        <w:tc>
          <w:tcPr>
            <w:tcW w:w="1144" w:type="dxa"/>
            <w:gridSpan w:val="3"/>
            <w:tcBorders/>
            <w:shd w:fill="auto" w:val="clear"/>
            <w:vAlign w:val="bottom"/>
          </w:tcPr>
          <w:p>
            <w:pPr>
              <w:pStyle w:val="TableContents"/>
              <w:spacing w:before="0" w:after="283"/>
              <w:jc w:val="center"/>
              <w:rPr>
                <w:b/>
              </w:rPr>
            </w:pPr>
            <w:r>
              <w:rPr>
                <w:b/>
              </w:rPr>
              <w:t>2002</w:t>
            </w:r>
          </w:p>
        </w:tc>
      </w:tr>
      <w:tr>
        <w:trPr/>
        <w:tc>
          <w:tcPr>
            <w:tcW w:w="3026" w:type="dxa"/>
            <w:tcBorders/>
            <w:shd w:fill="CCEEFF" w:val="clear"/>
            <w:vAlign w:val="bottom"/>
          </w:tcPr>
          <w:p>
            <w:pPr>
              <w:pStyle w:val="TableContents"/>
              <w:spacing w:before="0" w:after="0"/>
              <w:ind w:left="225" w:right="0" w:hanging="225"/>
              <w:rPr>
                <w:b/>
              </w:rPr>
            </w:pPr>
            <w:r>
              <w:rPr>
                <w:b/>
              </w:rPr>
              <w:t>EARNINGS</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r>
      <w:tr>
        <w:trPr/>
        <w:tc>
          <w:tcPr>
            <w:tcW w:w="3026" w:type="dxa"/>
            <w:tcBorders/>
            <w:shd w:fill="auto" w:val="clear"/>
            <w:vAlign w:val="bottom"/>
          </w:tcPr>
          <w:p>
            <w:pPr>
              <w:pStyle w:val="TableContents"/>
              <w:spacing w:before="0" w:after="0"/>
              <w:ind w:left="450" w:right="0" w:hanging="225"/>
              <w:rPr/>
            </w:pPr>
            <w:r>
              <w:rPr/>
              <w:t>Income from continuing operations before income from equity investees (1)</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jc w:val="right"/>
              <w:rPr/>
            </w:pPr>
            <w:r>
              <w:rPr/>
              <w:t>$</w:t>
            </w:r>
          </w:p>
        </w:tc>
        <w:tc>
          <w:tcPr>
            <w:tcW w:w="564" w:type="dxa"/>
            <w:tcBorders/>
            <w:shd w:fill="auto" w:val="clear"/>
            <w:vAlign w:val="bottom"/>
          </w:tcPr>
          <w:p>
            <w:pPr>
              <w:pStyle w:val="TableContents"/>
              <w:spacing w:before="0" w:after="283"/>
              <w:jc w:val="right"/>
              <w:rPr/>
            </w:pPr>
            <w:r>
              <w:rPr/>
              <w:t>277.4</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jc w:val="right"/>
              <w:rPr/>
            </w:pPr>
            <w:r>
              <w:rPr/>
              <w:t>$</w:t>
            </w:r>
          </w:p>
        </w:tc>
        <w:tc>
          <w:tcPr>
            <w:tcW w:w="564" w:type="dxa"/>
            <w:tcBorders/>
            <w:shd w:fill="auto" w:val="clear"/>
            <w:vAlign w:val="bottom"/>
          </w:tcPr>
          <w:p>
            <w:pPr>
              <w:pStyle w:val="TableContents"/>
              <w:spacing w:before="0" w:after="283"/>
              <w:jc w:val="right"/>
              <w:rPr/>
            </w:pPr>
            <w:r>
              <w:rPr/>
              <w:t>215.9</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jc w:val="right"/>
              <w:rPr/>
            </w:pPr>
            <w:r>
              <w:rPr/>
              <w:t>$</w:t>
            </w:r>
          </w:p>
        </w:tc>
        <w:tc>
          <w:tcPr>
            <w:tcW w:w="563" w:type="dxa"/>
            <w:tcBorders/>
            <w:shd w:fill="auto" w:val="clear"/>
            <w:vAlign w:val="bottom"/>
          </w:tcPr>
          <w:p>
            <w:pPr>
              <w:pStyle w:val="TableContents"/>
              <w:spacing w:before="0" w:after="283"/>
              <w:jc w:val="right"/>
              <w:rPr/>
            </w:pPr>
            <w:r>
              <w:rPr/>
              <w:t>129.5</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jc w:val="right"/>
              <w:rPr/>
            </w:pPr>
            <w:r>
              <w:rPr/>
              <w:t>$</w:t>
            </w:r>
          </w:p>
        </w:tc>
        <w:tc>
          <w:tcPr>
            <w:tcW w:w="564" w:type="dxa"/>
            <w:tcBorders/>
            <w:shd w:fill="auto" w:val="clear"/>
            <w:vAlign w:val="bottom"/>
          </w:tcPr>
          <w:p>
            <w:pPr>
              <w:pStyle w:val="TableContents"/>
              <w:spacing w:before="0" w:after="283"/>
              <w:jc w:val="right"/>
              <w:rPr/>
            </w:pPr>
            <w:r>
              <w:rPr/>
              <w:t>59.3</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jc w:val="right"/>
              <w:rPr/>
            </w:pPr>
            <w:r>
              <w:rPr/>
              <w:t>$</w:t>
            </w:r>
          </w:p>
        </w:tc>
        <w:tc>
          <w:tcPr>
            <w:tcW w:w="564" w:type="dxa"/>
            <w:tcBorders/>
            <w:shd w:fill="auto" w:val="clear"/>
            <w:vAlign w:val="bottom"/>
          </w:tcPr>
          <w:p>
            <w:pPr>
              <w:pStyle w:val="TableContents"/>
              <w:spacing w:before="0" w:after="283"/>
              <w:jc w:val="right"/>
              <w:rPr/>
            </w:pPr>
            <w:r>
              <w:rPr/>
              <w:t>64.8</w:t>
            </w:r>
          </w:p>
        </w:tc>
        <w:tc>
          <w:tcPr>
            <w:tcW w:w="300" w:type="dxa"/>
            <w:tcBorders/>
            <w:shd w:fill="auto" w:val="clear"/>
            <w:vAlign w:val="bottom"/>
          </w:tcPr>
          <w:p>
            <w:pPr>
              <w:pStyle w:val="TableContents"/>
              <w:spacing w:before="0" w:after="283"/>
              <w:rPr/>
            </w:pPr>
            <w:r>
              <w:rPr/>
              <w:t> </w:t>
            </w:r>
          </w:p>
        </w:tc>
      </w:tr>
      <w:tr>
        <w:trPr/>
        <w:tc>
          <w:tcPr>
            <w:tcW w:w="3026" w:type="dxa"/>
            <w:tcBorders/>
            <w:shd w:fill="CCEEFF" w:val="clear"/>
            <w:vAlign w:val="bottom"/>
          </w:tcPr>
          <w:p>
            <w:pPr>
              <w:pStyle w:val="TableContents"/>
              <w:spacing w:before="0" w:after="0"/>
              <w:ind w:left="450" w:right="0" w:hanging="225"/>
              <w:rPr/>
            </w:pPr>
            <w:r>
              <w:rPr/>
              <w:t>Add: Fixed Charges</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149.2</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92.0</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54.6</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43.7</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39.2</w:t>
            </w:r>
          </w:p>
        </w:tc>
        <w:tc>
          <w:tcPr>
            <w:tcW w:w="300" w:type="dxa"/>
            <w:tcBorders/>
            <w:shd w:fill="CCEEFF" w:val="clear"/>
            <w:vAlign w:val="bottom"/>
          </w:tcPr>
          <w:p>
            <w:pPr>
              <w:pStyle w:val="TableContents"/>
              <w:spacing w:before="0" w:after="283"/>
              <w:rPr/>
            </w:pPr>
            <w:r>
              <w:rPr/>
              <w:t> </w:t>
            </w:r>
          </w:p>
        </w:tc>
      </w:tr>
      <w:tr>
        <w:trPr/>
        <w:tc>
          <w:tcPr>
            <w:tcW w:w="3026" w:type="dxa"/>
            <w:tcBorders/>
            <w:shd w:fill="auto" w:val="clear"/>
            <w:vAlign w:val="bottom"/>
          </w:tcPr>
          <w:p>
            <w:pPr>
              <w:pStyle w:val="TableContents"/>
              <w:spacing w:before="0" w:after="0"/>
              <w:ind w:left="450" w:right="0" w:hanging="225"/>
              <w:rPr/>
            </w:pPr>
            <w:r>
              <w:rPr/>
              <w:t>Distributed income of equity investees</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1.1</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0.8</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0.4</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0.3</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w:t>
            </w:r>
          </w:p>
        </w:tc>
        <w:tc>
          <w:tcPr>
            <w:tcW w:w="300" w:type="dxa"/>
            <w:tcBorders/>
            <w:shd w:fill="auto" w:val="clear"/>
            <w:vAlign w:val="bottom"/>
          </w:tcPr>
          <w:p>
            <w:pPr>
              <w:pStyle w:val="TableContents"/>
              <w:spacing w:before="0" w:after="283"/>
              <w:rPr/>
            </w:pPr>
            <w:r>
              <w:rPr/>
              <w:t> </w:t>
            </w:r>
          </w:p>
        </w:tc>
      </w:tr>
      <w:tr>
        <w:trPr/>
        <w:tc>
          <w:tcPr>
            <w:tcW w:w="3026" w:type="dxa"/>
            <w:tcBorders/>
            <w:shd w:fill="CCEEFF" w:val="clear"/>
            <w:vAlign w:val="bottom"/>
          </w:tcPr>
          <w:p>
            <w:pPr>
              <w:pStyle w:val="TableContents"/>
              <w:spacing w:before="0" w:after="0"/>
              <w:ind w:left="450" w:right="0" w:hanging="225"/>
              <w:rPr/>
            </w:pPr>
            <w:r>
              <w:rPr/>
              <w:t>Subtract: Capitalized Interest</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 </w:t>
            </w:r>
          </w:p>
        </w:tc>
        <w:tc>
          <w:tcPr>
            <w:tcW w:w="564" w:type="dxa"/>
            <w:tcBorders/>
            <w:shd w:fill="CCEEFF" w:val="clear"/>
            <w:vAlign w:val="bottom"/>
          </w:tcPr>
          <w:p>
            <w:pPr>
              <w:pStyle w:val="TableContents"/>
              <w:spacing w:before="0" w:after="283"/>
              <w:jc w:val="right"/>
              <w:rPr/>
            </w:pPr>
            <w:r>
              <w:rPr/>
              <w:t>(6.0</w:t>
            </w:r>
          </w:p>
        </w:tc>
        <w:tc>
          <w:tcPr>
            <w:tcW w:w="280" w:type="dxa"/>
            <w:tcBorders/>
            <w:shd w:fill="CCEEFF" w:val="clear"/>
            <w:vAlign w:val="bottom"/>
          </w:tcPr>
          <w:p>
            <w:pPr>
              <w:pStyle w:val="TableContents"/>
              <w:spacing w:before="0" w:after="283"/>
              <w:rPr/>
            </w:pPr>
            <w:r>
              <w:rPr/>
              <w:t>)</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 </w:t>
            </w:r>
          </w:p>
        </w:tc>
        <w:tc>
          <w:tcPr>
            <w:tcW w:w="564" w:type="dxa"/>
            <w:tcBorders/>
            <w:shd w:fill="CCEEFF" w:val="clear"/>
            <w:vAlign w:val="bottom"/>
          </w:tcPr>
          <w:p>
            <w:pPr>
              <w:pStyle w:val="TableContents"/>
              <w:spacing w:before="0" w:after="283"/>
              <w:jc w:val="right"/>
              <w:rPr/>
            </w:pPr>
            <w:r>
              <w:rPr/>
              <w:t>(1.8</w:t>
            </w:r>
          </w:p>
        </w:tc>
        <w:tc>
          <w:tcPr>
            <w:tcW w:w="280" w:type="dxa"/>
            <w:tcBorders/>
            <w:shd w:fill="CCEEFF" w:val="clear"/>
            <w:vAlign w:val="bottom"/>
          </w:tcPr>
          <w:p>
            <w:pPr>
              <w:pStyle w:val="TableContents"/>
              <w:spacing w:before="0" w:after="283"/>
              <w:rPr/>
            </w:pPr>
            <w:r>
              <w:rPr/>
              <w:t>)</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 </w:t>
            </w:r>
          </w:p>
        </w:tc>
        <w:tc>
          <w:tcPr>
            <w:tcW w:w="563" w:type="dxa"/>
            <w:tcBorders/>
            <w:shd w:fill="CCEEFF" w:val="clear"/>
            <w:vAlign w:val="bottom"/>
          </w:tcPr>
          <w:p>
            <w:pPr>
              <w:pStyle w:val="TableContents"/>
              <w:spacing w:before="0" w:after="283"/>
              <w:jc w:val="right"/>
              <w:rPr/>
            </w:pPr>
            <w:r>
              <w:rPr/>
              <w:t>(0.5</w:t>
            </w:r>
          </w:p>
        </w:tc>
        <w:tc>
          <w:tcPr>
            <w:tcW w:w="280" w:type="dxa"/>
            <w:tcBorders/>
            <w:shd w:fill="CCEEFF" w:val="clear"/>
            <w:vAlign w:val="bottom"/>
          </w:tcPr>
          <w:p>
            <w:pPr>
              <w:pStyle w:val="TableContents"/>
              <w:spacing w:before="0" w:after="283"/>
              <w:rPr/>
            </w:pPr>
            <w:r>
              <w:rPr/>
              <w:t>)</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 </w:t>
            </w:r>
          </w:p>
        </w:tc>
        <w:tc>
          <w:tcPr>
            <w:tcW w:w="564" w:type="dxa"/>
            <w:tcBorders/>
            <w:shd w:fill="CCEEFF" w:val="clear"/>
            <w:vAlign w:val="bottom"/>
          </w:tcPr>
          <w:p>
            <w:pPr>
              <w:pStyle w:val="TableContents"/>
              <w:spacing w:before="0" w:after="283"/>
              <w:jc w:val="right"/>
              <w:rPr/>
            </w:pPr>
            <w:r>
              <w:rPr/>
              <w:t>(0.5</w:t>
            </w:r>
          </w:p>
        </w:tc>
        <w:tc>
          <w:tcPr>
            <w:tcW w:w="280" w:type="dxa"/>
            <w:tcBorders/>
            <w:shd w:fill="CCEEFF" w:val="clear"/>
            <w:vAlign w:val="bottom"/>
          </w:tcPr>
          <w:p>
            <w:pPr>
              <w:pStyle w:val="TableContents"/>
              <w:spacing w:before="0" w:after="283"/>
              <w:rPr/>
            </w:pPr>
            <w:r>
              <w:rPr/>
              <w:t>)</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jc w:val="right"/>
              <w:rPr/>
            </w:pPr>
            <w:r>
              <w:rPr/>
              <w:t> </w:t>
            </w:r>
          </w:p>
        </w:tc>
        <w:tc>
          <w:tcPr>
            <w:tcW w:w="564" w:type="dxa"/>
            <w:tcBorders/>
            <w:shd w:fill="CCEEFF" w:val="clear"/>
            <w:vAlign w:val="bottom"/>
          </w:tcPr>
          <w:p>
            <w:pPr>
              <w:pStyle w:val="TableContents"/>
              <w:spacing w:before="0" w:after="283"/>
              <w:jc w:val="right"/>
              <w:rPr/>
            </w:pPr>
            <w:r>
              <w:rPr/>
              <w:t>(0.8</w:t>
            </w:r>
          </w:p>
        </w:tc>
        <w:tc>
          <w:tcPr>
            <w:tcW w:w="300" w:type="dxa"/>
            <w:tcBorders/>
            <w:shd w:fill="CCEEFF" w:val="clear"/>
            <w:vAlign w:val="bottom"/>
          </w:tcPr>
          <w:p>
            <w:pPr>
              <w:pStyle w:val="TableContents"/>
              <w:spacing w:before="0" w:after="283"/>
              <w:rPr/>
            </w:pPr>
            <w:r>
              <w:rPr/>
              <w:t>)</w:t>
            </w:r>
          </w:p>
        </w:tc>
      </w:tr>
      <w:tr>
        <w:trPr/>
        <w:tc>
          <w:tcPr>
            <w:tcW w:w="3026" w:type="dxa"/>
            <w:tcBorders/>
            <w:shd w:fill="auto" w:val="clear"/>
            <w:vAlign w:val="bottom"/>
          </w:tcPr>
          <w:p>
            <w:pPr>
              <w:pStyle w:val="TableContents"/>
              <w:spacing w:before="0" w:after="0"/>
              <w:ind w:left="450" w:right="0" w:hanging="225"/>
              <w:rPr/>
            </w:pPr>
            <w:r>
              <w:rPr/>
              <w:t>Total Earnings (1)</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421.7</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306.9</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184.0</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102.8</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103.2</w:t>
            </w:r>
          </w:p>
        </w:tc>
        <w:tc>
          <w:tcPr>
            <w:tcW w:w="300" w:type="dxa"/>
            <w:tcBorders/>
            <w:shd w:fill="auto" w:val="clear"/>
            <w:vAlign w:val="bottom"/>
          </w:tcPr>
          <w:p>
            <w:pPr>
              <w:pStyle w:val="TableContents"/>
              <w:spacing w:before="0" w:after="283"/>
              <w:rPr/>
            </w:pPr>
            <w:r>
              <w:rPr/>
              <w:t> </w:t>
            </w:r>
          </w:p>
        </w:tc>
      </w:tr>
      <w:tr>
        <w:trPr/>
        <w:tc>
          <w:tcPr>
            <w:tcW w:w="3026" w:type="dxa"/>
            <w:tcBorders/>
            <w:shd w:fill="auto" w:val="clear"/>
            <w:vAlign w:val="bottom"/>
          </w:tcPr>
          <w:p>
            <w:pPr>
              <w:pStyle w:val="TableContents"/>
              <w:spacing w:before="0" w:after="0"/>
              <w:ind w:left="225" w:right="0" w:hanging="225"/>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r>
      <w:tr>
        <w:trPr/>
        <w:tc>
          <w:tcPr>
            <w:tcW w:w="3026" w:type="dxa"/>
            <w:tcBorders/>
            <w:shd w:fill="CCEEFF" w:val="clear"/>
            <w:vAlign w:val="bottom"/>
          </w:tcPr>
          <w:p>
            <w:pPr>
              <w:pStyle w:val="TableContents"/>
              <w:spacing w:before="0" w:after="0"/>
              <w:ind w:left="225" w:right="0" w:hanging="225"/>
              <w:rPr>
                <w:b/>
              </w:rPr>
            </w:pPr>
            <w:r>
              <w:rPr>
                <w:b/>
              </w:rPr>
              <w:t>FIXED CHARGES</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r>
      <w:tr>
        <w:trPr/>
        <w:tc>
          <w:tcPr>
            <w:tcW w:w="3026" w:type="dxa"/>
            <w:tcBorders/>
            <w:shd w:fill="auto" w:val="clear"/>
            <w:vAlign w:val="bottom"/>
          </w:tcPr>
          <w:p>
            <w:pPr>
              <w:pStyle w:val="TableContents"/>
              <w:spacing w:before="0" w:after="0"/>
              <w:ind w:left="450" w:right="0" w:hanging="225"/>
              <w:rPr/>
            </w:pPr>
            <w:r>
              <w:rPr/>
              <w:t>Interest Expensed and Capitalized (2)</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140.9</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84.9</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49.2</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36.8</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32.8</w:t>
            </w:r>
          </w:p>
        </w:tc>
        <w:tc>
          <w:tcPr>
            <w:tcW w:w="300" w:type="dxa"/>
            <w:tcBorders/>
            <w:shd w:fill="auto" w:val="clear"/>
            <w:vAlign w:val="bottom"/>
          </w:tcPr>
          <w:p>
            <w:pPr>
              <w:pStyle w:val="TableContents"/>
              <w:spacing w:before="0" w:after="283"/>
              <w:rPr/>
            </w:pPr>
            <w:r>
              <w:rPr/>
              <w:t> </w:t>
            </w:r>
          </w:p>
        </w:tc>
      </w:tr>
      <w:tr>
        <w:trPr/>
        <w:tc>
          <w:tcPr>
            <w:tcW w:w="3026" w:type="dxa"/>
            <w:tcBorders/>
            <w:shd w:fill="CCEEFF" w:val="clear"/>
            <w:vAlign w:val="bottom"/>
          </w:tcPr>
          <w:p>
            <w:pPr>
              <w:pStyle w:val="TableContents"/>
              <w:spacing w:before="0" w:after="0"/>
              <w:ind w:left="450" w:right="0" w:hanging="225"/>
              <w:rPr/>
            </w:pPr>
            <w:r>
              <w:rPr/>
              <w:t>Amortization of Debt Expense</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3.2</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2.9</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2.5</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3.8</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3.7</w:t>
            </w:r>
          </w:p>
        </w:tc>
        <w:tc>
          <w:tcPr>
            <w:tcW w:w="300" w:type="dxa"/>
            <w:tcBorders/>
            <w:shd w:fill="CCEEFF" w:val="clear"/>
            <w:vAlign w:val="bottom"/>
          </w:tcPr>
          <w:p>
            <w:pPr>
              <w:pStyle w:val="TableContents"/>
              <w:spacing w:before="0" w:after="283"/>
              <w:rPr/>
            </w:pPr>
            <w:r>
              <w:rPr/>
              <w:t> </w:t>
            </w:r>
          </w:p>
        </w:tc>
      </w:tr>
      <w:tr>
        <w:trPr/>
        <w:tc>
          <w:tcPr>
            <w:tcW w:w="3026" w:type="dxa"/>
            <w:tcBorders/>
            <w:shd w:fill="auto" w:val="clear"/>
            <w:vAlign w:val="bottom"/>
          </w:tcPr>
          <w:p>
            <w:pPr>
              <w:pStyle w:val="TableContents"/>
              <w:spacing w:before="0" w:after="0"/>
              <w:ind w:left="450" w:right="0" w:hanging="225"/>
              <w:rPr/>
            </w:pPr>
            <w:r>
              <w:rPr/>
              <w:t>Portion of rent expense related to interest (33%)</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5.1</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4.2</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2.9</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3.1</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2.7</w:t>
            </w:r>
          </w:p>
        </w:tc>
        <w:tc>
          <w:tcPr>
            <w:tcW w:w="300" w:type="dxa"/>
            <w:tcBorders/>
            <w:shd w:fill="auto" w:val="clear"/>
            <w:vAlign w:val="bottom"/>
          </w:tcPr>
          <w:p>
            <w:pPr>
              <w:pStyle w:val="TableContents"/>
              <w:spacing w:before="0" w:after="283"/>
              <w:rPr/>
            </w:pPr>
            <w:r>
              <w:rPr/>
              <w:t> </w:t>
            </w:r>
          </w:p>
        </w:tc>
      </w:tr>
      <w:tr>
        <w:trPr/>
        <w:tc>
          <w:tcPr>
            <w:tcW w:w="3026" w:type="dxa"/>
            <w:tcBorders/>
            <w:shd w:fill="CCEEFF" w:val="clear"/>
            <w:vAlign w:val="bottom"/>
          </w:tcPr>
          <w:p>
            <w:pPr>
              <w:pStyle w:val="TableContents"/>
              <w:spacing w:before="0" w:after="0"/>
              <w:ind w:left="450" w:right="0" w:hanging="225"/>
              <w:rPr/>
            </w:pPr>
            <w:r>
              <w:rPr/>
              <w:t>Total Fixed Charges</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149.2</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92.0</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54.6</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43.7</w:t>
            </w:r>
          </w:p>
        </w:tc>
        <w:tc>
          <w:tcPr>
            <w:tcW w:w="28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39.2</w:t>
            </w:r>
          </w:p>
        </w:tc>
        <w:tc>
          <w:tcPr>
            <w:tcW w:w="300" w:type="dxa"/>
            <w:tcBorders/>
            <w:shd w:fill="CCEEFF" w:val="clear"/>
            <w:vAlign w:val="bottom"/>
          </w:tcPr>
          <w:p>
            <w:pPr>
              <w:pStyle w:val="TableContents"/>
              <w:spacing w:before="0" w:after="283"/>
              <w:rPr/>
            </w:pPr>
            <w:r>
              <w:rPr/>
              <w:t> </w:t>
            </w:r>
          </w:p>
        </w:tc>
      </w:tr>
      <w:tr>
        <w:trPr/>
        <w:tc>
          <w:tcPr>
            <w:tcW w:w="3026" w:type="dxa"/>
            <w:tcBorders/>
            <w:shd w:fill="auto" w:val="clear"/>
            <w:vAlign w:val="bottom"/>
          </w:tcPr>
          <w:p>
            <w:pPr>
              <w:pStyle w:val="TableContents"/>
              <w:spacing w:before="0" w:after="0"/>
              <w:ind w:left="225" w:right="0" w:hanging="225"/>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r>
      <w:tr>
        <w:trPr/>
        <w:tc>
          <w:tcPr>
            <w:tcW w:w="3026" w:type="dxa"/>
            <w:tcBorders/>
            <w:shd w:fill="auto" w:val="clear"/>
            <w:vAlign w:val="bottom"/>
          </w:tcPr>
          <w:p>
            <w:pPr>
              <w:pStyle w:val="TableContents"/>
              <w:spacing w:before="0" w:after="0"/>
              <w:ind w:left="225" w:right="0" w:hanging="225"/>
              <w:rPr>
                <w:b/>
              </w:rPr>
            </w:pPr>
            <w:r>
              <w:rPr>
                <w:b/>
              </w:rPr>
              <w:t>RATIO OF EARNINGS TO FIXED CHARGES</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2.83</w:t>
            </w:r>
          </w:p>
        </w:tc>
        <w:tc>
          <w:tcPr>
            <w:tcW w:w="280" w:type="dxa"/>
            <w:tcBorders/>
            <w:shd w:fill="auto" w:val="clear"/>
            <w:vAlign w:val="bottom"/>
          </w:tcPr>
          <w:p>
            <w:pPr>
              <w:pStyle w:val="TableContents"/>
              <w:spacing w:before="0" w:after="283"/>
              <w:rPr/>
            </w:pPr>
            <w:r>
              <w:rPr/>
              <w:t>x</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3.34</w:t>
            </w:r>
          </w:p>
        </w:tc>
        <w:tc>
          <w:tcPr>
            <w:tcW w:w="280" w:type="dxa"/>
            <w:tcBorders/>
            <w:shd w:fill="auto" w:val="clear"/>
            <w:vAlign w:val="bottom"/>
          </w:tcPr>
          <w:p>
            <w:pPr>
              <w:pStyle w:val="TableContents"/>
              <w:spacing w:before="0" w:after="283"/>
              <w:rPr/>
            </w:pPr>
            <w:r>
              <w:rPr/>
              <w:t>x</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3.37</w:t>
            </w:r>
          </w:p>
        </w:tc>
        <w:tc>
          <w:tcPr>
            <w:tcW w:w="280" w:type="dxa"/>
            <w:tcBorders/>
            <w:shd w:fill="auto" w:val="clear"/>
            <w:vAlign w:val="bottom"/>
          </w:tcPr>
          <w:p>
            <w:pPr>
              <w:pStyle w:val="TableContents"/>
              <w:spacing w:before="0" w:after="283"/>
              <w:rPr/>
            </w:pPr>
            <w:r>
              <w:rPr/>
              <w:t>x</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2.36</w:t>
            </w:r>
          </w:p>
        </w:tc>
        <w:tc>
          <w:tcPr>
            <w:tcW w:w="280" w:type="dxa"/>
            <w:tcBorders/>
            <w:shd w:fill="auto" w:val="clear"/>
            <w:vAlign w:val="bottom"/>
          </w:tcPr>
          <w:p>
            <w:pPr>
              <w:pStyle w:val="TableContents"/>
              <w:spacing w:before="0" w:after="283"/>
              <w:rPr/>
            </w:pPr>
            <w:r>
              <w:rPr/>
              <w:t>x</w:t>
            </w:r>
          </w:p>
        </w:tc>
        <w:tc>
          <w:tcPr>
            <w:tcW w:w="308"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2.64</w:t>
            </w:r>
          </w:p>
        </w:tc>
        <w:tc>
          <w:tcPr>
            <w:tcW w:w="300" w:type="dxa"/>
            <w:tcBorders/>
            <w:shd w:fill="auto" w:val="clear"/>
            <w:vAlign w:val="bottom"/>
          </w:tcPr>
          <w:p>
            <w:pPr>
              <w:pStyle w:val="TableContents"/>
              <w:spacing w:before="0" w:after="283"/>
              <w:rPr/>
            </w:pPr>
            <w:r>
              <w:rPr/>
              <w:t>x</w:t>
            </w:r>
          </w:p>
        </w:tc>
      </w:tr>
    </w:tbl>
    <w:p>
      <w:pPr>
        <w:pStyle w:val="TextBody"/>
        <w:spacing w:before="320" w:after="283"/>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(1)       For purposes of computing the ratio of earnings to fixed charges, earnings consists of pretax income from continuing operations plus fixed charges (excluding capitalized interest). Fixed charges represent interest incurred (whether expensed or capitalized), amortization of debt expense, and that portion of rental expense on operating leases deemed to be the equivalent of interest.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(2)       Includes interest costs attributable to borrowings for inventory stored in a contango market of $49.2 million, $23.7 million, $2.0 million, $1.0 million and $3.0 million for each of the years ended December 31, 2006, 2005, 2004, 2003 and 2002, respectively. </w:t>
      </w:r>
      <w:r>
        <w:br w:type="page"/>
      </w:r>
    </w:p>
    <w:p>
      <w:pPr>
        <w:pStyle w:val="Heading5"/>
        <w:jc w:val="left"/>
        <w:rPr/>
      </w:pPr>
      <w:bookmarkStart w:id="21" w:name="h43563exv23w1.htm"/>
      <w:bookmarkStart w:id="22" w:name="ksh43563exv23w1"/>
      <w:bookmarkEnd w:id="21"/>
      <w:bookmarkEnd w:id="22"/>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23.1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b/>
          <w:sz w:val="17"/>
          <w:u w:val="single"/>
        </w:rPr>
      </w:pPr>
      <w:r>
        <w:rPr>
          <w:rFonts w:ascii="Times New Roman;Times;serif" w:hAnsi="Times New Roman;Times;serif"/>
          <w:b/>
          <w:sz w:val="17"/>
          <w:u w:val="single"/>
        </w:rPr>
        <w:t xml:space="preserve">CONSENT OF INDEPENDENT REGISTERED PUBLIC ACCOUNTING FIRM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hereby consent to the incorporation by reference in this Registration Statement on Form S-4 of our report dated March 1, 2007 relating to the consolidated financial statements, managements assessment of the effectiveness of internal control over financial reporting and the effectiveness of internal control over financial reporting, which appears in Plains All American Pipeline L.P.s Annual Report on Form 10-K for the year ended December 31, 2006 and our report dated March 21, 2006 relating to the balance sheet of Plains AAP, L.P, which appears in Plains All American Pipeline L.P.s Current Report on Form 8-K filed on March 21, 2006. We also consent to the references to us under the heading Experts in such Registration Statement.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 PricewaterhouseCoopers LLP</w:t>
        <w:br/>
        <w:t>Houston, Texas</w:t>
        <w:br/>
        <w:t xml:space="preserve">March 23, 2007 </w:t>
      </w:r>
    </w:p>
    <w:p>
      <w:pPr>
        <w:pStyle w:val="TextBody"/>
        <w:jc w:val="center"/>
        <w:rPr/>
      </w:pPr>
      <w:r>
        <w:rPr/>
        <w:t xml:space="preserve">  </w:t>
      </w:r>
      <w:r>
        <w:br w:type="page"/>
      </w:r>
    </w:p>
    <w:p>
      <w:pPr>
        <w:pStyle w:val="Heading5"/>
        <w:jc w:val="left"/>
        <w:rPr/>
      </w:pPr>
      <w:bookmarkStart w:id="23" w:name="h43563exv23w2.htm"/>
      <w:bookmarkStart w:id="24" w:name="ksh43563exv23w2"/>
      <w:bookmarkEnd w:id="23"/>
      <w:bookmarkEnd w:id="24"/>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23.2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Consent of Independent Registered Public Accounting Firm</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consent to the use of our reports dated March 10, 2006, with respect to the consolidated balance sheets of Pacific Energy Partners, L.P. and subsidiaries as of December 31, 2005 and 2004, and the related consolidated statements of income, partners capital, comprehensive income, and cash flows for each of the years in the three-year period ended December 31, 2005 incorporated by reference herein and to the reference to our firm under the heading Experts in the registration statement on Form S-4. </w:t>
      </w:r>
    </w:p>
    <w:p>
      <w:pPr>
        <w:pStyle w:val="TextBody"/>
        <w:spacing w:before="120" w:after="283"/>
        <w:jc w:val="left"/>
        <w:rPr>
          <w:rFonts w:ascii="Times New Roman;Times;serif" w:hAnsi="Times New Roman;Times;serif"/>
          <w:sz w:val="17"/>
        </w:rPr>
      </w:pPr>
      <w:r>
        <w:rPr>
          <w:rFonts w:ascii="Times New Roman;Times;serif" w:hAnsi="Times New Roman;Times;serif"/>
          <w:sz w:val="17"/>
        </w:rPr>
        <w:t>/s/ KPMG LLP</w:t>
        <w:br/>
        <w:t>Los Angeles, California</w:t>
        <w:br/>
        <w:t xml:space="preserve">March 23, 2007 </w:t>
      </w:r>
    </w:p>
    <w:p>
      <w:pPr>
        <w:pStyle w:val="TextBody"/>
        <w:jc w:val="center"/>
        <w:rPr/>
      </w:pPr>
      <w:r>
        <w:rPr/>
        <w:t xml:space="preserve">  </w:t>
      </w:r>
      <w:r>
        <w:br w:type="page"/>
      </w:r>
    </w:p>
    <w:p>
      <w:pPr>
        <w:pStyle w:val="Heading5"/>
        <w:jc w:val="left"/>
        <w:rPr/>
      </w:pPr>
      <w:bookmarkStart w:id="25" w:name="h43563exv25w1.htm"/>
      <w:bookmarkStart w:id="26" w:name="ksh43563exv25w1"/>
      <w:bookmarkEnd w:id="25"/>
      <w:bookmarkEnd w:id="26"/>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T-1</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STATEMENT OF ELIGIBILITY UNDER</w:t>
        <w:br/>
        <w:t>THE TRUST INDENTURE ACT OF 1939 OF A</w:t>
        <w:br/>
        <w:t>CORPORATION DESIGNATED TO ACT AS TRUSTEE</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Check if an Application to Determine Eligibility of</w:t>
        <w:br/>
        <w:t xml:space="preserve">a Trustee Pursuant to Section 305(b)(2)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U.S. BANK NATIONAL ASSOCIATION</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3"/>
        </w:rPr>
      </w:pPr>
      <w:r>
        <w:rPr>
          <w:rFonts w:ascii="Times New Roman;Times;serif" w:hAnsi="Times New Roman;Times;serif"/>
          <w:sz w:val="13"/>
        </w:rPr>
        <w:t>(Exact name of Trustee as specified in its charter)</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31-0841368</w:t>
      </w:r>
      <w:r>
        <w:rPr>
          <w:rFonts w:ascii="Times New Roman;Times;serif" w:hAnsi="Times New Roman;Times;serif"/>
          <w:sz w:val="17"/>
        </w:rPr>
        <w:br/>
      </w:r>
      <w:r>
        <w:rPr>
          <w:rFonts w:ascii="Times New Roman;Times;serif" w:hAnsi="Times New Roman;Times;serif"/>
          <w:sz w:val="13"/>
        </w:rPr>
        <w:t>I.R.S. Employer Identification No.</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571"/>
        <w:gridCol w:w="3062"/>
        <w:gridCol w:w="3572"/>
      </w:tblGrid>
      <w:tr>
        <w:trPr/>
        <w:tc>
          <w:tcPr>
            <w:tcW w:w="3571"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3572" w:type="dxa"/>
            <w:tcBorders/>
            <w:shd w:fill="auto" w:val="clear"/>
            <w:vAlign w:val="bottom"/>
          </w:tcPr>
          <w:p>
            <w:pPr>
              <w:pStyle w:val="TableContents"/>
              <w:spacing w:before="0" w:after="283"/>
              <w:rPr/>
            </w:pPr>
            <w:r>
              <w:rPr/>
              <w:t> </w:t>
            </w:r>
          </w:p>
        </w:tc>
      </w:tr>
      <w:tr>
        <w:trPr/>
        <w:tc>
          <w:tcPr>
            <w:tcW w:w="3571" w:type="dxa"/>
            <w:tcBorders/>
            <w:shd w:fill="auto" w:val="clear"/>
            <w:vAlign w:val="bottom"/>
          </w:tcPr>
          <w:p>
            <w:pPr>
              <w:pStyle w:val="TableContents"/>
              <w:spacing w:before="0" w:after="283"/>
              <w:jc w:val="center"/>
              <w:rPr/>
            </w:pPr>
            <w:r>
              <w:rPr/>
              <w:t>800 Nicollet Mall</w:t>
            </w:r>
          </w:p>
        </w:tc>
        <w:tc>
          <w:tcPr>
            <w:tcW w:w="3062" w:type="dxa"/>
            <w:tcBorders/>
            <w:shd w:fill="auto" w:val="clear"/>
            <w:vAlign w:val="bottom"/>
          </w:tcPr>
          <w:p>
            <w:pPr>
              <w:pStyle w:val="TableContents"/>
              <w:spacing w:before="0" w:after="283"/>
              <w:rPr/>
            </w:pPr>
            <w:r>
              <w:rPr/>
              <w:t> </w:t>
            </w:r>
          </w:p>
        </w:tc>
        <w:tc>
          <w:tcPr>
            <w:tcW w:w="3572" w:type="dxa"/>
            <w:tcBorders/>
            <w:shd w:fill="auto" w:val="clear"/>
            <w:vAlign w:val="bottom"/>
          </w:tcPr>
          <w:p>
            <w:pPr>
              <w:pStyle w:val="TableContents"/>
              <w:spacing w:before="0" w:after="283"/>
              <w:jc w:val="center"/>
              <w:rPr/>
            </w:pPr>
            <w:r>
              <w:rPr/>
              <w:t> </w:t>
            </w:r>
          </w:p>
        </w:tc>
      </w:tr>
      <w:tr>
        <w:trPr/>
        <w:tc>
          <w:tcPr>
            <w:tcW w:w="3571" w:type="dxa"/>
            <w:tcBorders>
              <w:bottom w:val="single" w:sz="2" w:space="0" w:color="000000"/>
            </w:tcBorders>
            <w:shd w:fill="auto" w:val="clear"/>
            <w:tcMar>
              <w:bottom w:w="28" w:type="dxa"/>
            </w:tcMar>
            <w:vAlign w:val="bottom"/>
          </w:tcPr>
          <w:p>
            <w:pPr>
              <w:pStyle w:val="TableContents"/>
              <w:spacing w:before="0" w:after="283"/>
              <w:jc w:val="center"/>
              <w:rPr/>
            </w:pPr>
            <w:r>
              <w:rPr/>
              <w:t>Minneapolis, Minnesota</w:t>
            </w:r>
          </w:p>
        </w:tc>
        <w:tc>
          <w:tcPr>
            <w:tcW w:w="3062" w:type="dxa"/>
            <w:tcBorders/>
            <w:shd w:fill="auto" w:val="clear"/>
            <w:vAlign w:val="bottom"/>
          </w:tcPr>
          <w:p>
            <w:pPr>
              <w:pStyle w:val="TableContents"/>
              <w:spacing w:before="0" w:after="283"/>
              <w:rPr/>
            </w:pPr>
            <w:r>
              <w:rPr/>
              <w:t> </w:t>
            </w:r>
          </w:p>
        </w:tc>
        <w:tc>
          <w:tcPr>
            <w:tcW w:w="3572" w:type="dxa"/>
            <w:tcBorders>
              <w:bottom w:val="single" w:sz="2" w:space="0" w:color="000000"/>
            </w:tcBorders>
            <w:shd w:fill="auto" w:val="clear"/>
            <w:tcMar>
              <w:bottom w:w="28" w:type="dxa"/>
            </w:tcMar>
            <w:vAlign w:val="bottom"/>
          </w:tcPr>
          <w:p>
            <w:pPr>
              <w:pStyle w:val="TableContents"/>
              <w:spacing w:before="0" w:after="283"/>
              <w:jc w:val="center"/>
              <w:rPr/>
            </w:pPr>
            <w:r>
              <w:rPr/>
              <w:t>55402</w:t>
            </w:r>
          </w:p>
        </w:tc>
      </w:tr>
      <w:tr>
        <w:trPr/>
        <w:tc>
          <w:tcPr>
            <w:tcW w:w="3571" w:type="dxa"/>
            <w:tcBorders/>
            <w:shd w:fill="auto" w:val="clear"/>
          </w:tcPr>
          <w:p>
            <w:pPr>
              <w:pStyle w:val="TableContents"/>
              <w:spacing w:before="0" w:after="283"/>
              <w:jc w:val="center"/>
              <w:rPr/>
            </w:pPr>
            <w:r>
              <w:rPr/>
              <w:t xml:space="preserve">(Address of principal executive offices) </w:t>
            </w:r>
          </w:p>
        </w:tc>
        <w:tc>
          <w:tcPr>
            <w:tcW w:w="3062" w:type="dxa"/>
            <w:tcBorders/>
            <w:shd w:fill="auto" w:val="clear"/>
            <w:vAlign w:val="bottom"/>
          </w:tcPr>
          <w:p>
            <w:pPr>
              <w:pStyle w:val="TableContents"/>
              <w:spacing w:before="0" w:after="283"/>
              <w:rPr/>
            </w:pPr>
            <w:r>
              <w:rPr/>
              <w:t> </w:t>
            </w:r>
          </w:p>
        </w:tc>
        <w:tc>
          <w:tcPr>
            <w:tcW w:w="3572" w:type="dxa"/>
            <w:tcBorders/>
            <w:shd w:fill="auto" w:val="clear"/>
          </w:tcPr>
          <w:p>
            <w:pPr>
              <w:pStyle w:val="TableContents"/>
              <w:spacing w:before="0" w:after="283"/>
              <w:jc w:val="center"/>
              <w:rPr/>
            </w:pPr>
            <w:r>
              <w:rPr/>
              <w:t>(Zip Code)</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Steven A. Finklea</w:t>
        <w:br/>
        <w:t>U.S. Bank National Association</w:t>
        <w:br/>
        <w:t>5555 San Felipe, Suite 1150</w:t>
        <w:br/>
        <w:t>Houston, TX 77056</w:t>
        <w:br/>
        <w:t>(713) 235-9208</w:t>
        <w:br/>
      </w:r>
      <w:r>
        <w:rPr>
          <w:rFonts w:ascii="Times New Roman;Times;serif" w:hAnsi="Times New Roman;Times;serif"/>
          <w:sz w:val="13"/>
        </w:rPr>
        <w:t>(Name, address and telephone number of agent for service)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t xml:space="preserve">PLAINS ALL AMERICAN </w:t>
              <w:br/>
              <w:t xml:space="preserve">PIPELINE, L.P.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xml:space="preserve">Delaware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76-0582150</w:t>
            </w:r>
          </w:p>
        </w:tc>
      </w:tr>
      <w:tr>
        <w:trPr/>
        <w:tc>
          <w:tcPr>
            <w:tcW w:w="3196" w:type="dxa"/>
            <w:tcBorders/>
            <w:shd w:fill="auto" w:val="clear"/>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 </w:t>
            </w:r>
          </w:p>
        </w:tc>
      </w:tr>
      <w:tr>
        <w:trPr/>
        <w:tc>
          <w:tcPr>
            <w:tcW w:w="3196" w:type="dxa"/>
            <w:tcBorders/>
            <w:shd w:fill="auto" w:val="clear"/>
          </w:tcPr>
          <w:p>
            <w:pPr>
              <w:pStyle w:val="TableContents"/>
              <w:spacing w:before="0" w:after="283"/>
              <w:jc w:val="center"/>
              <w:rPr/>
            </w:pPr>
            <w:r>
              <w:rPr/>
              <w:t xml:space="preserve">PAA FINANCE CORP.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xml:space="preserve">Delaware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76-0669671</w:t>
            </w:r>
          </w:p>
        </w:tc>
      </w:tr>
      <w:tr>
        <w:trPr/>
        <w:tc>
          <w:tcPr>
            <w:tcW w:w="3196" w:type="dxa"/>
            <w:tcBorders/>
            <w:shd w:fill="auto" w:val="clear"/>
          </w:tcPr>
          <w:p>
            <w:pPr>
              <w:pStyle w:val="TableContents"/>
              <w:spacing w:before="0" w:after="283"/>
              <w:jc w:val="center"/>
              <w:rPr/>
            </w:pPr>
            <w:r>
              <w:rPr>
                <w:sz w:val="13"/>
              </w:rPr>
              <w:t>(Issuer with respect to the Securities)</w:t>
            </w:r>
            <w:r>
              <w:rPr/>
              <w:t xml:space="preserve">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sz w:val="13"/>
              </w:rPr>
              <w:t>(State or other jurisdiction of</w:t>
              <w:br/>
              <w:t>incorporation or organization)</w:t>
            </w:r>
            <w:r>
              <w:rPr/>
              <w:t xml:space="preserve">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sz w:val="13"/>
              </w:rPr>
            </w:pPr>
            <w:r>
              <w:rPr>
                <w:sz w:val="13"/>
              </w:rPr>
              <w:t>(I.R.S. Employer Identification No.)</w:t>
            </w:r>
          </w:p>
        </w:tc>
      </w:tr>
    </w:tbl>
    <w:tbl>
      <w:tblPr>
        <w:tblW w:w="5000" w:type="pct"/>
        <w:jc w:val="center"/>
        <w:tblInd w:w="0" w:type="dxa"/>
        <w:tblCellMar>
          <w:top w:w="0" w:type="dxa"/>
          <w:left w:w="0" w:type="dxa"/>
          <w:bottom w:w="0" w:type="dxa"/>
          <w:right w:w="0" w:type="dxa"/>
        </w:tblCellMar>
      </w:tblPr>
      <w:tblGrid>
        <w:gridCol w:w="3570"/>
        <w:gridCol w:w="3064"/>
        <w:gridCol w:w="3571"/>
      </w:tblGrid>
      <w:tr>
        <w:trPr/>
        <w:tc>
          <w:tcPr>
            <w:tcW w:w="3570" w:type="dxa"/>
            <w:tcBorders/>
            <w:shd w:fill="auto" w:val="clear"/>
            <w:vAlign w:val="bottom"/>
          </w:tcPr>
          <w:p>
            <w:pPr>
              <w:pStyle w:val="TableContents"/>
              <w:spacing w:before="0" w:after="283"/>
              <w:rPr/>
            </w:pPr>
            <w:r>
              <w:rPr/>
              <w:t> </w:t>
            </w:r>
          </w:p>
        </w:tc>
        <w:tc>
          <w:tcPr>
            <w:tcW w:w="3064" w:type="dxa"/>
            <w:tcBorders/>
            <w:shd w:fill="auto" w:val="clear"/>
            <w:vAlign w:val="bottom"/>
          </w:tcPr>
          <w:p>
            <w:pPr>
              <w:pStyle w:val="TableContents"/>
              <w:spacing w:before="0" w:after="283"/>
              <w:rPr/>
            </w:pPr>
            <w:r>
              <w:rPr/>
              <w:t> </w:t>
            </w:r>
          </w:p>
        </w:tc>
        <w:tc>
          <w:tcPr>
            <w:tcW w:w="3571" w:type="dxa"/>
            <w:tcBorders/>
            <w:shd w:fill="auto" w:val="clear"/>
            <w:vAlign w:val="bottom"/>
          </w:tcPr>
          <w:p>
            <w:pPr>
              <w:pStyle w:val="TableContents"/>
              <w:spacing w:before="0" w:after="283"/>
              <w:rPr/>
            </w:pPr>
            <w:r>
              <w:rPr/>
              <w:t> </w:t>
            </w:r>
          </w:p>
        </w:tc>
      </w:tr>
      <w:tr>
        <w:trPr/>
        <w:tc>
          <w:tcPr>
            <w:tcW w:w="3570" w:type="dxa"/>
            <w:tcBorders/>
            <w:shd w:fill="auto" w:val="clear"/>
          </w:tcPr>
          <w:p>
            <w:pPr>
              <w:pStyle w:val="TableContents"/>
              <w:spacing w:before="0" w:after="283"/>
              <w:jc w:val="center"/>
              <w:rPr/>
            </w:pPr>
            <w:r>
              <w:rPr/>
              <w:t>333 Clay Street, Suite 1600</w:t>
              <w:br/>
              <w:t xml:space="preserve">Houston, TX </w:t>
            </w:r>
          </w:p>
        </w:tc>
        <w:tc>
          <w:tcPr>
            <w:tcW w:w="3064" w:type="dxa"/>
            <w:tcBorders/>
            <w:shd w:fill="auto" w:val="clear"/>
            <w:vAlign w:val="bottom"/>
          </w:tcPr>
          <w:p>
            <w:pPr>
              <w:pStyle w:val="TableContents"/>
              <w:spacing w:before="0" w:after="283"/>
              <w:rPr/>
            </w:pPr>
            <w:r>
              <w:rPr/>
              <w:t> </w:t>
            </w:r>
          </w:p>
        </w:tc>
        <w:tc>
          <w:tcPr>
            <w:tcW w:w="3571" w:type="dxa"/>
            <w:tcBorders/>
            <w:shd w:fill="auto" w:val="clear"/>
          </w:tcPr>
          <w:p>
            <w:pPr>
              <w:pStyle w:val="TableContents"/>
              <w:spacing w:before="0" w:after="283"/>
              <w:jc w:val="center"/>
              <w:rPr/>
            </w:pPr>
            <w:r>
              <w:rPr/>
              <w:br/>
              <w:t>77002</w:t>
            </w:r>
          </w:p>
        </w:tc>
      </w:tr>
      <w:tr>
        <w:trPr/>
        <w:tc>
          <w:tcPr>
            <w:tcW w:w="3570"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3064" w:type="dxa"/>
            <w:tcBorders/>
            <w:shd w:fill="auto" w:val="clear"/>
            <w:vAlign w:val="center"/>
          </w:tcPr>
          <w:p>
            <w:pPr>
              <w:pStyle w:val="TableContents"/>
              <w:spacing w:before="0" w:after="283"/>
              <w:rPr/>
            </w:pPr>
            <w:r>
              <w:rPr/>
              <w:t> </w:t>
            </w:r>
          </w:p>
        </w:tc>
        <w:tc>
          <w:tcPr>
            <w:tcW w:w="3571"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570" w:type="dxa"/>
            <w:tcBorders/>
            <w:shd w:fill="auto" w:val="clear"/>
          </w:tcPr>
          <w:p>
            <w:pPr>
              <w:pStyle w:val="TableContents"/>
              <w:spacing w:before="0" w:after="283"/>
              <w:jc w:val="center"/>
              <w:rPr/>
            </w:pPr>
            <w:r>
              <w:rPr>
                <w:sz w:val="13"/>
              </w:rPr>
              <w:t>(Address of Principal Executive Offices)</w:t>
            </w:r>
            <w:r>
              <w:rPr/>
              <w:t xml:space="preserve"> </w:t>
            </w:r>
          </w:p>
        </w:tc>
        <w:tc>
          <w:tcPr>
            <w:tcW w:w="3064" w:type="dxa"/>
            <w:tcBorders/>
            <w:shd w:fill="auto" w:val="clear"/>
            <w:vAlign w:val="bottom"/>
          </w:tcPr>
          <w:p>
            <w:pPr>
              <w:pStyle w:val="TableContents"/>
              <w:spacing w:before="0" w:after="283"/>
              <w:rPr/>
            </w:pPr>
            <w:r>
              <w:rPr/>
              <w:t> </w:t>
            </w:r>
          </w:p>
        </w:tc>
        <w:tc>
          <w:tcPr>
            <w:tcW w:w="3571" w:type="dxa"/>
            <w:tcBorders/>
            <w:shd w:fill="auto" w:val="clear"/>
          </w:tcPr>
          <w:p>
            <w:pPr>
              <w:pStyle w:val="TableContents"/>
              <w:spacing w:before="0" w:after="283"/>
              <w:jc w:val="center"/>
              <w:rPr>
                <w:sz w:val="13"/>
              </w:rPr>
            </w:pPr>
            <w:r>
              <w:rPr>
                <w:sz w:val="13"/>
              </w:rPr>
              <w:t>(Zip Code)</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(Title of the Indenture Securities)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6.125% Senior Notes Due 2017</w:t>
        <w:br/>
        <w:t xml:space="preserve">6.650% Senior Notes Due 2037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FORM T-1</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856"/>
        <w:gridCol w:w="117"/>
        <w:gridCol w:w="9232"/>
      </w:tblGrid>
      <w:tr>
        <w:trPr/>
        <w:tc>
          <w:tcPr>
            <w:tcW w:w="856" w:type="dxa"/>
            <w:tcBorders/>
            <w:shd w:fill="auto" w:val="clear"/>
          </w:tcPr>
          <w:p>
            <w:pPr>
              <w:pStyle w:val="TableContents"/>
              <w:spacing w:before="0" w:after="283"/>
              <w:jc w:val="left"/>
              <w:rPr>
                <w:b/>
              </w:rPr>
            </w:pPr>
            <w:r>
              <w:rPr>
                <w:b/>
              </w:rPr>
              <w:t>Item 1.  </w:t>
            </w:r>
          </w:p>
        </w:tc>
        <w:tc>
          <w:tcPr>
            <w:tcW w:w="117" w:type="dxa"/>
            <w:tcBorders/>
            <w:shd w:fill="auto" w:val="clear"/>
          </w:tcPr>
          <w:p>
            <w:pPr>
              <w:pStyle w:val="TableContents"/>
              <w:spacing w:before="0" w:after="283"/>
              <w:rPr/>
            </w:pPr>
            <w:r>
              <w:rPr/>
              <w:t> </w:t>
            </w:r>
          </w:p>
        </w:tc>
        <w:tc>
          <w:tcPr>
            <w:tcW w:w="9232" w:type="dxa"/>
            <w:tcBorders/>
            <w:shd w:fill="auto" w:val="clear"/>
          </w:tcPr>
          <w:p>
            <w:pPr>
              <w:pStyle w:val="TableContents"/>
              <w:spacing w:before="0" w:after="283"/>
              <w:rPr/>
            </w:pPr>
            <w:r>
              <w:rPr>
                <w:b/>
              </w:rPr>
              <w:t>GENERAL INFORMATION</w:t>
            </w:r>
            <w:r>
              <w:rPr>
                <w:b/>
                <w:i/>
              </w:rPr>
              <w:t xml:space="preserve">. </w:t>
            </w:r>
            <w:r>
              <w:rPr/>
              <w:t>Furnish the following information as to the Trustee.</w:t>
            </w:r>
          </w:p>
        </w:tc>
      </w:tr>
    </w:tbl>
    <w:tbl>
      <w:tblPr>
        <w:tblW w:w="5000" w:type="pct"/>
        <w:jc w:val="left"/>
        <w:tblInd w:w="0" w:type="dxa"/>
        <w:tblCellMar>
          <w:top w:w="0" w:type="dxa"/>
          <w:left w:w="0" w:type="dxa"/>
          <w:bottom w:w="0" w:type="dxa"/>
          <w:right w:w="0" w:type="dxa"/>
        </w:tblCellMar>
      </w:tblPr>
      <w:tblGrid>
        <w:gridCol w:w="713"/>
        <w:gridCol w:w="305"/>
        <w:gridCol w:w="101"/>
        <w:gridCol w:w="9086"/>
      </w:tblGrid>
      <w:tr>
        <w:trPr/>
        <w:tc>
          <w:tcPr>
            <w:tcW w:w="71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086" w:type="dxa"/>
            <w:tcBorders/>
            <w:shd w:fill="auto" w:val="clear"/>
          </w:tcPr>
          <w:p>
            <w:pPr>
              <w:pStyle w:val="TableContents"/>
              <w:spacing w:before="0" w:after="283"/>
              <w:rPr>
                <w:i/>
              </w:rPr>
            </w:pPr>
            <w:r>
              <w:rPr>
                <w:i/>
              </w:rPr>
              <w:t>Name and address of each examining or supervising authority to which it is subject.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Comptroller of the Currency</w:t>
        <w:br/>
        <w:t xml:space="preserve">Washington, D.C. </w:t>
      </w:r>
    </w:p>
    <w:tbl>
      <w:tblPr>
        <w:tblW w:w="5000" w:type="pct"/>
        <w:jc w:val="left"/>
        <w:tblInd w:w="0" w:type="dxa"/>
        <w:tblCellMar>
          <w:top w:w="0" w:type="dxa"/>
          <w:left w:w="0" w:type="dxa"/>
          <w:bottom w:w="0" w:type="dxa"/>
          <w:right w:w="0" w:type="dxa"/>
        </w:tblCellMar>
      </w:tblPr>
      <w:tblGrid>
        <w:gridCol w:w="713"/>
        <w:gridCol w:w="305"/>
        <w:gridCol w:w="101"/>
        <w:gridCol w:w="9086"/>
      </w:tblGrid>
      <w:tr>
        <w:trPr/>
        <w:tc>
          <w:tcPr>
            <w:tcW w:w="71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086" w:type="dxa"/>
            <w:tcBorders/>
            <w:shd w:fill="auto" w:val="clear"/>
          </w:tcPr>
          <w:p>
            <w:pPr>
              <w:pStyle w:val="TableContents"/>
              <w:spacing w:before="0" w:after="283"/>
              <w:rPr>
                <w:i/>
              </w:rPr>
            </w:pPr>
            <w:r>
              <w:rPr>
                <w:i/>
              </w:rPr>
              <w:t>Whether it is authorized to exercise corporate trust powers.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Yes </w:t>
      </w:r>
    </w:p>
    <w:tbl>
      <w:tblPr>
        <w:tblW w:w="5000" w:type="pct"/>
        <w:jc w:val="left"/>
        <w:tblInd w:w="0" w:type="dxa"/>
        <w:tblCellMar>
          <w:top w:w="0" w:type="dxa"/>
          <w:left w:w="0" w:type="dxa"/>
          <w:bottom w:w="0" w:type="dxa"/>
          <w:right w:w="0" w:type="dxa"/>
        </w:tblCellMar>
      </w:tblPr>
      <w:tblGrid>
        <w:gridCol w:w="867"/>
        <w:gridCol w:w="118"/>
        <w:gridCol w:w="9220"/>
      </w:tblGrid>
      <w:tr>
        <w:trPr/>
        <w:tc>
          <w:tcPr>
            <w:tcW w:w="867" w:type="dxa"/>
            <w:tcBorders/>
            <w:shd w:fill="auto" w:val="clear"/>
          </w:tcPr>
          <w:p>
            <w:pPr>
              <w:pStyle w:val="TableContents"/>
              <w:spacing w:before="0" w:after="283"/>
              <w:jc w:val="left"/>
              <w:rPr>
                <w:b/>
              </w:rPr>
            </w:pPr>
            <w:r>
              <w:rPr>
                <w:b/>
              </w:rPr>
              <w:t>Item 2.  </w:t>
            </w:r>
          </w:p>
        </w:tc>
        <w:tc>
          <w:tcPr>
            <w:tcW w:w="118" w:type="dxa"/>
            <w:tcBorders/>
            <w:shd w:fill="auto" w:val="clear"/>
          </w:tcPr>
          <w:p>
            <w:pPr>
              <w:pStyle w:val="TableContents"/>
              <w:spacing w:before="0" w:after="283"/>
              <w:rPr/>
            </w:pPr>
            <w:r>
              <w:rPr/>
              <w:t> </w:t>
            </w:r>
          </w:p>
        </w:tc>
        <w:tc>
          <w:tcPr>
            <w:tcW w:w="9220" w:type="dxa"/>
            <w:tcBorders/>
            <w:shd w:fill="auto" w:val="clear"/>
          </w:tcPr>
          <w:p>
            <w:pPr>
              <w:pStyle w:val="TableContents"/>
              <w:spacing w:before="0" w:after="283"/>
              <w:rPr/>
            </w:pPr>
            <w:r>
              <w:rPr>
                <w:b/>
              </w:rPr>
              <w:t xml:space="preserve">AFFILIATIONS WITH OBLIGOR. </w:t>
            </w:r>
            <w:r>
              <w:rPr>
                <w:i/>
              </w:rPr>
              <w:t>If the obligor is an affiliate of the Trustee, describe each such affiliation.</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None </w:t>
      </w:r>
    </w:p>
    <w:tbl>
      <w:tblPr>
        <w:tblW w:w="5000" w:type="pct"/>
        <w:jc w:val="left"/>
        <w:tblInd w:w="0" w:type="dxa"/>
        <w:tblCellMar>
          <w:top w:w="0" w:type="dxa"/>
          <w:left w:w="0" w:type="dxa"/>
          <w:bottom w:w="0" w:type="dxa"/>
          <w:right w:w="0" w:type="dxa"/>
        </w:tblCellMar>
      </w:tblPr>
      <w:tblGrid>
        <w:gridCol w:w="1227"/>
        <w:gridCol w:w="126"/>
        <w:gridCol w:w="8852"/>
      </w:tblGrid>
      <w:tr>
        <w:trPr/>
        <w:tc>
          <w:tcPr>
            <w:tcW w:w="1227" w:type="dxa"/>
            <w:tcBorders/>
            <w:shd w:fill="auto" w:val="clear"/>
          </w:tcPr>
          <w:p>
            <w:pPr>
              <w:pStyle w:val="TableContents"/>
              <w:spacing w:before="0" w:after="283"/>
              <w:jc w:val="left"/>
              <w:rPr/>
            </w:pPr>
            <w:r>
              <w:rPr>
                <w:b/>
              </w:rPr>
              <w:t xml:space="preserve">Items 3-15 </w:t>
            </w:r>
            <w:r>
              <w:rPr/>
              <w:t> </w:t>
            </w:r>
          </w:p>
        </w:tc>
        <w:tc>
          <w:tcPr>
            <w:tcW w:w="126" w:type="dxa"/>
            <w:tcBorders/>
            <w:shd w:fill="auto" w:val="clear"/>
          </w:tcPr>
          <w:p>
            <w:pPr>
              <w:pStyle w:val="TableContents"/>
              <w:spacing w:before="0" w:after="283"/>
              <w:rPr/>
            </w:pPr>
            <w:r>
              <w:rPr/>
              <w:t> </w:t>
            </w:r>
          </w:p>
        </w:tc>
        <w:tc>
          <w:tcPr>
            <w:tcW w:w="8852" w:type="dxa"/>
            <w:tcBorders/>
            <w:shd w:fill="auto" w:val="clear"/>
          </w:tcPr>
          <w:p>
            <w:pPr>
              <w:pStyle w:val="TableContents"/>
              <w:spacing w:before="0" w:after="283"/>
              <w:rPr>
                <w:i/>
              </w:rPr>
            </w:pPr>
            <w:r>
              <w:rPr>
                <w:i/>
              </w:rPr>
              <w:t>Items 3-15 are not applicable because to the best of the Trustees knowledge, the obligor is not in default under any Indenture for which the Trustee acts as Trustee.</w:t>
            </w:r>
          </w:p>
        </w:tc>
      </w:tr>
    </w:tbl>
    <w:tbl>
      <w:tblPr>
        <w:tblW w:w="5000" w:type="pct"/>
        <w:jc w:val="left"/>
        <w:tblInd w:w="0" w:type="dxa"/>
        <w:tblCellMar>
          <w:top w:w="0" w:type="dxa"/>
          <w:left w:w="0" w:type="dxa"/>
          <w:bottom w:w="0" w:type="dxa"/>
          <w:right w:w="0" w:type="dxa"/>
        </w:tblCellMar>
      </w:tblPr>
      <w:tblGrid>
        <w:gridCol w:w="996"/>
        <w:gridCol w:w="123"/>
        <w:gridCol w:w="9086"/>
      </w:tblGrid>
      <w:tr>
        <w:trPr/>
        <w:tc>
          <w:tcPr>
            <w:tcW w:w="996" w:type="dxa"/>
            <w:tcBorders/>
            <w:shd w:fill="auto" w:val="clear"/>
          </w:tcPr>
          <w:p>
            <w:pPr>
              <w:pStyle w:val="TableContents"/>
              <w:spacing w:before="0" w:after="283"/>
              <w:jc w:val="left"/>
              <w:rPr>
                <w:b/>
              </w:rPr>
            </w:pPr>
            <w:r>
              <w:rPr>
                <w:b/>
              </w:rPr>
              <w:t>Item 16.  </w:t>
            </w:r>
          </w:p>
        </w:tc>
        <w:tc>
          <w:tcPr>
            <w:tcW w:w="123" w:type="dxa"/>
            <w:tcBorders/>
            <w:shd w:fill="auto" w:val="clear"/>
          </w:tcPr>
          <w:p>
            <w:pPr>
              <w:pStyle w:val="TableContents"/>
              <w:spacing w:before="0" w:after="283"/>
              <w:rPr/>
            </w:pPr>
            <w:r>
              <w:rPr/>
              <w:t> </w:t>
            </w:r>
          </w:p>
        </w:tc>
        <w:tc>
          <w:tcPr>
            <w:tcW w:w="9086" w:type="dxa"/>
            <w:tcBorders/>
            <w:shd w:fill="auto" w:val="clear"/>
          </w:tcPr>
          <w:p>
            <w:pPr>
              <w:pStyle w:val="TableContents"/>
              <w:spacing w:before="0" w:after="283"/>
              <w:rPr/>
            </w:pPr>
            <w:r>
              <w:rPr>
                <w:b/>
              </w:rPr>
              <w:t xml:space="preserve">LIST OF EXHIBITS: </w:t>
            </w:r>
            <w:r>
              <w:rPr>
                <w:i/>
              </w:rPr>
              <w:t>List below all exhibits filed as a part of this statement of eligibility and qualification.</w:t>
            </w:r>
          </w:p>
        </w:tc>
      </w:tr>
    </w:tbl>
    <w:tbl>
      <w:tblPr>
        <w:tblW w:w="5000" w:type="pct"/>
        <w:jc w:val="left"/>
        <w:tblInd w:w="0" w:type="dxa"/>
        <w:tblCellMar>
          <w:top w:w="0" w:type="dxa"/>
          <w:left w:w="0" w:type="dxa"/>
          <w:bottom w:w="0" w:type="dxa"/>
          <w:right w:w="0" w:type="dxa"/>
        </w:tblCellMar>
      </w:tblPr>
      <w:tblGrid>
        <w:gridCol w:w="713"/>
        <w:gridCol w:w="306"/>
        <w:gridCol w:w="101"/>
        <w:gridCol w:w="9085"/>
      </w:tblGrid>
      <w:tr>
        <w:trPr/>
        <w:tc>
          <w:tcPr>
            <w:tcW w:w="71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rPr/>
            </w:pPr>
            <w:r>
              <w:rPr/>
              <w:t>A copy of the Articles of Association of the Trustee.*</w:t>
            </w:r>
          </w:p>
        </w:tc>
      </w:tr>
      <w:tr>
        <w:trPr/>
        <w:tc>
          <w:tcPr>
            <w:tcW w:w="713" w:type="dxa"/>
            <w:tcBorders/>
            <w:shd w:fill="auto" w:val="clear"/>
            <w:vAlign w:val="center"/>
          </w:tcPr>
          <w:p>
            <w:pPr>
              <w:pStyle w:val="TableContents"/>
              <w:spacing w:before="0" w:after="283"/>
              <w:rPr/>
            </w:pPr>
            <w:r>
              <w:rPr/>
              <w:t> </w:t>
            </w:r>
          </w:p>
        </w:tc>
        <w:tc>
          <w:tcPr>
            <w:tcW w:w="9492" w:type="dxa"/>
            <w:gridSpan w:val="3"/>
            <w:tcBorders/>
            <w:shd w:fill="auto" w:val="clea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rPr/>
            </w:pPr>
            <w:r>
              <w:rPr/>
              <w:t>A copy of the certificate of authority of the Trustee to commence business.*</w:t>
            </w:r>
          </w:p>
        </w:tc>
      </w:tr>
      <w:tr>
        <w:trPr/>
        <w:tc>
          <w:tcPr>
            <w:tcW w:w="713" w:type="dxa"/>
            <w:tcBorders/>
            <w:shd w:fill="auto" w:val="clear"/>
            <w:vAlign w:val="center"/>
          </w:tcPr>
          <w:p>
            <w:pPr>
              <w:pStyle w:val="TableContents"/>
              <w:spacing w:before="0" w:after="283"/>
              <w:rPr/>
            </w:pPr>
            <w:r>
              <w:rPr/>
              <w:t> </w:t>
            </w:r>
          </w:p>
        </w:tc>
        <w:tc>
          <w:tcPr>
            <w:tcW w:w="9492" w:type="dxa"/>
            <w:gridSpan w:val="3"/>
            <w:tcBorders/>
            <w:shd w:fill="auto" w:val="clea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rPr/>
            </w:pPr>
            <w:r>
              <w:rPr/>
              <w:t>A copy of the certificate of authority of the Trustee to exercise corporate trust powers.*</w:t>
            </w:r>
          </w:p>
        </w:tc>
      </w:tr>
      <w:tr>
        <w:trPr/>
        <w:tc>
          <w:tcPr>
            <w:tcW w:w="713" w:type="dxa"/>
            <w:tcBorders/>
            <w:shd w:fill="auto" w:val="clear"/>
            <w:vAlign w:val="center"/>
          </w:tcPr>
          <w:p>
            <w:pPr>
              <w:pStyle w:val="TableContents"/>
              <w:spacing w:before="0" w:after="283"/>
              <w:rPr/>
            </w:pPr>
            <w:r>
              <w:rPr/>
              <w:t> </w:t>
            </w:r>
          </w:p>
        </w:tc>
        <w:tc>
          <w:tcPr>
            <w:tcW w:w="9492" w:type="dxa"/>
            <w:gridSpan w:val="3"/>
            <w:tcBorders/>
            <w:shd w:fill="auto" w:val="clea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rPr/>
            </w:pPr>
            <w:r>
              <w:rPr/>
              <w:t>A copy of the existing bylaws of the Trustee.*</w:t>
            </w:r>
          </w:p>
        </w:tc>
      </w:tr>
      <w:tr>
        <w:trPr/>
        <w:tc>
          <w:tcPr>
            <w:tcW w:w="713" w:type="dxa"/>
            <w:tcBorders/>
            <w:shd w:fill="auto" w:val="clear"/>
            <w:vAlign w:val="center"/>
          </w:tcPr>
          <w:p>
            <w:pPr>
              <w:pStyle w:val="TableContents"/>
              <w:spacing w:before="0" w:after="283"/>
              <w:rPr/>
            </w:pPr>
            <w:r>
              <w:rPr/>
              <w:t> </w:t>
            </w:r>
          </w:p>
        </w:tc>
        <w:tc>
          <w:tcPr>
            <w:tcW w:w="9492" w:type="dxa"/>
            <w:gridSpan w:val="3"/>
            <w:tcBorders/>
            <w:shd w:fill="auto" w:val="clea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rPr/>
            </w:pPr>
            <w:r>
              <w:rPr/>
              <w:t>A copy of each Indenture referred to in Item 4. Not applicable.</w:t>
            </w:r>
          </w:p>
        </w:tc>
      </w:tr>
      <w:tr>
        <w:trPr/>
        <w:tc>
          <w:tcPr>
            <w:tcW w:w="713" w:type="dxa"/>
            <w:tcBorders/>
            <w:shd w:fill="auto" w:val="clear"/>
            <w:vAlign w:val="center"/>
          </w:tcPr>
          <w:p>
            <w:pPr>
              <w:pStyle w:val="TableContents"/>
              <w:spacing w:before="0" w:after="283"/>
              <w:rPr/>
            </w:pPr>
            <w:r>
              <w:rPr/>
              <w:t> </w:t>
            </w:r>
          </w:p>
        </w:tc>
        <w:tc>
          <w:tcPr>
            <w:tcW w:w="9492" w:type="dxa"/>
            <w:gridSpan w:val="3"/>
            <w:tcBorders/>
            <w:shd w:fill="auto" w:val="clea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6.</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rPr/>
            </w:pPr>
            <w:r>
              <w:rPr/>
              <w:t>The consent of the Trustee required by Section 321(b) of the Trust Indenture Act of 1939, attached as Exhibit 6.</w:t>
            </w:r>
          </w:p>
        </w:tc>
      </w:tr>
      <w:tr>
        <w:trPr/>
        <w:tc>
          <w:tcPr>
            <w:tcW w:w="713" w:type="dxa"/>
            <w:tcBorders/>
            <w:shd w:fill="auto" w:val="clear"/>
            <w:vAlign w:val="center"/>
          </w:tcPr>
          <w:p>
            <w:pPr>
              <w:pStyle w:val="TableContents"/>
              <w:spacing w:before="0" w:after="283"/>
              <w:rPr/>
            </w:pPr>
            <w:r>
              <w:rPr/>
              <w:t> </w:t>
            </w:r>
          </w:p>
        </w:tc>
        <w:tc>
          <w:tcPr>
            <w:tcW w:w="9492" w:type="dxa"/>
            <w:gridSpan w:val="3"/>
            <w:tcBorders/>
            <w:shd w:fill="auto" w:val="clea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7.</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rPr/>
            </w:pPr>
            <w:r>
              <w:rPr/>
              <w:t>Report of Condition of the Trustee as of September 30, 2006 published pursuant to law or the requirements of its supervising or examining authority, attached as Exhibit 7.</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 Incorporated by reference to Exhibit 25.1 to Amendment No. 2 to registration statement on S-4, Registration Number 333-128217 filed on November 15, 2005.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March 8, 2007. </w:t>
      </w:r>
    </w:p>
    <w:tbl>
      <w:tblPr>
        <w:tblW w:w="5000" w:type="pct"/>
        <w:jc w:val="left"/>
        <w:tblInd w:w="0" w:type="dxa"/>
        <w:tblCellMar>
          <w:top w:w="0" w:type="dxa"/>
          <w:left w:w="0" w:type="dxa"/>
          <w:bottom w:w="0" w:type="dxa"/>
          <w:right w:w="0" w:type="dxa"/>
        </w:tblCellMar>
      </w:tblPr>
      <w:tblGrid>
        <w:gridCol w:w="4376"/>
        <w:gridCol w:w="355"/>
        <w:gridCol w:w="600"/>
        <w:gridCol w:w="3469"/>
        <w:gridCol w:w="1405"/>
      </w:tblGrid>
      <w:tr>
        <w:trPr/>
        <w:tc>
          <w:tcPr>
            <w:tcW w:w="4376"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tcPr>
          <w:p>
            <w:pPr>
              <w:pStyle w:val="TableContents"/>
              <w:spacing w:before="0" w:after="283"/>
              <w:jc w:val="left"/>
              <w:rPr/>
            </w:pPr>
            <w:r>
              <w:rPr/>
              <w:t> </w:t>
            </w:r>
          </w:p>
        </w:tc>
        <w:tc>
          <w:tcPr>
            <w:tcW w:w="4424"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69" w:type="dxa"/>
            <w:gridSpan w:val="2"/>
            <w:tcBorders>
              <w:bottom w:val="single" w:sz="2" w:space="0" w:color="000000"/>
            </w:tcBorders>
            <w:shd w:fill="auto" w:val="clear"/>
            <w:tcMar>
              <w:bottom w:w="28" w:type="dxa"/>
            </w:tcMar>
            <w:vAlign w:val="center"/>
          </w:tcPr>
          <w:p>
            <w:pPr>
              <w:pStyle w:val="TableContents"/>
              <w:spacing w:before="0" w:after="283"/>
              <w:jc w:val="left"/>
              <w:rPr/>
            </w:pPr>
            <w:r>
              <w:rPr/>
              <w:t>/s/ Steven A. Finklea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69" w:type="dxa"/>
            <w:gridSpan w:val="2"/>
            <w:tcBorders/>
            <w:shd w:fill="auto" w:val="clear"/>
            <w:vAlign w:val="center"/>
          </w:tcPr>
          <w:p>
            <w:pPr>
              <w:pStyle w:val="TableContents"/>
              <w:spacing w:before="0" w:after="283"/>
              <w:jc w:val="left"/>
              <w:rPr/>
            </w:pPr>
            <w:r>
              <w:rPr/>
              <w:t>Steven A. Finklea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69" w:type="dxa"/>
            <w:gridSpan w:val="2"/>
            <w:tcBorders/>
            <w:shd w:fill="auto" w:val="clear"/>
            <w:vAlign w:val="center"/>
          </w:tcPr>
          <w:p>
            <w:pPr>
              <w:pStyle w:val="TableContents"/>
              <w:spacing w:before="0" w:after="283"/>
              <w:jc w:val="left"/>
              <w:rPr/>
            </w:pPr>
            <w:r>
              <w:rPr/>
              <w:t>Vice President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Exhibit 6</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CONSENT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Dated: March 8, 2007 </w:t>
      </w:r>
    </w:p>
    <w:tbl>
      <w:tblPr>
        <w:tblW w:w="5000" w:type="pct"/>
        <w:jc w:val="left"/>
        <w:tblInd w:w="0" w:type="dxa"/>
        <w:tblCellMar>
          <w:top w:w="0" w:type="dxa"/>
          <w:left w:w="0" w:type="dxa"/>
          <w:bottom w:w="0" w:type="dxa"/>
          <w:right w:w="0" w:type="dxa"/>
        </w:tblCellMar>
      </w:tblPr>
      <w:tblGrid>
        <w:gridCol w:w="4376"/>
        <w:gridCol w:w="355"/>
        <w:gridCol w:w="600"/>
        <w:gridCol w:w="3469"/>
        <w:gridCol w:w="1405"/>
      </w:tblGrid>
      <w:tr>
        <w:trPr/>
        <w:tc>
          <w:tcPr>
            <w:tcW w:w="4376"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00" w:type="dxa"/>
            <w:tcBorders/>
            <w:shd w:fill="auto" w:val="clear"/>
            <w:vAlign w:val="center"/>
          </w:tcPr>
          <w:p>
            <w:pPr>
              <w:pStyle w:val="TableContents"/>
              <w:spacing w:before="0" w:after="283"/>
              <w:rPr/>
            </w:pPr>
            <w:r>
              <w:rPr/>
              <w:t> </w:t>
            </w:r>
          </w:p>
        </w:tc>
        <w:tc>
          <w:tcPr>
            <w:tcW w:w="3469" w:type="dxa"/>
            <w:tcBorders/>
            <w:shd w:fill="auto" w:val="clear"/>
            <w:vAlign w:val="center"/>
          </w:tcPr>
          <w:p>
            <w:pPr>
              <w:pStyle w:val="TableContents"/>
              <w:spacing w:before="0" w:after="283"/>
              <w:rPr/>
            </w:pPr>
            <w:r>
              <w:rPr/>
              <w:t>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tcPr>
          <w:p>
            <w:pPr>
              <w:pStyle w:val="TableContents"/>
              <w:spacing w:before="0" w:after="283"/>
              <w:jc w:val="left"/>
              <w:rPr/>
            </w:pPr>
            <w:r>
              <w:rPr/>
              <w:t> </w:t>
            </w:r>
          </w:p>
        </w:tc>
        <w:tc>
          <w:tcPr>
            <w:tcW w:w="4424" w:type="dxa"/>
            <w:gridSpan w:val="3"/>
            <w:tcBorders/>
            <w:shd w:fill="auto" w:val="clear"/>
            <w:vAlign w:val="center"/>
          </w:tcPr>
          <w:p>
            <w:pPr>
              <w:pStyle w:val="TableContents"/>
              <w:spacing w:before="0" w:after="283"/>
              <w:jc w:val="left"/>
              <w:rPr/>
            </w:pPr>
            <w:r>
              <w:rPr/>
              <w:t>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69" w:type="dxa"/>
            <w:gridSpan w:val="2"/>
            <w:tcBorders>
              <w:bottom w:val="single" w:sz="2" w:space="0" w:color="000000"/>
            </w:tcBorders>
            <w:shd w:fill="auto" w:val="clear"/>
            <w:tcMar>
              <w:bottom w:w="28" w:type="dxa"/>
            </w:tcMar>
            <w:vAlign w:val="center"/>
          </w:tcPr>
          <w:p>
            <w:pPr>
              <w:pStyle w:val="TableContents"/>
              <w:spacing w:before="0" w:after="283"/>
              <w:jc w:val="left"/>
              <w:rPr/>
            </w:pPr>
            <w:r>
              <w:rPr/>
              <w:t>/s/ Steven A. Finklea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69" w:type="dxa"/>
            <w:gridSpan w:val="2"/>
            <w:tcBorders/>
            <w:shd w:fill="auto" w:val="clear"/>
            <w:vAlign w:val="center"/>
          </w:tcPr>
          <w:p>
            <w:pPr>
              <w:pStyle w:val="TableContents"/>
              <w:spacing w:before="0" w:after="283"/>
              <w:jc w:val="left"/>
              <w:rPr/>
            </w:pPr>
            <w:r>
              <w:rPr/>
              <w:t>Steven A. Finklea </w:t>
            </w:r>
          </w:p>
        </w:tc>
        <w:tc>
          <w:tcPr>
            <w:tcW w:w="1405" w:type="dxa"/>
            <w:tcBorders/>
            <w:shd w:fill="auto" w:val="clear"/>
            <w:vAlign w:val="center"/>
          </w:tcPr>
          <w:p>
            <w:pPr>
              <w:pStyle w:val="TableContents"/>
              <w:spacing w:before="0" w:after="283"/>
              <w:rPr/>
            </w:pPr>
            <w:r>
              <w:rPr/>
              <w:t> </w:t>
            </w:r>
          </w:p>
        </w:tc>
      </w:tr>
      <w:tr>
        <w:trPr/>
        <w:tc>
          <w:tcPr>
            <w:tcW w:w="4376"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69" w:type="dxa"/>
            <w:gridSpan w:val="2"/>
            <w:tcBorders/>
            <w:shd w:fill="auto" w:val="clear"/>
            <w:vAlign w:val="center"/>
          </w:tcPr>
          <w:p>
            <w:pPr>
              <w:pStyle w:val="TableContents"/>
              <w:spacing w:before="0" w:after="283"/>
              <w:jc w:val="left"/>
              <w:rPr/>
            </w:pPr>
            <w:r>
              <w:rPr/>
              <w:t>Vice President </w:t>
            </w:r>
          </w:p>
        </w:tc>
        <w:tc>
          <w:tcPr>
            <w:tcW w:w="140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u w:val="single"/>
        </w:rPr>
        <w:t>Exhibit 7</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U.S. Bank National Association</w:t>
        <w:br/>
        <w:t>Statement of Financial Condition</w:t>
        <w:br/>
        <w:t>As of 9/30/2006</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($000s)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199"/>
        <w:gridCol w:w="465"/>
        <w:gridCol w:w="177"/>
        <w:gridCol w:w="1235"/>
        <w:gridCol w:w="129"/>
      </w:tblGrid>
      <w:tr>
        <w:trPr/>
        <w:tc>
          <w:tcPr>
            <w:tcW w:w="8199"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412" w:type="dxa"/>
            <w:gridSpan w:val="2"/>
            <w:tcBorders>
              <w:bottom w:val="single" w:sz="2" w:space="0" w:color="000000"/>
            </w:tcBorders>
            <w:shd w:fill="auto" w:val="clear"/>
            <w:tcMar>
              <w:bottom w:w="28" w:type="dxa"/>
            </w:tcMar>
            <w:vAlign w:val="bottom"/>
          </w:tcPr>
          <w:p>
            <w:pPr>
              <w:pStyle w:val="TableContents"/>
              <w:spacing w:before="0" w:after="283"/>
              <w:jc w:val="center"/>
              <w:rPr/>
            </w:pPr>
            <w:r>
              <w:rPr/>
              <w:t>9/30/2006</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225" w:right="0" w:hanging="225"/>
              <w:rPr/>
            </w:pPr>
            <w:r>
              <w:rPr/>
              <w:t>Assets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675" w:right="0" w:hanging="225"/>
              <w:rPr/>
            </w:pPr>
            <w:r>
              <w:rPr/>
              <w:t>Cash and Due From Depository Institutions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1235" w:type="dxa"/>
            <w:tcBorders/>
            <w:shd w:fill="auto" w:val="clear"/>
            <w:vAlign w:val="bottom"/>
          </w:tcPr>
          <w:p>
            <w:pPr>
              <w:pStyle w:val="TableContents"/>
              <w:spacing w:before="0" w:after="283"/>
              <w:jc w:val="right"/>
              <w:rPr/>
            </w:pPr>
            <w:r>
              <w:rPr/>
              <w:t>6,436,856</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675" w:right="0" w:hanging="225"/>
              <w:rPr/>
            </w:pPr>
            <w:r>
              <w:rPr/>
              <w:t>Securities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39,245,651</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675" w:right="0" w:hanging="225"/>
              <w:rPr/>
            </w:pPr>
            <w:r>
              <w:rPr/>
              <w:t>Federal Funds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3,475,844</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675" w:right="0" w:hanging="225"/>
              <w:rPr/>
            </w:pPr>
            <w:r>
              <w:rPr/>
              <w:t>Loans &amp; Lease Financing Receivables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141,382,736</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675" w:right="0" w:hanging="225"/>
              <w:rPr/>
            </w:pPr>
            <w:r>
              <w:rPr/>
              <w:t>Fixed Assets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2,629,727</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675" w:right="0" w:hanging="225"/>
              <w:rPr/>
            </w:pPr>
            <w:r>
              <w:rPr/>
              <w:t>Intangible Assets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11,923,005</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675" w:right="0" w:hanging="225"/>
              <w:rPr/>
            </w:pPr>
            <w:r>
              <w:rPr/>
              <w:t>Other Assets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10,799,396</w:t>
            </w:r>
          </w:p>
        </w:tc>
        <w:tc>
          <w:tcPr>
            <w:tcW w:w="129" w:type="dxa"/>
            <w:tcBorders/>
            <w:shd w:fill="auto" w:val="clear"/>
            <w:vAlign w:val="bottom"/>
          </w:tcPr>
          <w:p>
            <w:pPr>
              <w:pStyle w:val="TableContents"/>
              <w:spacing w:before="0" w:after="283"/>
              <w:rPr/>
            </w:pPr>
            <w:r>
              <w:rPr/>
              <w:t> </w:t>
            </w:r>
          </w:p>
        </w:tc>
      </w:tr>
      <w:tr>
        <w:trPr/>
        <w:tc>
          <w:tcPr>
            <w:tcW w:w="8199"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14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675" w:right="0" w:hanging="225"/>
              <w:rPr>
                <w:b/>
              </w:rPr>
            </w:pPr>
            <w:r>
              <w:rPr>
                <w:b/>
              </w:rPr>
              <w:t>Total Assets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b/>
              </w:rPr>
            </w:pPr>
            <w:r>
              <w:rPr>
                <w:b/>
              </w:rPr>
              <w:t>$</w:t>
            </w:r>
          </w:p>
        </w:tc>
        <w:tc>
          <w:tcPr>
            <w:tcW w:w="1235" w:type="dxa"/>
            <w:tcBorders/>
            <w:shd w:fill="CCEEFF" w:val="clear"/>
            <w:vAlign w:val="bottom"/>
          </w:tcPr>
          <w:p>
            <w:pPr>
              <w:pStyle w:val="TableContents"/>
              <w:spacing w:before="0" w:after="283"/>
              <w:jc w:val="right"/>
              <w:rPr>
                <w:b/>
              </w:rPr>
            </w:pPr>
            <w:r>
              <w:rPr>
                <w:b/>
              </w:rPr>
              <w:t>215,893,215</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225" w:right="0" w:hanging="225"/>
              <w:rPr>
                <w:b/>
              </w:rPr>
            </w:pPr>
            <w:r>
              <w:rPr>
                <w:b/>
              </w:rPr>
              <w:t>Liabilities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675" w:right="0" w:hanging="225"/>
              <w:rPr/>
            </w:pPr>
            <w:r>
              <w:rPr/>
              <w:t>Deposits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1235" w:type="dxa"/>
            <w:tcBorders/>
            <w:shd w:fill="CCEEFF" w:val="clear"/>
            <w:vAlign w:val="bottom"/>
          </w:tcPr>
          <w:p>
            <w:pPr>
              <w:pStyle w:val="TableContents"/>
              <w:spacing w:before="0" w:after="283"/>
              <w:jc w:val="right"/>
              <w:rPr/>
            </w:pPr>
            <w:r>
              <w:rPr/>
              <w:t>133,945,028</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675" w:right="0" w:hanging="225"/>
              <w:rPr/>
            </w:pPr>
            <w:r>
              <w:rPr/>
              <w:t>Fed Funds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12,987,134</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675" w:right="0" w:hanging="225"/>
              <w:rPr/>
            </w:pPr>
            <w:r>
              <w:rPr/>
              <w:t>Treasury Demand Notes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0</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675" w:right="0" w:hanging="225"/>
              <w:rPr/>
            </w:pPr>
            <w:r>
              <w:rPr/>
              <w:t>Trading Liabilities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166,479</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675" w:right="0" w:hanging="225"/>
              <w:rPr/>
            </w:pPr>
            <w:r>
              <w:rPr/>
              <w:t>Other Borrowed Money</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31,884,451</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675" w:right="0" w:hanging="225"/>
              <w:rPr/>
            </w:pPr>
            <w:r>
              <w:rPr/>
              <w:t>Acceptances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0</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675" w:right="0" w:hanging="225"/>
              <w:rPr/>
            </w:pPr>
            <w:r>
              <w:rPr/>
              <w:t>Subordinated Notes and Debentures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6,909,696</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675" w:right="0" w:hanging="225"/>
              <w:rPr/>
            </w:pPr>
            <w:r>
              <w:rPr/>
              <w:t>Other Liabilities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7,674,530</w:t>
            </w:r>
          </w:p>
        </w:tc>
        <w:tc>
          <w:tcPr>
            <w:tcW w:w="129" w:type="dxa"/>
            <w:tcBorders/>
            <w:shd w:fill="auto" w:val="clear"/>
            <w:vAlign w:val="bottom"/>
          </w:tcPr>
          <w:p>
            <w:pPr>
              <w:pStyle w:val="TableContents"/>
              <w:spacing w:before="0" w:after="283"/>
              <w:rPr/>
            </w:pPr>
            <w:r>
              <w:rPr/>
              <w:t> </w:t>
            </w:r>
          </w:p>
        </w:tc>
      </w:tr>
      <w:tr>
        <w:trPr/>
        <w:tc>
          <w:tcPr>
            <w:tcW w:w="8199"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14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675" w:right="0" w:hanging="225"/>
              <w:rPr>
                <w:b/>
              </w:rPr>
            </w:pPr>
            <w:r>
              <w:rPr>
                <w:b/>
              </w:rPr>
              <w:t>Total Liabilities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b/>
              </w:rPr>
            </w:pPr>
            <w:r>
              <w:rPr>
                <w:b/>
              </w:rPr>
              <w:t>$</w:t>
            </w:r>
          </w:p>
        </w:tc>
        <w:tc>
          <w:tcPr>
            <w:tcW w:w="1235" w:type="dxa"/>
            <w:tcBorders/>
            <w:shd w:fill="CCEEFF" w:val="clear"/>
            <w:vAlign w:val="bottom"/>
          </w:tcPr>
          <w:p>
            <w:pPr>
              <w:pStyle w:val="TableContents"/>
              <w:spacing w:before="0" w:after="283"/>
              <w:jc w:val="right"/>
              <w:rPr>
                <w:b/>
              </w:rPr>
            </w:pPr>
            <w:r>
              <w:rPr>
                <w:b/>
              </w:rPr>
              <w:t>193,567,318</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225" w:right="0" w:hanging="225"/>
              <w:rPr>
                <w:b/>
              </w:rPr>
            </w:pPr>
            <w:r>
              <w:rPr>
                <w:b/>
              </w:rPr>
              <w:t>Equity</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675" w:right="0" w:hanging="225"/>
              <w:rPr/>
            </w:pPr>
            <w:r>
              <w:rPr/>
              <w:t>Minority Interest in Subsidiaries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1235" w:type="dxa"/>
            <w:tcBorders/>
            <w:shd w:fill="CCEEFF" w:val="clear"/>
            <w:vAlign w:val="bottom"/>
          </w:tcPr>
          <w:p>
            <w:pPr>
              <w:pStyle w:val="TableContents"/>
              <w:spacing w:before="0" w:after="283"/>
              <w:jc w:val="right"/>
              <w:rPr/>
            </w:pPr>
            <w:r>
              <w:rPr/>
              <w:t>1,044,165</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675" w:right="0" w:hanging="225"/>
              <w:rPr/>
            </w:pPr>
            <w:r>
              <w:rPr/>
              <w:t>Common and Preferred Stock</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18,200</w:t>
            </w:r>
          </w:p>
        </w:tc>
        <w:tc>
          <w:tcPr>
            <w:tcW w:w="129" w:type="dxa"/>
            <w:tcBorders/>
            <w:shd w:fill="auto" w:val="clear"/>
            <w:vAlign w:val="bottom"/>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675" w:right="0" w:hanging="225"/>
              <w:rPr/>
            </w:pPr>
            <w:r>
              <w:rPr/>
              <w:t>Surplus</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1235" w:type="dxa"/>
            <w:tcBorders/>
            <w:shd w:fill="CCEEFF" w:val="clear"/>
            <w:vAlign w:val="bottom"/>
          </w:tcPr>
          <w:p>
            <w:pPr>
              <w:pStyle w:val="TableContents"/>
              <w:spacing w:before="0" w:after="283"/>
              <w:jc w:val="right"/>
              <w:rPr/>
            </w:pPr>
            <w:r>
              <w:rPr/>
              <w:t>11,977,237</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675" w:right="0" w:hanging="225"/>
              <w:rPr/>
            </w:pPr>
            <w:r>
              <w:rPr/>
              <w:t>Undivided Profits</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jc w:val="right"/>
              <w:rPr/>
            </w:pPr>
            <w:r>
              <w:rPr/>
              <w:t>9,286,295</w:t>
            </w:r>
          </w:p>
        </w:tc>
        <w:tc>
          <w:tcPr>
            <w:tcW w:w="129" w:type="dxa"/>
            <w:tcBorders/>
            <w:shd w:fill="auto" w:val="clear"/>
            <w:vAlign w:val="bottom"/>
          </w:tcPr>
          <w:p>
            <w:pPr>
              <w:pStyle w:val="TableContents"/>
              <w:spacing w:before="0" w:after="283"/>
              <w:rPr/>
            </w:pPr>
            <w:r>
              <w:rPr/>
              <w:t> </w:t>
            </w:r>
          </w:p>
        </w:tc>
      </w:tr>
      <w:tr>
        <w:trPr/>
        <w:tc>
          <w:tcPr>
            <w:tcW w:w="8199" w:type="dxa"/>
            <w:tcBorders/>
            <w:shd w:fill="auto" w:val="clear"/>
            <w:vAlign w:val="center"/>
          </w:tcPr>
          <w:p>
            <w:pPr>
              <w:pStyle w:val="TableContents"/>
              <w:spacing w:before="0" w:after="0"/>
              <w:ind w:left="225" w:right="0" w:hanging="225"/>
              <w:rPr/>
            </w:pPr>
            <w:r>
              <w:rPr/>
              <w:t> </w:t>
            </w:r>
          </w:p>
        </w:tc>
        <w:tc>
          <w:tcPr>
            <w:tcW w:w="465" w:type="dxa"/>
            <w:tcBorders/>
            <w:shd w:fill="auto" w:val="clear"/>
            <w:vAlign w:val="center"/>
          </w:tcPr>
          <w:p>
            <w:pPr>
              <w:pStyle w:val="TableContents"/>
              <w:spacing w:before="0" w:after="283"/>
              <w:rPr/>
            </w:pPr>
            <w:r>
              <w:rPr/>
              <w:t> </w:t>
            </w:r>
          </w:p>
        </w:tc>
        <w:tc>
          <w:tcPr>
            <w:tcW w:w="14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r>
      <w:tr>
        <w:trPr/>
        <w:tc>
          <w:tcPr>
            <w:tcW w:w="8199" w:type="dxa"/>
            <w:tcBorders/>
            <w:shd w:fill="CCEEFF" w:val="clear"/>
            <w:vAlign w:val="bottom"/>
          </w:tcPr>
          <w:p>
            <w:pPr>
              <w:pStyle w:val="TableContents"/>
              <w:spacing w:before="0" w:after="0"/>
              <w:ind w:left="900" w:right="0" w:hanging="225"/>
              <w:rPr>
                <w:b/>
              </w:rPr>
            </w:pPr>
            <w:r>
              <w:rPr>
                <w:b/>
              </w:rPr>
              <w:t>Total Equity Capital</w:t>
            </w:r>
          </w:p>
        </w:tc>
        <w:tc>
          <w:tcPr>
            <w:tcW w:w="465"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b/>
              </w:rPr>
            </w:pPr>
            <w:r>
              <w:rPr>
                <w:b/>
              </w:rPr>
              <w:t>$</w:t>
            </w:r>
          </w:p>
        </w:tc>
        <w:tc>
          <w:tcPr>
            <w:tcW w:w="1235" w:type="dxa"/>
            <w:tcBorders/>
            <w:shd w:fill="CCEEFF" w:val="clear"/>
            <w:vAlign w:val="bottom"/>
          </w:tcPr>
          <w:p>
            <w:pPr>
              <w:pStyle w:val="TableContents"/>
              <w:spacing w:before="0" w:after="283"/>
              <w:jc w:val="right"/>
              <w:rPr>
                <w:b/>
              </w:rPr>
            </w:pPr>
            <w:r>
              <w:rPr>
                <w:b/>
              </w:rPr>
              <w:t>22,325,897</w:t>
            </w:r>
          </w:p>
        </w:tc>
        <w:tc>
          <w:tcPr>
            <w:tcW w:w="129" w:type="dxa"/>
            <w:tcBorders/>
            <w:shd w:fill="CCEEFF"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225" w:right="0" w:hanging="225"/>
              <w:rPr/>
            </w:pPr>
            <w:r>
              <w:rPr/>
              <w:t> </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123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r>
      <w:tr>
        <w:trPr/>
        <w:tc>
          <w:tcPr>
            <w:tcW w:w="8199" w:type="dxa"/>
            <w:tcBorders/>
            <w:shd w:fill="auto" w:val="clear"/>
            <w:vAlign w:val="bottom"/>
          </w:tcPr>
          <w:p>
            <w:pPr>
              <w:pStyle w:val="TableContents"/>
              <w:spacing w:before="0" w:after="0"/>
              <w:ind w:left="450" w:right="0" w:hanging="225"/>
              <w:rPr>
                <w:b/>
              </w:rPr>
            </w:pPr>
            <w:r>
              <w:rPr>
                <w:b/>
              </w:rPr>
              <w:t>Total Liabilities and Equity Capital</w:t>
            </w:r>
          </w:p>
        </w:tc>
        <w:tc>
          <w:tcPr>
            <w:tcW w:w="465"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b/>
              </w:rPr>
            </w:pPr>
            <w:r>
              <w:rPr>
                <w:b/>
              </w:rPr>
              <w:t>$</w:t>
            </w:r>
          </w:p>
        </w:tc>
        <w:tc>
          <w:tcPr>
            <w:tcW w:w="1235" w:type="dxa"/>
            <w:tcBorders/>
            <w:shd w:fill="auto" w:val="clear"/>
            <w:vAlign w:val="bottom"/>
          </w:tcPr>
          <w:p>
            <w:pPr>
              <w:pStyle w:val="TableContents"/>
              <w:spacing w:before="0" w:after="283"/>
              <w:jc w:val="right"/>
              <w:rPr>
                <w:b/>
              </w:rPr>
            </w:pPr>
            <w:r>
              <w:rPr>
                <w:b/>
              </w:rPr>
              <w:t>215,893,215</w:t>
            </w:r>
          </w:p>
        </w:tc>
        <w:tc>
          <w:tcPr>
            <w:tcW w:w="129" w:type="dxa"/>
            <w:tcBorders/>
            <w:shd w:fill="auto" w:val="clear"/>
            <w:vAlign w:val="bottom"/>
          </w:tcPr>
          <w:p>
            <w:pPr>
              <w:pStyle w:val="TableContents"/>
              <w:spacing w:before="0" w:after="283"/>
              <w:rPr/>
            </w:pPr>
            <w:r>
              <w:rPr/>
              <w:t> </w:t>
            </w:r>
          </w:p>
        </w:tc>
      </w:tr>
    </w:tbl>
    <w:p>
      <w:pPr>
        <w:pStyle w:val="TextBody"/>
        <w:spacing w:before="320" w:after="283"/>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 the best of the undersigneds determination, as of the date hereof, the above financial information is true and correct. </w:t>
      </w:r>
    </w:p>
    <w:tbl>
      <w:tblPr>
        <w:tblW w:w="5000" w:type="pct"/>
        <w:jc w:val="left"/>
        <w:tblInd w:w="0" w:type="dxa"/>
        <w:tblCellMar>
          <w:top w:w="0" w:type="dxa"/>
          <w:left w:w="0" w:type="dxa"/>
          <w:bottom w:w="0" w:type="dxa"/>
          <w:right w:w="0" w:type="dxa"/>
        </w:tblCellMar>
      </w:tblPr>
      <w:tblGrid>
        <w:gridCol w:w="134"/>
        <w:gridCol w:w="1541"/>
        <w:gridCol w:w="709"/>
        <w:gridCol w:w="2214"/>
        <w:gridCol w:w="5607"/>
      </w:tblGrid>
      <w:tr>
        <w:trPr/>
        <w:tc>
          <w:tcPr>
            <w:tcW w:w="134" w:type="dxa"/>
            <w:tcBorders/>
            <w:shd w:fill="auto" w:val="clear"/>
            <w:vAlign w:val="center"/>
          </w:tcPr>
          <w:p>
            <w:pPr>
              <w:pStyle w:val="TableContents"/>
              <w:spacing w:before="0" w:after="283"/>
              <w:rPr/>
            </w:pPr>
            <w:r>
              <w:rPr/>
              <w:t> </w:t>
            </w:r>
          </w:p>
        </w:tc>
        <w:tc>
          <w:tcPr>
            <w:tcW w:w="1541" w:type="dxa"/>
            <w:tcBorders/>
            <w:shd w:fill="auto" w:val="clear"/>
            <w:vAlign w:val="center"/>
          </w:tcPr>
          <w:p>
            <w:pPr>
              <w:pStyle w:val="TableContents"/>
              <w:spacing w:before="0" w:after="283"/>
              <w:rPr/>
            </w:pPr>
            <w:r>
              <w:rPr/>
              <w:t> </w:t>
            </w:r>
          </w:p>
        </w:tc>
        <w:tc>
          <w:tcPr>
            <w:tcW w:w="709" w:type="dxa"/>
            <w:tcBorders/>
            <w:shd w:fill="auto" w:val="clear"/>
            <w:vAlign w:val="center"/>
          </w:tcPr>
          <w:p>
            <w:pPr>
              <w:pStyle w:val="TableContents"/>
              <w:spacing w:before="0" w:after="283"/>
              <w:rPr/>
            </w:pPr>
            <w:r>
              <w:rPr/>
              <w:t> </w:t>
            </w:r>
          </w:p>
        </w:tc>
        <w:tc>
          <w:tcPr>
            <w:tcW w:w="2214" w:type="dxa"/>
            <w:tcBorders/>
            <w:shd w:fill="auto" w:val="clear"/>
            <w:vAlign w:val="center"/>
          </w:tcPr>
          <w:p>
            <w:pPr>
              <w:pStyle w:val="TableContents"/>
              <w:spacing w:before="0" w:after="283"/>
              <w:rPr/>
            </w:pPr>
            <w:r>
              <w:rPr/>
              <w:t> </w:t>
            </w:r>
          </w:p>
        </w:tc>
        <w:tc>
          <w:tcPr>
            <w:tcW w:w="5607" w:type="dxa"/>
            <w:tcBorders/>
            <w:shd w:fill="auto" w:val="clear"/>
            <w:vAlign w:val="center"/>
          </w:tcPr>
          <w:p>
            <w:pPr>
              <w:pStyle w:val="TableContents"/>
              <w:spacing w:before="0" w:after="283"/>
              <w:rPr/>
            </w:pPr>
            <w:r>
              <w:rPr/>
              <w:t> </w:t>
            </w:r>
          </w:p>
        </w:tc>
      </w:tr>
      <w:tr>
        <w:trPr/>
        <w:tc>
          <w:tcPr>
            <w:tcW w:w="134" w:type="dxa"/>
            <w:tcBorders/>
            <w:shd w:fill="auto" w:val="clear"/>
          </w:tcPr>
          <w:p>
            <w:pPr>
              <w:pStyle w:val="TableContents"/>
              <w:spacing w:before="0" w:after="283"/>
              <w:jc w:val="left"/>
              <w:rPr/>
            </w:pPr>
            <w:r>
              <w:rPr/>
              <w:t> </w:t>
            </w:r>
          </w:p>
        </w:tc>
        <w:tc>
          <w:tcPr>
            <w:tcW w:w="4464" w:type="dxa"/>
            <w:gridSpan w:val="3"/>
            <w:tcBorders/>
            <w:shd w:fill="auto" w:val="clear"/>
            <w:vAlign w:val="center"/>
          </w:tcPr>
          <w:p>
            <w:pPr>
              <w:pStyle w:val="TableContents"/>
              <w:spacing w:before="0" w:after="283"/>
              <w:jc w:val="left"/>
              <w:rPr/>
            </w:pPr>
            <w:r>
              <w:rPr>
                <w:b/>
              </w:rPr>
              <w:t>U.S. Bank National Association</w:t>
            </w:r>
            <w:r>
              <w:rPr/>
              <w:br/>
              <w:t> </w:t>
            </w:r>
          </w:p>
        </w:tc>
        <w:tc>
          <w:tcPr>
            <w:tcW w:w="5607" w:type="dxa"/>
            <w:tcBorders/>
            <w:shd w:fill="auto" w:val="clear"/>
            <w:vAlign w:val="center"/>
          </w:tcPr>
          <w:p>
            <w:pPr>
              <w:pStyle w:val="TableContents"/>
              <w:spacing w:before="0" w:after="283"/>
              <w:rPr/>
            </w:pPr>
            <w:r>
              <w:rPr/>
              <w:t> </w:t>
            </w:r>
          </w:p>
        </w:tc>
      </w:tr>
      <w:tr>
        <w:trPr/>
        <w:tc>
          <w:tcPr>
            <w:tcW w:w="134" w:type="dxa"/>
            <w:tcBorders/>
            <w:shd w:fill="auto" w:val="clear"/>
            <w:vAlign w:val="center"/>
          </w:tcPr>
          <w:p>
            <w:pPr>
              <w:pStyle w:val="TableContents"/>
              <w:spacing w:before="0" w:after="283"/>
              <w:jc w:val="left"/>
              <w:rPr/>
            </w:pPr>
            <w:r>
              <w:rPr/>
              <w:t> </w:t>
            </w:r>
          </w:p>
        </w:tc>
        <w:tc>
          <w:tcPr>
            <w:tcW w:w="1541" w:type="dxa"/>
            <w:tcBorders/>
            <w:shd w:fill="auto" w:val="clear"/>
          </w:tcPr>
          <w:p>
            <w:pPr>
              <w:pStyle w:val="TableContents"/>
              <w:spacing w:before="0" w:after="283"/>
              <w:rPr/>
            </w:pPr>
            <w:r>
              <w:rPr/>
              <w:t>By:  </w:t>
            </w:r>
          </w:p>
        </w:tc>
        <w:tc>
          <w:tcPr>
            <w:tcW w:w="2923" w:type="dxa"/>
            <w:gridSpan w:val="2"/>
            <w:tcBorders>
              <w:bottom w:val="single" w:sz="2" w:space="0" w:color="000000"/>
            </w:tcBorders>
            <w:shd w:fill="auto" w:val="clear"/>
            <w:tcMar>
              <w:bottom w:w="28" w:type="dxa"/>
            </w:tcMar>
            <w:vAlign w:val="center"/>
          </w:tcPr>
          <w:p>
            <w:pPr>
              <w:pStyle w:val="TableContents"/>
              <w:spacing w:before="0" w:after="283"/>
              <w:jc w:val="left"/>
              <w:rPr/>
            </w:pPr>
            <w:r>
              <w:rPr/>
              <w:t>/s/ Steven A. Finklea  </w:t>
            </w:r>
          </w:p>
        </w:tc>
        <w:tc>
          <w:tcPr>
            <w:tcW w:w="5607" w:type="dxa"/>
            <w:tcBorders/>
            <w:shd w:fill="auto" w:val="clear"/>
            <w:vAlign w:val="center"/>
          </w:tcPr>
          <w:p>
            <w:pPr>
              <w:pStyle w:val="TableContents"/>
              <w:spacing w:before="0" w:after="283"/>
              <w:rPr/>
            </w:pPr>
            <w:r>
              <w:rPr/>
              <w:t> </w:t>
            </w:r>
          </w:p>
        </w:tc>
      </w:tr>
      <w:tr>
        <w:trPr/>
        <w:tc>
          <w:tcPr>
            <w:tcW w:w="134" w:type="dxa"/>
            <w:tcBorders/>
            <w:shd w:fill="auto" w:val="clear"/>
            <w:vAlign w:val="center"/>
          </w:tcPr>
          <w:p>
            <w:pPr>
              <w:pStyle w:val="TableContents"/>
              <w:spacing w:before="0" w:after="283"/>
              <w:jc w:val="left"/>
              <w:rPr/>
            </w:pPr>
            <w:r>
              <w:rPr/>
              <w:t> </w:t>
            </w:r>
          </w:p>
        </w:tc>
        <w:tc>
          <w:tcPr>
            <w:tcW w:w="1541" w:type="dxa"/>
            <w:tcBorders/>
            <w:shd w:fill="auto" w:val="clear"/>
            <w:vAlign w:val="center"/>
          </w:tcPr>
          <w:p>
            <w:pPr>
              <w:pStyle w:val="TableContents"/>
              <w:spacing w:before="0" w:after="283"/>
              <w:rPr/>
            </w:pPr>
            <w:r>
              <w:rPr/>
              <w:t> </w:t>
            </w:r>
          </w:p>
        </w:tc>
        <w:tc>
          <w:tcPr>
            <w:tcW w:w="2923" w:type="dxa"/>
            <w:gridSpan w:val="2"/>
            <w:tcBorders/>
            <w:shd w:fill="auto" w:val="clear"/>
            <w:vAlign w:val="center"/>
          </w:tcPr>
          <w:p>
            <w:pPr>
              <w:pStyle w:val="TableContents"/>
              <w:spacing w:before="0" w:after="283"/>
              <w:jc w:val="left"/>
              <w:rPr/>
            </w:pPr>
            <w:r>
              <w:rPr/>
              <w:t>Steven A. Finklea </w:t>
            </w:r>
          </w:p>
        </w:tc>
        <w:tc>
          <w:tcPr>
            <w:tcW w:w="5607" w:type="dxa"/>
            <w:tcBorders/>
            <w:shd w:fill="auto" w:val="clear"/>
            <w:vAlign w:val="center"/>
          </w:tcPr>
          <w:p>
            <w:pPr>
              <w:pStyle w:val="TableContents"/>
              <w:spacing w:before="0" w:after="283"/>
              <w:rPr/>
            </w:pPr>
            <w:r>
              <w:rPr/>
              <w:t> </w:t>
            </w:r>
          </w:p>
        </w:tc>
      </w:tr>
      <w:tr>
        <w:trPr/>
        <w:tc>
          <w:tcPr>
            <w:tcW w:w="134" w:type="dxa"/>
            <w:tcBorders/>
            <w:shd w:fill="auto" w:val="clear"/>
            <w:vAlign w:val="center"/>
          </w:tcPr>
          <w:p>
            <w:pPr>
              <w:pStyle w:val="TableContents"/>
              <w:spacing w:before="0" w:after="283"/>
              <w:jc w:val="left"/>
              <w:rPr/>
            </w:pPr>
            <w:r>
              <w:rPr/>
              <w:t> </w:t>
            </w:r>
          </w:p>
        </w:tc>
        <w:tc>
          <w:tcPr>
            <w:tcW w:w="1541" w:type="dxa"/>
            <w:tcBorders/>
            <w:shd w:fill="auto" w:val="clear"/>
            <w:vAlign w:val="center"/>
          </w:tcPr>
          <w:p>
            <w:pPr>
              <w:pStyle w:val="TableContents"/>
              <w:spacing w:before="0" w:after="283"/>
              <w:rPr/>
            </w:pPr>
            <w:r>
              <w:rPr/>
              <w:t> </w:t>
            </w:r>
          </w:p>
        </w:tc>
        <w:tc>
          <w:tcPr>
            <w:tcW w:w="2923" w:type="dxa"/>
            <w:gridSpan w:val="2"/>
            <w:tcBorders/>
            <w:shd w:fill="auto" w:val="clear"/>
            <w:vAlign w:val="center"/>
          </w:tcPr>
          <w:p>
            <w:pPr>
              <w:pStyle w:val="TableContents"/>
              <w:spacing w:before="0" w:after="283"/>
              <w:jc w:val="left"/>
              <w:rPr/>
            </w:pPr>
            <w:r>
              <w:rPr/>
              <w:t>Vice President </w:t>
            </w:r>
          </w:p>
        </w:tc>
        <w:tc>
          <w:tcPr>
            <w:tcW w:w="560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March 8, 2007 </w:t>
      </w:r>
    </w:p>
    <w:p>
      <w:pPr>
        <w:pStyle w:val="TextBody"/>
        <w:jc w:val="center"/>
        <w:rPr>
          <w:rFonts w:ascii="Times New Roman;Times;serif" w:hAnsi="Times New Roman;Times;serif"/>
          <w:sz w:val="17"/>
        </w:rPr>
      </w:pPr>
      <w:r>
        <w:rPr>
          <w:rFonts w:ascii="Times New Roman;Times;serif" w:hAnsi="Times New Roman;Times;serif"/>
          <w:sz w:val="17"/>
        </w:rPr>
        <w:t xml:space="preserve">5 </w:t>
      </w:r>
      <w:r>
        <w:br w:type="page"/>
      </w:r>
    </w:p>
    <w:p>
      <w:pPr>
        <w:pStyle w:val="Heading5"/>
        <w:jc w:val="left"/>
        <w:rPr/>
      </w:pPr>
      <w:bookmarkStart w:id="27" w:name="filename7.htm"/>
      <w:bookmarkStart w:id="28" w:name="ksfilename7"/>
      <w:bookmarkEnd w:id="27"/>
      <w:bookmarkEnd w:id="28"/>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br/>
        <w:t>333 Clay Street, Suite 1600</w:t>
        <w:br/>
        <w:t>Houston, Texas 77002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March 23,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Division of Corporation Finance</w:t>
        <w:br/>
        <w:t>Securities and Exchange Commission</w:t>
        <w:br/>
        <w:t>100 F Street, N.E.</w:t>
        <w:br/>
        <w:t xml:space="preserve">Washington, D.C. 20549 </w:t>
      </w:r>
    </w:p>
    <w:tbl>
      <w:tblPr>
        <w:tblW w:w="5000" w:type="pct"/>
        <w:jc w:val="left"/>
        <w:tblInd w:w="0" w:type="dxa"/>
        <w:tblCellMar>
          <w:top w:w="0" w:type="dxa"/>
          <w:left w:w="0" w:type="dxa"/>
          <w:bottom w:w="0" w:type="dxa"/>
          <w:right w:w="0" w:type="dxa"/>
        </w:tblCellMar>
      </w:tblPr>
      <w:tblGrid>
        <w:gridCol w:w="1019"/>
        <w:gridCol w:w="101"/>
        <w:gridCol w:w="9085"/>
      </w:tblGrid>
      <w:tr>
        <w:trPr/>
        <w:tc>
          <w:tcPr>
            <w:tcW w:w="101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085" w:type="dxa"/>
            <w:tcBorders/>
            <w:shd w:fill="auto" w:val="clear"/>
            <w:vAlign w:val="center"/>
          </w:tcPr>
          <w:p>
            <w:pPr>
              <w:pStyle w:val="TableContents"/>
              <w:spacing w:before="0" w:after="283"/>
              <w:rPr>
                <w:sz w:val="4"/>
                <w:szCs w:val="4"/>
              </w:rPr>
            </w:pPr>
            <w:r>
              <w:rPr>
                <w:sz w:val="4"/>
                <w:szCs w:val="4"/>
              </w:rPr>
            </w:r>
          </w:p>
        </w:tc>
      </w:tr>
      <w:tr>
        <w:trPr/>
        <w:tc>
          <w:tcPr>
            <w:tcW w:w="1019" w:type="dxa"/>
            <w:tcBorders/>
            <w:shd w:fill="auto" w:val="clear"/>
          </w:tcPr>
          <w:p>
            <w:pPr>
              <w:pStyle w:val="TableContents"/>
              <w:spacing w:before="0" w:after="283"/>
              <w:jc w:val="right"/>
              <w:rPr/>
            </w:pPr>
            <w:r>
              <w:rPr/>
              <w:t>Re:</w:t>
            </w:r>
          </w:p>
        </w:tc>
        <w:tc>
          <w:tcPr>
            <w:tcW w:w="101" w:type="dxa"/>
            <w:tcBorders/>
            <w:shd w:fill="auto" w:val="clear"/>
          </w:tcPr>
          <w:p>
            <w:pPr>
              <w:pStyle w:val="TableContents"/>
              <w:spacing w:before="0" w:after="283"/>
              <w:rPr/>
            </w:pPr>
            <w:r>
              <w:rPr/>
              <w:t> </w:t>
            </w:r>
          </w:p>
        </w:tc>
        <w:tc>
          <w:tcPr>
            <w:tcW w:w="9085" w:type="dxa"/>
            <w:tcBorders/>
            <w:shd w:fill="auto" w:val="clear"/>
          </w:tcPr>
          <w:p>
            <w:pPr>
              <w:pStyle w:val="TableContents"/>
              <w:spacing w:before="0" w:after="283"/>
              <w:rPr/>
            </w:pPr>
            <w:r>
              <w:rPr/>
              <w:t>Plains All American Pipeline, L.P.</w:t>
              <w:br/>
              <w:t>S-4 Registration Statement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This letter accompanies the Registration Statement on Form S-4 of Plains All American Pipeline, L.P. (Plains) respecting the exchange offers of up to $400,000,000 aggregate principal amount of their 6.125% Senior Notes due 2017 (2017 Notes) and of up to $600,000,000 aggregate principal amount of their 6.650% Senior Notes due 2037 (2037 Notes, and together with the 2017 Notes, the Senior Notes), each of which were originally issued on October 30, 2006 in a Rule 144A transaction. </w:t>
      </w:r>
    </w:p>
    <w:p>
      <w:pPr>
        <w:pStyle w:val="TextBody"/>
        <w:spacing w:before="120" w:after="283"/>
        <w:jc w:val="left"/>
        <w:rPr/>
      </w:pPr>
      <w:r>
        <w:rPr/>
        <w:t>     </w:t>
      </w:r>
      <w:r>
        <w:rPr>
          <w:rFonts w:ascii="Times New Roman;Times;serif" w:hAnsi="Times New Roman;Times;serif"/>
          <w:sz w:val="17"/>
        </w:rPr>
        <w:t xml:space="preserve">The purpose of this letter is to confirm supplementally to the Staff that Plains is registering the Senior Notes to be issued in such exchange offer in reliance on the </w:t>
      </w:r>
      <w:r>
        <w:rPr>
          <w:rFonts w:ascii="Times New Roman;Times;serif" w:hAnsi="Times New Roman;Times;serif"/>
          <w:sz w:val="17"/>
          <w:u w:val="single"/>
        </w:rPr>
        <w:t>Exxon Capital Holdings Corporation</w:t>
      </w:r>
      <w:r>
        <w:rPr>
          <w:rFonts w:ascii="Times New Roman;Times;serif" w:hAnsi="Times New Roman;Times;serif"/>
          <w:sz w:val="17"/>
        </w:rPr>
        <w:t xml:space="preserve"> letter (available April 13, 1989), the </w:t>
      </w:r>
      <w:r>
        <w:rPr>
          <w:rFonts w:ascii="Times New Roman;Times;serif" w:hAnsi="Times New Roman;Times;serif"/>
          <w:sz w:val="17"/>
          <w:u w:val="single"/>
        </w:rPr>
        <w:t>Morgan Stanley &amp; Co. Incorporated</w:t>
      </w:r>
      <w:r>
        <w:rPr>
          <w:rFonts w:ascii="Times New Roman;Times;serif" w:hAnsi="Times New Roman;Times;serif"/>
          <w:sz w:val="17"/>
        </w:rPr>
        <w:t xml:space="preserve"> letter (available June 5, 1991), and the </w:t>
      </w:r>
      <w:r>
        <w:rPr>
          <w:rFonts w:ascii="Times New Roman;Times;serif" w:hAnsi="Times New Roman;Times;serif"/>
          <w:sz w:val="17"/>
          <w:u w:val="single"/>
        </w:rPr>
        <w:t>Shearman &amp; Sterling</w:t>
      </w:r>
      <w:r>
        <w:rPr>
          <w:rFonts w:ascii="Times New Roman;Times;serif" w:hAnsi="Times New Roman;Times;serif"/>
          <w:sz w:val="17"/>
        </w:rPr>
        <w:t xml:space="preserve"> letter (available July 2, 1993). Plains hereby represents that it has not entered into any arrangement or understanding with any person (including any broker-dealer) to distribute the Senior Notes to be issued in the exchange offer and, to the best of its knowledge and belief, each person (including any broker-dealer) participating in the exchange offer will acquire such Senior Notes in the ordinary course of business and with no arrangement or understanding with any person to participate in a distribution of Senior Notes to be received in the exchange offer. </w:t>
      </w:r>
    </w:p>
    <w:p>
      <w:pPr>
        <w:pStyle w:val="TextBody"/>
        <w:spacing w:before="120" w:after="283"/>
        <w:jc w:val="left"/>
        <w:rPr/>
      </w:pPr>
      <w:r>
        <w:rPr/>
        <w:t>     </w:t>
      </w:r>
      <w:r>
        <w:rPr>
          <w:rFonts w:ascii="Times New Roman;Times;serif" w:hAnsi="Times New Roman;Times;serif"/>
          <w:sz w:val="17"/>
        </w:rPr>
        <w:t xml:space="preserve">If any additional supplemental information is required by the Staff, please contact Plains counsel, Mr. Alan Beck, whose telephone number and mailing address are shown on the facing sheet of the S-4 Registration Statement. </w:t>
      </w:r>
    </w:p>
    <w:tbl>
      <w:tblPr>
        <w:tblW w:w="5000" w:type="pct"/>
        <w:jc w:val="left"/>
        <w:tblInd w:w="0" w:type="dxa"/>
        <w:tblCellMar>
          <w:top w:w="0" w:type="dxa"/>
          <w:left w:w="0" w:type="dxa"/>
          <w:bottom w:w="0" w:type="dxa"/>
          <w:right w:w="0" w:type="dxa"/>
        </w:tblCellMar>
      </w:tblPr>
      <w:tblGrid>
        <w:gridCol w:w="4063"/>
        <w:gridCol w:w="954"/>
        <w:gridCol w:w="782"/>
        <w:gridCol w:w="3095"/>
        <w:gridCol w:w="1311"/>
      </w:tblGrid>
      <w:tr>
        <w:trPr/>
        <w:tc>
          <w:tcPr>
            <w:tcW w:w="4063" w:type="dxa"/>
            <w:tcBorders/>
            <w:shd w:fill="auto" w:val="clear"/>
            <w:vAlign w:val="center"/>
          </w:tcPr>
          <w:p>
            <w:pPr>
              <w:pStyle w:val="TableContents"/>
              <w:spacing w:before="0" w:after="283"/>
              <w:rPr/>
            </w:pPr>
            <w:r>
              <w:rPr/>
              <w:t> </w:t>
            </w:r>
          </w:p>
        </w:tc>
        <w:tc>
          <w:tcPr>
            <w:tcW w:w="954" w:type="dxa"/>
            <w:tcBorders/>
            <w:shd w:fill="auto" w:val="clear"/>
            <w:vAlign w:val="center"/>
          </w:tcPr>
          <w:p>
            <w:pPr>
              <w:pStyle w:val="TableContents"/>
              <w:spacing w:before="0" w:after="283"/>
              <w:rPr/>
            </w:pPr>
            <w:r>
              <w:rPr/>
              <w:t> </w:t>
            </w:r>
          </w:p>
        </w:tc>
        <w:tc>
          <w:tcPr>
            <w:tcW w:w="782" w:type="dxa"/>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283"/>
              <w:rPr/>
            </w:pPr>
            <w:r>
              <w:rPr/>
              <w:t> </w:t>
            </w:r>
          </w:p>
        </w:tc>
        <w:tc>
          <w:tcPr>
            <w:tcW w:w="1311" w:type="dxa"/>
            <w:tcBorders/>
            <w:shd w:fill="auto" w:val="clear"/>
            <w:vAlign w:val="center"/>
          </w:tcPr>
          <w:p>
            <w:pPr>
              <w:pStyle w:val="TableContents"/>
              <w:spacing w:before="0" w:after="283"/>
              <w:rPr/>
            </w:pPr>
            <w:r>
              <w:rPr/>
              <w:t> </w:t>
            </w:r>
          </w:p>
        </w:tc>
      </w:tr>
      <w:tr>
        <w:trPr/>
        <w:tc>
          <w:tcPr>
            <w:tcW w:w="4063" w:type="dxa"/>
            <w:tcBorders/>
            <w:shd w:fill="auto" w:val="clear"/>
          </w:tcPr>
          <w:p>
            <w:pPr>
              <w:pStyle w:val="TableContents"/>
              <w:spacing w:before="0" w:after="283"/>
              <w:jc w:val="left"/>
              <w:rPr/>
            </w:pPr>
            <w:r>
              <w:rPr/>
              <w:t> </w:t>
            </w:r>
          </w:p>
        </w:tc>
        <w:tc>
          <w:tcPr>
            <w:tcW w:w="4831" w:type="dxa"/>
            <w:gridSpan w:val="3"/>
            <w:tcBorders/>
            <w:shd w:fill="auto" w:val="clear"/>
            <w:vAlign w:val="center"/>
          </w:tcPr>
          <w:p>
            <w:pPr>
              <w:pStyle w:val="TableContents"/>
              <w:spacing w:before="0" w:after="283"/>
              <w:jc w:val="left"/>
              <w:rPr/>
            </w:pPr>
            <w:r>
              <w:rPr/>
              <w:t>Very truly yours,</w:t>
              <w:br/>
              <w:br/>
              <w:br/>
              <w:t>PLAINS ALL AMERICAN PIPELINE, L.P.</w:t>
              <w:br/>
              <w:t> </w:t>
            </w:r>
          </w:p>
        </w:tc>
        <w:tc>
          <w:tcPr>
            <w:tcW w:w="1311"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954" w:type="dxa"/>
            <w:tcBorders/>
            <w:shd w:fill="auto" w:val="clear"/>
          </w:tcPr>
          <w:p>
            <w:pPr>
              <w:pStyle w:val="TableContents"/>
              <w:spacing w:before="0" w:after="283"/>
              <w:rPr/>
            </w:pPr>
            <w:r>
              <w:rPr/>
              <w:t>By:  </w:t>
            </w:r>
          </w:p>
        </w:tc>
        <w:tc>
          <w:tcPr>
            <w:tcW w:w="3877" w:type="dxa"/>
            <w:gridSpan w:val="2"/>
            <w:tcBorders/>
            <w:shd w:fill="auto" w:val="clear"/>
            <w:vAlign w:val="center"/>
          </w:tcPr>
          <w:p>
            <w:pPr>
              <w:pStyle w:val="TableContents"/>
              <w:spacing w:before="0" w:after="283"/>
              <w:rPr/>
            </w:pPr>
            <w:r>
              <w:rPr/>
              <w:t>Plains AAP, L.P., its general partner</w:t>
            </w:r>
          </w:p>
        </w:tc>
        <w:tc>
          <w:tcPr>
            <w:tcW w:w="1311"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954" w:type="dxa"/>
            <w:tcBorders/>
            <w:shd w:fill="auto" w:val="clear"/>
          </w:tcPr>
          <w:p>
            <w:pPr>
              <w:pStyle w:val="TableContents"/>
              <w:spacing w:before="0" w:after="283"/>
              <w:rPr/>
            </w:pPr>
            <w:r>
              <w:rPr/>
              <w:t>By:  </w:t>
            </w:r>
          </w:p>
        </w:tc>
        <w:tc>
          <w:tcPr>
            <w:tcW w:w="3877" w:type="dxa"/>
            <w:gridSpan w:val="2"/>
            <w:tcBorders/>
            <w:shd w:fill="auto" w:val="clear"/>
            <w:vAlign w:val="center"/>
          </w:tcPr>
          <w:p>
            <w:pPr>
              <w:pStyle w:val="TableContents"/>
              <w:spacing w:before="0" w:after="283"/>
              <w:jc w:val="left"/>
              <w:rPr/>
            </w:pPr>
            <w:r>
              <w:rPr/>
              <w:t>Plains All American GP LLC, its general partner</w:t>
            </w:r>
          </w:p>
        </w:tc>
        <w:tc>
          <w:tcPr>
            <w:tcW w:w="1311"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6142" w:type="dxa"/>
            <w:gridSpan w:val="4"/>
            <w:tcBorders/>
            <w:shd w:fill="auto" w:val="clear"/>
          </w:tcPr>
          <w:p>
            <w:pPr>
              <w:pStyle w:val="TableContents"/>
              <w:spacing w:before="0" w:after="283"/>
              <w:rPr>
                <w:sz w:val="4"/>
                <w:szCs w:val="4"/>
              </w:rPr>
            </w:pPr>
            <w:r>
              <w:rPr>
                <w:sz w:val="4"/>
                <w:szCs w:val="4"/>
              </w:rPr>
            </w:r>
          </w:p>
        </w:tc>
      </w:tr>
      <w:tr>
        <w:trPr/>
        <w:tc>
          <w:tcPr>
            <w:tcW w:w="4063" w:type="dxa"/>
            <w:tcBorders/>
            <w:shd w:fill="auto" w:val="clear"/>
            <w:vAlign w:val="center"/>
          </w:tcPr>
          <w:p>
            <w:pPr>
              <w:pStyle w:val="TableContents"/>
              <w:spacing w:before="0" w:after="283"/>
              <w:jc w:val="left"/>
              <w:rPr/>
            </w:pPr>
            <w:r>
              <w:rPr/>
              <w:t> </w:t>
            </w:r>
          </w:p>
        </w:tc>
        <w:tc>
          <w:tcPr>
            <w:tcW w:w="954" w:type="dxa"/>
            <w:tcBorders/>
            <w:shd w:fill="auto" w:val="clear"/>
          </w:tcPr>
          <w:p>
            <w:pPr>
              <w:pStyle w:val="TableContents"/>
              <w:spacing w:before="0" w:after="283"/>
              <w:rPr/>
            </w:pPr>
            <w:r>
              <w:rPr/>
              <w:t>By:  </w:t>
            </w:r>
          </w:p>
        </w:tc>
        <w:tc>
          <w:tcPr>
            <w:tcW w:w="3877"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r>
              <w:rPr/>
              <w:t>/s/ Tim Moore</w:t>
            </w:r>
          </w:p>
        </w:tc>
        <w:tc>
          <w:tcPr>
            <w:tcW w:w="1311"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rPr/>
            </w:pPr>
            <w:r>
              <w:rPr/>
              <w:t> </w:t>
            </w:r>
          </w:p>
        </w:tc>
        <w:tc>
          <w:tcPr>
            <w:tcW w:w="3877" w:type="dxa"/>
            <w:gridSpan w:val="2"/>
            <w:tcBorders/>
            <w:shd w:fill="auto" w:val="clear"/>
            <w:vAlign w:val="center"/>
          </w:tcPr>
          <w:p>
            <w:pPr>
              <w:pStyle w:val="TableContents"/>
              <w:spacing w:before="0" w:after="283"/>
              <w:jc w:val="left"/>
              <w:rPr/>
            </w:pPr>
            <w:r>
              <w:rPr/>
              <w:t>Tim Moore </w:t>
            </w:r>
          </w:p>
        </w:tc>
        <w:tc>
          <w:tcPr>
            <w:tcW w:w="1311" w:type="dxa"/>
            <w:tcBorders/>
            <w:shd w:fill="auto" w:val="clear"/>
            <w:vAlign w:val="center"/>
          </w:tcPr>
          <w:p>
            <w:pPr>
              <w:pStyle w:val="TableContents"/>
              <w:spacing w:before="0" w:after="283"/>
              <w:rPr/>
            </w:pPr>
            <w:r>
              <w:rPr/>
              <w:t> </w:t>
            </w:r>
          </w:p>
        </w:tc>
      </w:tr>
      <w:tr>
        <w:trPr/>
        <w:tc>
          <w:tcPr>
            <w:tcW w:w="4063" w:type="dxa"/>
            <w:tcBorders/>
            <w:shd w:fill="auto" w:val="clear"/>
            <w:vAlign w:val="center"/>
          </w:tcPr>
          <w:p>
            <w:pPr>
              <w:pStyle w:val="TableContents"/>
              <w:spacing w:before="0" w:after="283"/>
              <w:jc w:val="left"/>
              <w:rPr/>
            </w:pPr>
            <w:r>
              <w:rPr/>
              <w:t> </w:t>
            </w:r>
          </w:p>
        </w:tc>
        <w:tc>
          <w:tcPr>
            <w:tcW w:w="954" w:type="dxa"/>
            <w:tcBorders/>
            <w:shd w:fill="auto" w:val="clear"/>
            <w:vAlign w:val="center"/>
          </w:tcPr>
          <w:p>
            <w:pPr>
              <w:pStyle w:val="TableContents"/>
              <w:spacing w:before="0" w:after="283"/>
              <w:rPr/>
            </w:pPr>
            <w:r>
              <w:rPr/>
              <w:t> </w:t>
            </w:r>
          </w:p>
        </w:tc>
        <w:tc>
          <w:tcPr>
            <w:tcW w:w="3877" w:type="dxa"/>
            <w:gridSpan w:val="2"/>
            <w:tcBorders/>
            <w:shd w:fill="auto" w:val="clear"/>
            <w:vAlign w:val="center"/>
          </w:tcPr>
          <w:p>
            <w:pPr>
              <w:pStyle w:val="TableContents"/>
              <w:spacing w:before="0" w:after="283"/>
              <w:jc w:val="left"/>
              <w:rPr/>
            </w:pPr>
            <w:r>
              <w:rPr/>
              <w:t>Vice President </w:t>
            </w:r>
          </w:p>
        </w:tc>
        <w:tc>
          <w:tcPr>
            <w:tcW w:w="131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78</Pages>
  <Words>33576</Words>
  <CharactersWithSpaces>209879</CharactersWithSpaces>
  <Paragraphs>4450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cover</dc:title>
</cp:coreProperties>
</file>