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8283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283575"/>
                    </a:xfrm>
                    <a:prstGeom prst="rect">
                      <a:avLst/>
                    </a:prstGeom>
                    <a:noFill/>
                  </pic:spPr>
                </pic:pic>
              </a:graphicData>
            </a:graphic>
          </wp:anchor>
        </w:drawing>
      </w:r>
    </w:p>
    <w:p>
      <w:pPr>
        <w:spacing w:after="0" w:line="100" w:lineRule="exact"/>
        <w:rPr>
          <w:sz w:val="24"/>
          <w:szCs w:val="24"/>
          <w:color w:val="auto"/>
        </w:rPr>
      </w:pPr>
    </w:p>
    <w:p>
      <w:pPr>
        <w:sectPr>
          <w:pgSz w:w="11900" w:h="16877"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STATE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12/29/2017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6" w:val="left"/>
          <w:tab w:leader="none" w:pos="216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21" w:lineRule="exact"/>
        <w:rPr>
          <w:sz w:val="24"/>
          <w:szCs w:val="24"/>
          <w:color w:val="auto"/>
        </w:rPr>
      </w:pPr>
    </w:p>
    <w:p>
      <w:pPr>
        <w:sectPr>
          <w:pgSz w:w="11900" w:h="16877" w:orient="portrait"/>
          <w:cols w:equalWidth="0" w:num="3">
            <w:col w:w="3340" w:space="720"/>
            <w:col w:w="3253" w:space="720"/>
            <w:col w:w="3487"/>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20" w:type="dxa"/>
            <w:vAlign w:val="bottom"/>
            <w:gridSpan w:val="5"/>
            <w:vMerge w:val="restart"/>
          </w:tcPr>
          <w:p>
            <w:pPr>
              <w:jc w:val="center"/>
              <w:ind w:left="35"/>
              <w:spacing w:after="0"/>
              <w:rPr>
                <w:sz w:val="20"/>
                <w:szCs w:val="20"/>
                <w:color w:val="auto"/>
              </w:rPr>
            </w:pPr>
            <w:r>
              <w:rPr>
                <w:rFonts w:ascii="Arial" w:cs="Arial" w:eastAsia="Arial" w:hAnsi="Arial"/>
                <w:sz w:val="13"/>
                <w:szCs w:val="13"/>
                <w:color w:val="auto"/>
                <w:w w:val="99"/>
              </w:rPr>
              <w:t>4. If Amendment, Date of Original Filed (Month/Day/Year)</w:t>
            </w:r>
          </w:p>
        </w:tc>
        <w:tc>
          <w:tcPr>
            <w:tcW w:w="600" w:type="dxa"/>
            <w:vAlign w:val="bottom"/>
          </w:tcPr>
          <w:p>
            <w:pPr>
              <w:spacing w:after="0"/>
              <w:rPr>
                <w:sz w:val="2"/>
                <w:szCs w:val="2"/>
                <w:color w:val="auto"/>
              </w:rPr>
            </w:pPr>
          </w:p>
        </w:tc>
        <w:tc>
          <w:tcPr>
            <w:tcW w:w="3400" w:type="dxa"/>
            <w:vAlign w:val="bottom"/>
            <w:gridSpan w:val="3"/>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0" w:type="dxa"/>
            <w:vAlign w:val="bottom"/>
            <w:gridSpan w:val="3"/>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7"/>
                <w:szCs w:val="17"/>
                <w:color w:val="0000FF"/>
                <w:w w:val="99"/>
              </w:rPr>
              <w:t>LOS ANGELES</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2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restart"/>
          </w:tcPr>
          <w:p>
            <w:pPr>
              <w:ind w:left="5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8"/>
          </w:tcPr>
          <w:p>
            <w:pPr>
              <w:jc w:val="center"/>
              <w:ind w:left="48"/>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13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12/29/2017</w:t>
            </w:r>
          </w:p>
        </w:tc>
        <w:tc>
          <w:tcPr>
            <w:tcW w:w="10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223,465</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223,465</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12/29/2017</w:t>
            </w: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223,465</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3"/>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10/24/97,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220" w:type="dxa"/>
            <w:vAlign w:val="bottom"/>
            <w:tcBorders>
              <w:bottom w:val="single" w:sz="8" w:color="2C2C2C"/>
            </w:tcBorders>
            <w:gridSpan w:val="8"/>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7"/>
          </w:tcPr>
          <w:p>
            <w:pPr>
              <w:ind w:left="7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vMerge w:val="restart"/>
          </w:tcPr>
          <w:p>
            <w:pPr>
              <w:ind w:left="760"/>
              <w:spacing w:after="0"/>
              <w:rPr>
                <w:sz w:val="20"/>
                <w:szCs w:val="20"/>
                <w:color w:val="auto"/>
              </w:rPr>
            </w:pPr>
            <w:r>
              <w:rPr>
                <w:rFonts w:ascii="Arial" w:cs="Arial" w:eastAsia="Arial" w:hAnsi="Arial"/>
                <w:sz w:val="11"/>
                <w:szCs w:val="11"/>
                <w:color w:val="008000"/>
                <w:w w:val="88"/>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223,465</w:t>
            </w:r>
          </w:p>
        </w:tc>
        <w:tc>
          <w:tcPr>
            <w:tcW w:w="760" w:type="dxa"/>
            <w:vAlign w:val="bottom"/>
          </w:tcPr>
          <w:p>
            <w:pPr>
              <w:spacing w:after="0"/>
              <w:rPr>
                <w:sz w:val="5"/>
                <w:szCs w:val="5"/>
                <w:color w:val="auto"/>
              </w:rPr>
            </w:pPr>
          </w:p>
        </w:tc>
        <w:tc>
          <w:tcPr>
            <w:tcW w:w="880" w:type="dxa"/>
            <w:vAlign w:val="bottom"/>
            <w:vMerge w:val="restart"/>
          </w:tcPr>
          <w:p>
            <w:pPr>
              <w:ind w:left="60"/>
              <w:spacing w:after="0" w:line="204" w:lineRule="exact"/>
              <w:rPr>
                <w:sz w:val="20"/>
                <w:szCs w:val="20"/>
                <w:color w:val="auto"/>
              </w:rPr>
            </w:pPr>
            <w:r>
              <w:rPr>
                <w:rFonts w:ascii="Arial" w:cs="Arial" w:eastAsia="Arial" w:hAnsi="Arial"/>
                <w:sz w:val="13"/>
                <w:szCs w:val="13"/>
                <w:color w:val="0000FF"/>
                <w:w w:val="97"/>
              </w:rPr>
              <w:t>18,366,175</w:t>
            </w:r>
            <w:r>
              <w:rPr>
                <w:rFonts w:ascii="Arial" w:cs="Arial" w:eastAsia="Arial" w:hAnsi="Arial"/>
                <w:sz w:val="21"/>
                <w:szCs w:val="21"/>
                <w:color w:val="008000"/>
                <w:w w:val="97"/>
                <w:vertAlign w:val="superscript"/>
              </w:rPr>
              <w:t>(6)</w:t>
            </w:r>
          </w:p>
        </w:tc>
        <w:tc>
          <w:tcPr>
            <w:tcW w:w="7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12/29/2017</w:t>
            </w:r>
          </w:p>
        </w:tc>
        <w:tc>
          <w:tcPr>
            <w:tcW w:w="1100" w:type="dxa"/>
            <w:vAlign w:val="bottom"/>
          </w:tcPr>
          <w:p>
            <w:pPr>
              <w:spacing w:after="0"/>
              <w:rPr>
                <w:sz w:val="5"/>
                <w:szCs w:val="5"/>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w w:val="97"/>
              </w:rPr>
              <w:t>223,465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7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tcPr>
          <w:p>
            <w:pPr>
              <w:ind w:left="60"/>
              <w:spacing w:after="0" w:line="78" w:lineRule="exact"/>
              <w:rPr>
                <w:sz w:val="20"/>
                <w:szCs w:val="20"/>
                <w:color w:val="auto"/>
              </w:rPr>
            </w:pPr>
            <w:r>
              <w:rPr>
                <w:rFonts w:ascii="Arial" w:cs="Arial" w:eastAsia="Arial" w:hAnsi="Arial"/>
                <w:sz w:val="9"/>
                <w:szCs w:val="9"/>
                <w:color w:val="0000FF"/>
              </w:rPr>
              <w:t>See footnotes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2"/>
              </w:rPr>
              <w:t>Shares</w:t>
            </w: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ind w:left="60"/>
              <w:spacing w:after="0" w:line="82"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4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and KAFU Holdings (QP),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32" w:lineRule="exact"/>
        <w:rPr>
          <w:rFonts w:ascii="Arial" w:cs="Arial" w:eastAsia="Arial" w:hAnsi="Arial"/>
          <w:sz w:val="13"/>
          <w:szCs w:val="13"/>
          <w:color w:val="008000"/>
        </w:rPr>
      </w:pPr>
    </w:p>
    <w:p>
      <w:pPr>
        <w:ind w:left="40" w:right="640" w:firstLine="3"/>
        <w:spacing w:after="0" w:line="270"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December 29, 2017, KAFU Holdings (QP), L.P. and KAFU Holdings L.P. exercised the Exchange Right with respect to 223,465 Class A Units.</w:t>
      </w:r>
    </w:p>
    <w:p>
      <w:pPr>
        <w:spacing w:after="0" w:line="14"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 and KAFU Holdings L.P.</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ectPr>
          <w:pgSz w:w="11900" w:h="16877" w:orient="portrait"/>
          <w:cols w:equalWidth="0" w:num="1">
            <w:col w:w="11520"/>
          </w:cols>
          <w:pgMar w:left="240" w:top="222" w:right="139" w:bottom="0" w:gutter="0" w:footer="0" w:header="0"/>
          <w:type w:val="continuous"/>
        </w:sectPr>
      </w:pPr>
    </w:p>
    <w:bookmarkStart w:id="1" w:name="page2"/>
    <w:bookmarkEnd w:id="1"/>
    <w:p>
      <w:pPr>
        <w:ind w:firstLine="3"/>
        <w:spacing w:after="0"/>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551,323 Class A units. As a result, such Class A units were cancelled and 551,323 Common Units of Plains All American Pipeline, L.P. were distributed by AAP to KAFU. The number of derivative securities owned reflects both the exchange transaction reported herein and the simultaneous redemption transaction.</w:t>
      </w:r>
    </w:p>
    <w:p>
      <w:pPr>
        <w:spacing w:after="0" w:line="32" w:lineRule="exact"/>
        <w:rPr>
          <w:rFonts w:ascii="Arial" w:cs="Arial" w:eastAsia="Arial" w:hAnsi="Arial"/>
          <w:sz w:val="13"/>
          <w:szCs w:val="13"/>
          <w:color w:val="008000"/>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4"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Arial" w:cs="Arial" w:eastAsia="Arial" w:hAnsi="Arial"/>
                <w:sz w:val="17"/>
                <w:szCs w:val="17"/>
                <w:color w:val="0000FF"/>
                <w:w w:val="89"/>
              </w:rPr>
              <w:t>Robert V. Sinnott</w:t>
            </w:r>
          </w:p>
        </w:tc>
        <w:tc>
          <w:tcPr>
            <w:tcW w:w="90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01/03/2018</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64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40"/>
      </w:cols>
      <w:pgMar w:left="280" w:top="1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2020-01-13T22:09:49Z</dcterms:created>
  <dcterms:modified xsi:type="dcterms:W3CDTF">2020-01-13T22:09:49Z</dcterms:modified>
</cp:coreProperties>
</file>