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15854ds3asr.htm"/>
        <w:bookmarkStart w:id="1" w:name="ksd415854ds3asr"/>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September 27, 2012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UNITED STATES 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36"/>
        </w:rPr>
      </w:pPr>
      <w:r>
        <w:rPr>
          <w:rFonts w:ascii="Times New Roman" w:hAnsi="Times New Roman"/>
          <w:b/>
          <w:sz w:val="36"/>
        </w:rPr>
        <w:t xml:space="preserve">PAA FINANCE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7"/>
        <w:gridCol w:w="4894"/>
      </w:tblGrid>
      <w:tr>
        <w:trPr/>
        <w:tc>
          <w:tcPr>
            <w:tcW w:w="510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894"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15"/>
              <w:jc w:val="center"/>
              <w:rPr>
                <w:rFonts w:ascii="Times New Roman" w:hAnsi="Times New Roman"/>
                <w:b/>
                <w:sz w:val="20"/>
              </w:rPr>
            </w:pPr>
            <w:r>
              <w:rPr>
                <w:rFonts w:ascii="Times New Roman" w:hAnsi="Times New Roman"/>
                <w:b/>
                <w:sz w:val="20"/>
              </w:rPr>
              <w:t>Delaware</w:t>
            </w:r>
          </w:p>
        </w:tc>
        <w:tc>
          <w:tcPr>
            <w:tcW w:w="207" w:type="dxa"/>
            <w:tcBorders/>
            <w:shd w:fill="auto" w:val="clear"/>
            <w:vAlign w:val="bottom"/>
          </w:tcPr>
          <w:p>
            <w:pPr>
              <w:pStyle w:val="TableContents"/>
              <w:spacing w:before="0" w:after="283"/>
              <w:rPr/>
            </w:pPr>
            <w:r>
              <w:rPr/>
              <w:t> </w:t>
            </w:r>
          </w:p>
        </w:tc>
        <w:tc>
          <w:tcPr>
            <w:tcW w:w="489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15"/>
              <w:jc w:val="center"/>
              <w:rPr>
                <w:rFonts w:ascii="Times New Roman" w:hAnsi="Times New Roman"/>
                <w:b/>
                <w:sz w:val="20"/>
              </w:rPr>
            </w:pPr>
            <w:r>
              <w:rPr>
                <w:rFonts w:ascii="Times New Roman" w:hAnsi="Times New Roman"/>
                <w:b/>
                <w:sz w:val="20"/>
              </w:rPr>
              <w:t>56-2464313</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(State or Other Jurisdiction of</w:t>
              <w:br/>
              <w:t>Incorporation or Organization)</w:t>
            </w:r>
          </w:p>
        </w:tc>
        <w:tc>
          <w:tcPr>
            <w:tcW w:w="207" w:type="dxa"/>
            <w:tcBorders/>
            <w:shd w:fill="auto" w:val="clear"/>
            <w:vAlign w:val="bottom"/>
          </w:tcPr>
          <w:p>
            <w:pPr>
              <w:pStyle w:val="TableContents"/>
              <w:spacing w:before="0" w:after="283"/>
              <w:rPr/>
            </w:pPr>
            <w:r>
              <w:rPr/>
              <w:t> </w:t>
            </w:r>
          </w:p>
        </w:tc>
        <w:tc>
          <w:tcPr>
            <w:tcW w:w="489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Number)</w:t>
            </w:r>
          </w:p>
        </w:tc>
      </w:tr>
    </w:tbl>
    <w:p>
      <w:pPr>
        <w:pStyle w:val="TextBody"/>
        <w:spacing w:before="90" w:after="0"/>
        <w:jc w:val="center"/>
        <w:rPr>
          <w:rFonts w:ascii="Times New Roman" w:hAnsi="Times New Roman"/>
          <w:b/>
          <w:sz w:val="20"/>
        </w:rPr>
      </w:pPr>
      <w:r>
        <w:rPr>
          <w:rFonts w:ascii="Times New Roman" w:hAnsi="Times New Roman"/>
          <w:b/>
          <w:sz w:val="20"/>
        </w:rPr>
        <w:t xml:space="preserve">333 Clay Street, Suite 1600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646-4100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Richard McGee </w:t>
      </w:r>
    </w:p>
    <w:p>
      <w:pPr>
        <w:pStyle w:val="TextBody"/>
        <w:spacing w:before="0" w:after="0"/>
        <w:jc w:val="center"/>
        <w:rPr>
          <w:rFonts w:ascii="Times New Roman" w:hAnsi="Times New Roman"/>
          <w:b/>
          <w:sz w:val="20"/>
        </w:rPr>
      </w:pPr>
      <w:r>
        <w:rPr>
          <w:rFonts w:ascii="Times New Roman" w:hAnsi="Times New Roman"/>
          <w:b/>
          <w:sz w:val="20"/>
        </w:rPr>
        <w:t xml:space="preserve">Vice President and General Counsel </w:t>
      </w:r>
    </w:p>
    <w:p>
      <w:pPr>
        <w:pStyle w:val="TextBody"/>
        <w:spacing w:before="0" w:after="0"/>
        <w:jc w:val="center"/>
        <w:rPr>
          <w:rFonts w:ascii="Times New Roman" w:hAnsi="Times New Roman"/>
          <w:b/>
          <w:sz w:val="20"/>
        </w:rPr>
      </w:pPr>
      <w:r>
        <w:rPr>
          <w:rFonts w:ascii="Times New Roman" w:hAnsi="Times New Roman"/>
          <w:b/>
          <w:sz w:val="20"/>
        </w:rPr>
        <w:t xml:space="preserve">333 Clay Street, Suite 1600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646-4100 </w:t>
      </w:r>
    </w:p>
    <w:p>
      <w:pPr>
        <w:pStyle w:val="TextBody"/>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i/>
          <w:sz w:val="20"/>
        </w:rPr>
      </w:pPr>
      <w:r>
        <w:rPr>
          <w:rFonts w:ascii="Times New Roman" w:hAnsi="Times New Roman"/>
          <w:b/>
          <w:i/>
          <w:sz w:val="20"/>
        </w:rPr>
        <w:t xml:space="preserve">Copies to: </w:t>
      </w:r>
    </w:p>
    <w:p>
      <w:pPr>
        <w:pStyle w:val="TextBody"/>
        <w:spacing w:before="90" w:after="0"/>
        <w:jc w:val="center"/>
        <w:rPr>
          <w:rFonts w:ascii="Times New Roman" w:hAnsi="Times New Roman"/>
          <w:b/>
          <w:sz w:val="20"/>
        </w:rPr>
      </w:pPr>
      <w:r>
        <w:rPr>
          <w:rFonts w:ascii="Times New Roman" w:hAnsi="Times New Roman"/>
          <w:b/>
          <w:sz w:val="20"/>
        </w:rPr>
        <w:t xml:space="preserve">David P. Oelman </w:t>
      </w:r>
    </w:p>
    <w:p>
      <w:pPr>
        <w:pStyle w:val="TextBody"/>
        <w:spacing w:before="0" w:after="0"/>
        <w:jc w:val="center"/>
        <w:rPr>
          <w:rFonts w:ascii="Times New Roman" w:hAnsi="Times New Roman"/>
          <w:b/>
          <w:sz w:val="20"/>
        </w:rPr>
      </w:pPr>
      <w:r>
        <w:rPr>
          <w:rFonts w:ascii="Times New Roman" w:hAnsi="Times New Roman"/>
          <w:b/>
          <w:sz w:val="20"/>
        </w:rPr>
        <w:t xml:space="preserve">Alan Beck </w:t>
      </w:r>
    </w:p>
    <w:p>
      <w:pPr>
        <w:pStyle w:val="TextBody"/>
        <w:spacing w:before="0" w:after="0"/>
        <w:jc w:val="center"/>
        <w:rPr>
          <w:rFonts w:ascii="Times New Roman" w:hAnsi="Times New Roman"/>
          <w:b/>
          <w:sz w:val="20"/>
        </w:rPr>
      </w:pPr>
      <w:r>
        <w:rPr>
          <w:rFonts w:ascii="Times New Roman" w:hAnsi="Times New Roman"/>
          <w:b/>
          <w:sz w:val="20"/>
        </w:rPr>
        <w:t xml:space="preserve">Vinson &amp; Elkins L.L.P. </w:t>
      </w:r>
    </w:p>
    <w:p>
      <w:pPr>
        <w:pStyle w:val="TextBody"/>
        <w:spacing w:before="0" w:after="0"/>
        <w:jc w:val="center"/>
        <w:rPr>
          <w:rFonts w:ascii="Times New Roman" w:hAnsi="Times New Roman"/>
          <w:b/>
          <w:sz w:val="20"/>
        </w:rPr>
      </w:pPr>
      <w:r>
        <w:rPr>
          <w:rFonts w:ascii="Times New Roman" w:hAnsi="Times New Roman"/>
          <w:b/>
          <w:sz w:val="20"/>
        </w:rPr>
        <w:t xml:space="preserve">First City Tower </w:t>
      </w:r>
    </w:p>
    <w:p>
      <w:pPr>
        <w:pStyle w:val="TextBody"/>
        <w:spacing w:before="0" w:after="0"/>
        <w:jc w:val="center"/>
        <w:rPr>
          <w:rFonts w:ascii="Times New Roman" w:hAnsi="Times New Roman"/>
          <w:b/>
          <w:sz w:val="20"/>
        </w:rPr>
      </w:pPr>
      <w:r>
        <w:rPr>
          <w:rFonts w:ascii="Times New Roman" w:hAnsi="Times New Roman"/>
          <w:b/>
          <w:sz w:val="20"/>
        </w:rPr>
        <w:t xml:space="preserve">1001 Fannin Street, Suite 2500 </w:t>
      </w:r>
    </w:p>
    <w:p>
      <w:pPr>
        <w:pStyle w:val="TextBody"/>
        <w:spacing w:before="0" w:after="0"/>
        <w:jc w:val="center"/>
        <w:rPr>
          <w:rFonts w:ascii="Times New Roman" w:hAnsi="Times New Roman"/>
          <w:b/>
          <w:sz w:val="20"/>
        </w:rPr>
      </w:pPr>
      <w:r>
        <w:rPr>
          <w:rFonts w:ascii="Times New Roman" w:hAnsi="Times New Roman"/>
          <w:b/>
          <w:sz w:val="20"/>
        </w:rPr>
        <w:t xml:space="preserve">Houston, Texas 77002 </w:t>
      </w:r>
    </w:p>
    <w:p>
      <w:pPr>
        <w:pStyle w:val="TextBody"/>
        <w:spacing w:before="0" w:after="0"/>
        <w:jc w:val="center"/>
        <w:rPr>
          <w:rFonts w:ascii="Times New Roman" w:hAnsi="Times New Roman"/>
          <w:b/>
          <w:sz w:val="20"/>
        </w:rPr>
      </w:pPr>
      <w:r>
        <w:rPr>
          <w:rFonts w:ascii="Times New Roman" w:hAnsi="Times New Roman"/>
          <w:b/>
          <w:sz w:val="20"/>
        </w:rPr>
        <w:t xml:space="preserve">(713) 758-2222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the effective date of this Registration Statement. </w:t>
      </w:r>
    </w:p>
    <w:p>
      <w:pPr>
        <w:pStyle w:val="TextBody"/>
        <w:spacing w:before="90" w:after="0"/>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90" w:after="0"/>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90" w:after="0"/>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90" w:after="0"/>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SEC pursuant to Rule 462(e) under the Securities Act, check the following box.    ☒ </w:t>
      </w:r>
    </w:p>
    <w:p>
      <w:pPr>
        <w:pStyle w:val="TextBody"/>
        <w:spacing w:before="90" w:after="0"/>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90" w:after="0"/>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57"/>
        <w:gridCol w:w="103"/>
        <w:gridCol w:w="4776"/>
        <w:gridCol w:w="120"/>
        <w:gridCol w:w="2705"/>
        <w:gridCol w:w="103"/>
        <w:gridCol w:w="241"/>
      </w:tblGrid>
      <w:tr>
        <w:trPr/>
        <w:tc>
          <w:tcPr>
            <w:tcW w:w="215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77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2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Large accelerated filer</w:t>
            </w:r>
          </w:p>
        </w:tc>
        <w:tc>
          <w:tcPr>
            <w:tcW w:w="103" w:type="dxa"/>
            <w:tcBorders/>
            <w:shd w:fill="auto" w:val="clear"/>
            <w:vAlign w:val="bottom"/>
          </w:tcPr>
          <w:p>
            <w:pPr>
              <w:pStyle w:val="TableContents"/>
              <w:spacing w:before="0" w:after="283"/>
              <w:rPr/>
            </w:pPr>
            <w:r>
              <w:rPr/>
              <w:t> </w:t>
            </w:r>
          </w:p>
        </w:tc>
        <w:tc>
          <w:tcPr>
            <w:tcW w:w="4776"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7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Accelerated filer</w:t>
            </w:r>
          </w:p>
        </w:tc>
        <w:tc>
          <w:tcPr>
            <w:tcW w:w="103"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r>
      <w:tr>
        <w:trPr>
          <w:trHeight w:val="120" w:hRule="atLeast"/>
        </w:trPr>
        <w:tc>
          <w:tcPr>
            <w:tcW w:w="2157" w:type="dxa"/>
            <w:tcBorders/>
            <w:shd w:fill="auto" w:val="clear"/>
            <w:vAlign w:val="center"/>
          </w:tcPr>
          <w:p>
            <w:pPr>
              <w:pStyle w:val="TableContents"/>
              <w:spacing w:before="0" w:after="283"/>
              <w:rPr>
                <w:sz w:val="4"/>
                <w:szCs w:val="4"/>
              </w:rPr>
            </w:pPr>
            <w:r>
              <w:rPr>
                <w:sz w:val="4"/>
                <w:szCs w:val="4"/>
              </w:rPr>
            </w:r>
          </w:p>
        </w:tc>
        <w:tc>
          <w:tcPr>
            <w:tcW w:w="4879" w:type="dxa"/>
            <w:gridSpan w:val="2"/>
            <w:tcBorders/>
            <w:shd w:fill="auto" w:val="clear"/>
            <w:vAlign w:val="center"/>
          </w:tcPr>
          <w:p>
            <w:pPr>
              <w:pStyle w:val="TableContents"/>
              <w:spacing w:before="0" w:after="283"/>
              <w:rPr>
                <w:sz w:val="4"/>
                <w:szCs w:val="4"/>
              </w:rPr>
            </w:pPr>
            <w:r>
              <w:rPr>
                <w:sz w:val="4"/>
                <w:szCs w:val="4"/>
              </w:rPr>
            </w:r>
          </w:p>
        </w:tc>
        <w:tc>
          <w:tcPr>
            <w:tcW w:w="2825" w:type="dxa"/>
            <w:gridSpan w:val="2"/>
            <w:tcBorders/>
            <w:shd w:fill="auto" w:val="clear"/>
            <w:vAlign w:val="center"/>
          </w:tcPr>
          <w:p>
            <w:pPr>
              <w:pStyle w:val="TableContents"/>
              <w:spacing w:before="0" w:after="283"/>
              <w:rPr>
                <w:sz w:val="4"/>
                <w:szCs w:val="4"/>
              </w:rPr>
            </w:pPr>
            <w:r>
              <w:rPr>
                <w:sz w:val="4"/>
                <w:szCs w:val="4"/>
              </w:rPr>
            </w:r>
          </w:p>
        </w:tc>
        <w:tc>
          <w:tcPr>
            <w:tcW w:w="344" w:type="dxa"/>
            <w:gridSpan w:val="2"/>
            <w:tcBorders/>
            <w:shd w:fill="auto" w:val="clear"/>
            <w:vAlign w:val="center"/>
          </w:tcPr>
          <w:p>
            <w:pPr>
              <w:pStyle w:val="TableContents"/>
              <w:spacing w:before="0" w:after="283"/>
              <w:rPr>
                <w:sz w:val="4"/>
                <w:szCs w:val="4"/>
              </w:rPr>
            </w:pPr>
            <w:r>
              <w:rPr>
                <w:sz w:val="4"/>
                <w:szCs w:val="4"/>
              </w:rPr>
            </w:r>
          </w:p>
        </w:tc>
      </w:tr>
      <w:tr>
        <w:trPr/>
        <w:tc>
          <w:tcPr>
            <w:tcW w:w="215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Non-accelerated filer</w:t>
            </w:r>
          </w:p>
        </w:tc>
        <w:tc>
          <w:tcPr>
            <w:tcW w:w="103" w:type="dxa"/>
            <w:tcBorders/>
            <w:shd w:fill="auto" w:val="clear"/>
            <w:vAlign w:val="bottom"/>
          </w:tcPr>
          <w:p>
            <w:pPr>
              <w:pStyle w:val="TableContents"/>
              <w:spacing w:before="0" w:after="283"/>
              <w:rPr/>
            </w:pPr>
            <w:r>
              <w:rPr/>
              <w:t> </w:t>
            </w:r>
          </w:p>
        </w:tc>
        <w:tc>
          <w:tcPr>
            <w:tcW w:w="4776" w:type="dxa"/>
            <w:tcBorders/>
            <w:shd w:fill="auto" w:val="clear"/>
            <w:vAlign w:val="bottom"/>
          </w:tcPr>
          <w:p>
            <w:pPr>
              <w:pStyle w:val="TableContents"/>
              <w:spacing w:before="0" w:after="283"/>
              <w:rPr/>
            </w:pPr>
            <w:r>
              <w:rPr/>
              <w:t>☐  </w:t>
            </w:r>
            <w:r>
              <w:rPr>
                <w:rFonts w:ascii="Times New Roman" w:hAnsi="Times New Roman"/>
                <w:sz w:val="20"/>
              </w:rPr>
              <w:t>(Do not check if a smaller reporting company)</w:t>
            </w:r>
          </w:p>
        </w:tc>
        <w:tc>
          <w:tcPr>
            <w:tcW w:w="120" w:type="dxa"/>
            <w:tcBorders/>
            <w:shd w:fill="auto" w:val="clear"/>
            <w:vAlign w:val="bottom"/>
          </w:tcPr>
          <w:p>
            <w:pPr>
              <w:pStyle w:val="TableContents"/>
              <w:spacing w:before="0" w:after="283"/>
              <w:rPr/>
            </w:pPr>
            <w:r>
              <w:rPr/>
              <w:t>  </w:t>
            </w:r>
          </w:p>
        </w:tc>
        <w:tc>
          <w:tcPr>
            <w:tcW w:w="27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Smaller reporting company</w:t>
            </w:r>
          </w:p>
        </w:tc>
        <w:tc>
          <w:tcPr>
            <w:tcW w:w="103"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CALCULATION OF REGISTRATION FEE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716"/>
        <w:gridCol w:w="101"/>
        <w:gridCol w:w="2755"/>
        <w:gridCol w:w="101"/>
        <w:gridCol w:w="1532"/>
      </w:tblGrid>
      <w:tr>
        <w:trPr/>
        <w:tc>
          <w:tcPr>
            <w:tcW w:w="571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7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5716"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Title of Each Class of</w:t>
            </w:r>
          </w:p>
          <w:p>
            <w:pPr>
              <w:pStyle w:val="TableContents"/>
              <w:spacing w:before="0" w:after="15"/>
              <w:jc w:val="center"/>
              <w:rPr>
                <w:rFonts w:ascii="Times New Roman" w:hAnsi="Times New Roman"/>
                <w:b/>
                <w:sz w:val="14"/>
              </w:rPr>
            </w:pPr>
            <w:r>
              <w:rPr>
                <w:rFonts w:ascii="Times New Roman" w:hAnsi="Times New Roman"/>
                <w:b/>
                <w:sz w:val="14"/>
              </w:rPr>
              <w:t>Securities to be Registered</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755"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to be Registered/Proposed</w:t>
            </w:r>
          </w:p>
          <w:p>
            <w:pPr>
              <w:pStyle w:val="TableContents"/>
              <w:spacing w:before="0" w:after="0"/>
              <w:jc w:val="center"/>
              <w:rPr>
                <w:rFonts w:ascii="Times New Roman" w:hAnsi="Times New Roman"/>
                <w:b/>
                <w:sz w:val="14"/>
              </w:rPr>
            </w:pPr>
            <w:r>
              <w:rPr>
                <w:rFonts w:ascii="Times New Roman" w:hAnsi="Times New Roman"/>
                <w:b/>
                <w:sz w:val="14"/>
              </w:rPr>
              <w:t>Maximum Offering Price Per</w:t>
            </w:r>
          </w:p>
          <w:p>
            <w:pPr>
              <w:pStyle w:val="TableContents"/>
              <w:spacing w:before="0" w:after="0"/>
              <w:jc w:val="center"/>
              <w:rPr>
                <w:rFonts w:ascii="Times New Roman" w:hAnsi="Times New Roman"/>
                <w:b/>
                <w:sz w:val="14"/>
              </w:rPr>
            </w:pPr>
            <w:r>
              <w:rPr>
                <w:rFonts w:ascii="Times New Roman" w:hAnsi="Times New Roman"/>
                <w:b/>
                <w:sz w:val="14"/>
              </w:rPr>
              <w:t>Unit/Proposed Maximum Aggregate</w:t>
            </w:r>
          </w:p>
          <w:p>
            <w:pPr>
              <w:pStyle w:val="TableContents"/>
              <w:spacing w:before="0" w:after="15"/>
              <w:jc w:val="center"/>
              <w:rPr>
                <w:rFonts w:ascii="Times New Roman" w:hAnsi="Times New Roman"/>
                <w:b/>
                <w:sz w:val="14"/>
              </w:rPr>
            </w:pPr>
            <w:r>
              <w:rPr>
                <w:rFonts w:ascii="Times New Roman" w:hAnsi="Times New Roman"/>
                <w:b/>
                <w:sz w:val="14"/>
              </w:rPr>
              <w:t>Offering Price(1)</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2" w:type="dxa"/>
            <w:tcBorders>
              <w:top w:val="single" w:sz="2" w:space="0" w:color="000000"/>
            </w:tcBorders>
            <w:shd w:fill="auto" w:val="clear"/>
            <w:tcMar>
              <w:top w:w="28" w:type="dxa"/>
            </w:tcMar>
            <w:vAlign w:val="bottom"/>
          </w:tcPr>
          <w:p>
            <w:pPr>
              <w:pStyle w:val="TableContents"/>
              <w:spacing w:before="0" w:after="0"/>
              <w:jc w:val="center"/>
              <w:rPr>
                <w:rFonts w:ascii="Times New Roman" w:hAnsi="Times New Roman"/>
                <w:b/>
                <w:sz w:val="14"/>
              </w:rPr>
            </w:pPr>
            <w:r>
              <w:rPr>
                <w:rFonts w:ascii="Times New Roman" w:hAnsi="Times New Roman"/>
                <w:b/>
                <w:sz w:val="14"/>
              </w:rPr>
              <w:t>Amount of</w:t>
            </w:r>
          </w:p>
          <w:p>
            <w:pPr>
              <w:pStyle w:val="TableContents"/>
              <w:spacing w:before="0" w:after="15"/>
              <w:jc w:val="center"/>
              <w:rPr>
                <w:rFonts w:ascii="Times New Roman" w:hAnsi="Times New Roman"/>
                <w:b/>
                <w:sz w:val="14"/>
              </w:rPr>
            </w:pPr>
            <w:r>
              <w:rPr>
                <w:rFonts w:ascii="Times New Roman" w:hAnsi="Times New Roman"/>
                <w:b/>
                <w:sz w:val="14"/>
              </w:rPr>
              <w:t>Registration Fee</w:t>
            </w:r>
          </w:p>
        </w:tc>
      </w:tr>
      <w:tr>
        <w:trPr/>
        <w:tc>
          <w:tcPr>
            <w:tcW w:w="5716"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Common units representing limited partner interests</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755"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716"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Debt securities</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755" w:type="dxa"/>
            <w:tcBorders>
              <w:top w:val="single" w:sz="2" w:space="0" w:color="000000"/>
            </w:tcBorders>
            <w:shd w:fill="auto" w:val="clear"/>
            <w:tcMar>
              <w:top w:w="28" w:type="dxa"/>
            </w:tcMar>
            <w:vAlign w:val="bottom"/>
          </w:tcPr>
          <w:p>
            <w:pPr>
              <w:pStyle w:val="TableContents"/>
              <w:spacing w:before="0" w:after="283"/>
              <w:rPr/>
            </w:pPr>
            <w:r>
              <w:rPr/>
              <w:t> </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2"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5716" w:type="dxa"/>
            <w:tcBorders>
              <w:top w:val="single" w:sz="2" w:space="0" w:color="000000"/>
            </w:tcBorders>
            <w:shd w:fill="auto" w:val="clear"/>
            <w:tcMar>
              <w:top w:w="28" w:type="dxa"/>
            </w:tcMar>
          </w:tcPr>
          <w:p>
            <w:pPr>
              <w:pStyle w:val="TableContents"/>
              <w:spacing w:before="0" w:after="283"/>
              <w:rPr>
                <w:rFonts w:ascii="Times New Roman" w:hAnsi="Times New Roman"/>
                <w:sz w:val="20"/>
              </w:rPr>
            </w:pPr>
            <w:r>
              <w:rPr>
                <w:rFonts w:ascii="Times New Roman" w:hAnsi="Times New Roman"/>
                <w:sz w:val="20"/>
              </w:rPr>
              <w:t>Total</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755"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(1)</w:t>
            </w:r>
          </w:p>
        </w:tc>
        <w:tc>
          <w:tcPr>
            <w:tcW w:w="101"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32" w:type="dxa"/>
            <w:tcBorders>
              <w:top w:val="single" w:sz="2" w:space="0" w:color="000000"/>
            </w:tcBorders>
            <w:shd w:fill="auto" w:val="clear"/>
            <w:tcMar>
              <w:top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(1)</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r>
        <w:trPr/>
        <w:tc>
          <w:tcPr>
            <w:tcW w:w="10205" w:type="dxa"/>
            <w:gridSpan w:val="5"/>
            <w:tcBorders/>
            <w:shd w:fill="auto" w:val="clear"/>
            <w:vAlign w:val="bottom"/>
          </w:tcPr>
          <w:p>
            <w:pPr>
              <w:pStyle w:val="TableContents"/>
              <w:pBdr>
                <w:top w:val="single" w:sz="2" w:space="1" w:color="000000"/>
              </w:pBdr>
              <w:spacing w:before="0" w:after="283"/>
              <w:rPr/>
            </w:pPr>
            <w:r>
              <w:rPr/>
              <w: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indeterminate aggregate initial offering price or number of the securities of each identified class is being registered as may from time to time be offered hereunder at indeterminate prices. In accordance with Rules 456(b) and 457(r) under the Securities Act of 1933, as amended, the registrant is deferring payment of all of the registration fee and will pay the registration fee subsequently in advance or on a pay-as-you-go basis.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PROSPECTUS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48"/>
        </w:rPr>
      </w:pPr>
      <w:r>
        <w:rPr>
          <w:rFonts w:ascii="Times New Roman" w:hAnsi="Times New Roman"/>
          <w:b/>
          <w:sz w:val="48"/>
        </w:rPr>
        <w:t xml:space="preserve">PAA Finance Corp. </w:t>
      </w:r>
    </w:p>
    <w:p>
      <w:pPr>
        <w:pStyle w:val="TextBody"/>
        <w:spacing w:before="180" w:after="0"/>
        <w:jc w:val="center"/>
        <w:rPr>
          <w:rFonts w:ascii="Times New Roman" w:hAnsi="Times New Roman"/>
          <w:b/>
          <w:sz w:val="36"/>
        </w:rPr>
      </w:pPr>
      <w:r>
        <w:rPr>
          <w:rFonts w:ascii="Times New Roman" w:hAnsi="Times New Roman"/>
          <w:b/>
          <w:sz w:val="36"/>
        </w:rPr>
        <w:t xml:space="preserve">Common Units </w:t>
      </w:r>
    </w:p>
    <w:p>
      <w:pPr>
        <w:pStyle w:val="TextBody"/>
        <w:spacing w:before="90" w:after="0"/>
        <w:jc w:val="center"/>
        <w:rPr>
          <w:rFonts w:ascii="Times New Roman" w:hAnsi="Times New Roman"/>
          <w:b/>
          <w:sz w:val="36"/>
        </w:rPr>
      </w:pPr>
      <w:r>
        <w:rPr>
          <w:rFonts w:ascii="Times New Roman" w:hAnsi="Times New Roman"/>
          <w:b/>
          <w:sz w:val="36"/>
        </w:rPr>
        <w:t xml:space="preserve">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 </w:t>
      </w:r>
    </w:p>
    <w:p>
      <w:pPr>
        <w:pStyle w:val="TextBody"/>
        <w:spacing w:before="180" w:after="0"/>
        <w:rPr>
          <w:rFonts w:ascii="Times New Roman" w:hAnsi="Times New Roman"/>
          <w:sz w:val="20"/>
        </w:rPr>
      </w:pPr>
      <w:r>
        <w:rPr>
          <w:rFonts w:ascii="Times New Roman" w:hAnsi="Times New Roman"/>
          <w:sz w:val="20"/>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pPr>
      <w:r>
        <w:rPr>
          <w:rFonts w:ascii="Times New Roman" w:hAnsi="Times New Roman"/>
          <w:b/>
          <w:sz w:val="20"/>
        </w:rPr>
        <w:t>Investing in our common units and the debt securities involves risks. Limited partnerships are inherently different from corporations. You should carefully consider the risk factors described under </w:t>
      </w:r>
      <w:hyperlink w:anchor="rom415854_5">
        <w:r>
          <w:rPr>
            <w:rStyle w:val="InternetLink"/>
            <w:rFonts w:ascii="Times New Roman" w:hAnsi="Times New Roman"/>
            <w:b/>
            <w:sz w:val="20"/>
          </w:rPr>
          <w:t>Risk Factors</w:t>
        </w:r>
      </w:hyperlink>
      <w:r>
        <w:rPr>
          <w:rFonts w:ascii="Times New Roman" w:hAnsi="Times New Roman"/>
          <w:b/>
          <w:sz w:val="20"/>
        </w:rPr>
        <w:t xml:space="preserve"> beginning on page 2 of this prospectus before you make an investment in our securities. </w:t>
      </w:r>
    </w:p>
    <w:p>
      <w:pPr>
        <w:pStyle w:val="TextBody"/>
        <w:spacing w:before="180" w:after="0"/>
        <w:rPr>
          <w:rFonts w:ascii="Times New Roman" w:hAnsi="Times New Roman"/>
          <w:sz w:val="20"/>
        </w:rPr>
      </w:pPr>
      <w:r>
        <w:rPr>
          <w:rFonts w:ascii="Times New Roman" w:hAnsi="Times New Roman"/>
          <w:sz w:val="20"/>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80" w:after="0"/>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The date of this prospectus is September 27, 2012.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32"/>
        <w:gridCol w:w="255"/>
        <w:gridCol w:w="60"/>
        <w:gridCol w:w="235"/>
        <w:gridCol w:w="123"/>
      </w:tblGrid>
      <w:tr>
        <w:trPr/>
        <w:tc>
          <w:tcPr>
            <w:tcW w:w="95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9532" w:type="dxa"/>
            <w:tcBorders/>
            <w:shd w:fill="auto" w:val="clear"/>
          </w:tcPr>
          <w:p>
            <w:pPr>
              <w:pStyle w:val="TableContents"/>
              <w:spacing w:before="0" w:after="283"/>
              <w:rPr/>
            </w:pPr>
            <w:hyperlink w:anchor="rom415854_1">
              <w:r>
                <w:rPr>
                  <w:rStyle w:val="InternetLink"/>
                  <w:rFonts w:ascii="Times New Roman" w:hAnsi="Times New Roman"/>
                  <w:sz w:val="20"/>
                </w:rPr>
                <w:t>About This Prospectus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2">
              <w:r>
                <w:rPr>
                  <w:rStyle w:val="InternetLink"/>
                  <w:rFonts w:ascii="Times New Roman" w:hAnsi="Times New Roman"/>
                  <w:sz w:val="20"/>
                </w:rPr>
                <w:t>Where You Can Find More Information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3">
              <w:r>
                <w:rPr>
                  <w:rStyle w:val="InternetLink"/>
                  <w:rFonts w:ascii="Times New Roman" w:hAnsi="Times New Roman"/>
                  <w:sz w:val="20"/>
                </w:rPr>
                <w:t>Forward-Looking Statements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iv</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4">
              <w:r>
                <w:rPr>
                  <w:rStyle w:val="InternetLink"/>
                  <w:rFonts w:ascii="Times New Roman" w:hAnsi="Times New Roman"/>
                  <w:sz w:val="20"/>
                </w:rPr>
                <w:t>Who We Are</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5">
              <w:r>
                <w:rPr>
                  <w:rStyle w:val="InternetLink"/>
                  <w:rFonts w:ascii="Times New Roman" w:hAnsi="Times New Roman"/>
                  <w:sz w:val="20"/>
                </w:rPr>
                <w:t>Risk Factors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6">
              <w:r>
                <w:rPr>
                  <w:rStyle w:val="InternetLink"/>
                  <w:rFonts w:ascii="Times New Roman" w:hAnsi="Times New Roman"/>
                  <w:sz w:val="20"/>
                </w:rPr>
                <w:t>Use Of Proceeds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7">
              <w:r>
                <w:rPr>
                  <w:rStyle w:val="InternetLink"/>
                  <w:rFonts w:ascii="Times New Roman" w:hAnsi="Times New Roman"/>
                  <w:sz w:val="20"/>
                </w:rPr>
                <w:t>Ratio Of Earnings To Fixed Charges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8">
              <w:r>
                <w:rPr>
                  <w:rStyle w:val="InternetLink"/>
                  <w:rFonts w:ascii="Times New Roman" w:hAnsi="Times New Roman"/>
                  <w:sz w:val="20"/>
                </w:rPr>
                <w:t>Description of Our Debt Securities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9">
              <w:r>
                <w:rPr>
                  <w:rStyle w:val="InternetLink"/>
                  <w:rFonts w:ascii="Times New Roman" w:hAnsi="Times New Roman"/>
                  <w:sz w:val="20"/>
                </w:rPr>
                <w:t>Description of Our Common Units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10">
              <w:r>
                <w:rPr>
                  <w:rStyle w:val="InternetLink"/>
                  <w:rFonts w:ascii="Times New Roman" w:hAnsi="Times New Roman"/>
                  <w:sz w:val="20"/>
                </w:rPr>
                <w:t>Cash Distribution Policy</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11">
              <w:r>
                <w:rPr>
                  <w:rStyle w:val="InternetLink"/>
                  <w:rFonts w:ascii="Times New Roman" w:hAnsi="Times New Roman"/>
                  <w:sz w:val="20"/>
                </w:rPr>
                <w:t>Description of Our Partnership Agreement</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12">
              <w:r>
                <w:rPr>
                  <w:rStyle w:val="InternetLink"/>
                  <w:rFonts w:ascii="Times New Roman" w:hAnsi="Times New Roman"/>
                  <w:sz w:val="20"/>
                </w:rPr>
                <w:t>Material U.S. Federal Income Tax Consequences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13">
              <w:r>
                <w:rPr>
                  <w:rStyle w:val="InternetLink"/>
                  <w:rFonts w:ascii="Times New Roman" w:hAnsi="Times New Roman"/>
                  <w:sz w:val="20"/>
                </w:rPr>
                <w:t>Plan of Distribution</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14">
              <w:r>
                <w:rPr>
                  <w:rStyle w:val="InternetLink"/>
                  <w:rFonts w:ascii="Times New Roman" w:hAnsi="Times New Roman"/>
                  <w:sz w:val="20"/>
                </w:rPr>
                <w:t>Legal Matters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r>
        <w:trPr/>
        <w:tc>
          <w:tcPr>
            <w:tcW w:w="9532" w:type="dxa"/>
            <w:tcBorders/>
            <w:shd w:fill="auto" w:val="clear"/>
          </w:tcPr>
          <w:p>
            <w:pPr>
              <w:pStyle w:val="TableContents"/>
              <w:spacing w:before="0" w:after="283"/>
              <w:rPr/>
            </w:pPr>
            <w:hyperlink w:anchor="rom415854_15">
              <w:r>
                <w:rPr>
                  <w:rStyle w:val="InternetLink"/>
                  <w:rFonts w:ascii="Times New Roman" w:hAnsi="Times New Roman"/>
                  <w:sz w:val="20"/>
                </w:rPr>
                <w:t>Experts</w:t>
              </w:r>
            </w:hyperlink>
          </w:p>
        </w:tc>
        <w:tc>
          <w:tcPr>
            <w:tcW w:w="2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23" w:type="dxa"/>
            <w:tcBorders/>
            <w:shd w:fill="auto" w:val="clear"/>
            <w:vAlign w:val="bottom"/>
          </w:tcPr>
          <w:p>
            <w:pPr>
              <w:pStyle w:val="TableContents"/>
              <w:spacing w:before="0" w:after="283"/>
              <w:rPr/>
            </w:pPr>
            <w:r>
              <w:rPr/>
              <w:t>  </w:t>
            </w:r>
          </w:p>
        </w:tc>
      </w:tr>
    </w:tbl>
    <w:p>
      <w:pPr>
        <w:pStyle w:val="TextBody"/>
        <w:spacing w:before="180" w:after="0"/>
        <w:rPr>
          <w:rFonts w:ascii="Times New Roman" w:hAnsi="Times New Roman"/>
          <w:b/>
          <w:sz w:val="20"/>
        </w:rPr>
      </w:pPr>
      <w:r>
        <w:rPr>
          <w:rFonts w:ascii="Times New Roman" w:hAnsi="Times New Roman"/>
          <w:b/>
          <w:sz w:val="20"/>
        </w:rPr>
        <w:t xml:space="preserve">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 </w:t>
      </w:r>
    </w:p>
    <w:p>
      <w:pPr>
        <w:pStyle w:val="TextBody"/>
        <w:spacing w:before="180" w:after="0"/>
        <w:rPr>
          <w:rFonts w:ascii="Times New Roman" w:hAnsi="Times New Roman"/>
          <w:b/>
          <w:sz w:val="20"/>
        </w:rPr>
      </w:pPr>
      <w:r>
        <w:rPr>
          <w:rFonts w:ascii="Times New Roman" w:hAnsi="Times New Roman"/>
          <w:b/>
          <w:sz w:val="20"/>
        </w:rPr>
        <w:t xml:space="preserve">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 </w:t>
      </w:r>
    </w:p>
    <w:p>
      <w:pPr>
        <w:pStyle w:val="TextBody"/>
        <w:spacing w:before="360" w:after="0"/>
        <w:jc w:val="center"/>
        <w:rPr>
          <w:rFonts w:ascii="Times New Roman" w:hAnsi="Times New Roman"/>
          <w:b/>
          <w:sz w:val="20"/>
        </w:rPr>
      </w:pPr>
      <w:bookmarkStart w:id="3" w:name="rom415854_1"/>
      <w:bookmarkEnd w:id="3"/>
      <w:r>
        <w:rPr>
          <w:rFonts w:ascii="Times New Roman" w:hAnsi="Times New Roman"/>
          <w:b/>
          <w:sz w:val="20"/>
        </w:rPr>
        <w:t xml:space="preserve">ABOUT THIS PROSPECTUS </w:t>
      </w:r>
    </w:p>
    <w:p>
      <w:pPr>
        <w:pStyle w:val="TextBody"/>
        <w:spacing w:before="180" w:after="0"/>
        <w:rPr>
          <w:rFonts w:ascii="Times New Roman" w:hAnsi="Times New Roman"/>
          <w:sz w:val="20"/>
        </w:rPr>
      </w:pPr>
      <w:r>
        <w:rPr>
          <w:rFonts w:ascii="Times New Roman" w:hAnsi="Times New Roman"/>
          <w:sz w:val="20"/>
        </w:rPr>
        <w:t xml:space="preserve">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rom415854_2"/>
      <w:bookmarkEnd w:id="4"/>
      <w:r>
        <w:rPr>
          <w:rFonts w:ascii="Times New Roman" w:hAnsi="Times New Roman"/>
          <w:b/>
          <w:sz w:val="20"/>
        </w:rPr>
        <w:t xml:space="preserve">WHERE YOU CAN FIND MORE INFORMATION </w:t>
      </w:r>
    </w:p>
    <w:p>
      <w:pPr>
        <w:pStyle w:val="TextBody"/>
        <w:spacing w:before="180" w:after="0"/>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80" w:after="0"/>
        <w:rPr>
          <w:rFonts w:ascii="Times New Roman" w:hAnsi="Times New Roman"/>
          <w:sz w:val="20"/>
        </w:rPr>
      </w:pPr>
      <w:r>
        <w:rPr>
          <w:rFonts w:ascii="Times New Roman" w:hAnsi="Times New Roman"/>
          <w:sz w:val="20"/>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Times New Roman" w:hAnsi="Times New Roman"/>
          <w:i/>
          <w:sz w:val="20"/>
        </w:rPr>
        <w:t>www.sec.gov</w:t>
      </w:r>
      <w:r>
        <w:rPr>
          <w:rFonts w:ascii="Times New Roman" w:hAnsi="Times New Roman"/>
          <w:sz w:val="20"/>
        </w:rPr>
        <w:t xml:space="preserve">. We also make available free of charge on our website, at </w:t>
      </w:r>
      <w:r>
        <w:rPr>
          <w:rFonts w:ascii="Times New Roman" w:hAnsi="Times New Roman"/>
          <w:i/>
          <w:sz w:val="20"/>
        </w:rPr>
        <w:t>www.paalp.com</w:t>
      </w:r>
      <w:r>
        <w:rPr>
          <w:rFonts w:ascii="Times New Roman" w:hAnsi="Times New Roman"/>
          <w:sz w:val="20"/>
        </w:rPr>
        <w:t xml:space="preserve">,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80" w:after="0"/>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on Form 10-K for the fiscal year ended December 31,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Quarterly Reports on Form 10-Q for the quarterly periods ended March 31, 2012 and June 30, 2012;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8, 2012 (documentation related to equity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19,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March 26, 2012 (documentation related to debt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5, 2012 (completion of acquisition of BP Canada Energy Company; amendment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April 17, 2012 (announcement to withdraw offer to acquire SemGroup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9,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May 23, 2012 (amendment and restatement of Limited Partnership Agreement of Plains All American Pipeline, L.P.);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8-K/A filed with the SEC on May 29, 2012 (financial statements and unaudited pro forma financial information related to the acquisition of BP Canada Energy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July 3, 2012 (amendments to the senior secured hedged inventory facility and senior unsecured revolving credit facility);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13, 2012 (documentation related to equity distribution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Current Report on Form 8-K filed with the SEC on September 27, 2012 (unaudited pro forma financial information related to the acquisition of BP Canada Energy Company);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description of our common units contained in our Form 8-A/A dated November 3, 1998 and any subsequent amendment thereto filed for the purpose of updating such description. </w:t>
            </w:r>
          </w:p>
        </w:tc>
      </w:tr>
    </w:tbl>
    <w:p>
      <w:pPr>
        <w:pStyle w:val="TextBody"/>
        <w:spacing w:before="180" w:after="0"/>
        <w:rPr>
          <w:rFonts w:ascii="Times New Roman" w:hAnsi="Times New Roman"/>
          <w:sz w:val="20"/>
        </w:rPr>
      </w:pPr>
      <w:r>
        <w:rPr>
          <w:rFonts w:ascii="Times New Roman" w:hAnsi="Times New Roman"/>
          <w:sz w:val="20"/>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333 Clay Street, Suite 1600 Houston, Texas 77002 Attention: Corporate Secretary Telephone: (713) 646-4100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rom415854_3"/>
      <w:bookmarkEnd w:id="5"/>
      <w:r>
        <w:rPr>
          <w:rFonts w:ascii="Times New Roman" w:hAnsi="Times New Roman"/>
          <w:b/>
          <w:sz w:val="20"/>
        </w:rPr>
        <w:t xml:space="preserve">FORWARD-LOOKING STATEMENTS </w:t>
      </w:r>
    </w:p>
    <w:p>
      <w:pPr>
        <w:pStyle w:val="TextBody"/>
        <w:spacing w:before="180" w:after="0"/>
        <w:rPr>
          <w:rFonts w:ascii="Times New Roman" w:hAnsi="Times New Roman"/>
          <w:sz w:val="20"/>
        </w:rPr>
      </w:pPr>
      <w:r>
        <w:rPr>
          <w:rFonts w:ascii="Times New Roman" w:hAnsi="Times New Roman"/>
          <w:sz w:val="20"/>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successful integration and future performance of acquired assets or businesses and the risks associated with operating in lines of business that are distinct and separate from our historical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implement or capitalize, or delays in implementing or capitalizing, on planned internal growth projects;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unanticipated changes in crude oil market structure, grade differentials and volatility (or lack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maintenance of our credit rating and ability to receive open credit from our suppliers and trade counterparties;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continued creditworthiness of, and performance by, our counterparties, including financial institutions and trading companies with which we do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effectiveness of our risk management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environmental liabilities or events that are not covered by an indemnity, insurance or existing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abrupt or severe declines or interruptions in outer continental shelf production located offshore California and transported on our pipeline systems;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shortages or cost increases of supplies, materials or labor;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and our ability to consummate, acquisition or combination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obtain debt or equity financing on satisfactory terms to fund additional acquisitions, expansion projects, working capital requirements and the repayment or refinancing of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impact of current and future laws, rulings, governmental regulations, accounting standards and statements, and related interpretations;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effects of competition;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interruptions in service on third-party pipelines;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costs or lack of availability of insurance;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fluctuations in the debt and equity markets, including the price of our units at the time of vesting under our long-term incentive plans;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exchange rate of the Canadian dollar;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interference with business operations or project construction;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risks related to the development and operation of natural gas storage facilities;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factors affecting demand for natural gas and natural gas storage services and rates;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 economic, market or business conditions and the amplification of other risks caused by volatile financial markets, capital constraints and pervasive liquidity concerns;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tc>
      </w:tr>
    </w:tbl>
    <w:p>
      <w:pPr>
        <w:pStyle w:val="TextBody"/>
        <w:spacing w:before="180" w:after="0"/>
        <w:rPr>
          <w:rFonts w:ascii="Times New Roman" w:hAnsi="Times New Roman"/>
          <w:sz w:val="20"/>
        </w:rPr>
      </w:pPr>
      <w:r>
        <w:rPr>
          <w:rFonts w:ascii="Times New Roman" w:hAnsi="Times New Roman"/>
          <w:sz w:val="20"/>
        </w:rPr>
        <w:t xml:space="preserve">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rom415854_4"/>
      <w:bookmarkEnd w:id="6"/>
      <w:r>
        <w:rPr>
          <w:rFonts w:ascii="Times New Roman" w:hAnsi="Times New Roman"/>
          <w:b/>
          <w:sz w:val="20"/>
        </w:rPr>
        <w:t xml:space="preserve">WHO WE ARE </w:t>
      </w:r>
    </w:p>
    <w:p>
      <w:pPr>
        <w:pStyle w:val="TextBody"/>
        <w:spacing w:before="180" w:after="0"/>
        <w:rPr>
          <w:rFonts w:ascii="Times New Roman" w:hAnsi="Times New Roman"/>
          <w:sz w:val="20"/>
        </w:rPr>
      </w:pPr>
      <w:r>
        <w:rPr>
          <w:rFonts w:ascii="Times New Roman" w:hAnsi="Times New Roman"/>
          <w:sz w:val="20"/>
        </w:rPr>
        <w:t xml:space="preserve">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 </w:t>
      </w:r>
    </w:p>
    <w:p>
      <w:pPr>
        <w:pStyle w:val="TextBody"/>
        <w:spacing w:before="180" w:after="0"/>
        <w:rPr>
          <w:rFonts w:ascii="Times New Roman" w:hAnsi="Times New Roman"/>
          <w:sz w:val="20"/>
        </w:rPr>
      </w:pPr>
      <w:r>
        <w:rPr>
          <w:rFonts w:ascii="Times New Roman" w:hAnsi="Times New Roman"/>
          <w:sz w:val="20"/>
        </w:rPr>
        <w:t xml:space="preserve">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 </w:t>
      </w:r>
    </w:p>
    <w:p>
      <w:pPr>
        <w:pStyle w:val="TextBody"/>
        <w:spacing w:before="180" w:after="0"/>
        <w:rPr>
          <w:rFonts w:ascii="Times New Roman" w:hAnsi="Times New Roman"/>
          <w:sz w:val="20"/>
        </w:rPr>
      </w:pPr>
      <w:r>
        <w:rPr>
          <w:rFonts w:ascii="Times New Roman" w:hAnsi="Times New Roman"/>
          <w:sz w:val="20"/>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80" w:after="0"/>
        <w:rPr>
          <w:rFonts w:ascii="Times New Roman" w:hAnsi="Times New Roman"/>
          <w:sz w:val="20"/>
        </w:rPr>
      </w:pPr>
      <w:r>
        <w:rPr>
          <w:rFonts w:ascii="Times New Roman" w:hAnsi="Times New Roman"/>
          <w:sz w:val="20"/>
        </w:rPr>
        <w:t xml:space="preserve">Our executive offices are located at 333 Clay Street, Suite 1600, Houston, Texas 77002 and our telephone number is (713) 646-4100. </w:t>
      </w:r>
    </w:p>
    <w:p>
      <w:pPr>
        <w:pStyle w:val="TextBody"/>
        <w:spacing w:before="180" w:after="0"/>
        <w:rPr>
          <w:rFonts w:ascii="Times New Roman" w:hAnsi="Times New Roman"/>
          <w:sz w:val="20"/>
        </w:rPr>
      </w:pPr>
      <w:r>
        <w:rPr>
          <w:rFonts w:ascii="Times New Roman" w:hAnsi="Times New Roman"/>
          <w:sz w:val="20"/>
        </w:rPr>
        <w:t xml:space="preserve">For additional information as to our business, properties and financial condition please refer to the documents cited in Where You Can Find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rom415854_5"/>
      <w:bookmarkEnd w:id="7"/>
      <w:r>
        <w:rPr>
          <w:rFonts w:ascii="Times New Roman" w:hAnsi="Times New Roman"/>
          <w:b/>
          <w:sz w:val="20"/>
        </w:rPr>
        <w:t xml:space="preserve">RISK FACTORS </w:t>
      </w:r>
    </w:p>
    <w:p>
      <w:pPr>
        <w:pStyle w:val="TextBody"/>
        <w:spacing w:before="180" w:after="0"/>
        <w:rPr>
          <w:rFonts w:ascii="Times New Roman" w:hAnsi="Times New Roman"/>
          <w:sz w:val="20"/>
        </w:rPr>
      </w:pPr>
      <w:r>
        <w:rPr>
          <w:rFonts w:ascii="Times New Roman" w:hAnsi="Times New Roman"/>
          <w:sz w:val="20"/>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rom415854_6"/>
      <w:bookmarkEnd w:id="8"/>
      <w:r>
        <w:rPr>
          <w:rFonts w:ascii="Times New Roman" w:hAnsi="Times New Roman"/>
          <w:b/>
          <w:sz w:val="20"/>
        </w:rPr>
        <w:t xml:space="preserve">USE OF PROCEEDS </w:t>
      </w:r>
    </w:p>
    <w:p>
      <w:pPr>
        <w:pStyle w:val="TextBody"/>
        <w:spacing w:before="180" w:after="0"/>
        <w:rPr>
          <w:rFonts w:ascii="Times New Roman" w:hAnsi="Times New Roman"/>
          <w:sz w:val="20"/>
        </w:rPr>
      </w:pPr>
      <w:r>
        <w:rPr>
          <w:rFonts w:ascii="Times New Roman" w:hAnsi="Times New Roman"/>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 </w:t>
      </w:r>
    </w:p>
    <w:p>
      <w:pPr>
        <w:pStyle w:val="TextBody"/>
        <w:spacing w:before="180" w:after="0"/>
        <w:rPr>
          <w:rFonts w:ascii="Times New Roman" w:hAnsi="Times New Roman"/>
          <w:sz w:val="20"/>
        </w:rPr>
      </w:pPr>
      <w:r>
        <w:rPr>
          <w:rFonts w:ascii="Times New Roman" w:hAnsi="Times New Roman"/>
          <w:sz w:val="20"/>
        </w:rPr>
        <w:t xml:space="preserve">Any specific allocation of the net proceeds of an offering of securities to a specific purpose will be determined at the time of the offering and will be described in a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rom415854_7"/>
      <w:bookmarkEnd w:id="9"/>
      <w:r>
        <w:rPr>
          <w:rFonts w:ascii="Times New Roman" w:hAnsi="Times New Roman"/>
          <w:b/>
          <w:sz w:val="20"/>
        </w:rPr>
        <w:t xml:space="preserve">RATIO OF EARNINGS TO FIXED CHARGES </w:t>
      </w:r>
    </w:p>
    <w:p>
      <w:pPr>
        <w:pStyle w:val="TextBody"/>
        <w:spacing w:before="180" w:after="0"/>
        <w:rPr>
          <w:rFonts w:ascii="Times New Roman" w:hAnsi="Times New Roman"/>
          <w:sz w:val="20"/>
        </w:rPr>
      </w:pPr>
      <w:r>
        <w:rPr>
          <w:rFonts w:ascii="Times New Roman" w:hAnsi="Times New Roman"/>
          <w:sz w:val="20"/>
        </w:rPr>
        <w:t xml:space="preserve">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3"/>
        <w:gridCol w:w="222"/>
        <w:gridCol w:w="60"/>
        <w:gridCol w:w="487"/>
        <w:gridCol w:w="120"/>
        <w:gridCol w:w="222"/>
        <w:gridCol w:w="60"/>
        <w:gridCol w:w="487"/>
        <w:gridCol w:w="120"/>
        <w:gridCol w:w="222"/>
        <w:gridCol w:w="60"/>
        <w:gridCol w:w="487"/>
        <w:gridCol w:w="119"/>
        <w:gridCol w:w="222"/>
        <w:gridCol w:w="60"/>
        <w:gridCol w:w="487"/>
        <w:gridCol w:w="120"/>
        <w:gridCol w:w="222"/>
        <w:gridCol w:w="60"/>
        <w:gridCol w:w="487"/>
        <w:gridCol w:w="120"/>
        <w:gridCol w:w="222"/>
        <w:gridCol w:w="60"/>
        <w:gridCol w:w="487"/>
        <w:gridCol w:w="129"/>
      </w:tblGrid>
      <w:tr>
        <w:trPr/>
        <w:tc>
          <w:tcPr>
            <w:tcW w:w="486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w:t>
              <w:br/>
              <w:t>Months</w:t>
            </w:r>
            <w:r>
              <w:rPr/>
              <w:br/>
            </w:r>
            <w:r>
              <w:rPr>
                <w:rFonts w:ascii="Times New Roman" w:hAnsi="Times New Roman"/>
                <w:b/>
                <w:sz w:val="14"/>
              </w:rPr>
              <w:t>Ended</w:t>
            </w:r>
            <w:r>
              <w:rPr/>
              <w:br/>
            </w:r>
            <w:r>
              <w:rPr>
                <w:rFonts w:ascii="Times New Roman" w:hAnsi="Times New Roman"/>
                <w:b/>
                <w:sz w:val="14"/>
              </w:rPr>
              <w:t>June 30,</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4102" w:type="dxa"/>
            <w:gridSpan w:val="18"/>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 Ended December 31,</w:t>
            </w:r>
          </w:p>
        </w:tc>
        <w:tc>
          <w:tcPr>
            <w:tcW w:w="129" w:type="dxa"/>
            <w:tcBorders/>
            <w:shd w:fill="auto"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2012</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2011</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19"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29" w:type="dxa"/>
            <w:tcBorders/>
            <w:shd w:fill="auto" w:val="clear"/>
            <w:vAlign w:val="bottom"/>
          </w:tcPr>
          <w:p>
            <w:pPr>
              <w:pStyle w:val="TableContents"/>
              <w:spacing w:before="0" w:after="283"/>
              <w:rPr/>
            </w:pPr>
            <w:r>
              <w:rPr/>
              <w:t> </w:t>
            </w:r>
          </w:p>
        </w:tc>
      </w:tr>
      <w:tr>
        <w:trPr/>
        <w:tc>
          <w:tcPr>
            <w:tcW w:w="4863"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Charges(1)</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2.57x</w:t>
            </w:r>
          </w:p>
        </w:tc>
        <w:tc>
          <w:tcPr>
            <w:tcW w:w="119"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2.60x</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2.45x</w:t>
            </w:r>
          </w:p>
        </w:tc>
        <w:tc>
          <w:tcPr>
            <w:tcW w:w="129" w:type="dxa"/>
            <w:tcBorders/>
            <w:shd w:fill="CCEEFF" w:val="clear"/>
            <w:vAlign w:val="bottom"/>
          </w:tcPr>
          <w:p>
            <w:pPr>
              <w:pStyle w:val="TableContents"/>
              <w:spacing w:before="0" w:after="283"/>
              <w:rPr/>
            </w:pPr>
            <w:r>
              <w:rPr/>
              <w:t>  </w:t>
            </w:r>
          </w:p>
        </w:tc>
      </w:tr>
      <w:tr>
        <w:trPr/>
        <w:tc>
          <w:tcPr>
            <w:tcW w:w="4863"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19"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283"/>
              <w:rPr/>
            </w:pPr>
            <w:r>
              <w:rPr/>
              <w:t> </w:t>
            </w:r>
          </w:p>
        </w:tc>
        <w:tc>
          <w:tcPr>
            <w:tcW w:w="48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interest costs attributable to borrowings for hedged inventory purchases of $6 million for the six months ended June 30, 2012 and $20 million, $17 million, $11 million, $21 million and $44 million for the years ended December 31, 2011, 2010, 2009, 2008 and 2007,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rom415854_8"/>
      <w:bookmarkEnd w:id="10"/>
      <w:r>
        <w:rPr>
          <w:rFonts w:ascii="Times New Roman" w:hAnsi="Times New Roman"/>
          <w:b/>
          <w:sz w:val="20"/>
        </w:rPr>
        <w:t xml:space="preserve">DESCRIPTION OF OUR DEBT SECURITIES </w:t>
      </w:r>
    </w:p>
    <w:p>
      <w:pPr>
        <w:pStyle w:val="TextBody"/>
        <w:spacing w:before="270" w:after="0"/>
        <w:rPr>
          <w:rFonts w:ascii="Times New Roman" w:hAnsi="Times New Roman"/>
          <w:b/>
          <w:sz w:val="20"/>
        </w:rPr>
      </w:pPr>
      <w:r>
        <w:rPr>
          <w:rFonts w:ascii="Times New Roman" w:hAnsi="Times New Roman"/>
          <w:b/>
          <w:sz w:val="20"/>
        </w:rPr>
        <w:t xml:space="preserve">General </w:t>
      </w:r>
    </w:p>
    <w:p>
      <w:pPr>
        <w:pStyle w:val="TextBody"/>
        <w:spacing w:before="90" w:after="0"/>
        <w:rPr>
          <w:rFonts w:ascii="Times New Roman" w:hAnsi="Times New Roman"/>
          <w:sz w:val="20"/>
        </w:rPr>
      </w:pPr>
      <w:r>
        <w:rPr>
          <w:rFonts w:ascii="Times New Roman" w:hAnsi="Times New Roman"/>
          <w:sz w:val="20"/>
        </w:rPr>
        <w:t xml:space="preserve">The debt securities will 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direct general obligations;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either senior debt securities or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issued under separate indentures (which may be existing indentures) among Plains All American Pipeline, PAA Finance and U.S. Bank National Association, as successor Trustee. </w:t>
            </w:r>
          </w:p>
        </w:tc>
      </w:tr>
    </w:tbl>
    <w:p>
      <w:pPr>
        <w:pStyle w:val="TextBody"/>
        <w:spacing w:before="180" w:after="0"/>
        <w:rPr>
          <w:rFonts w:ascii="Times New Roman" w:hAnsi="Times New Roman"/>
          <w:sz w:val="20"/>
        </w:rPr>
      </w:pPr>
      <w:r>
        <w:rPr>
          <w:rFonts w:ascii="Times New Roman" w:hAnsi="Times New Roman"/>
          <w:sz w:val="20"/>
        </w:rPr>
        <w:t xml:space="preserve">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80" w:after="0"/>
        <w:rPr>
          <w:rFonts w:ascii="Times New Roman" w:hAnsi="Times New Roman"/>
          <w:sz w:val="20"/>
        </w:rPr>
      </w:pPr>
      <w:r>
        <w:rPr>
          <w:rFonts w:ascii="Times New Roman" w:hAnsi="Times New Roman"/>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70" w:after="0"/>
        <w:rPr>
          <w:rFonts w:ascii="Times New Roman" w:hAnsi="Times New Roman"/>
          <w:b/>
          <w:sz w:val="20"/>
        </w:rPr>
      </w:pPr>
      <w:r>
        <w:rPr>
          <w:rFonts w:ascii="Times New Roman" w:hAnsi="Times New Roman"/>
          <w:b/>
          <w:sz w:val="20"/>
        </w:rPr>
        <w:t xml:space="preserve">Specific Terms of Each Series of Debt Securities in the Prospectus Supplement </w:t>
      </w:r>
    </w:p>
    <w:p>
      <w:pPr>
        <w:pStyle w:val="TextBody"/>
        <w:spacing w:before="90" w:after="0"/>
        <w:rPr>
          <w:rFonts w:ascii="Times New Roman" w:hAnsi="Times New Roman"/>
          <w:sz w:val="20"/>
        </w:rPr>
      </w:pPr>
      <w:r>
        <w:rPr>
          <w:rFonts w:ascii="Times New Roman" w:hAnsi="Times New Roman"/>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PAA Finance will be a co-issuer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debt securities are senior or subordinated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title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assets, if any, that are pledged as security for the payment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we will issue the debt securities in individual certificates to each holder in registered form, or in the form of temporary or permanent global securities held by a depository on behalf of 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prices at which we will issue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the principal amount that will be payable if the maturity of the debt securities is accelerated;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currency or currency unit in which the debt securities will be payable, if not U.S. dollars;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dates on which the principal of the debt securities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interest rate that the debt securities will bear and the interest payment dates for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conversion or exchange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optional redemption provisions;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sinking fund or other provisions that would obligate us to repurchase or otherwise redeem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changes to or additional events of default or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terms of the debt securities. </w:t>
            </w:r>
          </w:p>
        </w:tc>
      </w:tr>
    </w:tbl>
    <w:p>
      <w:pPr>
        <w:pStyle w:val="TextBody"/>
        <w:spacing w:before="180" w:after="0"/>
        <w:rPr>
          <w:rFonts w:ascii="Times New Roman" w:hAnsi="Times New Roman"/>
          <w:sz w:val="20"/>
        </w:rPr>
      </w:pPr>
      <w:r>
        <w:rPr>
          <w:rFonts w:ascii="Times New Roman" w:hAnsi="Times New Roman"/>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70" w:after="0"/>
        <w:rPr>
          <w:rFonts w:ascii="Times New Roman" w:hAnsi="Times New Roman"/>
          <w:b/>
          <w:sz w:val="20"/>
        </w:rPr>
      </w:pPr>
      <w:r>
        <w:rPr>
          <w:rFonts w:ascii="Times New Roman" w:hAnsi="Times New Roman"/>
          <w:b/>
          <w:sz w:val="20"/>
        </w:rPr>
        <w:t xml:space="preserve">Possible Future Guarantees </w:t>
      </w:r>
    </w:p>
    <w:p>
      <w:pPr>
        <w:pStyle w:val="TextBody"/>
        <w:spacing w:before="90" w:after="0"/>
        <w:rPr>
          <w:rFonts w:ascii="Times New Roman" w:hAnsi="Times New Roman"/>
          <w:sz w:val="20"/>
        </w:rPr>
      </w:pPr>
      <w:r>
        <w:rPr>
          <w:rFonts w:ascii="Times New Roman" w:hAnsi="Times New Roman"/>
          <w:sz w:val="20"/>
        </w:rPr>
        <w:t xml:space="preserve">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 </w:t>
      </w:r>
    </w:p>
    <w:p>
      <w:pPr>
        <w:pStyle w:val="TextBody"/>
        <w:spacing w:before="180" w:after="0"/>
        <w:rPr>
          <w:rFonts w:ascii="Times New Roman" w:hAnsi="Times New Roman"/>
          <w:sz w:val="20"/>
        </w:rPr>
      </w:pPr>
      <w:r>
        <w:rPr>
          <w:rFonts w:ascii="Times New Roman" w:hAnsi="Times New Roman"/>
          <w:sz w:val="20"/>
        </w:rPr>
        <w:t xml:space="preserve">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 </w:t>
      </w:r>
    </w:p>
    <w:p>
      <w:pPr>
        <w:pStyle w:val="TextBody"/>
        <w:spacing w:before="180" w:after="0"/>
        <w:rPr>
          <w:rFonts w:ascii="Times New Roman" w:hAnsi="Times New Roman"/>
          <w:sz w:val="20"/>
        </w:rPr>
      </w:pPr>
      <w:r>
        <w:rPr>
          <w:rFonts w:ascii="Times New Roman" w:hAnsi="Times New Roman"/>
          <w:sz w:val="20"/>
        </w:rPr>
        <w:t xml:space="preserve">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 </w:t>
      </w:r>
    </w:p>
    <w:p>
      <w:pPr>
        <w:pStyle w:val="TextBody"/>
        <w:spacing w:before="270" w:after="0"/>
        <w:rPr>
          <w:rFonts w:ascii="Times New Roman" w:hAnsi="Times New Roman"/>
          <w:b/>
          <w:sz w:val="20"/>
        </w:rPr>
      </w:pPr>
      <w:r>
        <w:rPr>
          <w:rFonts w:ascii="Times New Roman" w:hAnsi="Times New Roman"/>
          <w:b/>
          <w:sz w:val="20"/>
        </w:rPr>
        <w:t xml:space="preserve">Consolidation, Merger or Asset Sale </w:t>
      </w:r>
    </w:p>
    <w:p>
      <w:pPr>
        <w:pStyle w:val="TextBody"/>
        <w:spacing w:before="90" w:after="0"/>
        <w:rPr>
          <w:rFonts w:ascii="Times New Roman" w:hAnsi="Times New Roman"/>
          <w:sz w:val="20"/>
        </w:rPr>
      </w:pPr>
      <w:r>
        <w:rPr>
          <w:rFonts w:ascii="Times New Roman" w:hAnsi="Times New Roman"/>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80" w:after="0"/>
        <w:rPr>
          <w:rFonts w:ascii="Times New Roman" w:hAnsi="Times New Roman"/>
          <w:sz w:val="20"/>
        </w:rPr>
      </w:pPr>
      <w:r>
        <w:rPr>
          <w:rFonts w:ascii="Times New Roman" w:hAnsi="Times New Roman"/>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remaining or acquiring entity must assume the issuers obligations under the indenture;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immediately after giving effect to the transaction, no Default or Event of Default (as defined under  Events of Default and Remedies below) may exist.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spacing w:before="270" w:after="0"/>
        <w:rPr>
          <w:rFonts w:ascii="Times New Roman" w:hAnsi="Times New Roman"/>
          <w:b/>
          <w:sz w:val="20"/>
        </w:rPr>
      </w:pPr>
      <w:r>
        <w:rPr>
          <w:rFonts w:ascii="Times New Roman" w:hAnsi="Times New Roman"/>
          <w:b/>
          <w:sz w:val="20"/>
        </w:rPr>
        <w:t xml:space="preserve">No Protection in the Event of a Change of Control </w:t>
      </w:r>
    </w:p>
    <w:p>
      <w:pPr>
        <w:pStyle w:val="TextBody"/>
        <w:spacing w:before="90" w:after="0"/>
        <w:rPr>
          <w:rFonts w:ascii="Times New Roman" w:hAnsi="Times New Roman"/>
          <w:sz w:val="20"/>
        </w:rPr>
      </w:pPr>
      <w:r>
        <w:rPr>
          <w:rFonts w:ascii="Times New Roman" w:hAnsi="Times New Roman"/>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70" w:after="0"/>
        <w:rPr>
          <w:rFonts w:ascii="Times New Roman" w:hAnsi="Times New Roman"/>
          <w:b/>
          <w:sz w:val="20"/>
        </w:rPr>
      </w:pPr>
      <w:r>
        <w:rPr>
          <w:rFonts w:ascii="Times New Roman" w:hAnsi="Times New Roman"/>
          <w:b/>
          <w:sz w:val="20"/>
        </w:rPr>
        <w:t xml:space="preserve">Modification of Indentures </w:t>
      </w:r>
    </w:p>
    <w:p>
      <w:pPr>
        <w:pStyle w:val="TextBody"/>
        <w:spacing w:before="90" w:after="0"/>
        <w:rPr>
          <w:rFonts w:ascii="Times New Roman" w:hAnsi="Times New Roman"/>
          <w:sz w:val="20"/>
        </w:rPr>
      </w:pPr>
      <w:r>
        <w:rPr>
          <w:rFonts w:ascii="Times New Roman" w:hAnsi="Times New Roman"/>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amount of debt securities whose holders must consent to an amendment, supplement or waiver;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principal of or change the fixed maturity of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or waive the premium payable upon redemption or alter or waive the provisions with respect to the redemption of the debt securities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reduce the rate of or change the time for payment of interest on any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under the indenture, release any security that may have been granted with respect to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debt security payable in currency other than that stated in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make any change in the subordination provisions that adversely affects the rights of any holder under those provisions;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of debt securities to receive payments of principal of or premium, if any, or interest on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waive a redemption payment with respect to any debt security (except as may be permitted in the case of a particular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except as otherwise permitted in the indenture, release any guarantor from its obligations under its guarantee or the indenture or change any guarantee in any manner that would adversely affect the rights of holders;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make any change in the preceding amendment, supplement and waiver provisions (except to increase any percentage set forth therein).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may supplement or amend an indenture without the consent of any holders of the debt securities in certain circumstances,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establish the form of terms of any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uncertificated notes in addition to or in place of certified notes;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provide for the assumption of an issuers or any guarantors obligations to holders of debt securities in the case of a merger or consolidation or disposition of all or substantially all of such issuers or guarantors assets;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case of any subordinated debt security, to make any change in the subordination provisions that limits or terminates the benefits applicable to any holder of Senior Indebtedness of Plains All American Pipeline;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or release any guarantors pursuant to the terms of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make any changes that would provide any additional rights or benefits to the holders of debt securities or that do not, taken as a whole, adversely affect the rights under the indenture of any holder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evidence or provide for the acceptance of appointment under the indenture of a successor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add any additional Events of Default;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secure the debt securities and/or any guarantees. </w:t>
            </w:r>
          </w:p>
        </w:tc>
      </w:tr>
    </w:tbl>
    <w:p>
      <w:pPr>
        <w:pStyle w:val="TextBody"/>
        <w:spacing w:before="270" w:after="0"/>
        <w:rPr>
          <w:rFonts w:ascii="Times New Roman" w:hAnsi="Times New Roman"/>
          <w:b/>
          <w:sz w:val="20"/>
        </w:rPr>
      </w:pPr>
      <w:r>
        <w:rPr>
          <w:rFonts w:ascii="Times New Roman" w:hAnsi="Times New Roman"/>
          <w:b/>
          <w:sz w:val="20"/>
        </w:rPr>
        <w:t xml:space="preserve">Events of Default and Remedies </w:t>
      </w:r>
    </w:p>
    <w:p>
      <w:pPr>
        <w:pStyle w:val="TextBody"/>
        <w:spacing w:before="90" w:after="0"/>
        <w:rPr>
          <w:rFonts w:ascii="Times New Roman" w:hAnsi="Times New Roman"/>
          <w:sz w:val="20"/>
        </w:rPr>
      </w:pPr>
      <w:r>
        <w:rPr>
          <w:rFonts w:ascii="Times New Roman" w:hAnsi="Times New Roman"/>
          <w:sz w:val="20"/>
        </w:rPr>
        <w:t xml:space="preserve">Event of Default, when used in an indenture, will mean any of the following with respect to the debt securities of any series: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the principal of or any premium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within 60 days of the due date, interest on any debt security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pay when due any sinking fund payment with respect to any debt securities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on the part of the issuers to comply with the covenant described under  Consolidation, Merger or Asset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to perform any other covenant in the indenture that continues for 30 days after written notice is given to the issuers;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an issuer;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Event of Default provided under the terms of the debt securities of that series. </w:t>
            </w:r>
          </w:p>
        </w:tc>
      </w:tr>
    </w:tbl>
    <w:p>
      <w:pPr>
        <w:pStyle w:val="TextBody"/>
        <w:spacing w:before="180" w:after="0"/>
        <w:rPr>
          <w:rFonts w:ascii="Times New Roman" w:hAnsi="Times New Roman"/>
          <w:sz w:val="20"/>
        </w:rPr>
      </w:pPr>
      <w:r>
        <w:rPr>
          <w:rFonts w:ascii="Times New Roman" w:hAnsi="Times New Roman"/>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80" w:after="0"/>
        <w:rPr>
          <w:rFonts w:ascii="Times New Roman" w:hAnsi="Times New Roman"/>
          <w:sz w:val="20"/>
        </w:rPr>
      </w:pPr>
      <w:r>
        <w:rPr>
          <w:rFonts w:ascii="Times New Roman" w:hAnsi="Times New Roman"/>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spacing w:before="270" w:after="0"/>
        <w:rPr>
          <w:rFonts w:ascii="Times New Roman" w:hAnsi="Times New Roman"/>
          <w:b/>
          <w:sz w:val="20"/>
        </w:rPr>
      </w:pPr>
      <w:r>
        <w:rPr>
          <w:rFonts w:ascii="Times New Roman" w:hAnsi="Times New Roman"/>
          <w:b/>
          <w:sz w:val="20"/>
        </w:rPr>
        <w:t xml:space="preserve">No Limit on Amount of Debt Securities </w:t>
      </w:r>
    </w:p>
    <w:p>
      <w:pPr>
        <w:pStyle w:val="TextBody"/>
        <w:spacing w:before="90" w:after="0"/>
        <w:rPr>
          <w:rFonts w:ascii="Times New Roman" w:hAnsi="Times New Roman"/>
          <w:sz w:val="20"/>
        </w:rPr>
      </w:pPr>
      <w:r>
        <w:rPr>
          <w:rFonts w:ascii="Times New Roman" w:hAnsi="Times New Roman"/>
          <w:sz w:val="20"/>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70" w:after="0"/>
        <w:rPr>
          <w:rFonts w:ascii="Times New Roman" w:hAnsi="Times New Roman"/>
          <w:b/>
          <w:sz w:val="20"/>
        </w:rPr>
      </w:pPr>
      <w:r>
        <w:rPr>
          <w:rFonts w:ascii="Times New Roman" w:hAnsi="Times New Roman"/>
          <w:b/>
          <w:sz w:val="20"/>
        </w:rPr>
        <w:t xml:space="preserve">Registration of Notes </w:t>
      </w:r>
    </w:p>
    <w:p>
      <w:pPr>
        <w:pStyle w:val="TextBody"/>
        <w:spacing w:before="90" w:after="0"/>
        <w:rPr>
          <w:rFonts w:ascii="Times New Roman" w:hAnsi="Times New Roman"/>
          <w:sz w:val="20"/>
        </w:rPr>
      </w:pPr>
      <w:r>
        <w:rPr>
          <w:rFonts w:ascii="Times New Roman" w:hAnsi="Times New Roman"/>
          <w:sz w:val="20"/>
        </w:rPr>
        <w:t xml:space="preserve">We will issue debt securities of a series only in registered form, without coupons,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Minimum Denominations </w:t>
      </w:r>
    </w:p>
    <w:p>
      <w:pPr>
        <w:pStyle w:val="TextBody"/>
        <w:spacing w:before="90" w:after="0"/>
        <w:rPr>
          <w:rFonts w:ascii="Times New Roman" w:hAnsi="Times New Roman"/>
          <w:sz w:val="20"/>
        </w:rPr>
      </w:pPr>
      <w:r>
        <w:rPr>
          <w:rFonts w:ascii="Times New Roman" w:hAnsi="Times New Roman"/>
          <w:sz w:val="20"/>
        </w:rPr>
        <w:t xml:space="preserve">Unless the prospectus supplement states otherwise, the debt securities will be issued only in principal amounts of $1,000 each or integral multiples of $1,000. </w:t>
      </w:r>
    </w:p>
    <w:p>
      <w:pPr>
        <w:pStyle w:val="TextBody"/>
        <w:spacing w:before="270" w:after="0"/>
        <w:rPr>
          <w:rFonts w:ascii="Times New Roman" w:hAnsi="Times New Roman"/>
          <w:b/>
          <w:sz w:val="20"/>
        </w:rPr>
      </w:pPr>
      <w:r>
        <w:rPr>
          <w:rFonts w:ascii="Times New Roman" w:hAnsi="Times New Roman"/>
          <w:b/>
          <w:sz w:val="20"/>
        </w:rPr>
        <w:t xml:space="preserve">No Personal Liability </w:t>
      </w:r>
    </w:p>
    <w:p>
      <w:pPr>
        <w:pStyle w:val="TextBody"/>
        <w:spacing w:before="90" w:after="0"/>
        <w:rPr>
          <w:rFonts w:ascii="Times New Roman" w:hAnsi="Times New Roman"/>
          <w:sz w:val="20"/>
        </w:rPr>
      </w:pPr>
      <w:r>
        <w:rPr>
          <w:rFonts w:ascii="Times New Roman" w:hAnsi="Times New Roman"/>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70" w:after="0"/>
        <w:rPr>
          <w:rFonts w:ascii="Times New Roman" w:hAnsi="Times New Roman"/>
          <w:b/>
          <w:sz w:val="20"/>
        </w:rPr>
      </w:pPr>
      <w:r>
        <w:rPr>
          <w:rFonts w:ascii="Times New Roman" w:hAnsi="Times New Roman"/>
          <w:b/>
          <w:sz w:val="20"/>
        </w:rPr>
        <w:t xml:space="preserve">Payment and Transfer </w:t>
      </w:r>
    </w:p>
    <w:p>
      <w:pPr>
        <w:pStyle w:val="TextBody"/>
        <w:spacing w:before="90" w:after="0"/>
        <w:rPr>
          <w:rFonts w:ascii="Times New Roman" w:hAnsi="Times New Roman"/>
          <w:sz w:val="20"/>
        </w:rPr>
      </w:pPr>
      <w:r>
        <w:rPr>
          <w:rFonts w:ascii="Times New Roman" w:hAnsi="Times New Roman"/>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80" w:after="0"/>
        <w:rPr>
          <w:rFonts w:ascii="Times New Roman" w:hAnsi="Times New Roman"/>
          <w:sz w:val="20"/>
        </w:rPr>
      </w:pPr>
      <w:r>
        <w:rPr>
          <w:rFonts w:ascii="Times New Roman" w:hAnsi="Times New Roman"/>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80" w:after="0"/>
        <w:rPr>
          <w:rFonts w:ascii="Times New Roman" w:hAnsi="Times New Roman"/>
          <w:sz w:val="20"/>
        </w:rPr>
      </w:pPr>
      <w:r>
        <w:rPr>
          <w:rFonts w:ascii="Times New Roman" w:hAnsi="Times New Roman"/>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70" w:after="0"/>
        <w:rPr>
          <w:rFonts w:ascii="Times New Roman" w:hAnsi="Times New Roman"/>
          <w:b/>
          <w:sz w:val="20"/>
        </w:rPr>
      </w:pPr>
      <w:r>
        <w:rPr>
          <w:rFonts w:ascii="Times New Roman" w:hAnsi="Times New Roman"/>
          <w:b/>
          <w:sz w:val="20"/>
        </w:rPr>
        <w:t xml:space="preserve">Exchange, Registration and Transfer </w:t>
      </w:r>
    </w:p>
    <w:p>
      <w:pPr>
        <w:pStyle w:val="TextBody"/>
        <w:spacing w:before="90" w:after="0"/>
        <w:rPr>
          <w:rFonts w:ascii="Times New Roman" w:hAnsi="Times New Roman"/>
          <w:sz w:val="20"/>
        </w:rPr>
      </w:pPr>
      <w:r>
        <w:rPr>
          <w:rFonts w:ascii="Times New Roman" w:hAnsi="Times New Roman"/>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80" w:after="0"/>
        <w:rPr>
          <w:rFonts w:ascii="Times New Roman" w:hAnsi="Times New Roman"/>
          <w:sz w:val="20"/>
        </w:rPr>
      </w:pPr>
      <w:r>
        <w:rPr>
          <w:rFonts w:ascii="Times New Roman" w:hAnsi="Times New Roman"/>
          <w:sz w:val="20"/>
        </w:rPr>
        <w:t xml:space="preserve">We will not be required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register the transfer of or exchange any debt security called for redemption or repurchase, except the unredeemed portion of any debt security we are redeeming or repurchasing in part. </w:t>
            </w:r>
          </w:p>
        </w:tc>
      </w:tr>
    </w:tbl>
    <w:p>
      <w:pPr>
        <w:pStyle w:val="TextBody"/>
        <w:spacing w:before="270" w:after="0"/>
        <w:rPr>
          <w:rFonts w:ascii="Times New Roman" w:hAnsi="Times New Roman"/>
          <w:b/>
          <w:sz w:val="20"/>
        </w:rPr>
      </w:pPr>
      <w:r>
        <w:rPr>
          <w:rFonts w:ascii="Times New Roman" w:hAnsi="Times New Roman"/>
          <w:b/>
          <w:sz w:val="20"/>
        </w:rPr>
        <w:t xml:space="preserve">Provisions Relating only to the Senior Debt Securities </w:t>
      </w:r>
    </w:p>
    <w:p>
      <w:pPr>
        <w:pStyle w:val="TextBody"/>
        <w:spacing w:before="90" w:after="0"/>
        <w:rPr>
          <w:rFonts w:ascii="Times New Roman" w:hAnsi="Times New Roman"/>
          <w:sz w:val="20"/>
        </w:rPr>
      </w:pPr>
      <w:r>
        <w:rPr>
          <w:rFonts w:ascii="Times New Roman" w:hAnsi="Times New Roman"/>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70" w:after="0"/>
        <w:rPr>
          <w:rFonts w:ascii="Times New Roman" w:hAnsi="Times New Roman"/>
          <w:b/>
          <w:sz w:val="20"/>
        </w:rPr>
      </w:pPr>
      <w:r>
        <w:rPr>
          <w:rFonts w:ascii="Times New Roman" w:hAnsi="Times New Roman"/>
          <w:b/>
          <w:sz w:val="20"/>
        </w:rPr>
        <w:t xml:space="preserve">Provisions Relating only to the Subordinated Debt Securities </w:t>
      </w:r>
    </w:p>
    <w:p>
      <w:pPr>
        <w:pStyle w:val="TextBody"/>
        <w:spacing w:before="90" w:after="0"/>
        <w:rPr>
          <w:rFonts w:ascii="Times New Roman" w:hAnsi="Times New Roman"/>
          <w:b/>
          <w:i/>
          <w:sz w:val="20"/>
        </w:rPr>
      </w:pPr>
      <w:r>
        <w:rPr>
          <w:rFonts w:ascii="Times New Roman" w:hAnsi="Times New Roman"/>
          <w:b/>
          <w:i/>
          <w:sz w:val="20"/>
        </w:rPr>
        <w:t xml:space="preserve">Subordinated Debt Securities Subordinated to Senior Indebtedness </w:t>
      </w:r>
    </w:p>
    <w:p>
      <w:pPr>
        <w:pStyle w:val="TextBody"/>
        <w:spacing w:before="90" w:after="0"/>
        <w:rPr>
          <w:rFonts w:ascii="Times New Roman" w:hAnsi="Times New Roman"/>
          <w:sz w:val="20"/>
        </w:rPr>
      </w:pPr>
      <w:r>
        <w:rPr>
          <w:rFonts w:ascii="Times New Roman" w:hAnsi="Times New Roman"/>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70" w:after="0"/>
        <w:rPr>
          <w:rFonts w:ascii="Times New Roman" w:hAnsi="Times New Roman"/>
          <w:b/>
          <w:i/>
          <w:sz w:val="20"/>
        </w:rPr>
      </w:pPr>
      <w:r>
        <w:rPr>
          <w:rFonts w:ascii="Times New Roman" w:hAnsi="Times New Roman"/>
          <w:b/>
          <w:i/>
          <w:sz w:val="20"/>
        </w:rPr>
        <w:t xml:space="preserve">Payment Blockages </w:t>
      </w:r>
    </w:p>
    <w:p>
      <w:pPr>
        <w:pStyle w:val="TextBody"/>
        <w:spacing w:before="90" w:after="0"/>
        <w:rPr>
          <w:rFonts w:ascii="Times New Roman" w:hAnsi="Times New Roman"/>
          <w:sz w:val="20"/>
        </w:rPr>
      </w:pPr>
      <w:r>
        <w:rPr>
          <w:rFonts w:ascii="Times New Roman" w:hAnsi="Times New Roman"/>
          <w:sz w:val="20"/>
        </w:rPr>
        <w:t xml:space="preserve">The subordinated indenture will provide that no payment of principal, interest and any premium on the subordinated debt securities may be made in the event: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or our property is involved in any voluntary or involuntary liquidation or bankruptcy;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70" w:after="0"/>
        <w:rPr>
          <w:rFonts w:ascii="Times New Roman" w:hAnsi="Times New Roman"/>
          <w:b/>
          <w:i/>
          <w:sz w:val="20"/>
        </w:rPr>
      </w:pPr>
      <w:r>
        <w:rPr>
          <w:rFonts w:ascii="Times New Roman" w:hAnsi="Times New Roman"/>
          <w:b/>
          <w:i/>
          <w:sz w:val="20"/>
        </w:rPr>
        <w:t xml:space="preserve">No Limitation on Amount of Senior Debt </w:t>
      </w:r>
    </w:p>
    <w:p>
      <w:pPr>
        <w:pStyle w:val="TextBody"/>
        <w:spacing w:before="90" w:after="0"/>
        <w:rPr>
          <w:rFonts w:ascii="Times New Roman" w:hAnsi="Times New Roman"/>
          <w:sz w:val="20"/>
        </w:rPr>
      </w:pPr>
      <w:r>
        <w:rPr>
          <w:rFonts w:ascii="Times New Roman" w:hAnsi="Times New Roman"/>
          <w:sz w:val="20"/>
        </w:rPr>
        <w:t xml:space="preserve">The subordinated indenture will not limit the amount of Senior Indebtedness that Plains All American Pipeline may incur, unless otherwise indicated in the prospectus supplement. </w:t>
      </w:r>
    </w:p>
    <w:p>
      <w:pPr>
        <w:pStyle w:val="TextBody"/>
        <w:spacing w:before="270" w:after="0"/>
        <w:rPr>
          <w:rFonts w:ascii="Times New Roman" w:hAnsi="Times New Roman"/>
          <w:b/>
          <w:sz w:val="20"/>
        </w:rPr>
      </w:pPr>
      <w:r>
        <w:rPr>
          <w:rFonts w:ascii="Times New Roman" w:hAnsi="Times New Roman"/>
          <w:b/>
          <w:sz w:val="20"/>
        </w:rPr>
        <w:t xml:space="preserve">Book Entry, Delivery and Form </w:t>
      </w:r>
    </w:p>
    <w:p>
      <w:pPr>
        <w:pStyle w:val="TextBody"/>
        <w:spacing w:before="90" w:after="0"/>
        <w:rPr>
          <w:rFonts w:ascii="Times New Roman" w:hAnsi="Times New Roman"/>
          <w:sz w:val="20"/>
        </w:rPr>
      </w:pPr>
      <w:r>
        <w:rPr>
          <w:rFonts w:ascii="Times New Roman" w:hAnsi="Times New Roman"/>
          <w:sz w:val="20"/>
        </w:rPr>
        <w:t xml:space="preserve">The debt securities of a particular series may be issued in whole or in part in the form of one or more global certificates that will be deposited with the Trustee as custodian for The Depository Trust Company,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80" w:after="0"/>
        <w:rPr>
          <w:rFonts w:ascii="Times New Roman" w:hAnsi="Times New Roman"/>
          <w:sz w:val="20"/>
        </w:rPr>
      </w:pPr>
      <w:r>
        <w:rPr>
          <w:rFonts w:ascii="Times New Roman" w:hAnsi="Times New Roman"/>
          <w:sz w:val="20"/>
        </w:rPr>
        <w:t xml:space="preserve">Beneficial interests in global debt securities will be shown on, and transfers of global debt securities will be made only through, records maintained by DTC and its participants. </w:t>
      </w:r>
    </w:p>
    <w:p>
      <w:pPr>
        <w:pStyle w:val="TextBody"/>
        <w:spacing w:before="180" w:after="0"/>
        <w:rPr>
          <w:rFonts w:ascii="Times New Roman" w:hAnsi="Times New Roman"/>
          <w:sz w:val="20"/>
        </w:rPr>
      </w:pPr>
      <w:r>
        <w:rPr>
          <w:rFonts w:ascii="Times New Roman" w:hAnsi="Times New Roman"/>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80" w:after="0"/>
        <w:rPr>
          <w:rFonts w:ascii="Times New Roman" w:hAnsi="Times New Roman"/>
          <w:sz w:val="20"/>
        </w:rPr>
      </w:pPr>
      <w:r>
        <w:rPr>
          <w:rFonts w:ascii="Times New Roman" w:hAnsi="Times New Roman"/>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80" w:after="0"/>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Inc. and the Financial Industry Regulatory Authority (FINRA). </w:t>
      </w:r>
    </w:p>
    <w:p>
      <w:pPr>
        <w:pStyle w:val="TextBody"/>
        <w:spacing w:before="180" w:after="0"/>
        <w:rPr>
          <w:rFonts w:ascii="Times New Roman" w:hAnsi="Times New Roman"/>
          <w:sz w:val="20"/>
        </w:rPr>
      </w:pPr>
      <w:r>
        <w:rPr>
          <w:rFonts w:ascii="Times New Roman" w:hAnsi="Times New Roman"/>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80" w:after="0"/>
        <w:rPr>
          <w:rFonts w:ascii="Times New Roman" w:hAnsi="Times New Roman"/>
          <w:sz w:val="20"/>
        </w:rPr>
      </w:pPr>
      <w:r>
        <w:rPr>
          <w:rFonts w:ascii="Times New Roman" w:hAnsi="Times New Roman"/>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80" w:after="0"/>
        <w:rPr>
          <w:rFonts w:ascii="Times New Roman" w:hAnsi="Times New Roman"/>
          <w:sz w:val="20"/>
        </w:rPr>
      </w:pPr>
      <w:r>
        <w:rPr>
          <w:rFonts w:ascii="Times New Roman" w:hAnsi="Times New Roman"/>
          <w:sz w:val="20"/>
        </w:rPr>
        <w:t xml:space="preserve">Debt securities represented by a global debt security will be exchangeable for certificated debt securities with the same terms in authorized denominations only if: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DTC notifies us that it is unwilling or unable to continue as depositary or if DTC ceases to be a clearing agency registered under applicable law and in either event a successor depositary is not appointed by us within 90 days;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determine not to require all of the debt securities of a series to be represented by a global debt security. </w:t>
            </w:r>
          </w:p>
        </w:tc>
      </w:tr>
    </w:tbl>
    <w:p>
      <w:pPr>
        <w:pStyle w:val="TextBody"/>
        <w:spacing w:before="270" w:after="0"/>
        <w:rPr>
          <w:rFonts w:ascii="Times New Roman" w:hAnsi="Times New Roman"/>
          <w:b/>
          <w:sz w:val="20"/>
        </w:rPr>
      </w:pPr>
      <w:r>
        <w:rPr>
          <w:rFonts w:ascii="Times New Roman" w:hAnsi="Times New Roman"/>
          <w:b/>
          <w:sz w:val="20"/>
        </w:rPr>
        <w:t xml:space="preserve">Satisfaction and Discharge; Defeasance </w:t>
      </w:r>
    </w:p>
    <w:p>
      <w:pPr>
        <w:pStyle w:val="TextBody"/>
        <w:spacing w:before="90" w:after="0"/>
        <w:rPr>
          <w:rFonts w:ascii="Times New Roman" w:hAnsi="Times New Roman"/>
          <w:sz w:val="20"/>
        </w:rPr>
      </w:pPr>
      <w:r>
        <w:rPr>
          <w:rFonts w:ascii="Times New Roman" w:hAnsi="Times New Roman"/>
          <w:sz w:val="20"/>
        </w:rPr>
        <w:t xml:space="preserve">Each indenture will be discharged and will cease to be of further effect as to all outstanding debt securities of any series issued thereunder, when: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 either: </w:t>
      </w:r>
    </w:p>
    <w:p>
      <w:pPr>
        <w:pStyle w:val="TextBody"/>
        <w:spacing w:before="180" w:after="0"/>
        <w:rPr>
          <w:rFonts w:ascii="Times New Roman" w:hAnsi="Times New Roman"/>
          <w:sz w:val="20"/>
        </w:rPr>
      </w:pPr>
      <w:r>
        <w:rPr>
          <w:rFonts w:ascii="Times New Roman" w:hAnsi="Times New Roman"/>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80" w:after="0"/>
        <w:rPr>
          <w:rFonts w:ascii="Times New Roman" w:hAnsi="Times New Roman"/>
          <w:sz w:val="20"/>
        </w:rPr>
      </w:pPr>
      <w:r>
        <w:rPr>
          <w:rFonts w:ascii="Times New Roman" w:hAnsi="Times New Roman"/>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80" w:after="0"/>
        <w:rPr>
          <w:rFonts w:ascii="Times New Roman" w:hAnsi="Times New Roman"/>
          <w:sz w:val="20"/>
        </w:rPr>
      </w:pPr>
      <w:r>
        <w:rPr>
          <w:rFonts w:ascii="Times New Roman" w:hAnsi="Times New Roman"/>
          <w:sz w:val="20"/>
        </w:rPr>
        <w:t xml:space="preserve">(b) we have paid or caused to be paid all other sums payable by us under the indenture; and </w:t>
      </w:r>
    </w:p>
    <w:p>
      <w:pPr>
        <w:pStyle w:val="TextBody"/>
        <w:spacing w:before="180" w:after="0"/>
        <w:rPr>
          <w:rFonts w:ascii="Times New Roman" w:hAnsi="Times New Roman"/>
          <w:sz w:val="20"/>
        </w:rPr>
      </w:pPr>
      <w:r>
        <w:rPr>
          <w:rFonts w:ascii="Times New Roman" w:hAnsi="Times New Roman"/>
          <w:sz w:val="20"/>
        </w:rPr>
        <w:t xml:space="preserve">(c) we have delivered an officers certificate and an opinion of counsel to the Trustee stating that all conditions precedent to satisfaction and discharge have been satisfied. </w:t>
      </w:r>
    </w:p>
    <w:p>
      <w:pPr>
        <w:pStyle w:val="TextBody"/>
        <w:spacing w:before="180" w:after="0"/>
        <w:rPr>
          <w:rFonts w:ascii="Times New Roman" w:hAnsi="Times New Roman"/>
          <w:sz w:val="20"/>
        </w:rPr>
      </w:pPr>
      <w:r>
        <w:rPr>
          <w:rFonts w:ascii="Times New Roman" w:hAnsi="Times New Roman"/>
          <w:sz w:val="20"/>
        </w:rPr>
        <w:t xml:space="preserve">The debt securities of a particular series will be subject to legal or covenant defeasance to the extent, and upon the terms and conditions, set forth in the prospectus supplement. </w:t>
      </w:r>
    </w:p>
    <w:p>
      <w:pPr>
        <w:pStyle w:val="TextBody"/>
        <w:spacing w:before="270" w:after="0"/>
        <w:rPr>
          <w:rFonts w:ascii="Times New Roman" w:hAnsi="Times New Roman"/>
          <w:b/>
          <w:sz w:val="20"/>
        </w:rPr>
      </w:pPr>
      <w:r>
        <w:rPr>
          <w:rFonts w:ascii="Times New Roman" w:hAnsi="Times New Roman"/>
          <w:b/>
          <w:sz w:val="20"/>
        </w:rPr>
        <w:t xml:space="preserve">The Trustee </w:t>
      </w:r>
    </w:p>
    <w:p>
      <w:pPr>
        <w:pStyle w:val="TextBody"/>
        <w:spacing w:before="90" w:after="0"/>
        <w:rPr>
          <w:rFonts w:ascii="Times New Roman" w:hAnsi="Times New Roman"/>
          <w:sz w:val="20"/>
        </w:rPr>
      </w:pPr>
      <w:r>
        <w:rPr>
          <w:rFonts w:ascii="Times New Roman" w:hAnsi="Times New Roman"/>
          <w:sz w:val="20"/>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70" w:after="0"/>
        <w:rPr>
          <w:rFonts w:ascii="Times New Roman" w:hAnsi="Times New Roman"/>
          <w:b/>
          <w:i/>
          <w:sz w:val="20"/>
        </w:rPr>
      </w:pPr>
      <w:r>
        <w:rPr>
          <w:rFonts w:ascii="Times New Roman" w:hAnsi="Times New Roman"/>
          <w:b/>
          <w:i/>
          <w:sz w:val="20"/>
        </w:rPr>
        <w:t xml:space="preserve">Resignation or Removal of Trustee </w:t>
      </w:r>
    </w:p>
    <w:p>
      <w:pPr>
        <w:pStyle w:val="TextBody"/>
        <w:spacing w:before="90" w:after="0"/>
        <w:rPr>
          <w:rFonts w:ascii="Times New Roman" w:hAnsi="Times New Roman"/>
          <w:sz w:val="20"/>
        </w:rPr>
      </w:pPr>
      <w:r>
        <w:rPr>
          <w:rFonts w:ascii="Times New Roman" w:hAnsi="Times New Roman"/>
          <w:sz w:val="20"/>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80" w:after="0"/>
        <w:rPr>
          <w:rFonts w:ascii="Times New Roman" w:hAnsi="Times New Roman"/>
          <w:sz w:val="20"/>
        </w:rPr>
      </w:pPr>
      <w:r>
        <w:rPr>
          <w:rFonts w:ascii="Times New Roman" w:hAnsi="Times New Roman"/>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70" w:after="0"/>
        <w:rPr>
          <w:rFonts w:ascii="Times New Roman" w:hAnsi="Times New Roman"/>
          <w:b/>
          <w:i/>
          <w:sz w:val="20"/>
        </w:rPr>
      </w:pPr>
      <w:r>
        <w:rPr>
          <w:rFonts w:ascii="Times New Roman" w:hAnsi="Times New Roman"/>
          <w:b/>
          <w:i/>
          <w:sz w:val="20"/>
        </w:rPr>
        <w:t xml:space="preserve">Limitations on Trustee if it is a Creditor </w:t>
      </w:r>
    </w:p>
    <w:p>
      <w:pPr>
        <w:pStyle w:val="TextBody"/>
        <w:spacing w:before="90" w:after="0"/>
        <w:rPr>
          <w:rFonts w:ascii="Times New Roman" w:hAnsi="Times New Roman"/>
          <w:sz w:val="20"/>
        </w:rPr>
      </w:pPr>
      <w:r>
        <w:rPr>
          <w:rFonts w:ascii="Times New Roman" w:hAnsi="Times New Roman"/>
          <w:sz w:val="20"/>
        </w:rPr>
        <w:t xml:space="preserve">Each indenture will limit the right of the Trustee thereunder, in the event that it becomes a creditor of an issuer or any guarantor, to obtain payment of claims in certain cases, or to realize on certain property received in respect of any such claim as security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Certificates and Opinions to be Furnished to Trustee </w:t>
      </w:r>
    </w:p>
    <w:p>
      <w:pPr>
        <w:pStyle w:val="TextBody"/>
        <w:spacing w:before="90" w:after="0"/>
        <w:rPr>
          <w:rFonts w:ascii="Times New Roman" w:hAnsi="Times New Roman"/>
          <w:sz w:val="20"/>
        </w:rPr>
      </w:pPr>
      <w:r>
        <w:rPr>
          <w:rFonts w:ascii="Times New Roman" w:hAnsi="Times New Roman"/>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70" w:after="0"/>
        <w:rPr>
          <w:rFonts w:ascii="Times New Roman" w:hAnsi="Times New Roman"/>
          <w:b/>
          <w:sz w:val="20"/>
        </w:rPr>
      </w:pPr>
      <w:r>
        <w:rPr>
          <w:rFonts w:ascii="Times New Roman" w:hAnsi="Times New Roman"/>
          <w:b/>
          <w:sz w:val="20"/>
        </w:rPr>
        <w:t xml:space="preserve">Governing Law </w:t>
      </w:r>
    </w:p>
    <w:p>
      <w:pPr>
        <w:pStyle w:val="TextBody"/>
        <w:spacing w:before="90" w:after="0"/>
        <w:rPr>
          <w:rFonts w:ascii="Times New Roman" w:hAnsi="Times New Roman"/>
          <w:sz w:val="20"/>
        </w:rPr>
      </w:pPr>
      <w:r>
        <w:rPr>
          <w:rFonts w:ascii="Times New Roman" w:hAnsi="Times New Roman"/>
          <w:sz w:val="20"/>
        </w:rPr>
        <w:t xml:space="preserve">Each indenture and all of the debt securities will be governed by the laws of the State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rom415854_9"/>
      <w:bookmarkEnd w:id="11"/>
      <w:r>
        <w:rPr>
          <w:rFonts w:ascii="Times New Roman" w:hAnsi="Times New Roman"/>
          <w:b/>
          <w:sz w:val="20"/>
        </w:rPr>
        <w:t xml:space="preserve">DESCRIPTION OF OUR COMMON UNITS </w:t>
      </w:r>
    </w:p>
    <w:p>
      <w:pPr>
        <w:pStyle w:val="TextBody"/>
        <w:spacing w:before="180" w:after="0"/>
        <w:rPr>
          <w:rFonts w:ascii="Times New Roman" w:hAnsi="Times New Roman"/>
          <w:sz w:val="20"/>
        </w:rPr>
      </w:pPr>
      <w:r>
        <w:rPr>
          <w:rFonts w:ascii="Times New Roman" w:hAnsi="Times New Roman"/>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80" w:after="0"/>
        <w:rPr>
          <w:rFonts w:ascii="Times New Roman" w:hAnsi="Times New Roman"/>
          <w:sz w:val="20"/>
        </w:rPr>
      </w:pPr>
      <w:r>
        <w:rPr>
          <w:rFonts w:ascii="Times New Roman" w:hAnsi="Times New Roman"/>
          <w:sz w:val="20"/>
        </w:rPr>
        <w:t xml:space="preserve">Our outstanding common units are listed on the NYSE under the symbol PAA. Any additional common units we issue will also be listed on the NYSE. </w:t>
      </w:r>
    </w:p>
    <w:p>
      <w:pPr>
        <w:pStyle w:val="TextBody"/>
        <w:spacing w:before="180" w:after="0"/>
        <w:rPr>
          <w:rFonts w:ascii="Times New Roman" w:hAnsi="Times New Roman"/>
          <w:sz w:val="20"/>
        </w:rPr>
      </w:pPr>
      <w:r>
        <w:rPr>
          <w:rFonts w:ascii="Times New Roman" w:hAnsi="Times New Roman"/>
          <w:sz w:val="20"/>
        </w:rPr>
        <w:t xml:space="preserve">The transfer agent and registrar for our common units is American Stock Transfer &amp; Trust Company. </w:t>
      </w:r>
    </w:p>
    <w:p>
      <w:pPr>
        <w:pStyle w:val="TextBody"/>
        <w:spacing w:before="270" w:after="0"/>
        <w:rPr>
          <w:rFonts w:ascii="Times New Roman" w:hAnsi="Times New Roman"/>
          <w:b/>
          <w:sz w:val="20"/>
        </w:rPr>
      </w:pPr>
      <w:r>
        <w:rPr>
          <w:rFonts w:ascii="Times New Roman" w:hAnsi="Times New Roman"/>
          <w:b/>
          <w:sz w:val="20"/>
        </w:rPr>
        <w:t xml:space="preserve">Meetings/Voting </w:t>
      </w:r>
    </w:p>
    <w:p>
      <w:pPr>
        <w:pStyle w:val="TextBody"/>
        <w:spacing w:before="90" w:after="0"/>
        <w:rPr>
          <w:rFonts w:ascii="Times New Roman" w:hAnsi="Times New Roman"/>
          <w:sz w:val="20"/>
        </w:rPr>
      </w:pPr>
      <w:r>
        <w:rPr>
          <w:rFonts w:ascii="Times New Roman" w:hAnsi="Times New Roman"/>
          <w:sz w:val="20"/>
        </w:rPr>
        <w:t xml:space="preserve">Each holder of common units is entitled to one vote for each common unit on all matters submitted to a vote of the unitholders. </w:t>
      </w:r>
    </w:p>
    <w:p>
      <w:pPr>
        <w:pStyle w:val="TextBody"/>
        <w:spacing w:before="270" w:after="0"/>
        <w:rPr>
          <w:rFonts w:ascii="Times New Roman" w:hAnsi="Times New Roman"/>
          <w:b/>
          <w:sz w:val="20"/>
        </w:rPr>
      </w:pPr>
      <w:r>
        <w:rPr>
          <w:rFonts w:ascii="Times New Roman" w:hAnsi="Times New Roman"/>
          <w:b/>
          <w:sz w:val="20"/>
        </w:rPr>
        <w:t xml:space="preserve">Status as Limited Partner or Assignee </w:t>
      </w:r>
    </w:p>
    <w:p>
      <w:pPr>
        <w:pStyle w:val="TextBody"/>
        <w:spacing w:before="90" w:after="0"/>
        <w:rPr>
          <w:rFonts w:ascii="Times New Roman" w:hAnsi="Times New Roman"/>
          <w:sz w:val="20"/>
        </w:rPr>
      </w:pPr>
      <w:r>
        <w:rPr>
          <w:rFonts w:ascii="Times New Roman" w:hAnsi="Times New Roman"/>
          <w:sz w:val="20"/>
        </w:rPr>
        <w:t xml:space="preserve">Except as described below under  Limited Liability, the common units will be fully paid, and unitholders will not be required to make additional capital contributions to us. </w:t>
      </w:r>
    </w:p>
    <w:p>
      <w:pPr>
        <w:pStyle w:val="TextBody"/>
        <w:spacing w:before="180" w:after="0"/>
        <w:rPr>
          <w:rFonts w:ascii="Times New Roman" w:hAnsi="Times New Roman"/>
          <w:sz w:val="20"/>
        </w:rPr>
      </w:pPr>
      <w:r>
        <w:rPr>
          <w:rFonts w:ascii="Times New Roman" w:hAnsi="Times New Roman"/>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80" w:after="0"/>
        <w:rPr>
          <w:rFonts w:ascii="Times New Roman" w:hAnsi="Times New Roman"/>
          <w:sz w:val="20"/>
        </w:rPr>
      </w:pPr>
      <w:r>
        <w:rPr>
          <w:rFonts w:ascii="Times New Roman" w:hAnsi="Times New Roman"/>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70" w:after="0"/>
        <w:rPr>
          <w:rFonts w:ascii="Times New Roman" w:hAnsi="Times New Roman"/>
          <w:b/>
          <w:sz w:val="20"/>
        </w:rPr>
      </w:pPr>
      <w:r>
        <w:rPr>
          <w:rFonts w:ascii="Times New Roman" w:hAnsi="Times New Roman"/>
          <w:b/>
          <w:sz w:val="20"/>
        </w:rPr>
        <w:t xml:space="preserve">Limited Liability </w:t>
      </w:r>
    </w:p>
    <w:p>
      <w:pPr>
        <w:pStyle w:val="TextBody"/>
        <w:spacing w:before="90" w:after="0"/>
        <w:rPr>
          <w:rFonts w:ascii="Times New Roman" w:hAnsi="Times New Roman"/>
          <w:sz w:val="20"/>
        </w:rPr>
      </w:pPr>
      <w:r>
        <w:rPr>
          <w:rFonts w:ascii="Times New Roman" w:hAnsi="Times New Roman"/>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80" w:after="0"/>
        <w:rPr>
          <w:rFonts w:ascii="Times New Roman" w:hAnsi="Times New Roman"/>
          <w:sz w:val="20"/>
        </w:rPr>
      </w:pPr>
      <w:r>
        <w:rPr>
          <w:rFonts w:ascii="Times New Roman" w:hAnsi="Times New Roman"/>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Reports and Records </w:t>
      </w:r>
    </w:p>
    <w:p>
      <w:pPr>
        <w:pStyle w:val="TextBody"/>
        <w:spacing w:before="90" w:after="0"/>
        <w:rPr>
          <w:rFonts w:ascii="Times New Roman" w:hAnsi="Times New Roman"/>
          <w:sz w:val="20"/>
        </w:rPr>
      </w:pPr>
      <w:r>
        <w:rPr>
          <w:rFonts w:ascii="Times New Roman" w:hAnsi="Times New Roman"/>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80" w:after="0"/>
        <w:rPr>
          <w:rFonts w:ascii="Times New Roman" w:hAnsi="Times New Roman"/>
          <w:sz w:val="20"/>
        </w:rPr>
      </w:pPr>
      <w:r>
        <w:rPr>
          <w:rFonts w:ascii="Times New Roman" w:hAnsi="Times New Roman"/>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80" w:after="0"/>
        <w:rPr>
          <w:rFonts w:ascii="Times New Roman" w:hAnsi="Times New Roman"/>
          <w:sz w:val="20"/>
        </w:rPr>
      </w:pPr>
      <w:r>
        <w:rPr>
          <w:rFonts w:ascii="Times New Roman" w:hAnsi="Times New Roman"/>
          <w:sz w:val="20"/>
        </w:rPr>
        <w:t xml:space="preserve">A limited partner can, for a purpose reasonably related to the limited partners interest as a limited partner, upon reasonable demand and at his own expense, have furnished to him: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current list of the name and last known address of each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copy of our tax returns;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as to the amount of cash and a description and statement of the agreed value of any other property or services, contributed or to be contributed by each partner and the date on which each became a partner;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copies of our partnership agreement, our certificate of limited partnership, amendments to either of them and powers of attorney which have been executed under our partnership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information regarding the status of our business and financial condition;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any other information regarding our affairs as is just and reasonable. </w:t>
            </w:r>
          </w:p>
        </w:tc>
      </w:tr>
    </w:tbl>
    <w:p>
      <w:pPr>
        <w:pStyle w:val="TextBody"/>
        <w:spacing w:before="180" w:after="0"/>
        <w:rPr>
          <w:rFonts w:ascii="Times New Roman" w:hAnsi="Times New Roman"/>
          <w:sz w:val="20"/>
        </w:rPr>
      </w:pPr>
      <w:r>
        <w:rPr>
          <w:rFonts w:ascii="Times New Roman" w:hAnsi="Times New Roman"/>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rom415854_10"/>
      <w:bookmarkEnd w:id="12"/>
      <w:r>
        <w:rPr>
          <w:rFonts w:ascii="Times New Roman" w:hAnsi="Times New Roman"/>
          <w:b/>
          <w:sz w:val="20"/>
        </w:rPr>
        <w:t xml:space="preserve">CASH DISTRIBUTION POLICY </w:t>
      </w:r>
    </w:p>
    <w:p>
      <w:pPr>
        <w:pStyle w:val="TextBody"/>
        <w:spacing w:before="270" w:after="0"/>
        <w:rPr>
          <w:rFonts w:ascii="Times New Roman" w:hAnsi="Times New Roman"/>
          <w:b/>
          <w:sz w:val="20"/>
        </w:rPr>
      </w:pPr>
      <w:r>
        <w:rPr>
          <w:rFonts w:ascii="Times New Roman" w:hAnsi="Times New Roman"/>
          <w:b/>
          <w:sz w:val="20"/>
        </w:rPr>
        <w:t xml:space="preserve">Distributions of Available Cash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We will distribute to our unitholders, on a quarterly basis, all of our available cash in the manner described below. </w:t>
      </w:r>
    </w:p>
    <w:p>
      <w:pPr>
        <w:pStyle w:val="TextBody"/>
        <w:spacing w:before="180" w:after="0"/>
        <w:rPr>
          <w:rFonts w:ascii="Times New Roman" w:hAnsi="Times New Roman"/>
          <w:sz w:val="20"/>
        </w:rPr>
      </w:pPr>
      <w:r>
        <w:rPr>
          <w:rFonts w:ascii="Times New Roman" w:hAnsi="Times New Roman"/>
          <w:i/>
          <w:sz w:val="20"/>
        </w:rPr>
        <w:t>Definition of Available Cash</w:t>
      </w:r>
      <w:r>
        <w:rPr>
          <w:rFonts w:ascii="Times New Roman" w:hAnsi="Times New Roman"/>
          <w:sz w:val="20"/>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for the proper conduct of our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comply with applicable law or any partnership debt instrument or other agreement;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provide funds for distributions to unitholders and the general partner in respect of any one or more of the next four quarters. </w:t>
            </w:r>
          </w:p>
        </w:tc>
      </w:tr>
    </w:tbl>
    <w:p>
      <w:pPr>
        <w:pStyle w:val="TextBody"/>
        <w:spacing w:before="270" w:after="0"/>
        <w:rPr>
          <w:rFonts w:ascii="Times New Roman" w:hAnsi="Times New Roman"/>
          <w:b/>
          <w:sz w:val="20"/>
        </w:rPr>
      </w:pPr>
      <w:r>
        <w:rPr>
          <w:rFonts w:ascii="Times New Roman" w:hAnsi="Times New Roman"/>
          <w:b/>
          <w:sz w:val="20"/>
        </w:rPr>
        <w:t xml:space="preserve">Operating Surplus and Capital Surplus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80" w:after="0"/>
        <w:rPr>
          <w:rFonts w:ascii="Times New Roman" w:hAnsi="Times New Roman"/>
          <w:sz w:val="20"/>
        </w:rPr>
      </w:pPr>
      <w:r>
        <w:rPr>
          <w:rFonts w:ascii="Times New Roman" w:hAnsi="Times New Roman"/>
          <w:i/>
          <w:sz w:val="20"/>
        </w:rPr>
        <w:t>Definition of Operating Surplus</w:t>
      </w:r>
      <w:r>
        <w:rPr>
          <w:rFonts w:ascii="Times New Roman" w:hAnsi="Times New Roman"/>
          <w:sz w:val="20"/>
        </w:rPr>
        <w:t xml:space="preserve">. Operating surplus refers generally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cash balances on the closing date of our initial public offering;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million; plus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cash receipts from operations, excluding cash that is capital surplus; less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80" w:after="0"/>
        <w:rPr>
          <w:rFonts w:ascii="Times New Roman" w:hAnsi="Times New Roman"/>
          <w:sz w:val="20"/>
        </w:rPr>
      </w:pPr>
      <w:r>
        <w:rPr>
          <w:rFonts w:ascii="Times New Roman" w:hAnsi="Times New Roman"/>
          <w:i/>
          <w:sz w:val="20"/>
        </w:rPr>
        <w:t>Definition of Capital Surplus</w:t>
      </w:r>
      <w:r>
        <w:rPr>
          <w:rFonts w:ascii="Times New Roman" w:hAnsi="Times New Roman"/>
          <w:sz w:val="20"/>
        </w:rPr>
        <w:t xml:space="preserve">. Capital surplus will generally be generated only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borrowings other than working capital borrowings;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of debt and equity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sales or other dispositions of assets for cash, other than inventory, accounts receivable and other assets in the ordinary course of business. </w:t>
            </w:r>
          </w:p>
        </w:tc>
      </w:tr>
    </w:tbl>
    <w:p>
      <w:pPr>
        <w:pStyle w:val="TextBody"/>
        <w:spacing w:before="180" w:after="0"/>
        <w:rPr>
          <w:rFonts w:ascii="Times New Roman" w:hAnsi="Times New Roman"/>
          <w:sz w:val="20"/>
        </w:rPr>
      </w:pPr>
      <w:r>
        <w:rPr>
          <w:rFonts w:ascii="Times New Roman" w:hAnsi="Times New Roman"/>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80" w:after="0"/>
        <w:rPr>
          <w:rFonts w:ascii="Times New Roman" w:hAnsi="Times New Roman"/>
          <w:sz w:val="20"/>
        </w:rPr>
      </w:pPr>
      <w:r>
        <w:rPr>
          <w:rFonts w:ascii="Times New Roman" w:hAnsi="Times New Roman"/>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The incentive distribution rights represent the right to receive an increasing percentage of quarterly distributions of available cash from operating surplus after the minimum quarterly distribution and the target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spacing w:before="270" w:after="0"/>
        <w:rPr>
          <w:rFonts w:ascii="Times New Roman" w:hAnsi="Times New Roman"/>
          <w:b/>
          <w:sz w:val="20"/>
        </w:rPr>
      </w:pPr>
      <w:r>
        <w:rPr>
          <w:rFonts w:ascii="Times New Roman" w:hAnsi="Times New Roman"/>
          <w:b/>
          <w:sz w:val="20"/>
        </w:rPr>
        <w:t xml:space="preserve">Effect of Issuance of Additional Units </w:t>
      </w:r>
    </w:p>
    <w:p>
      <w:pPr>
        <w:pStyle w:val="TextBody"/>
        <w:spacing w:before="90" w:after="0"/>
        <w:rPr>
          <w:rFonts w:ascii="Times New Roman" w:hAnsi="Times New Roman"/>
          <w:sz w:val="20"/>
        </w:rPr>
      </w:pPr>
      <w:r>
        <w:rPr>
          <w:rFonts w:ascii="Times New Roman" w:hAnsi="Times New Roman"/>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80" w:after="0"/>
        <w:rPr>
          <w:rFonts w:ascii="Times New Roman" w:hAnsi="Times New Roman"/>
          <w:sz w:val="20"/>
        </w:rPr>
      </w:pPr>
      <w:r>
        <w:rPr>
          <w:rFonts w:ascii="Times New Roman" w:hAnsi="Times New Roman"/>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70" w:after="0"/>
        <w:rPr>
          <w:rFonts w:ascii="Times New Roman" w:hAnsi="Times New Roman"/>
          <w:b/>
          <w:sz w:val="20"/>
        </w:rPr>
      </w:pPr>
      <w:r>
        <w:rPr>
          <w:rFonts w:ascii="Times New Roman" w:hAnsi="Times New Roman"/>
          <w:b/>
          <w:sz w:val="20"/>
        </w:rPr>
        <w:t xml:space="preserve">Quarterly Distributions of Available Cash </w:t>
      </w:r>
    </w:p>
    <w:p>
      <w:pPr>
        <w:pStyle w:val="TextBody"/>
        <w:spacing w:before="90" w:after="0"/>
        <w:rPr>
          <w:rFonts w:ascii="Times New Roman" w:hAnsi="Times New Roman"/>
          <w:sz w:val="20"/>
        </w:rPr>
      </w:pPr>
      <w:r>
        <w:rPr>
          <w:rFonts w:ascii="Times New Roman" w:hAnsi="Times New Roman"/>
          <w:sz w:val="20"/>
        </w:rPr>
        <w:t xml:space="preserve">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70" w:after="0"/>
        <w:rPr>
          <w:rFonts w:ascii="Times New Roman" w:hAnsi="Times New Roman"/>
          <w:b/>
          <w:sz w:val="20"/>
        </w:rPr>
      </w:pPr>
      <w:r>
        <w:rPr>
          <w:rFonts w:ascii="Times New Roman" w:hAnsi="Times New Roman"/>
          <w:b/>
          <w:sz w:val="20"/>
        </w:rPr>
        <w:t xml:space="preserve">Distributions From Operating Surplus </w:t>
      </w:r>
    </w:p>
    <w:p>
      <w:pPr>
        <w:pStyle w:val="TextBody"/>
        <w:spacing w:before="90" w:after="0"/>
        <w:rPr>
          <w:rFonts w:ascii="Times New Roman" w:hAnsi="Times New Roman"/>
          <w:sz w:val="20"/>
        </w:rPr>
      </w:pPr>
      <w:r>
        <w:rPr>
          <w:rFonts w:ascii="Times New Roman" w:hAnsi="Times New Roman"/>
          <w:sz w:val="20"/>
        </w:rPr>
        <w:t xml:space="preserve">We will make distributions of available cash from operating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unit an amount equal to the minimum quarterly distribution for that quarter;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in the manner described in  Incentive Distribution Rights below. </w:t>
            </w:r>
          </w:p>
        </w:tc>
      </w:tr>
    </w:tbl>
    <w:p>
      <w:pPr>
        <w:pStyle w:val="TextBody"/>
        <w:spacing w:before="270" w:after="0"/>
        <w:rPr>
          <w:rFonts w:ascii="Times New Roman" w:hAnsi="Times New Roman"/>
          <w:b/>
          <w:sz w:val="20"/>
        </w:rPr>
      </w:pPr>
      <w:r>
        <w:rPr>
          <w:rFonts w:ascii="Times New Roman" w:hAnsi="Times New Roman"/>
          <w:b/>
          <w:sz w:val="20"/>
        </w:rPr>
        <w:t xml:space="preserve">Incentive Distribution Rights </w:t>
      </w:r>
    </w:p>
    <w:p>
      <w:pPr>
        <w:pStyle w:val="TextBody"/>
        <w:spacing w:before="90" w:after="0"/>
        <w:rPr>
          <w:rFonts w:ascii="Times New Roman" w:hAnsi="Times New Roman"/>
          <w:sz w:val="20"/>
        </w:rPr>
      </w:pPr>
      <w:r>
        <w:rPr>
          <w:rFonts w:ascii="Times New Roman" w:hAnsi="Times New Roman"/>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85% to all unitholders, pro rata, and 15% to the general partner, until each unitholder receives a total of $0.495 for that quarter for each outstanding unit (the first target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Second, 75% to all unitholders, pro rata, and 25% to the general partner, until each unitholder receives a total of $0.675 for that quarter for each outstanding unit (the second target distribution);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50% to all unitholders, pro rata, and 50% to the general partner. </w:t>
            </w:r>
          </w:p>
        </w:tc>
      </w:tr>
    </w:tbl>
    <w:p>
      <w:pPr>
        <w:pStyle w:val="TextBody"/>
        <w:spacing w:before="180" w:after="0"/>
        <w:rPr>
          <w:rFonts w:ascii="Times New Roman" w:hAnsi="Times New Roman"/>
          <w:sz w:val="20"/>
        </w:rPr>
      </w:pPr>
      <w:r>
        <w:rPr>
          <w:rFonts w:ascii="Times New Roman" w:hAnsi="Times New Roman"/>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Adjustments to Incentive Distribution Rights </w:t>
      </w:r>
    </w:p>
    <w:p>
      <w:pPr>
        <w:pStyle w:val="TextBody"/>
        <w:spacing w:before="90" w:after="0"/>
        <w:rPr>
          <w:rFonts w:ascii="Times New Roman" w:hAnsi="Times New Roman"/>
          <w:sz w:val="20"/>
        </w:rPr>
      </w:pPr>
      <w:r>
        <w:rPr>
          <w:rFonts w:ascii="Times New Roman" w:hAnsi="Times New Roman"/>
          <w:sz w:val="20"/>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80" w:after="0"/>
        <w:rPr>
          <w:rFonts w:ascii="Times New Roman" w:hAnsi="Times New Roman"/>
          <w:sz w:val="20"/>
        </w:rPr>
      </w:pPr>
      <w:r>
        <w:rPr>
          <w:rFonts w:ascii="Times New Roman" w:hAnsi="Times New Roman"/>
          <w:sz w:val="20"/>
        </w:rPr>
        <w:t xml:space="preserve">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 </w:t>
      </w:r>
    </w:p>
    <w:p>
      <w:pPr>
        <w:pStyle w:val="TextBody"/>
        <w:spacing w:before="270" w:after="0"/>
        <w:rPr>
          <w:rFonts w:ascii="Times New Roman" w:hAnsi="Times New Roman"/>
          <w:b/>
          <w:sz w:val="20"/>
        </w:rPr>
      </w:pPr>
      <w:r>
        <w:rPr>
          <w:rFonts w:ascii="Times New Roman" w:hAnsi="Times New Roman"/>
          <w:b/>
          <w:sz w:val="20"/>
        </w:rPr>
        <w:t xml:space="preserve">Distributions from Capital Surplus </w:t>
      </w:r>
    </w:p>
    <w:p>
      <w:pPr>
        <w:pStyle w:val="TextBody"/>
        <w:spacing w:before="90" w:after="0"/>
        <w:rPr>
          <w:rFonts w:ascii="Times New Roman" w:hAnsi="Times New Roman"/>
          <w:sz w:val="20"/>
        </w:rPr>
      </w:pPr>
      <w:r>
        <w:rPr>
          <w:rFonts w:ascii="Times New Roman" w:hAnsi="Times New Roman"/>
          <w:i/>
          <w:sz w:val="20"/>
        </w:rPr>
        <w:t>How Distributions from Capital Surplus Will Be Made.</w:t>
      </w:r>
      <w:r>
        <w:rPr>
          <w:rFonts w:ascii="Times New Roman" w:hAnsi="Times New Roman"/>
          <w:sz w:val="20"/>
        </w:rPr>
        <w:t xml:space="preserve"> We will make distributions of available cash from capital surplus in the following manner: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we will make all distributions of available cash from capital surplus as if they were from operating surplus. </w:t>
            </w:r>
          </w:p>
        </w:tc>
      </w:tr>
    </w:tbl>
    <w:p>
      <w:pPr>
        <w:pStyle w:val="TextBody"/>
        <w:spacing w:before="180" w:after="0"/>
        <w:rPr>
          <w:rFonts w:ascii="Times New Roman" w:hAnsi="Times New Roman"/>
          <w:sz w:val="20"/>
        </w:rPr>
      </w:pPr>
      <w:r>
        <w:rPr>
          <w:rFonts w:ascii="Times New Roman" w:hAnsi="Times New Roman"/>
          <w:i/>
          <w:sz w:val="20"/>
        </w:rPr>
        <w:t>Effect of a Distribution from Capital Surplus</w:t>
      </w:r>
      <w:r>
        <w:rPr>
          <w:rFonts w:ascii="Times New Roman" w:hAnsi="Times New Roman"/>
          <w:sz w:val="20"/>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80" w:after="0"/>
        <w:rPr>
          <w:rFonts w:ascii="Times New Roman" w:hAnsi="Times New Roman"/>
          <w:sz w:val="20"/>
        </w:rPr>
      </w:pPr>
      <w:r>
        <w:rPr>
          <w:rFonts w:ascii="Times New Roman" w:hAnsi="Times New Roman"/>
          <w:i/>
          <w:sz w:val="20"/>
        </w:rPr>
        <w:t>When Payback Occurs</w:t>
      </w:r>
      <w:r>
        <w:rPr>
          <w:rFonts w:ascii="Times New Roman" w:hAnsi="Times New Roman"/>
          <w:sz w:val="20"/>
        </w:rPr>
        <w:t xml:space="preserve">. When payback of the reduced initial unit price has occurred, i.e., when the unrecovered capital of the common units is zero, then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and the target distribution levels will be reduced to zero for subsequent quarters;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distributions of available cash will be treated as operating surplus;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general partner will be entitled to receive 50% of distributions of available cash in its capacities as general partner and as holder of the incentive distribution rights. </w:t>
            </w:r>
          </w:p>
        </w:tc>
      </w:tr>
    </w:tbl>
    <w:p>
      <w:pPr>
        <w:pStyle w:val="TextBody"/>
        <w:spacing w:before="180" w:after="0"/>
        <w:rPr>
          <w:rFonts w:ascii="Times New Roman" w:hAnsi="Times New Roman"/>
          <w:sz w:val="20"/>
        </w:rPr>
      </w:pPr>
      <w:r>
        <w:rPr>
          <w:rFonts w:ascii="Times New Roman" w:hAnsi="Times New Roman"/>
          <w:sz w:val="20"/>
        </w:rPr>
        <w:t xml:space="preserve">Distributions of available cash from capital surplus will not reduce the minimum quarterly distribution or target distribution levels for the quarter in which they are distributed. </w:t>
      </w:r>
    </w:p>
    <w:p>
      <w:pPr>
        <w:pStyle w:val="TextBody"/>
        <w:spacing w:before="270" w:after="0"/>
        <w:rPr>
          <w:rFonts w:ascii="Times New Roman" w:hAnsi="Times New Roman"/>
          <w:b/>
          <w:sz w:val="20"/>
        </w:rPr>
      </w:pPr>
      <w:r>
        <w:rPr>
          <w:rFonts w:ascii="Times New Roman" w:hAnsi="Times New Roman"/>
          <w:b/>
          <w:sz w:val="20"/>
        </w:rPr>
        <w:t xml:space="preserve">Adjustment to the Minimum Quarterly Distribution and Target Distribution Levels </w:t>
      </w:r>
    </w:p>
    <w:p>
      <w:pPr>
        <w:pStyle w:val="TextBody"/>
        <w:spacing w:before="90" w:after="0"/>
        <w:rPr>
          <w:rFonts w:ascii="Times New Roman" w:hAnsi="Times New Roman"/>
          <w:sz w:val="20"/>
        </w:rPr>
      </w:pPr>
      <w:r>
        <w:rPr>
          <w:rFonts w:ascii="Times New Roman" w:hAnsi="Times New Roman"/>
          <w:i/>
          <w:sz w:val="20"/>
        </w:rPr>
        <w:t>How We Adjust the Minimum Quarterly Distribution and Target Distribution Levels</w:t>
      </w:r>
      <w:r>
        <w:rPr>
          <w:rFonts w:ascii="Times New Roman" w:hAnsi="Times New Roman"/>
          <w:sz w:val="20"/>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minimum quarterly distribution;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target distribution levels;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unrecovered capital;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other amounts calculated on a per unit basis.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80" w:after="0"/>
        <w:rPr>
          <w:rFonts w:ascii="Times New Roman" w:hAnsi="Times New Roman"/>
          <w:sz w:val="20"/>
        </w:rPr>
      </w:pPr>
      <w:r>
        <w:rPr>
          <w:rFonts w:ascii="Times New Roman" w:hAnsi="Times New Roman"/>
          <w:i/>
          <w:sz w:val="20"/>
        </w:rPr>
        <w:t>If We Became Subject to Taxation</w:t>
      </w:r>
      <w:r>
        <w:rPr>
          <w:rFonts w:ascii="Times New Roman" w:hAnsi="Times New Roman"/>
          <w:sz w:val="20"/>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80" w:after="0"/>
        <w:rPr>
          <w:rFonts w:ascii="Times New Roman" w:hAnsi="Times New Roman"/>
          <w:sz w:val="20"/>
        </w:rPr>
      </w:pPr>
      <w:r>
        <w:rPr>
          <w:rFonts w:ascii="Times New Roman" w:hAnsi="Times New Roman"/>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70" w:after="0"/>
        <w:rPr>
          <w:rFonts w:ascii="Times New Roman" w:hAnsi="Times New Roman"/>
          <w:b/>
          <w:sz w:val="20"/>
        </w:rPr>
      </w:pPr>
      <w:r>
        <w:rPr>
          <w:rFonts w:ascii="Times New Roman" w:hAnsi="Times New Roman"/>
          <w:b/>
          <w:sz w:val="20"/>
        </w:rPr>
        <w:t xml:space="preserve">Distribution of Cash Upon Liquidation </w:t>
      </w:r>
    </w:p>
    <w:p>
      <w:pPr>
        <w:pStyle w:val="TextBody"/>
        <w:spacing w:before="90" w:after="0"/>
        <w:rPr>
          <w:rFonts w:ascii="Times New Roman" w:hAnsi="Times New Roman"/>
          <w:sz w:val="20"/>
        </w:rPr>
      </w:pPr>
      <w:r>
        <w:rPr>
          <w:rFonts w:ascii="Times New Roman" w:hAnsi="Times New Roman"/>
          <w:i/>
          <w:sz w:val="20"/>
        </w:rPr>
        <w:t>General</w:t>
      </w:r>
      <w:r>
        <w:rPr>
          <w:rFonts w:ascii="Times New Roman" w:hAnsi="Times New Roman"/>
          <w:sz w:val="20"/>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80" w:after="0"/>
        <w:rPr>
          <w:rFonts w:ascii="Times New Roman" w:hAnsi="Times New Roman"/>
          <w:sz w:val="20"/>
        </w:rPr>
      </w:pPr>
      <w:r>
        <w:rPr>
          <w:rFonts w:ascii="Times New Roman" w:hAnsi="Times New Roman"/>
          <w:i/>
          <w:sz w:val="20"/>
        </w:rPr>
        <w:t>Manner of Adjustment</w:t>
      </w:r>
      <w:r>
        <w:rPr>
          <w:rFonts w:ascii="Times New Roman" w:hAnsi="Times New Roman"/>
          <w:sz w:val="20"/>
        </w:rPr>
        <w:t xml:space="preserve">. If we liquidate, we would allocate any loss to the general partner and each unitholder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Thereafter, 100% to the general partner. </w:t>
            </w:r>
          </w:p>
        </w:tc>
      </w:tr>
    </w:tbl>
    <w:p>
      <w:pPr>
        <w:pStyle w:val="TextBody"/>
        <w:spacing w:before="180" w:after="0"/>
        <w:rPr>
          <w:rFonts w:ascii="Times New Roman" w:hAnsi="Times New Roman"/>
          <w:sz w:val="20"/>
        </w:rPr>
      </w:pPr>
      <w:r>
        <w:rPr>
          <w:rFonts w:ascii="Times New Roman" w:hAnsi="Times New Roman"/>
          <w:i/>
          <w:sz w:val="20"/>
        </w:rPr>
        <w:t>Interim Adjustments to Capital Accounts</w:t>
      </w:r>
      <w:r>
        <w:rPr>
          <w:rFonts w:ascii="Times New Roman" w:hAnsi="Times New Roman"/>
          <w:sz w:val="20"/>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rom415854_11"/>
      <w:bookmarkEnd w:id="13"/>
      <w:r>
        <w:rPr>
          <w:rFonts w:ascii="Times New Roman" w:hAnsi="Times New Roman"/>
          <w:b/>
          <w:sz w:val="20"/>
        </w:rPr>
        <w:t xml:space="preserve">DESCRIPTION OF OUR PARTNERSHIP AGREEMENT </w:t>
      </w:r>
    </w:p>
    <w:p>
      <w:pPr>
        <w:pStyle w:val="TextBody"/>
        <w:spacing w:before="180" w:after="0"/>
        <w:rPr>
          <w:rFonts w:ascii="Times New Roman" w:hAnsi="Times New Roman"/>
          <w:sz w:val="20"/>
        </w:rPr>
      </w:pPr>
      <w:r>
        <w:rPr>
          <w:rFonts w:ascii="Times New Roman" w:hAnsi="Times New Roman"/>
          <w:sz w:val="20"/>
        </w:rPr>
        <w:t xml:space="preserve">The following is a summary of the material provisions of our partnership agreement. The following provisions of our partnership agreement are summarized elsewhere in this prospectus: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distributions of our available cash are described under Cash Distribution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allocations of taxable income and other tax matters are described under Material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rights of holders of common units are described under Description of Our Common Units. </w:t>
            </w:r>
          </w:p>
        </w:tc>
      </w:tr>
    </w:tbl>
    <w:p>
      <w:pPr>
        <w:pStyle w:val="TextBody"/>
        <w:spacing w:before="270" w:after="0"/>
        <w:rPr>
          <w:rFonts w:ascii="Times New Roman" w:hAnsi="Times New Roman"/>
          <w:b/>
          <w:sz w:val="20"/>
        </w:rPr>
      </w:pPr>
      <w:r>
        <w:rPr>
          <w:rFonts w:ascii="Times New Roman" w:hAnsi="Times New Roman"/>
          <w:b/>
          <w:sz w:val="20"/>
        </w:rPr>
        <w:t xml:space="preserve">Purpose </w:t>
      </w:r>
    </w:p>
    <w:p>
      <w:pPr>
        <w:pStyle w:val="TextBody"/>
        <w:spacing w:before="90" w:after="0"/>
        <w:rPr>
          <w:rFonts w:ascii="Times New Roman" w:hAnsi="Times New Roman"/>
          <w:sz w:val="20"/>
        </w:rPr>
      </w:pPr>
      <w:r>
        <w:rPr>
          <w:rFonts w:ascii="Times New Roman" w:hAnsi="Times New Roman"/>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70" w:after="0"/>
        <w:rPr>
          <w:rFonts w:ascii="Times New Roman" w:hAnsi="Times New Roman"/>
          <w:b/>
          <w:sz w:val="20"/>
        </w:rPr>
      </w:pPr>
      <w:r>
        <w:rPr>
          <w:rFonts w:ascii="Times New Roman" w:hAnsi="Times New Roman"/>
          <w:b/>
          <w:sz w:val="20"/>
        </w:rPr>
        <w:t xml:space="preserve">Power of Attorney </w:t>
      </w:r>
    </w:p>
    <w:p>
      <w:pPr>
        <w:pStyle w:val="TextBody"/>
        <w:spacing w:before="90" w:after="0"/>
        <w:rPr>
          <w:rFonts w:ascii="Times New Roman" w:hAnsi="Times New Roman"/>
          <w:sz w:val="20"/>
        </w:rPr>
      </w:pPr>
      <w:r>
        <w:rPr>
          <w:rFonts w:ascii="Times New Roman" w:hAnsi="Times New Roman"/>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Reimbursements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70" w:after="0"/>
        <w:rPr>
          <w:rFonts w:ascii="Times New Roman" w:hAnsi="Times New Roman"/>
          <w:b/>
          <w:sz w:val="20"/>
        </w:rPr>
      </w:pPr>
      <w:r>
        <w:rPr>
          <w:rFonts w:ascii="Times New Roman" w:hAnsi="Times New Roman"/>
          <w:b/>
          <w:sz w:val="20"/>
        </w:rPr>
        <w:t xml:space="preserve">Issuance of Additional Securities </w:t>
      </w:r>
    </w:p>
    <w:p>
      <w:pPr>
        <w:pStyle w:val="TextBody"/>
        <w:spacing w:before="90" w:after="0"/>
        <w:rPr>
          <w:rFonts w:ascii="Times New Roman" w:hAnsi="Times New Roman"/>
          <w:sz w:val="20"/>
        </w:rPr>
      </w:pPr>
      <w:r>
        <w:rPr>
          <w:rFonts w:ascii="Times New Roman" w:hAnsi="Times New Roman"/>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80" w:after="0"/>
        <w:rPr>
          <w:rFonts w:ascii="Times New Roman" w:hAnsi="Times New Roman"/>
          <w:sz w:val="20"/>
        </w:rPr>
      </w:pPr>
      <w:r>
        <w:rPr>
          <w:rFonts w:ascii="Times New Roman" w:hAnsi="Times New Roman"/>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80" w:after="0"/>
        <w:rPr>
          <w:rFonts w:ascii="Times New Roman" w:hAnsi="Times New Roman"/>
          <w:sz w:val="20"/>
        </w:rPr>
      </w:pPr>
      <w:r>
        <w:rPr>
          <w:rFonts w:ascii="Times New Roman" w:hAnsi="Times New Roman"/>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80" w:after="0"/>
        <w:rPr>
          <w:rFonts w:ascii="Times New Roman" w:hAnsi="Times New Roman"/>
          <w:sz w:val="20"/>
        </w:rPr>
      </w:pPr>
      <w:r>
        <w:rPr>
          <w:rFonts w:ascii="Times New Roman" w:hAnsi="Times New Roman"/>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Amendments to Our Partnership Agreement </w:t>
      </w:r>
    </w:p>
    <w:p>
      <w:pPr>
        <w:pStyle w:val="TextBody"/>
        <w:spacing w:before="90" w:after="0"/>
        <w:rPr>
          <w:rFonts w:ascii="Times New Roman" w:hAnsi="Times New Roman"/>
          <w:sz w:val="20"/>
        </w:rPr>
      </w:pPr>
      <w:r>
        <w:rPr>
          <w:rFonts w:ascii="Times New Roman" w:hAnsi="Times New Roman"/>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70" w:after="0"/>
        <w:rPr>
          <w:rFonts w:ascii="Times New Roman" w:hAnsi="Times New Roman"/>
          <w:b/>
          <w:sz w:val="20"/>
        </w:rPr>
      </w:pPr>
      <w:r>
        <w:rPr>
          <w:rFonts w:ascii="Times New Roman" w:hAnsi="Times New Roman"/>
          <w:b/>
          <w:sz w:val="20"/>
        </w:rPr>
        <w:t xml:space="preserve">Withdrawal or Removal of Our General Partner </w:t>
      </w:r>
    </w:p>
    <w:p>
      <w:pPr>
        <w:pStyle w:val="TextBody"/>
        <w:spacing w:before="90" w:after="0"/>
        <w:rPr>
          <w:rFonts w:ascii="Times New Roman" w:hAnsi="Times New Roman"/>
          <w:sz w:val="20"/>
        </w:rPr>
      </w:pPr>
      <w:r>
        <w:rPr>
          <w:rFonts w:ascii="Times New Roman" w:hAnsi="Times New Roman"/>
          <w:sz w:val="20"/>
        </w:rPr>
        <w:t xml:space="preserve">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80" w:after="0"/>
        <w:rPr>
          <w:rFonts w:ascii="Times New Roman" w:hAnsi="Times New Roman"/>
          <w:sz w:val="20"/>
        </w:rPr>
      </w:pPr>
      <w:r>
        <w:rPr>
          <w:rFonts w:ascii="Times New Roman" w:hAnsi="Times New Roman"/>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80" w:after="0"/>
        <w:rPr>
          <w:rFonts w:ascii="Times New Roman" w:hAnsi="Times New Roman"/>
          <w:sz w:val="20"/>
        </w:rPr>
      </w:pPr>
      <w:r>
        <w:rPr>
          <w:rFonts w:ascii="Times New Roman" w:hAnsi="Times New Roman"/>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80" w:after="0"/>
        <w:rPr>
          <w:rFonts w:ascii="Times New Roman" w:hAnsi="Times New Roman"/>
          <w:sz w:val="20"/>
        </w:rPr>
      </w:pPr>
      <w:r>
        <w:rPr>
          <w:rFonts w:ascii="Times New Roman" w:hAnsi="Times New Roman"/>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80" w:after="0"/>
        <w:rPr>
          <w:rFonts w:ascii="Times New Roman" w:hAnsi="Times New Roman"/>
          <w:sz w:val="20"/>
        </w:rPr>
      </w:pPr>
      <w:r>
        <w:rPr>
          <w:rFonts w:ascii="Times New Roman" w:hAnsi="Times New Roman"/>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70" w:after="0"/>
        <w:rPr>
          <w:rFonts w:ascii="Times New Roman" w:hAnsi="Times New Roman"/>
          <w:b/>
          <w:sz w:val="20"/>
        </w:rPr>
      </w:pPr>
      <w:r>
        <w:rPr>
          <w:rFonts w:ascii="Times New Roman" w:hAnsi="Times New Roman"/>
          <w:b/>
          <w:sz w:val="20"/>
        </w:rPr>
        <w:t xml:space="preserve">Liquidation and Distribution of Proceeds </w:t>
      </w:r>
    </w:p>
    <w:p>
      <w:pPr>
        <w:pStyle w:val="TextBody"/>
        <w:spacing w:before="90" w:after="0"/>
        <w:rPr>
          <w:rFonts w:ascii="Times New Roman" w:hAnsi="Times New Roman"/>
          <w:sz w:val="20"/>
        </w:rPr>
      </w:pPr>
      <w:r>
        <w:rPr>
          <w:rFonts w:ascii="Times New Roman" w:hAnsi="Times New Roman"/>
          <w:sz w:val="20"/>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first, towards the payment of all of our creditors and the creation of a reserve for contingent liabilities;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then, to all partners in accordance with the positive balance in the respective capital accounts. </w:t>
            </w:r>
          </w:p>
        </w:tc>
      </w:tr>
    </w:tbl>
    <w:p>
      <w:pPr>
        <w:pStyle w:val="TextBody"/>
        <w:spacing w:before="180" w:after="0"/>
        <w:rPr>
          <w:rFonts w:ascii="Times New Roman" w:hAnsi="Times New Roman"/>
          <w:sz w:val="20"/>
        </w:rPr>
      </w:pPr>
      <w:r>
        <w:rPr>
          <w:rFonts w:ascii="Times New Roman" w:hAnsi="Times New Roman"/>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Change of Management Provisions </w:t>
      </w:r>
    </w:p>
    <w:p>
      <w:pPr>
        <w:pStyle w:val="TextBody"/>
        <w:spacing w:before="90" w:after="0"/>
        <w:rPr>
          <w:rFonts w:ascii="Times New Roman" w:hAnsi="Times New Roman"/>
          <w:sz w:val="20"/>
        </w:rPr>
      </w:pPr>
      <w:r>
        <w:rPr>
          <w:rFonts w:ascii="Times New Roman" w:hAnsi="Times New Roman"/>
          <w:sz w:val="20"/>
        </w:rPr>
        <w:t xml:space="preserve">Our partnership agreement contains the following specific provisions that are intended to discourage a person or group from attempting to remove our general partner or otherwise change management: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generally, if a person acquires 20% or more of any class of units then outstanding other than from our general partner or its affiliates, the units owned by such person cannot be voted on any matter;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70" w:after="0"/>
        <w:rPr>
          <w:rFonts w:ascii="Times New Roman" w:hAnsi="Times New Roman"/>
          <w:b/>
          <w:sz w:val="20"/>
        </w:rPr>
      </w:pPr>
      <w:r>
        <w:rPr>
          <w:rFonts w:ascii="Times New Roman" w:hAnsi="Times New Roman"/>
          <w:b/>
          <w:sz w:val="20"/>
        </w:rPr>
        <w:t xml:space="preserve">Limited Call Right </w:t>
      </w:r>
    </w:p>
    <w:p>
      <w:pPr>
        <w:pStyle w:val="TextBody"/>
        <w:spacing w:before="90" w:after="0"/>
        <w:rPr>
          <w:rFonts w:ascii="Times New Roman" w:hAnsi="Times New Roman"/>
          <w:sz w:val="20"/>
        </w:rPr>
      </w:pPr>
      <w:r>
        <w:rPr>
          <w:rFonts w:ascii="Times New Roman" w:hAnsi="Times New Roman"/>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70" w:after="0"/>
        <w:rPr>
          <w:rFonts w:ascii="Times New Roman" w:hAnsi="Times New Roman"/>
          <w:b/>
          <w:sz w:val="20"/>
        </w:rPr>
      </w:pPr>
      <w:r>
        <w:rPr>
          <w:rFonts w:ascii="Times New Roman" w:hAnsi="Times New Roman"/>
          <w:b/>
          <w:sz w:val="20"/>
        </w:rPr>
        <w:t xml:space="preserve">Indemnification </w:t>
      </w:r>
    </w:p>
    <w:p>
      <w:pPr>
        <w:pStyle w:val="TextBody"/>
        <w:spacing w:before="90" w:after="0"/>
        <w:rPr>
          <w:rFonts w:ascii="Times New Roman" w:hAnsi="Times New Roman"/>
          <w:sz w:val="20"/>
        </w:rPr>
      </w:pPr>
      <w:r>
        <w:rPr>
          <w:rFonts w:ascii="Times New Roman" w:hAnsi="Times New Roman"/>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80" w:after="0"/>
        <w:rPr>
          <w:rFonts w:ascii="Times New Roman" w:hAnsi="Times New Roman"/>
          <w:sz w:val="20"/>
        </w:rPr>
      </w:pPr>
      <w:r>
        <w:rPr>
          <w:rFonts w:ascii="Times New Roman" w:hAnsi="Times New Roman"/>
          <w:sz w:val="20"/>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70" w:after="0"/>
        <w:rPr>
          <w:rFonts w:ascii="Times New Roman" w:hAnsi="Times New Roman"/>
          <w:b/>
          <w:sz w:val="20"/>
        </w:rPr>
      </w:pPr>
      <w:r>
        <w:rPr>
          <w:rFonts w:ascii="Times New Roman" w:hAnsi="Times New Roman"/>
          <w:b/>
          <w:sz w:val="20"/>
        </w:rPr>
        <w:t xml:space="preserve">Registration Rights </w:t>
      </w:r>
    </w:p>
    <w:p>
      <w:pPr>
        <w:pStyle w:val="TextBody"/>
        <w:spacing w:before="90" w:after="0"/>
        <w:rPr>
          <w:rFonts w:ascii="Times New Roman" w:hAnsi="Times New Roman"/>
          <w:sz w:val="20"/>
        </w:rPr>
      </w:pPr>
      <w:r>
        <w:rPr>
          <w:rFonts w:ascii="Times New Roman" w:hAnsi="Times New Roman"/>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rom415854_12"/>
      <w:bookmarkEnd w:id="14"/>
      <w:r>
        <w:rPr>
          <w:rFonts w:ascii="Times New Roman" w:hAnsi="Times New Roman"/>
          <w:b/>
          <w:sz w:val="20"/>
        </w:rPr>
        <w:t xml:space="preserve">MATERIAL U.S. FEDERAL INCOME TAX CONSEQUENCES </w:t>
      </w:r>
    </w:p>
    <w:p>
      <w:pPr>
        <w:pStyle w:val="TextBody"/>
        <w:spacing w:before="180" w:after="0"/>
        <w:rPr>
          <w:rFonts w:ascii="Times New Roman" w:hAnsi="Times New Roman"/>
          <w:sz w:val="20"/>
        </w:rPr>
      </w:pPr>
      <w:r>
        <w:rPr>
          <w:rFonts w:ascii="Times New Roman" w:hAnsi="Times New Roman"/>
          <w:sz w:val="20"/>
        </w:rPr>
        <w:t xml:space="preserve">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 </w:t>
      </w:r>
    </w:p>
    <w:p>
      <w:pPr>
        <w:pStyle w:val="TextBody"/>
        <w:spacing w:before="180" w:after="0"/>
        <w:rPr>
          <w:rFonts w:ascii="Times New Roman" w:hAnsi="Times New Roman"/>
          <w:sz w:val="20"/>
        </w:rPr>
      </w:pPr>
      <w:r>
        <w:rPr>
          <w:rFonts w:ascii="Times New Roman" w:hAnsi="Times New Roman"/>
          <w:sz w:val="20"/>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Times New Roman" w:hAnsi="Times New Roman"/>
          <w:b/>
          <w:i/>
          <w:sz w:val="20"/>
        </w:rPr>
        <w:t>Accordingly, we encourage each unitholder to consult the unitholders own tax advisor in analyzing the federal, state, local and non-U.S. tax consequences particular to that unitholder resulting from ownership or disposition of units.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 </w:t>
      </w:r>
    </w:p>
    <w:p>
      <w:pPr>
        <w:pStyle w:val="TextBody"/>
        <w:spacing w:before="180" w:after="0"/>
        <w:rPr>
          <w:rFonts w:ascii="Times New Roman" w:hAnsi="Times New Roman"/>
          <w:sz w:val="20"/>
        </w:rPr>
      </w:pPr>
      <w:r>
        <w:rPr>
          <w:rFonts w:ascii="Times New Roman" w:hAnsi="Times New Roman"/>
          <w:sz w:val="20"/>
        </w:rPr>
        <w:t xml:space="preserve">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 </w:t>
      </w:r>
    </w:p>
    <w:p>
      <w:pPr>
        <w:pStyle w:val="TextBody"/>
        <w:spacing w:before="270" w:after="0"/>
        <w:rPr>
          <w:rFonts w:ascii="Times New Roman" w:hAnsi="Times New Roman"/>
          <w:b/>
          <w:i/>
          <w:sz w:val="20"/>
        </w:rPr>
      </w:pPr>
      <w:r>
        <w:rPr>
          <w:rFonts w:ascii="Times New Roman" w:hAnsi="Times New Roman"/>
          <w:b/>
          <w:i/>
          <w:sz w:val="20"/>
        </w:rPr>
        <w:t xml:space="preserve">Taxation of the Partnership </w:t>
      </w:r>
    </w:p>
    <w:p>
      <w:pPr>
        <w:pStyle w:val="TextBody"/>
        <w:spacing w:before="90" w:after="0"/>
        <w:rPr>
          <w:rFonts w:ascii="Times New Roman" w:hAnsi="Times New Roman"/>
          <w:b/>
          <w:i/>
          <w:sz w:val="20"/>
        </w:rPr>
      </w:pPr>
      <w:r>
        <w:rPr>
          <w:rFonts w:ascii="Times New Roman" w:hAnsi="Times New Roman"/>
          <w:b/>
          <w:i/>
          <w:sz w:val="20"/>
        </w:rPr>
        <w:t xml:space="preserve">Partnership Status </w:t>
      </w:r>
    </w:p>
    <w:p>
      <w:pPr>
        <w:pStyle w:val="TextBody"/>
        <w:spacing w:before="90" w:after="0"/>
        <w:rPr>
          <w:rFonts w:ascii="Times New Roman" w:hAnsi="Times New Roman"/>
          <w:sz w:val="20"/>
        </w:rPr>
      </w:pPr>
      <w:r>
        <w:rPr>
          <w:rFonts w:ascii="Times New Roman" w:hAnsi="Times New Roman"/>
          <w:sz w:val="20"/>
        </w:rPr>
        <w:t xml:space="preserve">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 </w:t>
      </w:r>
    </w:p>
    <w:p>
      <w:pPr>
        <w:pStyle w:val="TextBody"/>
        <w:spacing w:before="180" w:after="0"/>
        <w:rPr>
          <w:rFonts w:ascii="Times New Roman" w:hAnsi="Times New Roman"/>
          <w:sz w:val="20"/>
        </w:rPr>
      </w:pPr>
      <w:r>
        <w:rPr>
          <w:rFonts w:ascii="Times New Roman" w:hAnsi="Times New Roman"/>
          <w:sz w:val="20"/>
        </w:rPr>
        <w:t xml:space="preserve">Section 7704 of the Code generally provides that publicly-traded partnerships will be treated as corporations for federal income tax purposes. However, if 90% or more of a partnerships gross income for every taxable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 </w:t>
      </w:r>
    </w:p>
    <w:p>
      <w:pPr>
        <w:pStyle w:val="TextBody"/>
        <w:spacing w:before="180" w:after="0"/>
        <w:rPr>
          <w:rFonts w:ascii="Times New Roman" w:hAnsi="Times New Roman"/>
          <w:sz w:val="20"/>
        </w:rPr>
      </w:pPr>
      <w:r>
        <w:rPr>
          <w:rFonts w:ascii="Times New Roman" w:hAnsi="Times New Roman"/>
          <w:sz w:val="20"/>
        </w:rPr>
        <w:t xml:space="preserve">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 </w:t>
      </w:r>
    </w:p>
    <w:p>
      <w:pPr>
        <w:pStyle w:val="TextBody"/>
        <w:spacing w:before="180" w:after="0"/>
        <w:rPr>
          <w:rFonts w:ascii="Times New Roman" w:hAnsi="Times New Roman"/>
          <w:sz w:val="20"/>
        </w:rPr>
      </w:pPr>
      <w:r>
        <w:rPr>
          <w:rFonts w:ascii="Times New Roman" w:hAnsi="Times New Roman"/>
          <w:sz w:val="20"/>
        </w:rPr>
        <w:t xml:space="preserve">(a) Neither we nor any of our partnership or limited liability company subsidiaries has elected to be treated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(b) For each taxable year since and including the year of our initial public offering, more than 90% of our gross income has been and will be income of a character that Vinson &amp; Elkins L.L.P. has opined is qualifying income within the meaning of Section 7704(d) of the Code; and </w:t>
      </w:r>
    </w:p>
    <w:p>
      <w:pPr>
        <w:pStyle w:val="TextBody"/>
        <w:spacing w:before="180" w:after="0"/>
        <w:rPr>
          <w:rFonts w:ascii="Times New Roman" w:hAnsi="Times New Roman"/>
          <w:sz w:val="20"/>
        </w:rPr>
      </w:pPr>
      <w:r>
        <w:rPr>
          <w:rFonts w:ascii="Times New Roman" w:hAnsi="Times New Roman"/>
          <w:sz w:val="20"/>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80" w:after="0"/>
        <w:rPr>
          <w:rFonts w:ascii="Times New Roman" w:hAnsi="Times New Roman"/>
          <w:sz w:val="20"/>
        </w:rPr>
      </w:pPr>
      <w:r>
        <w:rPr>
          <w:rFonts w:ascii="Times New Roman" w:hAnsi="Times New Roman"/>
          <w:sz w:val="20"/>
        </w:rPr>
        <w:t xml:space="preserve">We believe that these representations are true and will be true in the future. </w:t>
      </w:r>
    </w:p>
    <w:p>
      <w:pPr>
        <w:pStyle w:val="TextBody"/>
        <w:spacing w:before="180" w:after="0"/>
        <w:rPr>
          <w:rFonts w:ascii="Times New Roman" w:hAnsi="Times New Roman"/>
          <w:sz w:val="20"/>
        </w:rPr>
      </w:pPr>
      <w:r>
        <w:rPr>
          <w:rFonts w:ascii="Times New Roman" w:hAnsi="Times New Roman"/>
          <w:sz w:val="20"/>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 </w:t>
      </w:r>
    </w:p>
    <w:p>
      <w:pPr>
        <w:pStyle w:val="TextBody"/>
        <w:spacing w:before="180" w:after="0"/>
        <w:rPr>
          <w:rFonts w:ascii="Times New Roman" w:hAnsi="Times New Roman"/>
          <w:sz w:val="20"/>
        </w:rPr>
      </w:pPr>
      <w:r>
        <w:rPr>
          <w:rFonts w:ascii="Times New Roman" w:hAnsi="Times New Roman"/>
          <w:sz w:val="20"/>
        </w:rPr>
        <w:t xml:space="preserve">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 </w:t>
      </w:r>
    </w:p>
    <w:p>
      <w:pPr>
        <w:pStyle w:val="TextBody"/>
        <w:spacing w:before="180" w:after="0"/>
        <w:rPr>
          <w:rFonts w:ascii="Times New Roman" w:hAnsi="Times New Roman"/>
          <w:sz w:val="20"/>
        </w:rPr>
      </w:pPr>
      <w:r>
        <w:rPr>
          <w:rFonts w:ascii="Times New Roman" w:hAnsi="Times New Roman"/>
          <w:sz w:val="20"/>
        </w:rPr>
        <w:t xml:space="preserve">The remainder of this discussion is based on Vinson &amp; Elkins L.L.P.s opinion that we will be treated as a partnership for federal income tax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Consequences of Unit Ownership </w:t>
      </w:r>
    </w:p>
    <w:p>
      <w:pPr>
        <w:pStyle w:val="TextBody"/>
        <w:spacing w:before="90" w:after="0"/>
        <w:rPr>
          <w:rFonts w:ascii="Times New Roman" w:hAnsi="Times New Roman"/>
          <w:b/>
          <w:i/>
          <w:sz w:val="20"/>
        </w:rPr>
      </w:pPr>
      <w:r>
        <w:rPr>
          <w:rFonts w:ascii="Times New Roman" w:hAnsi="Times New Roman"/>
          <w:b/>
          <w:i/>
          <w:sz w:val="20"/>
        </w:rPr>
        <w:t xml:space="preserve">Limited Partner Status </w:t>
      </w:r>
    </w:p>
    <w:p>
      <w:pPr>
        <w:pStyle w:val="TextBody"/>
        <w:spacing w:before="90" w:after="0"/>
        <w:rPr>
          <w:rFonts w:ascii="Times New Roman" w:hAnsi="Times New Roman"/>
          <w:sz w:val="20"/>
        </w:rPr>
      </w:pPr>
      <w:r>
        <w:rPr>
          <w:rFonts w:ascii="Times New Roman" w:hAnsi="Times New Roman"/>
          <w:sz w:val="20"/>
        </w:rPr>
        <w:t xml:space="preserve">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assignees who have executed and delivered transfer applications, and are awaiting admission as limited partners,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80" w:after="0"/>
        <w:rPr>
          <w:rFonts w:ascii="Times New Roman" w:hAnsi="Times New Roman"/>
          <w:sz w:val="20"/>
        </w:rPr>
      </w:pPr>
      <w:r>
        <w:rPr>
          <w:rFonts w:ascii="Times New Roman" w:hAnsi="Times New Roman"/>
          <w:sz w:val="20"/>
        </w:rPr>
        <w:t xml:space="preserve">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80" w:after="0"/>
        <w:rPr>
          <w:rFonts w:ascii="Times New Roman" w:hAnsi="Times New Roman"/>
          <w:sz w:val="20"/>
        </w:rPr>
      </w:pPr>
      <w:r>
        <w:rPr>
          <w:rFonts w:ascii="Times New Roman" w:hAnsi="Times New Roman"/>
          <w:sz w:val="20"/>
        </w:rPr>
        <w:t xml:space="preserve">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 </w:t>
      </w:r>
    </w:p>
    <w:p>
      <w:pPr>
        <w:pStyle w:val="TextBody"/>
        <w:spacing w:before="270" w:after="0"/>
        <w:rPr>
          <w:rFonts w:ascii="Times New Roman" w:hAnsi="Times New Roman"/>
          <w:b/>
          <w:i/>
          <w:sz w:val="20"/>
        </w:rPr>
      </w:pPr>
      <w:r>
        <w:rPr>
          <w:rFonts w:ascii="Times New Roman" w:hAnsi="Times New Roman"/>
          <w:b/>
          <w:i/>
          <w:sz w:val="20"/>
        </w:rPr>
        <w:t xml:space="preserve">Flow-Through of Taxable Income </w:t>
      </w:r>
    </w:p>
    <w:p>
      <w:pPr>
        <w:pStyle w:val="TextBody"/>
        <w:spacing w:before="90" w:after="0"/>
        <w:rPr>
          <w:rFonts w:ascii="Times New Roman" w:hAnsi="Times New Roman"/>
          <w:sz w:val="20"/>
        </w:rPr>
      </w:pPr>
      <w:r>
        <w:rPr>
          <w:rFonts w:ascii="Times New Roman" w:hAnsi="Times New Roman"/>
          <w:sz w:val="20"/>
        </w:rPr>
        <w:t xml:space="preserve">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 </w:t>
      </w:r>
    </w:p>
    <w:p>
      <w:pPr>
        <w:pStyle w:val="TextBody"/>
        <w:spacing w:before="270" w:after="0"/>
        <w:rPr>
          <w:rFonts w:ascii="Times New Roman" w:hAnsi="Times New Roman"/>
          <w:b/>
          <w:i/>
          <w:sz w:val="20"/>
        </w:rPr>
      </w:pPr>
      <w:r>
        <w:rPr>
          <w:rFonts w:ascii="Times New Roman" w:hAnsi="Times New Roman"/>
          <w:b/>
          <w:i/>
          <w:sz w:val="20"/>
        </w:rPr>
        <w:t xml:space="preserve">Basis of Units </w:t>
      </w:r>
    </w:p>
    <w:p>
      <w:pPr>
        <w:pStyle w:val="TextBody"/>
        <w:spacing w:before="90" w:after="0"/>
        <w:rPr>
          <w:rFonts w:ascii="Times New Roman" w:hAnsi="Times New Roman"/>
          <w:sz w:val="20"/>
        </w:rPr>
      </w:pPr>
      <w:r>
        <w:rPr>
          <w:rFonts w:ascii="Times New Roman" w:hAnsi="Times New Roman"/>
          <w:sz w:val="20"/>
        </w:rPr>
        <w:t xml:space="preserve">A unitholders tax basis in its units initially will be the amount paid for those units plus the unitholders share of our liabilities. That basis generally will be (i) increased by the unitholders share of our income and any increases in such unitholders share of our liabilities, and (ii) decreased, but not below zero, by the amount of all distributions, the unitholders share of our losses, and any decreases in its share of our liabilities. </w:t>
      </w:r>
    </w:p>
    <w:p>
      <w:pPr>
        <w:pStyle w:val="TextBody"/>
        <w:spacing w:before="270" w:after="0"/>
        <w:rPr>
          <w:rFonts w:ascii="Times New Roman" w:hAnsi="Times New Roman"/>
          <w:b/>
          <w:i/>
          <w:sz w:val="20"/>
        </w:rPr>
      </w:pPr>
      <w:r>
        <w:rPr>
          <w:rFonts w:ascii="Times New Roman" w:hAnsi="Times New Roman"/>
          <w:b/>
          <w:i/>
          <w:sz w:val="20"/>
        </w:rPr>
        <w:t xml:space="preserve">Treatment of Distributions </w:t>
      </w:r>
    </w:p>
    <w:p>
      <w:pPr>
        <w:pStyle w:val="TextBody"/>
        <w:spacing w:before="90" w:after="0"/>
        <w:rPr>
          <w:rFonts w:ascii="Times New Roman" w:hAnsi="Times New Roman"/>
          <w:sz w:val="20"/>
        </w:rPr>
      </w:pPr>
      <w:r>
        <w:rPr>
          <w:rFonts w:ascii="Times New Roman" w:hAnsi="Times New Roman"/>
          <w:sz w:val="20"/>
        </w:rPr>
        <w:t xml:space="preserve">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 </w:t>
      </w:r>
    </w:p>
    <w:p>
      <w:pPr>
        <w:pStyle w:val="TextBody"/>
        <w:spacing w:before="180" w:after="0"/>
        <w:rPr>
          <w:rFonts w:ascii="Times New Roman" w:hAnsi="Times New Roman"/>
          <w:sz w:val="20"/>
        </w:rPr>
      </w:pPr>
      <w:r>
        <w:rPr>
          <w:rFonts w:ascii="Times New Roman" w:hAnsi="Times New Roman"/>
          <w:sz w:val="20"/>
        </w:rPr>
        <w:t xml:space="preserve">Any reduction in a unitholders share of our liabilities will be treated as a distribution by us of cash to that unitholder. A decrease in a unitholders percentage interest in us because of our issuance of additional units may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 </w:t>
      </w:r>
    </w:p>
    <w:p>
      <w:pPr>
        <w:pStyle w:val="TextBody"/>
        <w:spacing w:before="180" w:after="0"/>
        <w:rPr>
          <w:rFonts w:ascii="Times New Roman" w:hAnsi="Times New Roman"/>
          <w:sz w:val="20"/>
        </w:rPr>
      </w:pPr>
      <w:r>
        <w:rPr>
          <w:rFonts w:ascii="Times New Roman" w:hAnsi="Times New Roman"/>
          <w:sz w:val="20"/>
        </w:rPr>
        <w:t xml:space="preserve">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 </w:t>
      </w:r>
    </w:p>
    <w:p>
      <w:pPr>
        <w:pStyle w:val="TextBody"/>
        <w:spacing w:before="270" w:after="0"/>
        <w:rPr>
          <w:rFonts w:ascii="Times New Roman" w:hAnsi="Times New Roman"/>
          <w:b/>
          <w:i/>
          <w:sz w:val="20"/>
        </w:rPr>
      </w:pPr>
      <w:r>
        <w:rPr>
          <w:rFonts w:ascii="Times New Roman" w:hAnsi="Times New Roman"/>
          <w:b/>
          <w:i/>
          <w:sz w:val="20"/>
        </w:rPr>
        <w:t xml:space="preserve">Limitations on Deductibility of Losses </w:t>
      </w:r>
    </w:p>
    <w:p>
      <w:pPr>
        <w:pStyle w:val="TextBody"/>
        <w:spacing w:before="90" w:after="0"/>
        <w:rPr>
          <w:rFonts w:ascii="Times New Roman" w:hAnsi="Times New Roman"/>
          <w:sz w:val="20"/>
        </w:rPr>
      </w:pPr>
      <w:r>
        <w:rPr>
          <w:rFonts w:ascii="Times New Roman" w:hAnsi="Times New Roman"/>
          <w:sz w:val="20"/>
        </w:rPr>
        <w:t xml:space="preserve">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 </w:t>
      </w:r>
    </w:p>
    <w:p>
      <w:pPr>
        <w:pStyle w:val="TextBody"/>
        <w:spacing w:before="180" w:after="0"/>
        <w:rPr>
          <w:rFonts w:ascii="Times New Roman" w:hAnsi="Times New Roman"/>
          <w:sz w:val="20"/>
        </w:rPr>
      </w:pPr>
      <w:r>
        <w:rPr>
          <w:rFonts w:ascii="Times New Roman" w:hAnsi="Times New Roman"/>
          <w:sz w:val="20"/>
        </w:rPr>
        <w:t xml:space="preserve">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w:t>
      </w:r>
    </w:p>
    <w:p>
      <w:pPr>
        <w:pStyle w:val="TextBody"/>
        <w:spacing w:before="180" w:after="0"/>
        <w:rPr>
          <w:rFonts w:ascii="Times New Roman" w:hAnsi="Times New Roman"/>
          <w:sz w:val="20"/>
        </w:rPr>
      </w:pPr>
      <w:r>
        <w:rPr>
          <w:rFonts w:ascii="Times New Roman" w:hAnsi="Times New Roman"/>
          <w:sz w:val="20"/>
        </w:rPr>
        <w:t xml:space="preserve">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Limitations on Interest Deductions </w:t>
      </w:r>
    </w:p>
    <w:p>
      <w:pPr>
        <w:pStyle w:val="TextBody"/>
        <w:spacing w:before="90" w:after="0"/>
        <w:rPr>
          <w:rFonts w:ascii="Times New Roman" w:hAnsi="Times New Roman"/>
          <w:sz w:val="20"/>
        </w:rPr>
      </w:pPr>
      <w:r>
        <w:rPr>
          <w:rFonts w:ascii="Times New Roman" w:hAnsi="Times New Roman"/>
          <w:sz w:val="20"/>
        </w:rPr>
        <w:t xml:space="preserve">The deductibility of a non-corporate taxpayers investment interest expense generally is limited to the amount of that taxpayers net investment income. Investment interest expense includes: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on indebtedness allocable to property held for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interest expense allocated against portfolio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portion of interest expense incurred to purchase or carry an interest in a passive activity to the extent allocable against portfolio income. </w:t>
            </w:r>
          </w:p>
        </w:tc>
      </w:tr>
    </w:tbl>
    <w:p>
      <w:pPr>
        <w:pStyle w:val="TextBody"/>
        <w:spacing w:before="180" w:after="0"/>
        <w:rPr>
          <w:rFonts w:ascii="Times New Roman" w:hAnsi="Times New Roman"/>
          <w:sz w:val="20"/>
        </w:rPr>
      </w:pPr>
      <w:r>
        <w:rPr>
          <w:rFonts w:ascii="Times New Roman" w:hAnsi="Times New Roman"/>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 </w:t>
      </w:r>
    </w:p>
    <w:p>
      <w:pPr>
        <w:pStyle w:val="TextBody"/>
        <w:spacing w:before="270" w:after="0"/>
        <w:rPr>
          <w:rFonts w:ascii="Times New Roman" w:hAnsi="Times New Roman"/>
          <w:b/>
          <w:i/>
          <w:sz w:val="20"/>
        </w:rPr>
      </w:pPr>
      <w:r>
        <w:rPr>
          <w:rFonts w:ascii="Times New Roman" w:hAnsi="Times New Roman"/>
          <w:b/>
          <w:i/>
          <w:sz w:val="20"/>
        </w:rPr>
        <w:t xml:space="preserve">Entity-Level Collections of Unitholder Taxes </w:t>
      </w:r>
    </w:p>
    <w:p>
      <w:pPr>
        <w:pStyle w:val="TextBody"/>
        <w:spacing w:before="90" w:after="0"/>
        <w:rPr>
          <w:rFonts w:ascii="Times New Roman" w:hAnsi="Times New Roman"/>
          <w:sz w:val="20"/>
        </w:rPr>
      </w:pPr>
      <w:r>
        <w:rPr>
          <w:rFonts w:ascii="Times New Roman" w:hAnsi="Times New Roman"/>
          <w:sz w:val="20"/>
        </w:rPr>
        <w:t xml:space="preserve">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 </w:t>
      </w:r>
    </w:p>
    <w:p>
      <w:pPr>
        <w:pStyle w:val="TextBody"/>
        <w:spacing w:before="270" w:after="0"/>
        <w:rPr>
          <w:rFonts w:ascii="Times New Roman" w:hAnsi="Times New Roman"/>
          <w:b/>
          <w:i/>
          <w:sz w:val="20"/>
        </w:rPr>
      </w:pPr>
      <w:r>
        <w:rPr>
          <w:rFonts w:ascii="Times New Roman" w:hAnsi="Times New Roman"/>
          <w:b/>
          <w:i/>
          <w:sz w:val="20"/>
        </w:rPr>
        <w:t xml:space="preserve">Allocation of Income, Gain, Loss and Deduction </w:t>
      </w:r>
    </w:p>
    <w:p>
      <w:pPr>
        <w:pStyle w:val="TextBody"/>
        <w:spacing w:before="90" w:after="0"/>
        <w:rPr>
          <w:rFonts w:ascii="Times New Roman" w:hAnsi="Times New Roman"/>
          <w:sz w:val="20"/>
        </w:rPr>
      </w:pPr>
      <w:r>
        <w:rPr>
          <w:rFonts w:ascii="Times New Roman" w:hAnsi="Times New Roman"/>
          <w:sz w:val="20"/>
        </w:rPr>
        <w:t xml:space="preserve">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 </w:t>
      </w:r>
    </w:p>
    <w:p>
      <w:pPr>
        <w:pStyle w:val="TextBody"/>
        <w:spacing w:before="180" w:after="0"/>
        <w:rPr>
          <w:rFonts w:ascii="Times New Roman" w:hAnsi="Times New Roman"/>
          <w:sz w:val="20"/>
        </w:rPr>
      </w:pPr>
      <w:r>
        <w:rPr>
          <w:rFonts w:ascii="Times New Roman" w:hAnsi="Times New Roman"/>
          <w:sz w:val="20"/>
        </w:rPr>
        <w:t xml:space="preserve">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 </w:t>
      </w:r>
    </w:p>
    <w:p>
      <w:pPr>
        <w:pStyle w:val="TextBody"/>
        <w:spacing w:before="270" w:after="0"/>
        <w:rPr>
          <w:rFonts w:ascii="Times New Roman" w:hAnsi="Times New Roman"/>
          <w:b/>
          <w:i/>
          <w:sz w:val="20"/>
        </w:rPr>
      </w:pPr>
      <w:r>
        <w:rPr>
          <w:rFonts w:ascii="Times New Roman" w:hAnsi="Times New Roman"/>
          <w:b/>
          <w:i/>
          <w:sz w:val="20"/>
        </w:rPr>
        <w:t xml:space="preserve">Treatment of Securities Loans </w:t>
      </w:r>
    </w:p>
    <w:p>
      <w:pPr>
        <w:pStyle w:val="TextBody"/>
        <w:spacing w:before="90" w:after="0"/>
        <w:rPr>
          <w:rFonts w:ascii="Times New Roman" w:hAnsi="Times New Roman"/>
          <w:sz w:val="20"/>
        </w:rPr>
      </w:pPr>
      <w:r>
        <w:rPr>
          <w:rFonts w:ascii="Times New Roman" w:hAnsi="Times New Roman"/>
          <w:sz w:val="20"/>
        </w:rPr>
        <w:t xml:space="preserve">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 </w:t>
      </w:r>
    </w:p>
    <w:p>
      <w:pPr>
        <w:pStyle w:val="TextBody"/>
        <w:spacing w:before="270" w:after="0"/>
        <w:rPr>
          <w:rFonts w:ascii="Times New Roman" w:hAnsi="Times New Roman"/>
          <w:b/>
          <w:i/>
          <w:sz w:val="20"/>
        </w:rPr>
      </w:pPr>
      <w:r>
        <w:rPr>
          <w:rFonts w:ascii="Times New Roman" w:hAnsi="Times New Roman"/>
          <w:b/>
          <w:i/>
          <w:sz w:val="20"/>
        </w:rPr>
        <w:t xml:space="preserve">Tax Rates </w:t>
      </w:r>
    </w:p>
    <w:p>
      <w:pPr>
        <w:pStyle w:val="TextBody"/>
        <w:spacing w:before="90" w:after="0"/>
        <w:rPr>
          <w:rFonts w:ascii="Times New Roman" w:hAnsi="Times New Roman"/>
          <w:sz w:val="20"/>
        </w:rPr>
      </w:pPr>
      <w:r>
        <w:rPr>
          <w:rFonts w:ascii="Times New Roman" w:hAnsi="Times New Roman"/>
          <w:sz w:val="20"/>
        </w:rPr>
        <w:t xml:space="preserve">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 </w:t>
      </w:r>
    </w:p>
    <w:p>
      <w:pPr>
        <w:pStyle w:val="TextBody"/>
        <w:spacing w:before="180" w:after="0"/>
        <w:rPr>
          <w:rFonts w:ascii="Times New Roman" w:hAnsi="Times New Roman"/>
          <w:sz w:val="20"/>
        </w:rPr>
      </w:pPr>
      <w:r>
        <w:rPr>
          <w:rFonts w:ascii="Times New Roman" w:hAnsi="Times New Roman"/>
          <w:sz w:val="20"/>
        </w:rPr>
        <w:t xml:space="preserve">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270" w:after="0"/>
        <w:rPr>
          <w:rFonts w:ascii="Times New Roman" w:hAnsi="Times New Roman"/>
          <w:b/>
          <w:i/>
          <w:sz w:val="20"/>
        </w:rPr>
      </w:pPr>
      <w:r>
        <w:rPr>
          <w:rFonts w:ascii="Times New Roman" w:hAnsi="Times New Roman"/>
          <w:b/>
          <w:i/>
          <w:sz w:val="20"/>
        </w:rPr>
        <w:t xml:space="preserve">Section 754 Election </w:t>
      </w:r>
    </w:p>
    <w:p>
      <w:pPr>
        <w:pStyle w:val="TextBody"/>
        <w:spacing w:before="90" w:after="0"/>
        <w:rPr>
          <w:rFonts w:ascii="Times New Roman" w:hAnsi="Times New Roman"/>
          <w:sz w:val="20"/>
        </w:rPr>
      </w:pPr>
      <w:r>
        <w:rPr>
          <w:rFonts w:ascii="Times New Roman" w:hAnsi="Times New Roman"/>
          <w:sz w:val="20"/>
        </w:rPr>
        <w:t xml:space="preserve">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 </w:t>
      </w:r>
    </w:p>
    <w:p>
      <w:pPr>
        <w:pStyle w:val="TextBody"/>
        <w:spacing w:before="180" w:after="0"/>
        <w:rPr>
          <w:rFonts w:ascii="Times New Roman" w:hAnsi="Times New Roman"/>
          <w:sz w:val="20"/>
        </w:rPr>
      </w:pPr>
      <w:r>
        <w:rPr>
          <w:rFonts w:ascii="Times New Roman" w:hAnsi="Times New Roman"/>
          <w:sz w:val="20"/>
        </w:rPr>
        <w:t xml:space="preserve">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 </w:t>
      </w:r>
    </w:p>
    <w:p>
      <w:pPr>
        <w:pStyle w:val="TextBody"/>
        <w:spacing w:before="180" w:after="0"/>
        <w:rPr>
          <w:rFonts w:ascii="Times New Roman" w:hAnsi="Times New Roman"/>
          <w:sz w:val="20"/>
        </w:rPr>
      </w:pPr>
      <w:r>
        <w:rPr>
          <w:rFonts w:ascii="Times New Roman" w:hAnsi="Times New Roman"/>
          <w:sz w:val="20"/>
        </w:rPr>
        <w:t xml:space="preserve">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Tax Treatment of Operations </w:t>
      </w:r>
    </w:p>
    <w:p>
      <w:pPr>
        <w:pStyle w:val="TextBody"/>
        <w:spacing w:before="90" w:after="0"/>
        <w:rPr>
          <w:rFonts w:ascii="Times New Roman" w:hAnsi="Times New Roman"/>
          <w:b/>
          <w:i/>
          <w:sz w:val="20"/>
        </w:rPr>
      </w:pPr>
      <w:r>
        <w:rPr>
          <w:rFonts w:ascii="Times New Roman" w:hAnsi="Times New Roman"/>
          <w:b/>
          <w:i/>
          <w:sz w:val="20"/>
        </w:rPr>
        <w:t xml:space="preserve">Accounting Method and Taxable Year </w:t>
      </w:r>
    </w:p>
    <w:p>
      <w:pPr>
        <w:pStyle w:val="TextBody"/>
        <w:spacing w:before="90" w:after="0"/>
        <w:rPr>
          <w:rFonts w:ascii="Times New Roman" w:hAnsi="Times New Roman"/>
          <w:sz w:val="20"/>
        </w:rPr>
      </w:pPr>
      <w:r>
        <w:rPr>
          <w:rFonts w:ascii="Times New Roman" w:hAnsi="Times New Roman"/>
          <w:sz w:val="20"/>
        </w:rPr>
        <w:t xml:space="preserve">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 </w:t>
      </w:r>
    </w:p>
    <w:p>
      <w:pPr>
        <w:pStyle w:val="TextBody"/>
        <w:spacing w:before="270" w:after="0"/>
        <w:rPr>
          <w:rFonts w:ascii="Times New Roman" w:hAnsi="Times New Roman"/>
          <w:b/>
          <w:i/>
          <w:sz w:val="20"/>
        </w:rPr>
      </w:pPr>
      <w:r>
        <w:rPr>
          <w:rFonts w:ascii="Times New Roman" w:hAnsi="Times New Roman"/>
          <w:b/>
          <w:i/>
          <w:sz w:val="20"/>
        </w:rPr>
        <w:t xml:space="preserve">Tax Basis, Depreciation and Amortization </w:t>
      </w:r>
    </w:p>
    <w:p>
      <w:pPr>
        <w:pStyle w:val="TextBody"/>
        <w:spacing w:before="90" w:after="0"/>
        <w:rPr>
          <w:rFonts w:ascii="Times New Roman" w:hAnsi="Times New Roman"/>
          <w:sz w:val="20"/>
        </w:rPr>
      </w:pPr>
      <w:r>
        <w:rPr>
          <w:rFonts w:ascii="Times New Roman" w:hAnsi="Times New Roman"/>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 </w:t>
      </w:r>
    </w:p>
    <w:p>
      <w:pPr>
        <w:pStyle w:val="TextBody"/>
        <w:spacing w:before="180" w:after="0"/>
        <w:rPr>
          <w:rFonts w:ascii="Times New Roman" w:hAnsi="Times New Roman"/>
          <w:sz w:val="20"/>
        </w:rPr>
      </w:pPr>
      <w:r>
        <w:rPr>
          <w:rFonts w:ascii="Times New Roman" w:hAnsi="Times New Roman"/>
          <w:sz w:val="20"/>
        </w:rPr>
        <w:t xml:space="preserve">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 </w:t>
      </w:r>
    </w:p>
    <w:p>
      <w:pPr>
        <w:pStyle w:val="TextBody"/>
        <w:spacing w:before="180" w:after="0"/>
        <w:rPr>
          <w:rFonts w:ascii="Times New Roman" w:hAnsi="Times New Roman"/>
          <w:sz w:val="20"/>
        </w:rPr>
      </w:pPr>
      <w:r>
        <w:rPr>
          <w:rFonts w:ascii="Times New Roman" w:hAnsi="Times New Roman"/>
          <w:sz w:val="20"/>
        </w:rPr>
        <w:t xml:space="preserve">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270" w:after="0"/>
        <w:rPr>
          <w:rFonts w:ascii="Times New Roman" w:hAnsi="Times New Roman"/>
          <w:b/>
          <w:i/>
          <w:sz w:val="20"/>
        </w:rPr>
      </w:pPr>
      <w:r>
        <w:rPr>
          <w:rFonts w:ascii="Times New Roman" w:hAnsi="Times New Roman"/>
          <w:b/>
          <w:i/>
          <w:sz w:val="20"/>
        </w:rPr>
        <w:t xml:space="preserve">Valuation and Tax Basis of Our Properties </w:t>
      </w:r>
    </w:p>
    <w:p>
      <w:pPr>
        <w:pStyle w:val="TextBody"/>
        <w:spacing w:before="90" w:after="0"/>
        <w:rPr>
          <w:rFonts w:ascii="Times New Roman" w:hAnsi="Times New Roman"/>
          <w:sz w:val="20"/>
        </w:rPr>
      </w:pPr>
      <w:r>
        <w:rPr>
          <w:rFonts w:ascii="Times New Roman" w:hAnsi="Times New Roman"/>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 </w:t>
      </w:r>
    </w:p>
    <w:p>
      <w:pPr>
        <w:pStyle w:val="TextBody"/>
        <w:spacing w:before="270" w:after="0"/>
        <w:rPr>
          <w:rFonts w:ascii="Times New Roman" w:hAnsi="Times New Roman"/>
          <w:b/>
          <w:i/>
          <w:sz w:val="20"/>
        </w:rPr>
      </w:pPr>
      <w:r>
        <w:rPr>
          <w:rFonts w:ascii="Times New Roman" w:hAnsi="Times New Roman"/>
          <w:b/>
          <w:i/>
          <w:sz w:val="20"/>
        </w:rPr>
        <w:t xml:space="preserve">Disposition of Units </w:t>
      </w:r>
    </w:p>
    <w:p>
      <w:pPr>
        <w:pStyle w:val="TextBody"/>
        <w:spacing w:before="90" w:after="0"/>
        <w:rPr>
          <w:rFonts w:ascii="Times New Roman" w:hAnsi="Times New Roman"/>
          <w:b/>
          <w:i/>
          <w:sz w:val="20"/>
        </w:rPr>
      </w:pPr>
      <w:r>
        <w:rPr>
          <w:rFonts w:ascii="Times New Roman" w:hAnsi="Times New Roman"/>
          <w:b/>
          <w:i/>
          <w:sz w:val="20"/>
        </w:rPr>
        <w:t xml:space="preserve">Recognition of Gain or Loss </w:t>
      </w:r>
    </w:p>
    <w:p>
      <w:pPr>
        <w:pStyle w:val="TextBody"/>
        <w:spacing w:before="90" w:after="0"/>
        <w:rPr>
          <w:rFonts w:ascii="Times New Roman" w:hAnsi="Times New Roman"/>
          <w:sz w:val="20"/>
        </w:rPr>
      </w:pPr>
      <w:r>
        <w:rPr>
          <w:rFonts w:ascii="Times New Roman" w:hAnsi="Times New Roman"/>
          <w:sz w:val="20"/>
        </w:rPr>
        <w:t xml:space="preserve">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 </w:t>
      </w:r>
    </w:p>
    <w:p>
      <w:pPr>
        <w:pStyle w:val="TextBody"/>
        <w:spacing w:before="180" w:after="0"/>
        <w:rPr>
          <w:rFonts w:ascii="Times New Roman" w:hAnsi="Times New Roman"/>
          <w:sz w:val="20"/>
        </w:rPr>
      </w:pPr>
      <w:r>
        <w:rPr>
          <w:rFonts w:ascii="Times New Roman" w:hAnsi="Times New Roman"/>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 </w:t>
      </w:r>
    </w:p>
    <w:p>
      <w:pPr>
        <w:pStyle w:val="TextBody"/>
        <w:spacing w:before="180" w:after="0"/>
        <w:rPr>
          <w:rFonts w:ascii="Times New Roman" w:hAnsi="Times New Roman"/>
          <w:sz w:val="20"/>
        </w:rPr>
      </w:pPr>
      <w:r>
        <w:rPr>
          <w:rFonts w:ascii="Times New Roman" w:hAnsi="Times New Roman"/>
          <w:sz w:val="20"/>
        </w:rPr>
        <w:t xml:space="preserve">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 </w:t>
      </w:r>
    </w:p>
    <w:p>
      <w:pPr>
        <w:pStyle w:val="TextBody"/>
        <w:spacing w:before="180" w:after="0"/>
        <w:rPr>
          <w:rFonts w:ascii="Times New Roman" w:hAnsi="Times New Roman"/>
          <w:sz w:val="20"/>
        </w:rPr>
      </w:pPr>
      <w:r>
        <w:rPr>
          <w:rFonts w:ascii="Times New Roman" w:hAnsi="Times New Roman"/>
          <w:sz w:val="20"/>
        </w:rPr>
        <w:t xml:space="preserve">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short sale;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3"/>
        <w:gridCol w:w="101"/>
        <w:gridCol w:w="9800"/>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 offsetting notional principal contract;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futures or forward contract with respect to the partnership interest or substantially identical property. </w:t>
            </w:r>
          </w:p>
        </w:tc>
      </w:tr>
    </w:tbl>
    <w:p>
      <w:pPr>
        <w:pStyle w:val="TextBody"/>
        <w:spacing w:before="180" w:after="0"/>
        <w:rPr>
          <w:rFonts w:ascii="Times New Roman" w:hAnsi="Times New Roman"/>
          <w:sz w:val="20"/>
        </w:rPr>
      </w:pPr>
      <w:r>
        <w:rPr>
          <w:rFonts w:ascii="Times New Roman" w:hAnsi="Times New Roman"/>
          <w:sz w:val="20"/>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 </w:t>
      </w:r>
    </w:p>
    <w:p>
      <w:pPr>
        <w:pStyle w:val="TextBody"/>
        <w:spacing w:before="270" w:after="0"/>
        <w:rPr>
          <w:rFonts w:ascii="Times New Roman" w:hAnsi="Times New Roman"/>
          <w:b/>
          <w:i/>
          <w:sz w:val="20"/>
        </w:rPr>
      </w:pPr>
      <w:r>
        <w:rPr>
          <w:rFonts w:ascii="Times New Roman" w:hAnsi="Times New Roman"/>
          <w:b/>
          <w:i/>
          <w:sz w:val="20"/>
        </w:rPr>
        <w:t xml:space="preserve">Allocations Between Transferors and Transferee </w:t>
      </w:r>
    </w:p>
    <w:p>
      <w:pPr>
        <w:pStyle w:val="TextBody"/>
        <w:spacing w:before="90" w:after="0"/>
        <w:rPr>
          <w:rFonts w:ascii="Times New Roman" w:hAnsi="Times New Roman"/>
          <w:sz w:val="20"/>
        </w:rPr>
      </w:pPr>
      <w:r>
        <w:rPr>
          <w:rFonts w:ascii="Times New Roman" w:hAnsi="Times New Roman"/>
          <w:sz w:val="20"/>
        </w:rPr>
        <w:t xml:space="preserve">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 </w:t>
      </w:r>
    </w:p>
    <w:p>
      <w:pPr>
        <w:pStyle w:val="TextBody"/>
        <w:spacing w:before="180" w:after="0"/>
        <w:rPr>
          <w:rFonts w:ascii="Times New Roman" w:hAnsi="Times New Roman"/>
          <w:sz w:val="20"/>
        </w:rPr>
      </w:pPr>
      <w:r>
        <w:rPr>
          <w:rFonts w:ascii="Times New Roman" w:hAnsi="Times New Roman"/>
          <w:sz w:val="20"/>
        </w:rPr>
        <w:t xml:space="preserve">A unitholder who disposes of units prior to the record date set for a cash distribution for that quarter will be allocated items of our income, gain, loss and deduction attributable to the month of disposition but will not be entitled to receive a cash distribution for that period. </w:t>
      </w:r>
    </w:p>
    <w:p>
      <w:pPr>
        <w:pStyle w:val="TextBody"/>
        <w:spacing w:before="270" w:after="0"/>
        <w:rPr>
          <w:rFonts w:ascii="Times New Roman" w:hAnsi="Times New Roman"/>
          <w:b/>
          <w:i/>
          <w:sz w:val="20"/>
        </w:rPr>
      </w:pPr>
      <w:r>
        <w:rPr>
          <w:rFonts w:ascii="Times New Roman" w:hAnsi="Times New Roman"/>
          <w:b/>
          <w:i/>
          <w:sz w:val="20"/>
        </w:rPr>
        <w:t xml:space="preserve">Notification Requirements </w:t>
      </w:r>
    </w:p>
    <w:p>
      <w:pPr>
        <w:pStyle w:val="TextBody"/>
        <w:spacing w:before="90" w:after="0"/>
        <w:rPr>
          <w:rFonts w:ascii="Times New Roman" w:hAnsi="Times New Roman"/>
          <w:sz w:val="20"/>
        </w:rPr>
      </w:pPr>
      <w:r>
        <w:rPr>
          <w:rFonts w:ascii="Times New Roman" w:hAnsi="Times New Roman"/>
          <w:sz w:val="20"/>
        </w:rPr>
        <w:t xml:space="preserve">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 </w:t>
      </w:r>
    </w:p>
    <w:p>
      <w:pPr>
        <w:pStyle w:val="TextBody"/>
        <w:spacing w:before="270" w:after="0"/>
        <w:rPr>
          <w:rFonts w:ascii="Times New Roman" w:hAnsi="Times New Roman"/>
          <w:b/>
          <w:i/>
          <w:sz w:val="20"/>
        </w:rPr>
      </w:pPr>
      <w:r>
        <w:rPr>
          <w:rFonts w:ascii="Times New Roman" w:hAnsi="Times New Roman"/>
          <w:b/>
          <w:i/>
          <w:sz w:val="20"/>
        </w:rPr>
        <w:t xml:space="preserve">Constructive Termination </w:t>
      </w:r>
    </w:p>
    <w:p>
      <w:pPr>
        <w:pStyle w:val="TextBody"/>
        <w:spacing w:before="90" w:after="0"/>
        <w:rPr>
          <w:rFonts w:ascii="Times New Roman" w:hAnsi="Times New Roman"/>
          <w:sz w:val="20"/>
        </w:rPr>
      </w:pPr>
      <w:r>
        <w:rPr>
          <w:rFonts w:ascii="Times New Roman" w:hAnsi="Times New Roman"/>
          <w:sz w:val="20"/>
        </w:rPr>
        <w:t xml:space="preserve">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 </w:t>
      </w:r>
    </w:p>
    <w:p>
      <w:pPr>
        <w:pStyle w:val="TextBody"/>
        <w:spacing w:before="180" w:after="0"/>
        <w:rPr>
          <w:rFonts w:ascii="Times New Roman" w:hAnsi="Times New Roman"/>
          <w:sz w:val="20"/>
        </w:rPr>
      </w:pPr>
      <w:r>
        <w:rPr>
          <w:rFonts w:ascii="Times New Roman" w:hAnsi="Times New Roman"/>
          <w:sz w:val="20"/>
        </w:rPr>
        <w:t xml:space="preserve">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 </w:t>
      </w:r>
    </w:p>
    <w:p>
      <w:pPr>
        <w:pStyle w:val="TextBody"/>
        <w:spacing w:before="270" w:after="0"/>
        <w:rPr>
          <w:rFonts w:ascii="Times New Roman" w:hAnsi="Times New Roman"/>
          <w:b/>
          <w:i/>
          <w:sz w:val="20"/>
        </w:rPr>
      </w:pPr>
      <w:r>
        <w:rPr>
          <w:rFonts w:ascii="Times New Roman" w:hAnsi="Times New Roman"/>
          <w:b/>
          <w:i/>
          <w:sz w:val="20"/>
        </w:rPr>
        <w:t xml:space="preserve">Uniformity of Units </w:t>
      </w:r>
    </w:p>
    <w:p>
      <w:pPr>
        <w:pStyle w:val="TextBody"/>
        <w:spacing w:before="90" w:after="0"/>
        <w:rPr>
          <w:rFonts w:ascii="Times New Roman" w:hAnsi="Times New Roman"/>
          <w:sz w:val="20"/>
        </w:rPr>
      </w:pPr>
      <w:r>
        <w:rPr>
          <w:rFonts w:ascii="Times New Roman" w:hAnsi="Times New Roman"/>
          <w:sz w:val="20"/>
        </w:rPr>
        <w:t xml:space="preserve">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 </w:t>
      </w:r>
    </w:p>
    <w:p>
      <w:pPr>
        <w:pStyle w:val="TextBody"/>
        <w:spacing w:before="180" w:after="0"/>
        <w:rPr>
          <w:rFonts w:ascii="Times New Roman" w:hAnsi="Times New Roman"/>
          <w:sz w:val="20"/>
        </w:rPr>
      </w:pPr>
      <w:r>
        <w:rPr>
          <w:rFonts w:ascii="Times New Roman" w:hAnsi="Times New Roman"/>
          <w:sz w:val="20"/>
        </w:rPr>
        <w:t xml:space="preserve">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 </w:t>
      </w:r>
    </w:p>
    <w:p>
      <w:pPr>
        <w:pStyle w:val="TextBody"/>
        <w:spacing w:before="270" w:after="0"/>
        <w:rPr>
          <w:rFonts w:ascii="Times New Roman" w:hAnsi="Times New Roman"/>
          <w:b/>
          <w:i/>
          <w:sz w:val="20"/>
        </w:rPr>
      </w:pPr>
      <w:r>
        <w:rPr>
          <w:rFonts w:ascii="Times New Roman" w:hAnsi="Times New Roman"/>
          <w:b/>
          <w:i/>
          <w:sz w:val="20"/>
        </w:rPr>
        <w:t xml:space="preserve">Tax-Exempt Organizations and Other Investors </w:t>
      </w:r>
    </w:p>
    <w:p>
      <w:pPr>
        <w:pStyle w:val="TextBody"/>
        <w:spacing w:before="90" w:after="0"/>
        <w:rPr>
          <w:rFonts w:ascii="Times New Roman" w:hAnsi="Times New Roman"/>
          <w:sz w:val="20"/>
        </w:rPr>
      </w:pPr>
      <w:r>
        <w:rPr>
          <w:rFonts w:ascii="Times New Roman" w:hAnsi="Times New Roman"/>
          <w:sz w:val="20"/>
        </w:rPr>
        <w:t xml:space="preserve">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 </w:t>
      </w:r>
    </w:p>
    <w:p>
      <w:pPr>
        <w:pStyle w:val="TextBody"/>
        <w:spacing w:before="180" w:after="0"/>
        <w:rPr>
          <w:rFonts w:ascii="Times New Roman" w:hAnsi="Times New Roman"/>
          <w:sz w:val="20"/>
        </w:rPr>
      </w:pPr>
      <w:r>
        <w:rPr>
          <w:rFonts w:ascii="Times New Roman" w:hAnsi="Times New Roman"/>
          <w:sz w:val="20"/>
        </w:rPr>
        <w:t xml:space="preserve">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 </w:t>
      </w:r>
    </w:p>
    <w:p>
      <w:pPr>
        <w:pStyle w:val="TextBody"/>
        <w:spacing w:before="180" w:after="0"/>
        <w:rPr>
          <w:rFonts w:ascii="Times New Roman" w:hAnsi="Times New Roman"/>
          <w:sz w:val="20"/>
        </w:rPr>
      </w:pPr>
      <w:r>
        <w:rPr>
          <w:rFonts w:ascii="Times New Roman" w:hAnsi="Times New Roman"/>
          <w:sz w:val="20"/>
        </w:rPr>
        <w:t xml:space="preserve">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 </w:t>
      </w:r>
    </w:p>
    <w:p>
      <w:pPr>
        <w:pStyle w:val="TextBody"/>
        <w:spacing w:before="180" w:after="0"/>
        <w:rPr>
          <w:rFonts w:ascii="Times New Roman" w:hAnsi="Times New Roman"/>
          <w:sz w:val="20"/>
        </w:rPr>
      </w:pPr>
      <w:r>
        <w:rPr>
          <w:rFonts w:ascii="Times New Roman" w:hAnsi="Times New Roman"/>
          <w:sz w:val="20"/>
        </w:rPr>
        <w:t xml:space="preserve">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disposition. More than 50% of our assets may consist of U.S. real property interests. Therefore, non-U.S. unitholders may be subject to federal income tax on gain from the sale or disposition of their units. </w:t>
      </w:r>
    </w:p>
    <w:p>
      <w:pPr>
        <w:pStyle w:val="TextBody"/>
        <w:spacing w:before="270" w:after="0"/>
        <w:rPr>
          <w:rFonts w:ascii="Times New Roman" w:hAnsi="Times New Roman"/>
          <w:b/>
          <w:i/>
          <w:sz w:val="20"/>
        </w:rPr>
      </w:pPr>
      <w:r>
        <w:rPr>
          <w:rFonts w:ascii="Times New Roman" w:hAnsi="Times New Roman"/>
          <w:b/>
          <w:i/>
          <w:sz w:val="20"/>
        </w:rPr>
        <w:t xml:space="preserve">Administrative Matters </w:t>
      </w:r>
    </w:p>
    <w:p>
      <w:pPr>
        <w:pStyle w:val="TextBody"/>
        <w:spacing w:before="90" w:after="0"/>
        <w:rPr>
          <w:rFonts w:ascii="Times New Roman" w:hAnsi="Times New Roman"/>
          <w:b/>
          <w:i/>
          <w:sz w:val="20"/>
        </w:rPr>
      </w:pPr>
      <w:r>
        <w:rPr>
          <w:rFonts w:ascii="Times New Roman" w:hAnsi="Times New Roman"/>
          <w:b/>
          <w:i/>
          <w:sz w:val="20"/>
        </w:rPr>
        <w:t xml:space="preserve">Information Returns and Audit Procedures </w:t>
      </w:r>
    </w:p>
    <w:p>
      <w:pPr>
        <w:pStyle w:val="TextBody"/>
        <w:spacing w:before="90" w:after="0"/>
        <w:rPr>
          <w:rFonts w:ascii="Times New Roman" w:hAnsi="Times New Roman"/>
          <w:sz w:val="20"/>
        </w:rPr>
      </w:pPr>
      <w:r>
        <w:rPr>
          <w:rFonts w:ascii="Times New Roman" w:hAnsi="Times New Roman"/>
          <w:sz w:val="20"/>
        </w:rPr>
        <w:t xml:space="preserve">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 </w:t>
      </w:r>
    </w:p>
    <w:p>
      <w:pPr>
        <w:pStyle w:val="TextBody"/>
        <w:spacing w:before="180" w:after="0"/>
        <w:rPr>
          <w:rFonts w:ascii="Times New Roman" w:hAnsi="Times New Roman"/>
          <w:sz w:val="20"/>
        </w:rPr>
      </w:pPr>
      <w:r>
        <w:rPr>
          <w:rFonts w:ascii="Times New Roman" w:hAnsi="Times New Roman"/>
          <w:sz w:val="20"/>
        </w:rPr>
        <w:t xml:space="preserve">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 </w:t>
      </w:r>
    </w:p>
    <w:p>
      <w:pPr>
        <w:pStyle w:val="TextBody"/>
        <w:spacing w:before="180" w:after="0"/>
        <w:rPr>
          <w:rFonts w:ascii="Times New Roman" w:hAnsi="Times New Roman"/>
          <w:sz w:val="20"/>
        </w:rPr>
      </w:pPr>
      <w:r>
        <w:rPr>
          <w:rFonts w:ascii="Times New Roman" w:hAnsi="Times New Roman"/>
          <w:sz w:val="20"/>
        </w:rPr>
        <w:t xml:space="preserve">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 </w:t>
      </w:r>
    </w:p>
    <w:p>
      <w:pPr>
        <w:pStyle w:val="TextBody"/>
        <w:spacing w:before="180" w:after="0"/>
        <w:rPr>
          <w:rFonts w:ascii="Times New Roman" w:hAnsi="Times New Roman"/>
          <w:sz w:val="20"/>
        </w:rPr>
      </w:pPr>
      <w:r>
        <w:rPr>
          <w:rFonts w:ascii="Times New Roman" w:hAnsi="Times New Roman"/>
          <w:sz w:val="20"/>
        </w:rPr>
        <w:t xml:space="preserve">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 </w:t>
      </w:r>
    </w:p>
    <w:p>
      <w:pPr>
        <w:pStyle w:val="TextBody"/>
        <w:spacing w:before="180" w:after="0"/>
        <w:rPr>
          <w:rFonts w:ascii="Times New Roman" w:hAnsi="Times New Roman"/>
          <w:sz w:val="20"/>
        </w:rPr>
      </w:pPr>
      <w:r>
        <w:rPr>
          <w:rFonts w:ascii="Times New Roman" w:hAnsi="Times New Roman"/>
          <w:sz w:val="20"/>
        </w:rPr>
        <w:t xml:space="preserve">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 </w:t>
      </w:r>
    </w:p>
    <w:p>
      <w:pPr>
        <w:pStyle w:val="TextBody"/>
        <w:spacing w:before="270" w:after="0"/>
        <w:rPr>
          <w:rFonts w:ascii="Times New Roman" w:hAnsi="Times New Roman"/>
          <w:b/>
          <w:i/>
          <w:sz w:val="20"/>
        </w:rPr>
      </w:pPr>
      <w:r>
        <w:rPr>
          <w:rFonts w:ascii="Times New Roman" w:hAnsi="Times New Roman"/>
          <w:b/>
          <w:i/>
          <w:sz w:val="20"/>
        </w:rPr>
        <w:t xml:space="preserve">Nominee Reporting </w:t>
      </w:r>
    </w:p>
    <w:p>
      <w:pPr>
        <w:pStyle w:val="TextBody"/>
        <w:spacing w:before="90" w:after="0"/>
        <w:rPr>
          <w:rFonts w:ascii="Times New Roman" w:hAnsi="Times New Roman"/>
          <w:sz w:val="20"/>
        </w:rPr>
      </w:pPr>
      <w:r>
        <w:rPr>
          <w:rFonts w:ascii="Times New Roman" w:hAnsi="Times New Roman"/>
          <w:sz w:val="20"/>
        </w:rPr>
        <w:t xml:space="preserve">Persons who hold an interest in us as a nominee for another person are required to furnish to us: </w:t>
      </w:r>
    </w:p>
    <w:p>
      <w:pPr>
        <w:pStyle w:val="TextBody"/>
        <w:spacing w:before="180" w:after="0"/>
        <w:rPr>
          <w:rFonts w:ascii="Times New Roman" w:hAnsi="Times New Roman"/>
          <w:sz w:val="20"/>
        </w:rPr>
      </w:pPr>
      <w:r>
        <w:rPr>
          <w:rFonts w:ascii="Times New Roman" w:hAnsi="Times New Roman"/>
          <w:sz w:val="20"/>
        </w:rPr>
        <w:t xml:space="preserve">(1) the name, address and taxpayer identification number of the beneficial owner and the nominee; </w:t>
      </w:r>
    </w:p>
    <w:p>
      <w:pPr>
        <w:pStyle w:val="TextBody"/>
        <w:spacing w:before="180" w:after="0"/>
        <w:rPr>
          <w:rFonts w:ascii="Times New Roman" w:hAnsi="Times New Roman"/>
          <w:sz w:val="20"/>
        </w:rPr>
      </w:pPr>
      <w:r>
        <w:rPr>
          <w:rFonts w:ascii="Times New Roman" w:hAnsi="Times New Roman"/>
          <w:sz w:val="20"/>
        </w:rPr>
        <w:t xml:space="preserve">(2) a statement regarding whether the beneficial owner is: </w:t>
      </w:r>
    </w:p>
    <w:p>
      <w:pPr>
        <w:pStyle w:val="TextBody"/>
        <w:spacing w:before="180" w:after="0"/>
        <w:rPr>
          <w:rFonts w:ascii="Times New Roman" w:hAnsi="Times New Roman"/>
          <w:sz w:val="20"/>
        </w:rPr>
      </w:pPr>
      <w:r>
        <w:rPr>
          <w:rFonts w:ascii="Times New Roman" w:hAnsi="Times New Roman"/>
          <w:sz w:val="20"/>
        </w:rPr>
        <w:t xml:space="preserve">(a) a non-U.S. person; </w:t>
      </w:r>
    </w:p>
    <w:p>
      <w:pPr>
        <w:pStyle w:val="TextBody"/>
        <w:spacing w:before="180" w:after="0"/>
        <w:rPr>
          <w:rFonts w:ascii="Times New Roman" w:hAnsi="Times New Roman"/>
          <w:sz w:val="20"/>
        </w:rPr>
      </w:pPr>
      <w:r>
        <w:rPr>
          <w:rFonts w:ascii="Times New Roman" w:hAnsi="Times New Roman"/>
          <w:sz w:val="20"/>
        </w:rPr>
        <w:t xml:space="preserve">(b) a non-U.S. government, an international organization or any wholly owned agency or instrumentality of either of the foregoing;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 a tax-exempt entity; </w:t>
      </w:r>
    </w:p>
    <w:p>
      <w:pPr>
        <w:pStyle w:val="TextBody"/>
        <w:spacing w:before="180" w:after="0"/>
        <w:rPr>
          <w:rFonts w:ascii="Times New Roman" w:hAnsi="Times New Roman"/>
          <w:sz w:val="20"/>
        </w:rPr>
      </w:pPr>
      <w:r>
        <w:rPr>
          <w:rFonts w:ascii="Times New Roman" w:hAnsi="Times New Roman"/>
          <w:sz w:val="20"/>
        </w:rPr>
        <w:t xml:space="preserve">(3) the amount and description of units held, acquired or transferred for the beneficial owner; and </w:t>
      </w:r>
    </w:p>
    <w:p>
      <w:pPr>
        <w:pStyle w:val="TextBody"/>
        <w:spacing w:before="180" w:after="0"/>
        <w:rPr>
          <w:rFonts w:ascii="Times New Roman" w:hAnsi="Times New Roman"/>
          <w:sz w:val="20"/>
        </w:rPr>
      </w:pPr>
      <w:r>
        <w:rPr>
          <w:rFonts w:ascii="Times New Roman" w:hAnsi="Times New Roman"/>
          <w:sz w:val="20"/>
        </w:rPr>
        <w:t xml:space="preserve">(4) specific information including the dates of acquisitions and transfers, means of acquisitions and transfers, and acquisition cost for purchases, as well as the amount of net proceeds from sales. </w:t>
      </w:r>
    </w:p>
    <w:p>
      <w:pPr>
        <w:pStyle w:val="TextBody"/>
        <w:spacing w:before="180" w:after="0"/>
        <w:rPr>
          <w:rFonts w:ascii="Times New Roman" w:hAnsi="Times New Roman"/>
          <w:sz w:val="20"/>
        </w:rPr>
      </w:pPr>
      <w:r>
        <w:rPr>
          <w:rFonts w:ascii="Times New Roman" w:hAnsi="Times New Roman"/>
          <w:sz w:val="20"/>
        </w:rPr>
        <w:t xml:space="preserve">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 </w:t>
      </w:r>
    </w:p>
    <w:p>
      <w:pPr>
        <w:pStyle w:val="TextBody"/>
        <w:spacing w:before="270" w:after="0"/>
        <w:rPr>
          <w:rFonts w:ascii="Times New Roman" w:hAnsi="Times New Roman"/>
          <w:b/>
          <w:i/>
          <w:sz w:val="20"/>
        </w:rPr>
      </w:pPr>
      <w:r>
        <w:rPr>
          <w:rFonts w:ascii="Times New Roman" w:hAnsi="Times New Roman"/>
          <w:b/>
          <w:i/>
          <w:sz w:val="20"/>
        </w:rPr>
        <w:t xml:space="preserve">Accuracy-Related Penalties </w:t>
      </w:r>
    </w:p>
    <w:p>
      <w:pPr>
        <w:pStyle w:val="TextBody"/>
        <w:spacing w:before="90" w:after="0"/>
        <w:rPr>
          <w:rFonts w:ascii="Times New Roman" w:hAnsi="Times New Roman"/>
          <w:sz w:val="20"/>
        </w:rPr>
      </w:pPr>
      <w:r>
        <w:rPr>
          <w:rFonts w:ascii="Times New Roman" w:hAnsi="Times New Roman"/>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 </w:t>
      </w:r>
    </w:p>
    <w:p>
      <w:pPr>
        <w:pStyle w:val="TextBody"/>
        <w:spacing w:before="270" w:after="0"/>
        <w:rPr>
          <w:rFonts w:ascii="Times New Roman" w:hAnsi="Times New Roman"/>
          <w:b/>
          <w:i/>
          <w:sz w:val="20"/>
        </w:rPr>
      </w:pPr>
      <w:r>
        <w:rPr>
          <w:rFonts w:ascii="Times New Roman" w:hAnsi="Times New Roman"/>
          <w:b/>
          <w:i/>
          <w:sz w:val="20"/>
        </w:rPr>
        <w:t xml:space="preserve">State, Local and Other Tax Considerations </w:t>
      </w:r>
    </w:p>
    <w:p>
      <w:pPr>
        <w:pStyle w:val="TextBody"/>
        <w:spacing w:before="90" w:after="0"/>
        <w:rPr>
          <w:rFonts w:ascii="Times New Roman" w:hAnsi="Times New Roman"/>
          <w:sz w:val="20"/>
        </w:rPr>
      </w:pPr>
      <w:r>
        <w:rPr>
          <w:rFonts w:ascii="Times New Roman" w:hAnsi="Times New Roman"/>
          <w:sz w:val="20"/>
        </w:rPr>
        <w:t xml:space="preserve">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 </w:t>
      </w:r>
    </w:p>
    <w:p>
      <w:pPr>
        <w:pStyle w:val="TextBody"/>
        <w:spacing w:before="270" w:after="0"/>
        <w:rPr>
          <w:rFonts w:ascii="Times New Roman" w:hAnsi="Times New Roman"/>
          <w:b/>
          <w:i/>
          <w:sz w:val="20"/>
        </w:rPr>
      </w:pPr>
      <w:r>
        <w:rPr>
          <w:rFonts w:ascii="Times New Roman" w:hAnsi="Times New Roman"/>
          <w:b/>
          <w:i/>
          <w:sz w:val="20"/>
        </w:rPr>
        <w:t xml:space="preserve">Tax Consequences of Ownership of Debt Securities </w:t>
      </w:r>
    </w:p>
    <w:p>
      <w:pPr>
        <w:pStyle w:val="TextBody"/>
        <w:spacing w:before="90" w:after="0"/>
        <w:rPr>
          <w:rFonts w:ascii="Times New Roman" w:hAnsi="Times New Roman"/>
          <w:sz w:val="20"/>
        </w:rPr>
      </w:pPr>
      <w:r>
        <w:rPr>
          <w:rFonts w:ascii="Times New Roman" w:hAnsi="Times New Roman"/>
          <w:sz w:val="20"/>
        </w:rPr>
        <w:t xml:space="preserve">A description of the material U.S. federal income tax consequences of the acquisition, ownership, and disposition of any series of debt securities will be set forth in the prospectus supplement relating to the offering of such debt securities. </w:t>
      </w:r>
    </w:p>
    <w:p>
      <w:pPr>
        <w:pStyle w:val="TextBody"/>
        <w:spacing w:before="180" w:after="0"/>
        <w:rPr>
          <w:rFonts w:ascii="Times New Roman" w:hAnsi="Times New Roman"/>
          <w:b/>
          <w:sz w:val="20"/>
        </w:rPr>
      </w:pPr>
      <w:r>
        <w:rPr>
          <w:rFonts w:ascii="Times New Roman" w:hAnsi="Times New Roman"/>
          <w:b/>
          <w:sz w:val="20"/>
        </w:rPr>
        <w:t xml:space="preserve">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rom415854_13"/>
      <w:bookmarkEnd w:id="15"/>
      <w:r>
        <w:rPr>
          <w:rFonts w:ascii="Times New Roman" w:hAnsi="Times New Roman"/>
          <w:b/>
          <w:sz w:val="20"/>
        </w:rPr>
        <w:t xml:space="preserve">PLAN OF DISTRIBUTION </w:t>
      </w:r>
    </w:p>
    <w:p>
      <w:pPr>
        <w:pStyle w:val="TextBody"/>
        <w:spacing w:before="180" w:after="0"/>
        <w:rPr>
          <w:rFonts w:ascii="Times New Roman" w:hAnsi="Times New Roman"/>
          <w:sz w:val="20"/>
        </w:rPr>
      </w:pPr>
      <w:r>
        <w:rPr>
          <w:rFonts w:ascii="Times New Roman" w:hAnsi="Times New Roman"/>
          <w:sz w:val="20"/>
        </w:rPr>
        <w:t xml:space="preserve">Under this prospectus, we intend to offer our securities to the public: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one or more broker-dealers;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through underwriters;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directly to investors. </w:t>
            </w:r>
          </w:p>
        </w:tc>
      </w:tr>
    </w:tbl>
    <w:p>
      <w:pPr>
        <w:pStyle w:val="TextBody"/>
        <w:spacing w:before="180" w:after="0"/>
        <w:rPr>
          <w:rFonts w:ascii="Times New Roman" w:hAnsi="Times New Roman"/>
          <w:sz w:val="20"/>
        </w:rPr>
      </w:pPr>
      <w:r>
        <w:rPr>
          <w:rFonts w:ascii="Times New Roman" w:hAnsi="Times New Roman"/>
          <w:sz w:val="20"/>
        </w:rPr>
        <w:t xml:space="preserve">We will fix a price or prices of our securities 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market prices prevailing at the time of any sale under this registration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prices related to market prices;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negotiated prices. </w:t>
            </w:r>
          </w:p>
        </w:tc>
      </w:tr>
    </w:tbl>
    <w:p>
      <w:pPr>
        <w:pStyle w:val="TextBody"/>
        <w:spacing w:before="180" w:after="0"/>
        <w:rPr>
          <w:rFonts w:ascii="Times New Roman" w:hAnsi="Times New Roman"/>
          <w:sz w:val="20"/>
        </w:rPr>
      </w:pPr>
      <w:r>
        <w:rPr>
          <w:rFonts w:ascii="Times New Roman" w:hAnsi="Times New Roman"/>
          <w:sz w:val="20"/>
        </w:rPr>
        <w:t xml:space="preserve">We may change the price of the securities offered from time to time. </w:t>
      </w:r>
    </w:p>
    <w:p>
      <w:pPr>
        <w:pStyle w:val="TextBody"/>
        <w:spacing w:before="180" w:after="0"/>
        <w:rPr>
          <w:rFonts w:ascii="Times New Roman" w:hAnsi="Times New Roman"/>
          <w:sz w:val="20"/>
        </w:rPr>
      </w:pPr>
      <w:r>
        <w:rPr>
          <w:rFonts w:ascii="Times New Roman" w:hAnsi="Times New Roman"/>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or through one or more transactions (which may involve crosses and block transactions) or distributions;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on the New York Stock Exchange;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the over-the-counter market;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private transactions. </w:t>
            </w:r>
          </w:p>
        </w:tc>
      </w:tr>
    </w:tbl>
    <w:p>
      <w:pPr>
        <w:pStyle w:val="TextBody"/>
        <w:spacing w:before="180" w:after="0"/>
        <w:rPr>
          <w:rFonts w:ascii="Times New Roman" w:hAnsi="Times New Roman"/>
          <w:sz w:val="20"/>
        </w:rPr>
      </w:pPr>
      <w:r>
        <w:rPr>
          <w:rFonts w:ascii="Times New Roman" w:hAnsi="Times New Roman"/>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spacing w:before="180" w:after="0"/>
        <w:rPr>
          <w:rFonts w:ascii="Times New Roman" w:hAnsi="Times New Roman"/>
          <w:sz w:val="20"/>
        </w:rPr>
      </w:pPr>
      <w:r>
        <w:rPr>
          <w:rFonts w:ascii="Times New Roman" w:hAnsi="Times New Roman"/>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spacing w:before="180" w:after="0"/>
        <w:rPr>
          <w:rFonts w:ascii="Times New Roman" w:hAnsi="Times New Roman"/>
          <w:sz w:val="20"/>
        </w:rPr>
      </w:pPr>
      <w:r>
        <w:rPr>
          <w:rFonts w:ascii="Times New Roman" w:hAnsi="Times New Roman"/>
          <w:sz w:val="20"/>
        </w:rPr>
        <w:t xml:space="preserve">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 </w:t>
      </w:r>
    </w:p>
    <w:p>
      <w:pPr>
        <w:pStyle w:val="TextBody"/>
        <w:spacing w:before="180" w:after="0"/>
        <w:rPr>
          <w:rFonts w:ascii="Times New Roman" w:hAnsi="Times New Roman"/>
          <w:sz w:val="20"/>
        </w:rPr>
      </w:pPr>
      <w:r>
        <w:rPr>
          <w:rFonts w:ascii="Times New Roman" w:hAnsi="Times New Roman"/>
          <w:sz w:val="20"/>
        </w:rPr>
        <w:t xml:space="preserve">We may offer our units into an existing trading market on the terms described in the prospectus supplement relating thereto. Underwriters and dealers who may participate in any at-the-market offerings will be described in the prospectus supplement relating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aggregate maximum compensation the underwriters will receive in connection with the sale of any securities under this prospectus and the registration statement of which it forms a part will not exceed 8% of the gross proceeds from the sale. </w:t>
      </w:r>
    </w:p>
    <w:p>
      <w:pPr>
        <w:pStyle w:val="TextBody"/>
        <w:spacing w:before="180" w:after="0"/>
        <w:rPr>
          <w:rFonts w:ascii="Times New Roman" w:hAnsi="Times New Roman"/>
          <w:sz w:val="20"/>
        </w:rPr>
      </w:pPr>
      <w:r>
        <w:rPr>
          <w:rFonts w:ascii="Times New Roman" w:hAnsi="Times New Roman"/>
          <w:sz w:val="20"/>
        </w:rPr>
        <w:t xml:space="preserve">Because FINRA views our common units as interests in a direct participation program, any offering of common units under the registration statement of which this prospectus forms a part will be made in compliance with Rule 2310 of the FINRA Rules. </w:t>
      </w:r>
    </w:p>
    <w:p>
      <w:pPr>
        <w:pStyle w:val="TextBody"/>
        <w:spacing w:before="180" w:after="0"/>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 </w:t>
      </w:r>
    </w:p>
    <w:p>
      <w:pPr>
        <w:pStyle w:val="TextBody"/>
        <w:spacing w:before="180" w:after="0"/>
        <w:rPr>
          <w:rFonts w:ascii="Times New Roman" w:hAnsi="Times New Roman"/>
          <w:sz w:val="20"/>
        </w:rPr>
      </w:pPr>
      <w:r>
        <w:rPr>
          <w:rFonts w:ascii="Times New Roman" w:hAnsi="Times New Roman"/>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rom415854_14"/>
      <w:bookmarkEnd w:id="16"/>
      <w:r>
        <w:rPr>
          <w:rFonts w:ascii="Times New Roman" w:hAnsi="Times New Roman"/>
          <w:b/>
          <w:sz w:val="20"/>
        </w:rPr>
        <w:t xml:space="preserve">LEGAL MATTERS </w:t>
      </w:r>
    </w:p>
    <w:p>
      <w:pPr>
        <w:pStyle w:val="TextBody"/>
        <w:spacing w:before="180" w:after="0"/>
        <w:rPr>
          <w:rFonts w:ascii="Times New Roman" w:hAnsi="Times New Roman"/>
          <w:sz w:val="20"/>
        </w:rPr>
      </w:pPr>
      <w:r>
        <w:rPr>
          <w:rFonts w:ascii="Times New Roman" w:hAnsi="Times New Roman"/>
          <w:sz w:val="20"/>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0"/>
        <w:jc w:val="center"/>
        <w:rPr>
          <w:rFonts w:ascii="Times New Roman" w:hAnsi="Times New Roman"/>
          <w:b/>
          <w:sz w:val="20"/>
        </w:rPr>
      </w:pPr>
      <w:bookmarkStart w:id="17" w:name="rom415854_15"/>
      <w:bookmarkEnd w:id="17"/>
      <w:r>
        <w:rPr>
          <w:rFonts w:ascii="Times New Roman" w:hAnsi="Times New Roman"/>
          <w:b/>
          <w:sz w:val="20"/>
        </w:rPr>
        <w:t xml:space="preserve">EXPERTS </w:t>
      </w:r>
    </w:p>
    <w:p>
      <w:pPr>
        <w:pStyle w:val="TextBody"/>
        <w:spacing w:before="180" w:after="0"/>
        <w:rPr>
          <w:rFonts w:ascii="Times New Roman" w:hAnsi="Times New Roman"/>
          <w:sz w:val="20"/>
        </w:rPr>
      </w:pPr>
      <w:r>
        <w:rPr>
          <w:rFonts w:ascii="Times New Roman" w:hAnsi="Times New Roman"/>
          <w:sz w:val="20"/>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 </w:t>
      </w:r>
    </w:p>
    <w:p>
      <w:pPr>
        <w:pStyle w:val="TextBody"/>
        <w:spacing w:before="180" w:after="0"/>
        <w:rPr>
          <w:rFonts w:ascii="Times New Roman" w:hAnsi="Times New Roman"/>
          <w:sz w:val="20"/>
        </w:rPr>
      </w:pPr>
      <w:r>
        <w:rPr>
          <w:rFonts w:ascii="Times New Roman" w:hAnsi="Times New Roman"/>
          <w:sz w:val="20"/>
        </w:rPr>
        <w:t xml:space="preserve">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9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14.</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spacing w:before="90" w:after="0"/>
        <w:rPr>
          <w:rFonts w:ascii="Times New Roman" w:hAnsi="Times New Roman"/>
          <w:sz w:val="20"/>
        </w:rPr>
      </w:pPr>
      <w:r>
        <w:rPr>
          <w:rFonts w:ascii="Times New Roman" w:hAnsi="Times New Roman"/>
          <w:sz w:val="20"/>
        </w:rPr>
        <w:t xml:space="preserve">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849"/>
        <w:gridCol w:w="447"/>
        <w:gridCol w:w="127"/>
        <w:gridCol w:w="1390"/>
        <w:gridCol w:w="126"/>
      </w:tblGrid>
      <w:tr>
        <w:trPr/>
        <w:tc>
          <w:tcPr>
            <w:tcW w:w="484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4849" w:type="dxa"/>
            <w:tcBorders/>
            <w:shd w:fill="CCEEFF" w:val="clear"/>
          </w:tcPr>
          <w:p>
            <w:pPr>
              <w:pStyle w:val="TableContents"/>
              <w:spacing w:before="0" w:after="283"/>
              <w:rPr>
                <w:rFonts w:ascii="Times New Roman" w:hAnsi="Times New Roman"/>
                <w:sz w:val="20"/>
              </w:rPr>
            </w:pPr>
            <w:r>
              <w:rPr>
                <w:rFonts w:ascii="Times New Roman" w:hAnsi="Times New Roman"/>
                <w:sz w:val="20"/>
              </w:rPr>
              <w:t>SEC registration fee</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90" w:type="dxa"/>
            <w:tcBorders/>
            <w:shd w:fill="CCEEFF" w:val="clear"/>
            <w:vAlign w:val="bottom"/>
          </w:tcPr>
          <w:p>
            <w:pPr>
              <w:pStyle w:val="TableContents"/>
              <w:spacing w:before="0" w:after="283"/>
              <w:jc w:val="right"/>
              <w:rPr/>
            </w:pPr>
            <w:r>
              <w:rPr/>
              <w:t>                </w:t>
            </w: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r>
      <w:tr>
        <w:trPr>
          <w:trHeight w:val="120" w:hRule="atLeast"/>
        </w:trPr>
        <w:tc>
          <w:tcPr>
            <w:tcW w:w="4849" w:type="dxa"/>
            <w:tcBorders/>
            <w:shd w:fill="auto" w:val="clear"/>
            <w:vAlign w:val="center"/>
          </w:tcPr>
          <w:p>
            <w:pPr>
              <w:pStyle w:val="TableContents"/>
              <w:spacing w:before="0" w:after="283"/>
              <w:rPr>
                <w:sz w:val="4"/>
                <w:szCs w:val="4"/>
              </w:rPr>
            </w:pPr>
            <w:r>
              <w:rPr>
                <w:sz w:val="4"/>
                <w:szCs w:val="4"/>
              </w:rPr>
            </w:r>
          </w:p>
        </w:tc>
        <w:tc>
          <w:tcPr>
            <w:tcW w:w="2090"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rFonts w:ascii="Times New Roman" w:hAnsi="Times New Roman"/>
                <w:sz w:val="20"/>
              </w:rPr>
            </w:pPr>
            <w:r>
              <w:rPr>
                <w:rFonts w:ascii="Times New Roman" w:hAnsi="Times New Roman"/>
                <w:sz w:val="20"/>
              </w:rPr>
              <w:t>Legal fees and expenses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r>
      <w:tr>
        <w:trPr>
          <w:trHeight w:val="120" w:hRule="atLeast"/>
        </w:trPr>
        <w:tc>
          <w:tcPr>
            <w:tcW w:w="4849" w:type="dxa"/>
            <w:tcBorders/>
            <w:shd w:fill="auto" w:val="clear"/>
            <w:vAlign w:val="center"/>
          </w:tcPr>
          <w:p>
            <w:pPr>
              <w:pStyle w:val="TableContents"/>
              <w:spacing w:before="0" w:after="283"/>
              <w:rPr>
                <w:sz w:val="4"/>
                <w:szCs w:val="4"/>
              </w:rPr>
            </w:pPr>
            <w:r>
              <w:rPr>
                <w:sz w:val="4"/>
                <w:szCs w:val="4"/>
              </w:rPr>
            </w:r>
          </w:p>
        </w:tc>
        <w:tc>
          <w:tcPr>
            <w:tcW w:w="2090"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CCEEFF" w:val="clear"/>
          </w:tcPr>
          <w:p>
            <w:pPr>
              <w:pStyle w:val="TableContents"/>
              <w:spacing w:before="0" w:after="283"/>
              <w:rPr>
                <w:rFonts w:ascii="Times New Roman" w:hAnsi="Times New Roman"/>
                <w:sz w:val="20"/>
              </w:rPr>
            </w:pPr>
            <w:r>
              <w:rPr>
                <w:rFonts w:ascii="Times New Roman" w:hAnsi="Times New Roman"/>
                <w:sz w:val="20"/>
              </w:rPr>
              <w:t>Accounting fees and expenses</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rPr/>
            </w:pPr>
            <w:r>
              <w:rPr/>
              <w:t>  </w:t>
            </w:r>
          </w:p>
        </w:tc>
      </w:tr>
      <w:tr>
        <w:trPr>
          <w:trHeight w:val="120" w:hRule="atLeast"/>
        </w:trPr>
        <w:tc>
          <w:tcPr>
            <w:tcW w:w="4849" w:type="dxa"/>
            <w:tcBorders/>
            <w:shd w:fill="auto" w:val="clear"/>
            <w:vAlign w:val="center"/>
          </w:tcPr>
          <w:p>
            <w:pPr>
              <w:pStyle w:val="TableContents"/>
              <w:spacing w:before="0" w:after="283"/>
              <w:rPr>
                <w:sz w:val="4"/>
                <w:szCs w:val="4"/>
              </w:rPr>
            </w:pPr>
            <w:r>
              <w:rPr>
                <w:sz w:val="4"/>
                <w:szCs w:val="4"/>
              </w:rPr>
            </w:r>
          </w:p>
        </w:tc>
        <w:tc>
          <w:tcPr>
            <w:tcW w:w="2090"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rFonts w:ascii="Times New Roman" w:hAnsi="Times New Roman"/>
                <w:sz w:val="20"/>
              </w:rPr>
            </w:pPr>
            <w:r>
              <w:rPr>
                <w:rFonts w:ascii="Times New Roman" w:hAnsi="Times New Roman"/>
                <w:sz w:val="20"/>
              </w:rPr>
              <w:t>Printing and engraving expenses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r>
      <w:tr>
        <w:trPr>
          <w:trHeight w:val="120" w:hRule="atLeast"/>
        </w:trPr>
        <w:tc>
          <w:tcPr>
            <w:tcW w:w="4849" w:type="dxa"/>
            <w:tcBorders/>
            <w:shd w:fill="auto" w:val="clear"/>
            <w:vAlign w:val="center"/>
          </w:tcPr>
          <w:p>
            <w:pPr>
              <w:pStyle w:val="TableContents"/>
              <w:spacing w:before="0" w:after="283"/>
              <w:rPr>
                <w:sz w:val="4"/>
                <w:szCs w:val="4"/>
              </w:rPr>
            </w:pPr>
            <w:r>
              <w:rPr>
                <w:sz w:val="4"/>
                <w:szCs w:val="4"/>
              </w:rPr>
            </w:r>
          </w:p>
        </w:tc>
        <w:tc>
          <w:tcPr>
            <w:tcW w:w="2090"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CCEEFF" w:val="clear"/>
          </w:tcPr>
          <w:p>
            <w:pPr>
              <w:pStyle w:val="TableContents"/>
              <w:spacing w:before="0" w:after="283"/>
              <w:rPr>
                <w:rFonts w:ascii="Times New Roman" w:hAnsi="Times New Roman"/>
                <w:sz w:val="20"/>
              </w:rPr>
            </w:pPr>
            <w:r>
              <w:rPr>
                <w:rFonts w:ascii="Times New Roman" w:hAnsi="Times New Roman"/>
                <w:sz w:val="20"/>
              </w:rPr>
              <w:t>Listing expenses</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13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rPr/>
            </w:pPr>
            <w:r>
              <w:rPr/>
              <w:t>  </w:t>
            </w:r>
          </w:p>
        </w:tc>
      </w:tr>
      <w:tr>
        <w:trPr>
          <w:trHeight w:val="120" w:hRule="atLeast"/>
        </w:trPr>
        <w:tc>
          <w:tcPr>
            <w:tcW w:w="4849" w:type="dxa"/>
            <w:tcBorders/>
            <w:shd w:fill="auto" w:val="clear"/>
            <w:vAlign w:val="center"/>
          </w:tcPr>
          <w:p>
            <w:pPr>
              <w:pStyle w:val="TableContents"/>
              <w:spacing w:before="0" w:after="283"/>
              <w:rPr>
                <w:sz w:val="4"/>
                <w:szCs w:val="4"/>
              </w:rPr>
            </w:pPr>
            <w:r>
              <w:rPr>
                <w:sz w:val="4"/>
                <w:szCs w:val="4"/>
              </w:rPr>
            </w:r>
          </w:p>
        </w:tc>
        <w:tc>
          <w:tcPr>
            <w:tcW w:w="2090"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rFonts w:ascii="Times New Roman" w:hAnsi="Times New Roman"/>
                <w:sz w:val="20"/>
              </w:rPr>
            </w:pPr>
            <w:r>
              <w:rPr>
                <w:rFonts w:ascii="Times New Roman" w:hAnsi="Times New Roman"/>
                <w:sz w:val="20"/>
              </w:rPr>
              <w:t>Miscellaneous</w:t>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vAlign w:val="bottom"/>
          </w:tcPr>
          <w:p>
            <w:pPr>
              <w:pStyle w:val="TableContents"/>
              <w:spacing w:before="0" w:after="283"/>
              <w:rPr/>
            </w:pPr>
            <w:r>
              <w:rPr/>
              <w:t>  </w:t>
            </w:r>
          </w:p>
        </w:tc>
      </w:tr>
      <w:tr>
        <w:trPr/>
        <w:tc>
          <w:tcPr>
            <w:tcW w:w="4849"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pBdr>
                <w:top w:val="single" w:sz="2" w:space="1" w:color="000000"/>
              </w:pBdr>
              <w:spacing w:before="0" w:after="283"/>
              <w:rPr/>
            </w:pPr>
            <w:r>
              <w:rPr/>
              <w:t> </w:t>
            </w:r>
          </w:p>
        </w:tc>
        <w:tc>
          <w:tcPr>
            <w:tcW w:w="1390" w:type="dxa"/>
            <w:tcBorders/>
            <w:shd w:fill="auto" w:val="clear"/>
            <w:vAlign w:val="bottom"/>
          </w:tcPr>
          <w:p>
            <w:pPr>
              <w:pStyle w:val="TableContents"/>
              <w:pBdr>
                <w:top w:val="single" w:sz="2" w:space="1" w:color="000000"/>
              </w:pBdr>
              <w:spacing w:before="0" w:after="283"/>
              <w:rPr/>
            </w:pPr>
            <w:r>
              <w:rPr/>
              <w:t> </w:t>
            </w:r>
          </w:p>
        </w:tc>
        <w:tc>
          <w:tcPr>
            <w:tcW w:w="126" w:type="dxa"/>
            <w:tcBorders/>
            <w:shd w:fill="auto" w:val="clear"/>
            <w:vAlign w:val="center"/>
          </w:tcPr>
          <w:p>
            <w:pPr>
              <w:pStyle w:val="TableContents"/>
              <w:spacing w:before="0" w:after="283"/>
              <w:rPr/>
            </w:pPr>
            <w:r>
              <w:rPr/>
              <w:t> </w:t>
            </w:r>
          </w:p>
        </w:tc>
      </w:tr>
      <w:tr>
        <w:trPr>
          <w:trHeight w:val="120" w:hRule="atLeast"/>
        </w:trPr>
        <w:tc>
          <w:tcPr>
            <w:tcW w:w="4849" w:type="dxa"/>
            <w:tcBorders/>
            <w:shd w:fill="auto" w:val="clear"/>
            <w:vAlign w:val="center"/>
          </w:tcPr>
          <w:p>
            <w:pPr>
              <w:pStyle w:val="TableContents"/>
              <w:spacing w:before="0" w:after="283"/>
              <w:rPr>
                <w:sz w:val="4"/>
                <w:szCs w:val="4"/>
              </w:rPr>
            </w:pPr>
            <w:r>
              <w:rPr>
                <w:sz w:val="4"/>
                <w:szCs w:val="4"/>
              </w:rPr>
            </w:r>
          </w:p>
        </w:tc>
        <w:tc>
          <w:tcPr>
            <w:tcW w:w="2090"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4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3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registrant is deferring payment of the registration fee in reliance on Rule 456(b) and Rule 457(r).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fees are calculated based on the number of issuances and amount of securities offered and accordingly cannot be estimated at this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15.</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Indemnification of Officers and Members of Our Board of Directors </w:t>
            </w:r>
          </w:p>
        </w:tc>
      </w:tr>
    </w:tbl>
    <w:p>
      <w:pPr>
        <w:pStyle w:val="TextBody"/>
        <w:spacing w:before="90" w:after="0"/>
        <w:rPr>
          <w:rFonts w:ascii="Times New Roman" w:hAnsi="Times New Roman"/>
          <w:sz w:val="20"/>
        </w:rPr>
      </w:pPr>
      <w:r>
        <w:rPr>
          <w:rFonts w:ascii="Times New Roman" w:hAnsi="Times New Roman"/>
          <w:sz w:val="20"/>
        </w:rPr>
        <w:t xml:space="preserve">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and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 </w:t>
      </w:r>
    </w:p>
    <w:p>
      <w:pPr>
        <w:pStyle w:val="TextBody"/>
        <w:spacing w:before="180" w:after="0"/>
        <w:rPr>
          <w:rFonts w:ascii="Times New Roman" w:hAnsi="Times New Roman"/>
          <w:sz w:val="20"/>
        </w:rPr>
      </w:pPr>
      <w:r>
        <w:rPr>
          <w:rFonts w:ascii="Times New Roman" w:hAnsi="Times New Roman"/>
          <w:sz w:val="20"/>
        </w:rPr>
        <w:t xml:space="preserve">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general partner or its affiliates for the cost of) insurance against liabilities asserted against and expenses incurred by such persons in connection with Plains All American Pipeline, L.P.s activities, regardless of whether Plains All American Pipeline, L.P. would have the power to indemnify such person against such liabilities under the provisions described above.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Plains All American GP LLC provides for the indemnification of (i) its members, (ii) members of its Board of Directors, and (iii) its officers (each, a Company Affiliate),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 Company Affiliate, regardless of whether a Company Affiliate continues to be a Company Affiliate at the time any such liability or expense is paid or incurred, if such Company Affiliate acted in good faith and in a manner he, she or it reasonably believed to be in, or not opposed to, the interests of the Plains All American GP LLC and with respect to any criminal proceeding, had no reason to believe his, her or its conduct was unlawful. Expenses incurred by a Company Affiliate in defending any such claim, demand, action, suit or proceeding will, from time to time, be advanced by the Plains All American GP LLC prior to the final disposition of such claim, demand, action, suit or proceeding upon receipt by the Plains All American GP LLC of an undertaking by or on behalf of the Company Affiliate to repay such amounts if it is ultimately determined that the Company Affiliate is not entitled to be indemnified. Plains All American GP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Plains All American GP LLC. </w:t>
      </w:r>
    </w:p>
    <w:p>
      <w:pPr>
        <w:pStyle w:val="TextBody"/>
        <w:spacing w:before="180" w:after="0"/>
        <w:rPr>
          <w:rFonts w:ascii="Times New Roman" w:hAnsi="Times New Roman"/>
          <w:sz w:val="20"/>
        </w:rPr>
      </w:pPr>
      <w:r>
        <w:rPr>
          <w:rFonts w:ascii="Times New Roman" w:hAnsi="Times New Roman"/>
          <w:sz w:val="20"/>
        </w:rPr>
        <w:t xml:space="preserve">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16.</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spacing w:before="90" w:after="0"/>
        <w:rPr>
          <w:rFonts w:ascii="Times New Roman" w:hAnsi="Times New Roman"/>
          <w:sz w:val="20"/>
        </w:rPr>
      </w:pPr>
      <w:r>
        <w:rPr>
          <w:rFonts w:ascii="Times New Roman" w:hAnsi="Times New Roman"/>
          <w:sz w:val="20"/>
        </w:rPr>
        <w:t xml:space="preserve">(a) Exhibits </w:t>
      </w:r>
    </w:p>
    <w:p>
      <w:pPr>
        <w:pStyle w:val="TextBody"/>
        <w:spacing w:before="180" w:after="0"/>
        <w:rPr>
          <w:rFonts w:ascii="Times New Roman" w:hAnsi="Times New Roman"/>
          <w:sz w:val="20"/>
        </w:rPr>
      </w:pPr>
      <w:r>
        <w:rPr>
          <w:rFonts w:ascii="Times New Roman" w:hAnsi="Times New Roman"/>
          <w:sz w:val="20"/>
        </w:rPr>
        <w:t xml:space="preserve">The exhibits listed on the accompanying Exhibit Index are filed or incorporated by reference as part of this Registration Statement, and such Exhibit Index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17.</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Undertakings </w:t>
            </w:r>
          </w:p>
        </w:tc>
      </w:tr>
    </w:tbl>
    <w:p>
      <w:pPr>
        <w:pStyle w:val="TextBody"/>
        <w:spacing w:before="90" w:after="0"/>
        <w:rPr>
          <w:rFonts w:ascii="Times New Roman" w:hAnsi="Times New Roman"/>
          <w:sz w:val="20"/>
        </w:rPr>
      </w:pPr>
      <w:r>
        <w:rPr>
          <w:rFonts w:ascii="Times New Roman" w:hAnsi="Times New Roman"/>
          <w:sz w:val="20"/>
        </w:rPr>
        <w:t xml:space="preserve">Each of the undersigned registrants hereby undertakes: </w:t>
      </w:r>
    </w:p>
    <w:p>
      <w:pPr>
        <w:pStyle w:val="TextBody"/>
        <w:spacing w:before="180" w:after="0"/>
        <w:rPr>
          <w:rFonts w:ascii="Times New Roman" w:hAnsi="Times New Roman"/>
          <w:sz w:val="20"/>
        </w:rPr>
      </w:pPr>
      <w:r>
        <w:rPr>
          <w:rFonts w:ascii="Times New Roman" w:hAnsi="Times New Roman"/>
          <w:sz w:val="20"/>
        </w:rPr>
        <w:t xml:space="preserve">A. The undersigned registrant hereby undertakes: </w:t>
      </w:r>
    </w:p>
    <w:p>
      <w:pPr>
        <w:pStyle w:val="TextBody"/>
        <w:spacing w:before="180" w:after="0"/>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180" w:after="0"/>
        <w:rPr>
          <w:rFonts w:ascii="Times New Roman" w:hAnsi="Times New Roman"/>
          <w:sz w:val="20"/>
        </w:rPr>
      </w:pPr>
      <w:r>
        <w:rPr>
          <w:rFonts w:ascii="Times New Roman" w:hAnsi="Times New Roman"/>
          <w:sz w:val="20"/>
        </w:rPr>
        <w:t xml:space="preserve">(a) To include any prospectus required by Section 10(a)(3) of the Securities Act; </w:t>
      </w:r>
    </w:p>
    <w:p>
      <w:pPr>
        <w:pStyle w:val="TextBody"/>
        <w:spacing w:before="180" w:after="0"/>
        <w:rPr>
          <w:rFonts w:ascii="Times New Roman" w:hAnsi="Times New Roman"/>
          <w:sz w:val="20"/>
        </w:rPr>
      </w:pPr>
      <w:r>
        <w:rPr>
          <w:rFonts w:ascii="Times New Roman" w:hAnsi="Times New Roman"/>
          <w:sz w:val="20"/>
        </w:rPr>
        <w:t xml:space="preserve">(b)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 </w:t>
      </w:r>
    </w:p>
    <w:p>
      <w:pPr>
        <w:pStyle w:val="TextBody"/>
        <w:spacing w:before="180" w:after="0"/>
        <w:rPr>
          <w:rFonts w:ascii="Times New Roman" w:hAnsi="Times New Roman"/>
          <w:sz w:val="20"/>
        </w:rPr>
      </w:pPr>
      <w:r>
        <w:rPr>
          <w:rFonts w:ascii="Times New Roman" w:hAnsi="Times New Roman"/>
          <w:sz w:val="20"/>
        </w:rPr>
        <w:t xml:space="preserve">(c) To include any material information with respect to the plan of distribution not previously disclosed in this registration statement or any material change to the information in this registration statement; </w:t>
      </w:r>
    </w:p>
    <w:p>
      <w:pPr>
        <w:pStyle w:val="TextBody"/>
        <w:spacing w:before="180" w:after="0"/>
        <w:rPr>
          <w:rFonts w:ascii="Times New Roman" w:hAnsi="Times New Roman"/>
          <w:sz w:val="20"/>
        </w:rPr>
      </w:pPr>
      <w:r>
        <w:rPr>
          <w:rFonts w:ascii="Times New Roman" w:hAnsi="Times New Roman"/>
          <w:sz w:val="20"/>
        </w:rPr>
        <w:t xml:space="preserve">provided, however, that paragraphs (l)(a), (l)(b) and (1)(c) above do not apply if the information required to be included in a post-effective amendment by those 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 </w:t>
      </w:r>
    </w:p>
    <w:p>
      <w:pPr>
        <w:pStyle w:val="TextBody"/>
        <w:spacing w:before="180" w:after="0"/>
        <w:rPr>
          <w:rFonts w:ascii="Times New Roman" w:hAnsi="Times New Roman"/>
          <w:sz w:val="20"/>
        </w:rPr>
      </w:pPr>
      <w:r>
        <w:rPr>
          <w:rFonts w:ascii="Times New Roman" w:hAnsi="Times New Roman"/>
          <w:sz w:val="20"/>
        </w:rPr>
        <w:t xml:space="preserve">(2) That, for the purpose of determining any liability under the Securities Act, each of the post-effective amendments shall be deemed to be a new registration statement relating to the securities offered therein, and the offering of the securities at that time shall be deemed to be the initial bona fide offering thereof. </w:t>
      </w:r>
    </w:p>
    <w:p>
      <w:pPr>
        <w:pStyle w:val="TextBody"/>
        <w:spacing w:before="180" w:after="0"/>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180" w:after="0"/>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spacing w:before="180" w:after="0"/>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180" w:after="0"/>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before="180" w:after="0"/>
        <w:rPr>
          <w:rFonts w:ascii="Times New Roman" w:hAnsi="Times New Roman"/>
          <w:sz w:val="20"/>
        </w:rPr>
      </w:pPr>
      <w:r>
        <w:rPr>
          <w:rFonts w:ascii="Times New Roman" w:hAnsi="Times New Roman"/>
          <w:sz w:val="20"/>
        </w:rPr>
        <w:t xml:space="preserve">(a) Any preliminary prospectus or prospectus of the undersigned registrant relating to the offering required to be filed pursuant to Rule 424; </w:t>
      </w:r>
    </w:p>
    <w:p>
      <w:pPr>
        <w:pStyle w:val="TextBody"/>
        <w:spacing w:before="180" w:after="0"/>
        <w:rPr>
          <w:rFonts w:ascii="Times New Roman" w:hAnsi="Times New Roman"/>
          <w:sz w:val="20"/>
        </w:rPr>
      </w:pPr>
      <w:r>
        <w:rPr>
          <w:rFonts w:ascii="Times New Roman" w:hAnsi="Times New Roman"/>
          <w:sz w:val="20"/>
        </w:rPr>
        <w:t xml:space="preserve">(b) Any free writing prospectus relating to the offering prepared by or on behalf of the undersigned registrant or used or referred to by the undersigned registrant; </w:t>
      </w:r>
    </w:p>
    <w:p>
      <w:pPr>
        <w:pStyle w:val="TextBody"/>
        <w:spacing w:before="180" w:after="0"/>
        <w:rPr>
          <w:rFonts w:ascii="Times New Roman" w:hAnsi="Times New Roman"/>
          <w:sz w:val="20"/>
        </w:rPr>
      </w:pPr>
      <w:r>
        <w:rPr>
          <w:rFonts w:ascii="Times New Roman" w:hAnsi="Times New Roman"/>
          <w:sz w:val="20"/>
        </w:rPr>
        <w:t xml:space="preserve">(c) The portion of any other free writing prospectus relating to the offering containing material information about the undersigned registrant or its securities provided by or on behalf of the undersigned registrant; and </w:t>
      </w:r>
    </w:p>
    <w:p>
      <w:pPr>
        <w:pStyle w:val="TextBody"/>
        <w:spacing w:before="180" w:after="0"/>
        <w:rPr>
          <w:rFonts w:ascii="Times New Roman" w:hAnsi="Times New Roman"/>
          <w:sz w:val="20"/>
        </w:rPr>
      </w:pPr>
      <w:r>
        <w:rPr>
          <w:rFonts w:ascii="Times New Roman" w:hAnsi="Times New Roman"/>
          <w:sz w:val="20"/>
        </w:rPr>
        <w:t xml:space="preserve">(d) Any other communication that is an offer in the offering made by the undersigned registrant to the purchaser. </w:t>
      </w:r>
    </w:p>
    <w:p>
      <w:pPr>
        <w:pStyle w:val="TextBody"/>
        <w:spacing w:before="180" w:after="0"/>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its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the securities at that time shall be deemed to be the initial bona fide offering thereof. </w:t>
      </w:r>
    </w:p>
    <w:p>
      <w:pPr>
        <w:pStyle w:val="TextBody"/>
        <w:spacing w:before="180" w:after="0"/>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that indemnification is against public policy as expressed in the Securities Act and is, therefore, unenforceable. In the event that a claim for indemnification against any liability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27,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964"/>
        <w:gridCol w:w="82"/>
        <w:gridCol w:w="3036"/>
      </w:tblGrid>
      <w:tr>
        <w:trPr/>
        <w:tc>
          <w:tcPr>
            <w:tcW w:w="964"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303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        </w:t>
            </w:r>
            <w:r>
              <w:rPr>
                <w:rFonts w:ascii="Times New Roman" w:hAnsi="Times New Roman"/>
                <w:sz w:val="20"/>
              </w:rPr>
              <w:t>By: PAA GP LLC, its general partner</w:t>
            </w:r>
          </w:p>
        </w:tc>
      </w:tr>
      <w:tr>
        <w:trPr/>
        <w:tc>
          <w:tcPr>
            <w:tcW w:w="4082" w:type="dxa"/>
            <w:gridSpan w:val="3"/>
            <w:tcBorders/>
            <w:shd w:fill="auto" w:val="clear"/>
          </w:tcPr>
          <w:p>
            <w:pPr>
              <w:pStyle w:val="TableContents"/>
              <w:spacing w:before="0" w:after="283"/>
              <w:rPr/>
            </w:pPr>
            <w:r>
              <w:rPr/>
              <w:t>        </w:t>
            </w:r>
            <w:r>
              <w:rPr>
                <w:rFonts w:ascii="Times New Roman" w:hAnsi="Times New Roman"/>
                <w:sz w:val="20"/>
              </w:rPr>
              <w:t>By: Plains AAP, L.P., its sole member</w:t>
            </w:r>
          </w:p>
        </w:tc>
      </w:tr>
      <w:tr>
        <w:trPr/>
        <w:tc>
          <w:tcPr>
            <w:tcW w:w="4082" w:type="dxa"/>
            <w:gridSpan w:val="3"/>
            <w:tcBorders/>
            <w:shd w:fill="auto" w:val="clear"/>
          </w:tcPr>
          <w:p>
            <w:pPr>
              <w:pStyle w:val="TableContents"/>
              <w:spacing w:before="0" w:after="283"/>
              <w:rPr/>
            </w:pPr>
            <w:r>
              <w:rPr/>
              <w:t>        </w:t>
            </w:r>
            <w:r>
              <w:rPr>
                <w:rFonts w:ascii="Times New Roman" w:hAnsi="Times New Roman"/>
                <w:sz w:val="20"/>
              </w:rPr>
              <w:t>By: Plains All American GP LLC, its general partner</w:t>
            </w:r>
          </w:p>
        </w:tc>
      </w:tr>
      <w:tr>
        <w:trPr>
          <w:trHeight w:val="240" w:hRule="atLeast"/>
        </w:trPr>
        <w:tc>
          <w:tcPr>
            <w:tcW w:w="964" w:type="dxa"/>
            <w:tcBorders/>
            <w:shd w:fill="auto" w:val="clear"/>
            <w:vAlign w:val="center"/>
          </w:tcPr>
          <w:p>
            <w:pPr>
              <w:pStyle w:val="TableContents"/>
              <w:spacing w:before="0" w:after="283"/>
              <w:rPr>
                <w:sz w:val="4"/>
                <w:szCs w:val="4"/>
              </w:rPr>
            </w:pPr>
            <w:r>
              <w:rPr>
                <w:sz w:val="4"/>
                <w:szCs w:val="4"/>
              </w:rPr>
            </w:r>
          </w:p>
        </w:tc>
        <w:tc>
          <w:tcPr>
            <w:tcW w:w="3118" w:type="dxa"/>
            <w:gridSpan w:val="2"/>
            <w:tcBorders/>
            <w:shd w:fill="auto" w:val="clear"/>
            <w:vAlign w:val="center"/>
          </w:tcPr>
          <w:p>
            <w:pPr>
              <w:pStyle w:val="TableContents"/>
              <w:spacing w:before="0" w:after="283"/>
              <w:rPr>
                <w:sz w:val="4"/>
                <w:szCs w:val="4"/>
              </w:rPr>
            </w:pPr>
            <w:r>
              <w:rPr>
                <w:sz w:val="4"/>
                <w:szCs w:val="4"/>
              </w:rPr>
            </w:r>
          </w:p>
        </w:tc>
      </w:tr>
      <w:tr>
        <w:trPr/>
        <w:tc>
          <w:tcPr>
            <w:tcW w:w="964" w:type="dxa"/>
            <w:tcBorders/>
            <w:shd w:fill="auto" w:val="clear"/>
          </w:tcPr>
          <w:p>
            <w:pPr>
              <w:pStyle w:val="TableContents"/>
              <w:spacing w:before="0" w:after="283"/>
              <w:rPr/>
            </w:pPr>
            <w:r>
              <w:rPr/>
              <w:t>        </w:t>
            </w:r>
            <w:r>
              <w:rPr>
                <w:rFonts w:ascii="Times New Roman" w:hAnsi="Times New Roman"/>
                <w:sz w:val="20"/>
              </w:rPr>
              <w:t>By:</w:t>
            </w:r>
          </w:p>
        </w:tc>
        <w:tc>
          <w:tcPr>
            <w:tcW w:w="82" w:type="dxa"/>
            <w:tcBorders>
              <w:bottom w:val="single" w:sz="2" w:space="0" w:color="000000"/>
            </w:tcBorders>
            <w:shd w:fill="auto" w:val="clear"/>
            <w:tcMar>
              <w:bottom w:w="28" w:type="dxa"/>
            </w:tcMar>
            <w:vAlign w:val="bottom"/>
          </w:tcPr>
          <w:p>
            <w:pPr>
              <w:pStyle w:val="TableContents"/>
              <w:spacing w:before="0" w:after="283"/>
              <w:rPr/>
            </w:pPr>
            <w:r>
              <w:rPr/>
              <w:t> </w:t>
            </w:r>
          </w:p>
        </w:tc>
        <w:tc>
          <w:tcPr>
            <w:tcW w:w="303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GREG L. ARMSTRONG        </w:t>
            </w:r>
          </w:p>
        </w:tc>
      </w:tr>
      <w:tr>
        <w:trPr/>
        <w:tc>
          <w:tcPr>
            <w:tcW w:w="964" w:type="dxa"/>
            <w:tcBorders/>
            <w:shd w:fill="auto" w:val="clear"/>
          </w:tcPr>
          <w:p>
            <w:pPr>
              <w:pStyle w:val="TableContents"/>
              <w:spacing w:before="0" w:after="283"/>
              <w:rPr/>
            </w:pPr>
            <w:r>
              <w:rPr/>
              <w:t>        </w:t>
            </w:r>
            <w:r>
              <w:rPr>
                <w:rFonts w:ascii="Times New Roman" w:hAnsi="Times New Roman"/>
                <w:sz w:val="20"/>
              </w:rPr>
              <w:t>Name:</w:t>
            </w:r>
          </w:p>
        </w:tc>
        <w:tc>
          <w:tcPr>
            <w:tcW w:w="82" w:type="dxa"/>
            <w:tcBorders/>
            <w:shd w:fill="auto" w:val="clear"/>
            <w:vAlign w:val="bottom"/>
          </w:tcPr>
          <w:p>
            <w:pPr>
              <w:pStyle w:val="TableContents"/>
              <w:spacing w:before="0" w:after="283"/>
              <w:rPr/>
            </w:pPr>
            <w:r>
              <w:rPr/>
              <w:t> </w:t>
            </w:r>
          </w:p>
        </w:tc>
        <w:tc>
          <w:tcPr>
            <w:tcW w:w="30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Greg L. Armstrong</w:t>
            </w:r>
          </w:p>
        </w:tc>
      </w:tr>
      <w:tr>
        <w:trPr/>
        <w:tc>
          <w:tcPr>
            <w:tcW w:w="964" w:type="dxa"/>
            <w:tcBorders/>
            <w:shd w:fill="auto" w:val="clear"/>
          </w:tcPr>
          <w:p>
            <w:pPr>
              <w:pStyle w:val="TableContents"/>
              <w:spacing w:before="0" w:after="283"/>
              <w:rPr/>
            </w:pPr>
            <w:r>
              <w:rPr/>
              <w:t>        </w:t>
            </w:r>
            <w:r>
              <w:rPr>
                <w:rFonts w:ascii="Times New Roman" w:hAnsi="Times New Roman"/>
                <w:sz w:val="20"/>
              </w:rPr>
              <w:t>Title:</w:t>
            </w:r>
          </w:p>
        </w:tc>
        <w:tc>
          <w:tcPr>
            <w:tcW w:w="82" w:type="dxa"/>
            <w:tcBorders/>
            <w:shd w:fill="auto" w:val="clear"/>
            <w:vAlign w:val="bottom"/>
          </w:tcPr>
          <w:p>
            <w:pPr>
              <w:pStyle w:val="TableContents"/>
              <w:spacing w:before="0" w:after="283"/>
              <w:rPr/>
            </w:pPr>
            <w:r>
              <w:rPr/>
              <w:t> </w:t>
            </w:r>
          </w:p>
        </w:tc>
        <w:tc>
          <w:tcPr>
            <w:tcW w:w="30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Chairman of the Board and Chief Executive Officer</w:t>
            </w:r>
          </w:p>
        </w:tc>
      </w:tr>
    </w:tbl>
    <w:p>
      <w:pPr>
        <w:pStyle w:val="TextBody"/>
        <w:spacing w:before="36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Each person whose signature appears below appoints Al Swanson and Richard McGee,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the Securities Act and to file the same, with all exhibits thereto, and all other documents in connection therewith, with the SEC,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below. </w:t>
      </w:r>
    </w:p>
    <w:p>
      <w:pPr>
        <w:pStyle w:val="TextBody"/>
        <w:spacing w:before="180" w:after="0"/>
        <w:rPr>
          <w:rFonts w:ascii="Times New Roman" w:hAnsi="Times New Roman"/>
          <w:b/>
          <w:sz w:val="20"/>
        </w:rPr>
      </w:pPr>
      <w:r>
        <w:rPr>
          <w:rFonts w:ascii="Times New Roman" w:hAnsi="Times New Roman"/>
          <w:b/>
          <w:sz w:val="20"/>
        </w:rPr>
        <w:t xml:space="preserve">PLAINS ALL AMERICAN GP LLC, for itself and as the general partner of PLAINS AAP, L.P., which is the sole member of PAA GP LLC, which is the general partner of PLAINS ALL AMERICAN PIPELINE, L.P.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02"/>
        <w:gridCol w:w="120"/>
        <w:gridCol w:w="3784"/>
        <w:gridCol w:w="187"/>
        <w:gridCol w:w="2012"/>
      </w:tblGrid>
      <w:tr>
        <w:trPr/>
        <w:tc>
          <w:tcPr>
            <w:tcW w:w="410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8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201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102" w:type="dxa"/>
            <w:tcBorders/>
            <w:shd w:fill="auto" w:val="clear"/>
            <w:vAlign w:val="center"/>
          </w:tcPr>
          <w:p>
            <w:pPr>
              <w:pStyle w:val="TableContents"/>
              <w:spacing w:before="0" w:after="283"/>
              <w:rPr>
                <w:sz w:val="4"/>
                <w:szCs w:val="4"/>
              </w:rPr>
            </w:pPr>
            <w:r>
              <w:rPr>
                <w:sz w:val="4"/>
                <w:szCs w:val="4"/>
              </w:rPr>
            </w:r>
          </w:p>
        </w:tc>
        <w:tc>
          <w:tcPr>
            <w:tcW w:w="3904" w:type="dxa"/>
            <w:gridSpan w:val="2"/>
            <w:tcBorders/>
            <w:shd w:fill="auto" w:val="clear"/>
            <w:vAlign w:val="center"/>
          </w:tcPr>
          <w:p>
            <w:pPr>
              <w:pStyle w:val="TableContents"/>
              <w:spacing w:before="0" w:after="283"/>
              <w:rPr>
                <w:sz w:val="4"/>
                <w:szCs w:val="4"/>
              </w:rPr>
            </w:pPr>
            <w:r>
              <w:rPr>
                <w:sz w:val="4"/>
                <w:szCs w:val="4"/>
              </w:rPr>
            </w:r>
          </w:p>
        </w:tc>
        <w:tc>
          <w:tcPr>
            <w:tcW w:w="2199" w:type="dxa"/>
            <w:gridSpan w:val="2"/>
            <w:tcBorders/>
            <w:shd w:fill="auto" w:val="clear"/>
            <w:vAlign w:val="center"/>
          </w:tcPr>
          <w:p>
            <w:pPr>
              <w:pStyle w:val="TableContents"/>
              <w:spacing w:before="0" w:after="283"/>
              <w:rPr>
                <w:sz w:val="4"/>
                <w:szCs w:val="4"/>
              </w:rPr>
            </w:pPr>
            <w:r>
              <w:rPr>
                <w:sz w:val="4"/>
                <w:szCs w:val="4"/>
              </w:rPr>
            </w:r>
          </w:p>
        </w:tc>
      </w:tr>
      <w:tr>
        <w:trPr/>
        <w:tc>
          <w:tcPr>
            <w:tcW w:w="4102"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GREG L. ARMSTRONG</w:t>
            </w:r>
          </w:p>
          <w:p>
            <w:pPr>
              <w:pStyle w:val="TableContents"/>
              <w:spacing w:before="0" w:after="15"/>
              <w:jc w:val="center"/>
              <w:rPr>
                <w:rFonts w:ascii="Times New Roman" w:hAnsi="Times New Roman"/>
                <w:sz w:val="20"/>
              </w:rPr>
            </w:pPr>
            <w:r>
              <w:rPr>
                <w:rFonts w:ascii="Times New Roman" w:hAnsi="Times New Roman"/>
                <w:sz w:val="20"/>
              </w:rPr>
              <w:t>Greg L. Armstrong</w:t>
            </w:r>
          </w:p>
        </w:tc>
        <w:tc>
          <w:tcPr>
            <w:tcW w:w="120" w:type="dxa"/>
            <w:tcBorders/>
            <w:shd w:fill="auto" w:val="clear"/>
            <w:vAlign w:val="bottom"/>
          </w:tcPr>
          <w:p>
            <w:pPr>
              <w:pStyle w:val="TableContents"/>
              <w:spacing w:before="0" w:after="283"/>
              <w:rPr/>
            </w:pPr>
            <w:r>
              <w:rPr/>
              <w:t>  </w:t>
            </w:r>
          </w:p>
        </w:tc>
        <w:tc>
          <w:tcPr>
            <w:tcW w:w="378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Chairman of the Board, Chief Executive Officer and Director (Principal Executive Officer)</w:t>
            </w:r>
          </w:p>
        </w:tc>
        <w:tc>
          <w:tcPr>
            <w:tcW w:w="187" w:type="dxa"/>
            <w:tcBorders/>
            <w:shd w:fill="auto" w:val="clear"/>
            <w:vAlign w:val="bottom"/>
          </w:tcPr>
          <w:p>
            <w:pPr>
              <w:pStyle w:val="TableContents"/>
              <w:spacing w:before="0" w:after="283"/>
              <w:rPr/>
            </w:pPr>
            <w:r>
              <w:rPr/>
              <w:t> </w:t>
            </w:r>
          </w:p>
        </w:tc>
        <w:tc>
          <w:tcPr>
            <w:tcW w:w="201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102" w:type="dxa"/>
            <w:tcBorders/>
            <w:shd w:fill="auto" w:val="clear"/>
            <w:vAlign w:val="center"/>
          </w:tcPr>
          <w:p>
            <w:pPr>
              <w:pStyle w:val="TableContents"/>
              <w:spacing w:before="0" w:after="283"/>
              <w:rPr>
                <w:sz w:val="4"/>
                <w:szCs w:val="4"/>
              </w:rPr>
            </w:pPr>
            <w:r>
              <w:rPr>
                <w:sz w:val="4"/>
                <w:szCs w:val="4"/>
              </w:rPr>
            </w:r>
          </w:p>
        </w:tc>
        <w:tc>
          <w:tcPr>
            <w:tcW w:w="3904" w:type="dxa"/>
            <w:gridSpan w:val="2"/>
            <w:tcBorders/>
            <w:shd w:fill="auto" w:val="clear"/>
            <w:vAlign w:val="center"/>
          </w:tcPr>
          <w:p>
            <w:pPr>
              <w:pStyle w:val="TableContents"/>
              <w:spacing w:before="0" w:after="283"/>
              <w:rPr>
                <w:sz w:val="4"/>
                <w:szCs w:val="4"/>
              </w:rPr>
            </w:pPr>
            <w:r>
              <w:rPr>
                <w:sz w:val="4"/>
                <w:szCs w:val="4"/>
              </w:rPr>
            </w:r>
          </w:p>
        </w:tc>
        <w:tc>
          <w:tcPr>
            <w:tcW w:w="2199" w:type="dxa"/>
            <w:gridSpan w:val="2"/>
            <w:tcBorders/>
            <w:shd w:fill="auto" w:val="clear"/>
            <w:vAlign w:val="center"/>
          </w:tcPr>
          <w:p>
            <w:pPr>
              <w:pStyle w:val="TableContents"/>
              <w:spacing w:before="0" w:after="283"/>
              <w:rPr>
                <w:sz w:val="4"/>
                <w:szCs w:val="4"/>
              </w:rPr>
            </w:pPr>
            <w:r>
              <w:rPr>
                <w:sz w:val="4"/>
                <w:szCs w:val="4"/>
              </w:rPr>
            </w:r>
          </w:p>
        </w:tc>
      </w:tr>
      <w:tr>
        <w:trPr/>
        <w:tc>
          <w:tcPr>
            <w:tcW w:w="4102"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HARRY N. PEFANIS</w:t>
            </w:r>
          </w:p>
          <w:p>
            <w:pPr>
              <w:pStyle w:val="TableContents"/>
              <w:spacing w:before="0" w:after="15"/>
              <w:jc w:val="center"/>
              <w:rPr>
                <w:rFonts w:ascii="Times New Roman" w:hAnsi="Times New Roman"/>
                <w:sz w:val="20"/>
              </w:rPr>
            </w:pPr>
            <w:r>
              <w:rPr>
                <w:rFonts w:ascii="Times New Roman" w:hAnsi="Times New Roman"/>
                <w:sz w:val="20"/>
              </w:rPr>
              <w:t>Harry N. Pefanis</w:t>
            </w:r>
          </w:p>
        </w:tc>
        <w:tc>
          <w:tcPr>
            <w:tcW w:w="120" w:type="dxa"/>
            <w:tcBorders/>
            <w:shd w:fill="auto" w:val="clear"/>
            <w:vAlign w:val="bottom"/>
          </w:tcPr>
          <w:p>
            <w:pPr>
              <w:pStyle w:val="TableContents"/>
              <w:spacing w:before="0" w:after="283"/>
              <w:rPr/>
            </w:pPr>
            <w:r>
              <w:rPr/>
              <w:t>  </w:t>
            </w:r>
          </w:p>
        </w:tc>
        <w:tc>
          <w:tcPr>
            <w:tcW w:w="378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President and Chief Operating Officer</w:t>
            </w:r>
          </w:p>
        </w:tc>
        <w:tc>
          <w:tcPr>
            <w:tcW w:w="187" w:type="dxa"/>
            <w:tcBorders/>
            <w:shd w:fill="auto" w:val="clear"/>
            <w:vAlign w:val="bottom"/>
          </w:tcPr>
          <w:p>
            <w:pPr>
              <w:pStyle w:val="TableContents"/>
              <w:spacing w:before="0" w:after="283"/>
              <w:rPr/>
            </w:pPr>
            <w:r>
              <w:rPr/>
              <w:t> </w:t>
            </w:r>
          </w:p>
        </w:tc>
        <w:tc>
          <w:tcPr>
            <w:tcW w:w="201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102" w:type="dxa"/>
            <w:tcBorders/>
            <w:shd w:fill="auto" w:val="clear"/>
            <w:vAlign w:val="center"/>
          </w:tcPr>
          <w:p>
            <w:pPr>
              <w:pStyle w:val="TableContents"/>
              <w:spacing w:before="0" w:after="283"/>
              <w:rPr>
                <w:sz w:val="4"/>
                <w:szCs w:val="4"/>
              </w:rPr>
            </w:pPr>
            <w:r>
              <w:rPr>
                <w:sz w:val="4"/>
                <w:szCs w:val="4"/>
              </w:rPr>
            </w:r>
          </w:p>
        </w:tc>
        <w:tc>
          <w:tcPr>
            <w:tcW w:w="3904" w:type="dxa"/>
            <w:gridSpan w:val="2"/>
            <w:tcBorders/>
            <w:shd w:fill="auto" w:val="clear"/>
            <w:vAlign w:val="center"/>
          </w:tcPr>
          <w:p>
            <w:pPr>
              <w:pStyle w:val="TableContents"/>
              <w:spacing w:before="0" w:after="283"/>
              <w:rPr>
                <w:sz w:val="4"/>
                <w:szCs w:val="4"/>
              </w:rPr>
            </w:pPr>
            <w:r>
              <w:rPr>
                <w:sz w:val="4"/>
                <w:szCs w:val="4"/>
              </w:rPr>
            </w:r>
          </w:p>
        </w:tc>
        <w:tc>
          <w:tcPr>
            <w:tcW w:w="2199" w:type="dxa"/>
            <w:gridSpan w:val="2"/>
            <w:tcBorders/>
            <w:shd w:fill="auto" w:val="clear"/>
            <w:vAlign w:val="center"/>
          </w:tcPr>
          <w:p>
            <w:pPr>
              <w:pStyle w:val="TableContents"/>
              <w:spacing w:before="0" w:after="283"/>
              <w:rPr>
                <w:sz w:val="4"/>
                <w:szCs w:val="4"/>
              </w:rPr>
            </w:pPr>
            <w:r>
              <w:rPr>
                <w:sz w:val="4"/>
                <w:szCs w:val="4"/>
              </w:rPr>
            </w:r>
          </w:p>
        </w:tc>
      </w:tr>
      <w:tr>
        <w:trPr/>
        <w:tc>
          <w:tcPr>
            <w:tcW w:w="4102"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AL SWANSON</w:t>
            </w:r>
          </w:p>
          <w:p>
            <w:pPr>
              <w:pStyle w:val="TableContents"/>
              <w:spacing w:before="0" w:after="15"/>
              <w:jc w:val="center"/>
              <w:rPr>
                <w:rFonts w:ascii="Times New Roman" w:hAnsi="Times New Roman"/>
                <w:sz w:val="20"/>
              </w:rPr>
            </w:pPr>
            <w:r>
              <w:rPr>
                <w:rFonts w:ascii="Times New Roman" w:hAnsi="Times New Roman"/>
                <w:sz w:val="20"/>
              </w:rPr>
              <w:t>Al Swanson</w:t>
            </w:r>
          </w:p>
        </w:tc>
        <w:tc>
          <w:tcPr>
            <w:tcW w:w="120" w:type="dxa"/>
            <w:tcBorders/>
            <w:shd w:fill="auto" w:val="clear"/>
            <w:vAlign w:val="bottom"/>
          </w:tcPr>
          <w:p>
            <w:pPr>
              <w:pStyle w:val="TableContents"/>
              <w:spacing w:before="0" w:after="283"/>
              <w:rPr/>
            </w:pPr>
            <w:r>
              <w:rPr/>
              <w:t>  </w:t>
            </w:r>
          </w:p>
        </w:tc>
        <w:tc>
          <w:tcPr>
            <w:tcW w:w="378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Executive Vice President and Chief Financial Officer (Principal Financial Officer)</w:t>
            </w:r>
          </w:p>
        </w:tc>
        <w:tc>
          <w:tcPr>
            <w:tcW w:w="187" w:type="dxa"/>
            <w:tcBorders/>
            <w:shd w:fill="auto" w:val="clear"/>
            <w:vAlign w:val="bottom"/>
          </w:tcPr>
          <w:p>
            <w:pPr>
              <w:pStyle w:val="TableContents"/>
              <w:spacing w:before="0" w:after="283"/>
              <w:rPr/>
            </w:pPr>
            <w:r>
              <w:rPr/>
              <w:t> </w:t>
            </w:r>
          </w:p>
        </w:tc>
        <w:tc>
          <w:tcPr>
            <w:tcW w:w="201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4"/>
        <w:gridCol w:w="121"/>
        <w:gridCol w:w="3785"/>
        <w:gridCol w:w="189"/>
        <w:gridCol w:w="2036"/>
      </w:tblGrid>
      <w:tr>
        <w:trPr/>
        <w:tc>
          <w:tcPr>
            <w:tcW w:w="407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78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 HERBOLD</w:t>
            </w:r>
          </w:p>
          <w:p>
            <w:pPr>
              <w:pStyle w:val="TableContents"/>
              <w:spacing w:before="0" w:after="15"/>
              <w:jc w:val="center"/>
              <w:rPr>
                <w:rFonts w:ascii="Times New Roman" w:hAnsi="Times New Roman"/>
                <w:sz w:val="20"/>
              </w:rPr>
            </w:pPr>
            <w:r>
              <w:rPr>
                <w:rFonts w:ascii="Times New Roman" w:hAnsi="Times New Roman"/>
                <w:sz w:val="20"/>
              </w:rPr>
              <w:t>Chris Herbold</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Vice President  Accounting and Chief Accounting Officer (Principal Accounting Officer)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EVERARDO GOYANES</w:t>
            </w:r>
          </w:p>
          <w:p>
            <w:pPr>
              <w:pStyle w:val="TableContents"/>
              <w:spacing w:before="0" w:after="15"/>
              <w:jc w:val="center"/>
              <w:rPr>
                <w:rFonts w:ascii="Times New Roman" w:hAnsi="Times New Roman"/>
                <w:sz w:val="20"/>
              </w:rPr>
            </w:pPr>
            <w:r>
              <w:rPr>
                <w:rFonts w:ascii="Times New Roman" w:hAnsi="Times New Roman"/>
                <w:sz w:val="20"/>
              </w:rPr>
              <w:t>Everardo Goyanes</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GARY R. PETERSEN</w:t>
            </w:r>
          </w:p>
          <w:p>
            <w:pPr>
              <w:pStyle w:val="TableContents"/>
              <w:spacing w:before="0" w:after="15"/>
              <w:jc w:val="center"/>
              <w:rPr>
                <w:rFonts w:ascii="Times New Roman" w:hAnsi="Times New Roman"/>
                <w:sz w:val="20"/>
              </w:rPr>
            </w:pPr>
            <w:r>
              <w:rPr>
                <w:rFonts w:ascii="Times New Roman" w:hAnsi="Times New Roman"/>
                <w:sz w:val="20"/>
              </w:rPr>
              <w:t>Gary R. Petersen</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JOHN T. RAYMOND</w:t>
            </w:r>
          </w:p>
          <w:p>
            <w:pPr>
              <w:pStyle w:val="TableContents"/>
              <w:spacing w:before="0" w:after="15"/>
              <w:jc w:val="center"/>
              <w:rPr>
                <w:rFonts w:ascii="Times New Roman" w:hAnsi="Times New Roman"/>
                <w:sz w:val="20"/>
              </w:rPr>
            </w:pPr>
            <w:r>
              <w:rPr>
                <w:rFonts w:ascii="Times New Roman" w:hAnsi="Times New Roman"/>
                <w:sz w:val="20"/>
              </w:rPr>
              <w:t>John T. Raymond</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ROBERT V. SINNOTT</w:t>
            </w:r>
          </w:p>
          <w:p>
            <w:pPr>
              <w:pStyle w:val="TableContents"/>
              <w:spacing w:before="0" w:after="15"/>
              <w:jc w:val="center"/>
              <w:rPr>
                <w:rFonts w:ascii="Times New Roman" w:hAnsi="Times New Roman"/>
                <w:sz w:val="20"/>
              </w:rPr>
            </w:pPr>
            <w:r>
              <w:rPr>
                <w:rFonts w:ascii="Times New Roman" w:hAnsi="Times New Roman"/>
                <w:sz w:val="20"/>
              </w:rPr>
              <w:t>Robert V. Sinnott</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VICKY SUTIL</w:t>
            </w:r>
          </w:p>
          <w:p>
            <w:pPr>
              <w:pStyle w:val="TableContents"/>
              <w:spacing w:before="0" w:after="15"/>
              <w:jc w:val="center"/>
              <w:rPr>
                <w:rFonts w:ascii="Times New Roman" w:hAnsi="Times New Roman"/>
                <w:sz w:val="20"/>
              </w:rPr>
            </w:pPr>
            <w:r>
              <w:rPr>
                <w:rFonts w:ascii="Times New Roman" w:hAnsi="Times New Roman"/>
                <w:sz w:val="20"/>
              </w:rPr>
              <w:t>Vicky Sutil</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 TAFT SYMONDS</w:t>
            </w:r>
          </w:p>
          <w:p>
            <w:pPr>
              <w:pStyle w:val="TableContents"/>
              <w:spacing w:before="0" w:after="15"/>
              <w:jc w:val="center"/>
              <w:rPr>
                <w:rFonts w:ascii="Times New Roman" w:hAnsi="Times New Roman"/>
                <w:sz w:val="20"/>
              </w:rPr>
            </w:pPr>
            <w:r>
              <w:rPr>
                <w:rFonts w:ascii="Times New Roman" w:hAnsi="Times New Roman"/>
                <w:sz w:val="20"/>
              </w:rPr>
              <w:t>J. Taft Symonds</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074" w:type="dxa"/>
            <w:tcBorders/>
            <w:shd w:fill="auto" w:val="clear"/>
            <w:vAlign w:val="center"/>
          </w:tcPr>
          <w:p>
            <w:pPr>
              <w:pStyle w:val="TableContents"/>
              <w:spacing w:before="0" w:after="283"/>
              <w:rPr>
                <w:sz w:val="4"/>
                <w:szCs w:val="4"/>
              </w:rPr>
            </w:pPr>
            <w:r>
              <w:rPr>
                <w:sz w:val="4"/>
                <w:szCs w:val="4"/>
              </w:rPr>
            </w:r>
          </w:p>
        </w:tc>
        <w:tc>
          <w:tcPr>
            <w:tcW w:w="3906" w:type="dxa"/>
            <w:gridSpan w:val="2"/>
            <w:tcBorders/>
            <w:shd w:fill="auto" w:val="clear"/>
            <w:vAlign w:val="center"/>
          </w:tcPr>
          <w:p>
            <w:pPr>
              <w:pStyle w:val="TableContents"/>
              <w:spacing w:before="0" w:after="283"/>
              <w:rPr>
                <w:sz w:val="4"/>
                <w:szCs w:val="4"/>
              </w:rPr>
            </w:pPr>
            <w:r>
              <w:rPr>
                <w:sz w:val="4"/>
                <w:szCs w:val="4"/>
              </w:rPr>
            </w:r>
          </w:p>
        </w:tc>
        <w:tc>
          <w:tcPr>
            <w:tcW w:w="2225" w:type="dxa"/>
            <w:gridSpan w:val="2"/>
            <w:tcBorders/>
            <w:shd w:fill="auto" w:val="clear"/>
            <w:vAlign w:val="center"/>
          </w:tcPr>
          <w:p>
            <w:pPr>
              <w:pStyle w:val="TableContents"/>
              <w:spacing w:before="0" w:after="283"/>
              <w:rPr>
                <w:sz w:val="4"/>
                <w:szCs w:val="4"/>
              </w:rPr>
            </w:pPr>
            <w:r>
              <w:rPr>
                <w:sz w:val="4"/>
                <w:szCs w:val="4"/>
              </w:rPr>
            </w:r>
          </w:p>
        </w:tc>
      </w:tr>
      <w:tr>
        <w:trPr/>
        <w:tc>
          <w:tcPr>
            <w:tcW w:w="4074"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CHRISTOPHER M. TEMPLE</w:t>
            </w:r>
          </w:p>
          <w:p>
            <w:pPr>
              <w:pStyle w:val="TableContents"/>
              <w:spacing w:before="0" w:after="15"/>
              <w:jc w:val="center"/>
              <w:rPr>
                <w:rFonts w:ascii="Times New Roman" w:hAnsi="Times New Roman"/>
                <w:sz w:val="20"/>
              </w:rPr>
            </w:pPr>
            <w:r>
              <w:rPr>
                <w:rFonts w:ascii="Times New Roman" w:hAnsi="Times New Roman"/>
                <w:sz w:val="20"/>
              </w:rPr>
              <w:t>Christopher M. Temple</w:t>
            </w:r>
          </w:p>
        </w:tc>
        <w:tc>
          <w:tcPr>
            <w:tcW w:w="121" w:type="dxa"/>
            <w:tcBorders/>
            <w:shd w:fill="auto" w:val="clear"/>
            <w:vAlign w:val="bottom"/>
          </w:tcPr>
          <w:p>
            <w:pPr>
              <w:pStyle w:val="TableContents"/>
              <w:spacing w:before="0" w:after="283"/>
              <w:rPr/>
            </w:pPr>
            <w:r>
              <w:rPr/>
              <w:t>  </w:t>
            </w:r>
          </w:p>
        </w:tc>
        <w:tc>
          <w:tcPr>
            <w:tcW w:w="378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Director</w:t>
            </w:r>
          </w:p>
        </w:tc>
        <w:tc>
          <w:tcPr>
            <w:tcW w:w="189" w:type="dxa"/>
            <w:tcBorders/>
            <w:shd w:fill="auto" w:val="clear"/>
            <w:vAlign w:val="bottom"/>
          </w:tcPr>
          <w:p>
            <w:pPr>
              <w:pStyle w:val="TableContents"/>
              <w:spacing w:before="0" w:after="283"/>
              <w:rPr/>
            </w:pPr>
            <w:r>
              <w:rPr/>
              <w:t> </w:t>
            </w:r>
          </w:p>
        </w:tc>
        <w:tc>
          <w:tcPr>
            <w:tcW w:w="203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27,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106"/>
        <w:gridCol w:w="60"/>
        <w:gridCol w:w="611"/>
        <w:gridCol w:w="60"/>
        <w:gridCol w:w="3245"/>
      </w:tblGrid>
      <w:tr>
        <w:trPr/>
        <w:tc>
          <w:tcPr>
            <w:tcW w:w="1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45"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240" w:hRule="atLeast"/>
        </w:trPr>
        <w:tc>
          <w:tcPr>
            <w:tcW w:w="106" w:type="dxa"/>
            <w:tcBorders/>
            <w:shd w:fill="auto" w:val="clear"/>
            <w:vAlign w:val="center"/>
          </w:tcPr>
          <w:p>
            <w:pPr>
              <w:pStyle w:val="TableContents"/>
              <w:spacing w:before="0" w:after="283"/>
              <w:rPr>
                <w:sz w:val="4"/>
                <w:szCs w:val="4"/>
              </w:rPr>
            </w:pPr>
            <w:r>
              <w:rPr>
                <w:sz w:val="4"/>
                <w:szCs w:val="4"/>
              </w:rPr>
            </w:r>
          </w:p>
        </w:tc>
        <w:tc>
          <w:tcPr>
            <w:tcW w:w="671" w:type="dxa"/>
            <w:gridSpan w:val="2"/>
            <w:tcBorders/>
            <w:shd w:fill="auto" w:val="clear"/>
            <w:vAlign w:val="center"/>
          </w:tcPr>
          <w:p>
            <w:pPr>
              <w:pStyle w:val="TableContents"/>
              <w:spacing w:before="0" w:after="283"/>
              <w:rPr>
                <w:sz w:val="4"/>
                <w:szCs w:val="4"/>
              </w:rPr>
            </w:pPr>
            <w:r>
              <w:rPr>
                <w:sz w:val="4"/>
                <w:szCs w:val="4"/>
              </w:rPr>
            </w:r>
          </w:p>
        </w:tc>
        <w:tc>
          <w:tcPr>
            <w:tcW w:w="3305" w:type="dxa"/>
            <w:gridSpan w:val="2"/>
            <w:tcBorders/>
            <w:shd w:fill="auto" w:val="clear"/>
            <w:vAlign w:val="center"/>
          </w:tcPr>
          <w:p>
            <w:pPr>
              <w:pStyle w:val="TableContents"/>
              <w:spacing w:before="0" w:after="283"/>
              <w:rPr>
                <w:sz w:val="4"/>
                <w:szCs w:val="4"/>
              </w:rPr>
            </w:pPr>
            <w:r>
              <w:rPr>
                <w:sz w:val="4"/>
                <w:szCs w:val="4"/>
              </w:rPr>
            </w:r>
          </w:p>
        </w:tc>
      </w:tr>
      <w:tr>
        <w:trPr/>
        <w:tc>
          <w:tcPr>
            <w:tcW w:w="10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245"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GREG L. ARMSTRONG</w:t>
            </w:r>
          </w:p>
        </w:tc>
      </w:tr>
      <w:tr>
        <w:trPr/>
        <w:tc>
          <w:tcPr>
            <w:tcW w:w="10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2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Greg L. Armstrong</w:t>
            </w:r>
          </w:p>
        </w:tc>
      </w:tr>
      <w:tr>
        <w:trPr/>
        <w:tc>
          <w:tcPr>
            <w:tcW w:w="10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2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Executive Officer</w:t>
            </w:r>
          </w:p>
        </w:tc>
      </w:tr>
      <w:tr>
        <w:trPr/>
        <w:tc>
          <w:tcPr>
            <w:tcW w:w="10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5" w:type="dxa"/>
            <w:tcBorders/>
            <w:shd w:fill="auto" w:val="clear"/>
            <w:vAlign w:val="bottom"/>
          </w:tcPr>
          <w:p>
            <w:pPr>
              <w:pStyle w:val="TableContents"/>
              <w:spacing w:before="0" w:after="283"/>
              <w:rPr>
                <w:sz w:val="4"/>
                <w:szCs w:val="4"/>
              </w:rPr>
            </w:pPr>
            <w:r>
              <w:rPr>
                <w:sz w:val="4"/>
                <w:szCs w:val="4"/>
              </w:rPr>
            </w:r>
          </w:p>
        </w:tc>
      </w:tr>
      <w:tr>
        <w:trPr/>
        <w:tc>
          <w:tcPr>
            <w:tcW w:w="10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45" w:type="dxa"/>
            <w:tcBorders/>
            <w:shd w:fill="auto" w:val="clear"/>
            <w:vAlign w:val="bottom"/>
          </w:tcPr>
          <w:p>
            <w:pPr>
              <w:pStyle w:val="TableContents"/>
              <w:spacing w:before="0" w:after="283"/>
              <w:rPr>
                <w:sz w:val="4"/>
                <w:szCs w:val="4"/>
              </w:rPr>
            </w:pPr>
            <w:r>
              <w:rPr>
                <w:sz w:val="4"/>
                <w:szCs w:val="4"/>
              </w:rPr>
            </w:r>
          </w:p>
        </w:tc>
      </w:tr>
    </w:tbl>
    <w:p>
      <w:pPr>
        <w:pStyle w:val="TextBody"/>
        <w:spacing w:before="360" w:after="0"/>
        <w:jc w:val="center"/>
        <w:rPr>
          <w:rFonts w:ascii="Times New Roman" w:hAnsi="Times New Roman"/>
          <w:b/>
          <w:sz w:val="20"/>
        </w:rPr>
      </w:pPr>
      <w:r>
        <w:rPr>
          <w:rFonts w:ascii="Times New Roman" w:hAnsi="Times New Roman"/>
          <w:b/>
          <w:sz w:val="20"/>
        </w:rPr>
        <w:t xml:space="preserve">Power of Attorney </w:t>
      </w:r>
    </w:p>
    <w:p>
      <w:pPr>
        <w:pStyle w:val="TextBody"/>
        <w:spacing w:before="180" w:after="0"/>
        <w:rPr>
          <w:rFonts w:ascii="Times New Roman" w:hAnsi="Times New Roman"/>
          <w:sz w:val="20"/>
        </w:rPr>
      </w:pPr>
      <w:r>
        <w:rPr>
          <w:rFonts w:ascii="Times New Roman" w:hAnsi="Times New Roman"/>
          <w:sz w:val="20"/>
        </w:rPr>
        <w:t xml:space="preserve">Each person whose signature appears below appoints Al Swanson and Richard McGee, and each of them, either of whom may act without the joinder of the other, as his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the Securities Act and to file the same, with all exhibits thereto, and all other documents in connection therewith, with the SEC, granting unto said attorneys-in-fact and agents full power and authority to do and perform each and every act and thing requisite and necessary to be done, as fully to all intents and purposes as he might or would do in person, hereby ratifying and confirming all that said attorneys-in-fact and agents or any of them of their or his substitute and substitutes, may lawfully do or cause to be done by virtue hereof.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108"/>
        <w:gridCol w:w="120"/>
        <w:gridCol w:w="3722"/>
        <w:gridCol w:w="199"/>
        <w:gridCol w:w="2056"/>
      </w:tblGrid>
      <w:tr>
        <w:trPr/>
        <w:tc>
          <w:tcPr>
            <w:tcW w:w="41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72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108" w:type="dxa"/>
            <w:tcBorders/>
            <w:shd w:fill="auto" w:val="clear"/>
            <w:vAlign w:val="center"/>
          </w:tcPr>
          <w:p>
            <w:pPr>
              <w:pStyle w:val="TableContents"/>
              <w:spacing w:before="0" w:after="283"/>
              <w:rPr>
                <w:sz w:val="4"/>
                <w:szCs w:val="4"/>
              </w:rPr>
            </w:pPr>
            <w:r>
              <w:rPr>
                <w:sz w:val="4"/>
                <w:szCs w:val="4"/>
              </w:rPr>
            </w:r>
          </w:p>
        </w:tc>
        <w:tc>
          <w:tcPr>
            <w:tcW w:w="3842" w:type="dxa"/>
            <w:gridSpan w:val="2"/>
            <w:tcBorders/>
            <w:shd w:fill="auto" w:val="clear"/>
            <w:vAlign w:val="center"/>
          </w:tcPr>
          <w:p>
            <w:pPr>
              <w:pStyle w:val="TableContents"/>
              <w:spacing w:before="0" w:after="283"/>
              <w:rPr>
                <w:sz w:val="4"/>
                <w:szCs w:val="4"/>
              </w:rPr>
            </w:pPr>
            <w:r>
              <w:rPr>
                <w:sz w:val="4"/>
                <w:szCs w:val="4"/>
              </w:rPr>
            </w:r>
          </w:p>
        </w:tc>
        <w:tc>
          <w:tcPr>
            <w:tcW w:w="2255" w:type="dxa"/>
            <w:gridSpan w:val="2"/>
            <w:tcBorders/>
            <w:shd w:fill="auto" w:val="clear"/>
            <w:vAlign w:val="center"/>
          </w:tcPr>
          <w:p>
            <w:pPr>
              <w:pStyle w:val="TableContents"/>
              <w:spacing w:before="0" w:after="283"/>
              <w:rPr>
                <w:sz w:val="4"/>
                <w:szCs w:val="4"/>
              </w:rPr>
            </w:pPr>
            <w:r>
              <w:rPr>
                <w:sz w:val="4"/>
                <w:szCs w:val="4"/>
              </w:rPr>
            </w:r>
          </w:p>
        </w:tc>
      </w:tr>
      <w:tr>
        <w:trPr/>
        <w:tc>
          <w:tcPr>
            <w:tcW w:w="410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GREG L. ARMSTRONG</w:t>
            </w:r>
          </w:p>
          <w:p>
            <w:pPr>
              <w:pStyle w:val="TableContents"/>
              <w:spacing w:before="0" w:after="15"/>
              <w:jc w:val="center"/>
              <w:rPr>
                <w:rFonts w:ascii="Times New Roman" w:hAnsi="Times New Roman"/>
                <w:sz w:val="20"/>
              </w:rPr>
            </w:pPr>
            <w:r>
              <w:rPr>
                <w:rFonts w:ascii="Times New Roman" w:hAnsi="Times New Roman"/>
                <w:sz w:val="20"/>
              </w:rPr>
              <w:t>Greg L. Armstrong</w:t>
            </w:r>
          </w:p>
        </w:tc>
        <w:tc>
          <w:tcPr>
            <w:tcW w:w="120" w:type="dxa"/>
            <w:tcBorders/>
            <w:shd w:fill="auto" w:val="clear"/>
            <w:vAlign w:val="bottom"/>
          </w:tcPr>
          <w:p>
            <w:pPr>
              <w:pStyle w:val="TableContents"/>
              <w:spacing w:before="0" w:after="283"/>
              <w:rPr/>
            </w:pPr>
            <w:r>
              <w:rPr/>
              <w:t>  </w:t>
            </w:r>
          </w:p>
        </w:tc>
        <w:tc>
          <w:tcPr>
            <w:tcW w:w="372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Chief Executive Officer and Director</w:t>
            </w:r>
          </w:p>
          <w:p>
            <w:pPr>
              <w:pStyle w:val="TableContents"/>
              <w:spacing w:before="0" w:after="15"/>
              <w:jc w:val="center"/>
              <w:rPr>
                <w:rFonts w:ascii="Times New Roman" w:hAnsi="Times New Roman"/>
                <w:sz w:val="20"/>
              </w:rPr>
            </w:pPr>
            <w:r>
              <w:rPr>
                <w:rFonts w:ascii="Times New Roman" w:hAnsi="Times New Roman"/>
                <w:sz w:val="20"/>
              </w:rPr>
              <w:t>(Principal Executive Officer)</w:t>
            </w:r>
          </w:p>
        </w:tc>
        <w:tc>
          <w:tcPr>
            <w:tcW w:w="199" w:type="dxa"/>
            <w:tcBorders/>
            <w:shd w:fill="auto" w:val="clear"/>
            <w:vAlign w:val="bottom"/>
          </w:tcPr>
          <w:p>
            <w:pPr>
              <w:pStyle w:val="TableContents"/>
              <w:spacing w:before="0" w:after="283"/>
              <w:rPr/>
            </w:pPr>
            <w:r>
              <w:rPr/>
              <w:t> </w:t>
            </w:r>
          </w:p>
        </w:tc>
        <w:tc>
          <w:tcPr>
            <w:tcW w:w="205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108" w:type="dxa"/>
            <w:tcBorders/>
            <w:shd w:fill="auto" w:val="clear"/>
            <w:vAlign w:val="center"/>
          </w:tcPr>
          <w:p>
            <w:pPr>
              <w:pStyle w:val="TableContents"/>
              <w:spacing w:before="0" w:after="283"/>
              <w:rPr>
                <w:sz w:val="4"/>
                <w:szCs w:val="4"/>
              </w:rPr>
            </w:pPr>
            <w:r>
              <w:rPr>
                <w:sz w:val="4"/>
                <w:szCs w:val="4"/>
              </w:rPr>
            </w:r>
          </w:p>
        </w:tc>
        <w:tc>
          <w:tcPr>
            <w:tcW w:w="3842" w:type="dxa"/>
            <w:gridSpan w:val="2"/>
            <w:tcBorders/>
            <w:shd w:fill="auto" w:val="clear"/>
            <w:vAlign w:val="center"/>
          </w:tcPr>
          <w:p>
            <w:pPr>
              <w:pStyle w:val="TableContents"/>
              <w:spacing w:before="0" w:after="283"/>
              <w:rPr>
                <w:sz w:val="4"/>
                <w:szCs w:val="4"/>
              </w:rPr>
            </w:pPr>
            <w:r>
              <w:rPr>
                <w:sz w:val="4"/>
                <w:szCs w:val="4"/>
              </w:rPr>
            </w:r>
          </w:p>
        </w:tc>
        <w:tc>
          <w:tcPr>
            <w:tcW w:w="2255" w:type="dxa"/>
            <w:gridSpan w:val="2"/>
            <w:tcBorders/>
            <w:shd w:fill="auto" w:val="clear"/>
            <w:vAlign w:val="center"/>
          </w:tcPr>
          <w:p>
            <w:pPr>
              <w:pStyle w:val="TableContents"/>
              <w:spacing w:before="0" w:after="283"/>
              <w:rPr>
                <w:sz w:val="4"/>
                <w:szCs w:val="4"/>
              </w:rPr>
            </w:pPr>
            <w:r>
              <w:rPr>
                <w:sz w:val="4"/>
                <w:szCs w:val="4"/>
              </w:rPr>
            </w:r>
          </w:p>
        </w:tc>
      </w:tr>
      <w:tr>
        <w:trPr/>
        <w:tc>
          <w:tcPr>
            <w:tcW w:w="410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AL SWANSON</w:t>
            </w:r>
          </w:p>
          <w:p>
            <w:pPr>
              <w:pStyle w:val="TableContents"/>
              <w:spacing w:before="0" w:after="15"/>
              <w:jc w:val="center"/>
              <w:rPr>
                <w:rFonts w:ascii="Times New Roman" w:hAnsi="Times New Roman"/>
                <w:sz w:val="20"/>
              </w:rPr>
            </w:pPr>
            <w:r>
              <w:rPr>
                <w:rFonts w:ascii="Times New Roman" w:hAnsi="Times New Roman"/>
                <w:sz w:val="20"/>
              </w:rPr>
              <w:t>Al Swanson</w:t>
            </w:r>
          </w:p>
        </w:tc>
        <w:tc>
          <w:tcPr>
            <w:tcW w:w="120" w:type="dxa"/>
            <w:tcBorders/>
            <w:shd w:fill="auto" w:val="clear"/>
            <w:vAlign w:val="bottom"/>
          </w:tcPr>
          <w:p>
            <w:pPr>
              <w:pStyle w:val="TableContents"/>
              <w:spacing w:before="0" w:after="283"/>
              <w:rPr/>
            </w:pPr>
            <w:r>
              <w:rPr/>
              <w:t>  </w:t>
            </w:r>
          </w:p>
        </w:tc>
        <w:tc>
          <w:tcPr>
            <w:tcW w:w="372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Executive Vice President, Chief Financial Officer and Director (Principal Financial Officer)</w:t>
            </w:r>
          </w:p>
        </w:tc>
        <w:tc>
          <w:tcPr>
            <w:tcW w:w="199" w:type="dxa"/>
            <w:tcBorders/>
            <w:shd w:fill="auto" w:val="clear"/>
            <w:vAlign w:val="bottom"/>
          </w:tcPr>
          <w:p>
            <w:pPr>
              <w:pStyle w:val="TableContents"/>
              <w:spacing w:before="0" w:after="283"/>
              <w:rPr/>
            </w:pPr>
            <w:r>
              <w:rPr/>
              <w:t> </w:t>
            </w:r>
          </w:p>
        </w:tc>
        <w:tc>
          <w:tcPr>
            <w:tcW w:w="205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108" w:type="dxa"/>
            <w:tcBorders/>
            <w:shd w:fill="auto" w:val="clear"/>
            <w:vAlign w:val="center"/>
          </w:tcPr>
          <w:p>
            <w:pPr>
              <w:pStyle w:val="TableContents"/>
              <w:spacing w:before="0" w:after="283"/>
              <w:rPr>
                <w:sz w:val="4"/>
                <w:szCs w:val="4"/>
              </w:rPr>
            </w:pPr>
            <w:r>
              <w:rPr>
                <w:sz w:val="4"/>
                <w:szCs w:val="4"/>
              </w:rPr>
            </w:r>
          </w:p>
        </w:tc>
        <w:tc>
          <w:tcPr>
            <w:tcW w:w="3842" w:type="dxa"/>
            <w:gridSpan w:val="2"/>
            <w:tcBorders/>
            <w:shd w:fill="auto" w:val="clear"/>
            <w:vAlign w:val="center"/>
          </w:tcPr>
          <w:p>
            <w:pPr>
              <w:pStyle w:val="TableContents"/>
              <w:spacing w:before="0" w:after="283"/>
              <w:rPr>
                <w:sz w:val="4"/>
                <w:szCs w:val="4"/>
              </w:rPr>
            </w:pPr>
            <w:r>
              <w:rPr>
                <w:sz w:val="4"/>
                <w:szCs w:val="4"/>
              </w:rPr>
            </w:r>
          </w:p>
        </w:tc>
        <w:tc>
          <w:tcPr>
            <w:tcW w:w="2255" w:type="dxa"/>
            <w:gridSpan w:val="2"/>
            <w:tcBorders/>
            <w:shd w:fill="auto" w:val="clear"/>
            <w:vAlign w:val="center"/>
          </w:tcPr>
          <w:p>
            <w:pPr>
              <w:pStyle w:val="TableContents"/>
              <w:spacing w:before="0" w:after="283"/>
              <w:rPr>
                <w:sz w:val="4"/>
                <w:szCs w:val="4"/>
              </w:rPr>
            </w:pPr>
            <w:r>
              <w:rPr>
                <w:sz w:val="4"/>
                <w:szCs w:val="4"/>
              </w:rPr>
            </w:r>
          </w:p>
        </w:tc>
      </w:tr>
      <w:tr>
        <w:trPr/>
        <w:tc>
          <w:tcPr>
            <w:tcW w:w="410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 HERBOLD</w:t>
            </w:r>
          </w:p>
          <w:p>
            <w:pPr>
              <w:pStyle w:val="TableContents"/>
              <w:spacing w:before="0" w:after="15"/>
              <w:jc w:val="center"/>
              <w:rPr>
                <w:rFonts w:ascii="Times New Roman" w:hAnsi="Times New Roman"/>
                <w:sz w:val="20"/>
              </w:rPr>
            </w:pPr>
            <w:r>
              <w:rPr>
                <w:rFonts w:ascii="Times New Roman" w:hAnsi="Times New Roman"/>
                <w:sz w:val="20"/>
              </w:rPr>
              <w:t>Chris Herbold</w:t>
            </w:r>
          </w:p>
        </w:tc>
        <w:tc>
          <w:tcPr>
            <w:tcW w:w="120" w:type="dxa"/>
            <w:tcBorders/>
            <w:shd w:fill="auto" w:val="clear"/>
            <w:vAlign w:val="bottom"/>
          </w:tcPr>
          <w:p>
            <w:pPr>
              <w:pStyle w:val="TableContents"/>
              <w:spacing w:before="0" w:after="283"/>
              <w:rPr/>
            </w:pPr>
            <w:r>
              <w:rPr/>
              <w:t>  </w:t>
            </w:r>
          </w:p>
        </w:tc>
        <w:tc>
          <w:tcPr>
            <w:tcW w:w="372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Vice President  Accounting and</w:t>
            </w:r>
          </w:p>
          <w:p>
            <w:pPr>
              <w:pStyle w:val="TableContents"/>
              <w:spacing w:before="0" w:after="15"/>
              <w:jc w:val="center"/>
              <w:rPr>
                <w:rFonts w:ascii="Times New Roman" w:hAnsi="Times New Roman"/>
                <w:sz w:val="20"/>
              </w:rPr>
            </w:pPr>
            <w:r>
              <w:rPr>
                <w:rFonts w:ascii="Times New Roman" w:hAnsi="Times New Roman"/>
                <w:sz w:val="20"/>
              </w:rPr>
              <w:t>Chief Accounting Officer (Principal Accounting Officer)</w:t>
            </w:r>
          </w:p>
        </w:tc>
        <w:tc>
          <w:tcPr>
            <w:tcW w:w="199" w:type="dxa"/>
            <w:tcBorders/>
            <w:shd w:fill="auto" w:val="clear"/>
            <w:vAlign w:val="bottom"/>
          </w:tcPr>
          <w:p>
            <w:pPr>
              <w:pStyle w:val="TableContents"/>
              <w:spacing w:before="0" w:after="283"/>
              <w:rPr/>
            </w:pPr>
            <w:r>
              <w:rPr/>
              <w:t> </w:t>
            </w:r>
          </w:p>
        </w:tc>
        <w:tc>
          <w:tcPr>
            <w:tcW w:w="205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r>
        <w:trPr>
          <w:trHeight w:val="240" w:hRule="atLeast"/>
        </w:trPr>
        <w:tc>
          <w:tcPr>
            <w:tcW w:w="4108" w:type="dxa"/>
            <w:tcBorders/>
            <w:shd w:fill="auto" w:val="clear"/>
            <w:vAlign w:val="center"/>
          </w:tcPr>
          <w:p>
            <w:pPr>
              <w:pStyle w:val="TableContents"/>
              <w:spacing w:before="0" w:after="283"/>
              <w:rPr>
                <w:sz w:val="4"/>
                <w:szCs w:val="4"/>
              </w:rPr>
            </w:pPr>
            <w:r>
              <w:rPr>
                <w:sz w:val="4"/>
                <w:szCs w:val="4"/>
              </w:rPr>
            </w:r>
          </w:p>
        </w:tc>
        <w:tc>
          <w:tcPr>
            <w:tcW w:w="3842" w:type="dxa"/>
            <w:gridSpan w:val="2"/>
            <w:tcBorders/>
            <w:shd w:fill="auto" w:val="clear"/>
            <w:vAlign w:val="center"/>
          </w:tcPr>
          <w:p>
            <w:pPr>
              <w:pStyle w:val="TableContents"/>
              <w:spacing w:before="0" w:after="283"/>
              <w:rPr>
                <w:sz w:val="4"/>
                <w:szCs w:val="4"/>
              </w:rPr>
            </w:pPr>
            <w:r>
              <w:rPr>
                <w:sz w:val="4"/>
                <w:szCs w:val="4"/>
              </w:rPr>
            </w:r>
          </w:p>
        </w:tc>
        <w:tc>
          <w:tcPr>
            <w:tcW w:w="2255" w:type="dxa"/>
            <w:gridSpan w:val="2"/>
            <w:tcBorders/>
            <w:shd w:fill="auto" w:val="clear"/>
            <w:vAlign w:val="center"/>
          </w:tcPr>
          <w:p>
            <w:pPr>
              <w:pStyle w:val="TableContents"/>
              <w:spacing w:before="0" w:after="283"/>
              <w:rPr>
                <w:sz w:val="4"/>
                <w:szCs w:val="4"/>
              </w:rPr>
            </w:pPr>
            <w:r>
              <w:rPr>
                <w:sz w:val="4"/>
                <w:szCs w:val="4"/>
              </w:rPr>
            </w:r>
          </w:p>
        </w:tc>
      </w:tr>
      <w:tr>
        <w:trPr/>
        <w:tc>
          <w:tcPr>
            <w:tcW w:w="410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HARRY N. PEFANIS</w:t>
            </w:r>
          </w:p>
          <w:p>
            <w:pPr>
              <w:pStyle w:val="TableContents"/>
              <w:spacing w:before="0" w:after="15"/>
              <w:jc w:val="center"/>
              <w:rPr>
                <w:rFonts w:ascii="Times New Roman" w:hAnsi="Times New Roman"/>
                <w:sz w:val="20"/>
              </w:rPr>
            </w:pPr>
            <w:r>
              <w:rPr>
                <w:rFonts w:ascii="Times New Roman" w:hAnsi="Times New Roman"/>
                <w:sz w:val="20"/>
              </w:rPr>
              <w:t>Harry N. Pefanis</w:t>
            </w:r>
          </w:p>
        </w:tc>
        <w:tc>
          <w:tcPr>
            <w:tcW w:w="120" w:type="dxa"/>
            <w:tcBorders/>
            <w:shd w:fill="auto" w:val="clear"/>
            <w:vAlign w:val="bottom"/>
          </w:tcPr>
          <w:p>
            <w:pPr>
              <w:pStyle w:val="TableContents"/>
              <w:spacing w:before="0" w:after="283"/>
              <w:rPr/>
            </w:pPr>
            <w:r>
              <w:rPr/>
              <w:t>  </w:t>
            </w:r>
          </w:p>
        </w:tc>
        <w:tc>
          <w:tcPr>
            <w:tcW w:w="3722"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President and Director</w:t>
            </w:r>
          </w:p>
        </w:tc>
        <w:tc>
          <w:tcPr>
            <w:tcW w:w="199" w:type="dxa"/>
            <w:tcBorders/>
            <w:shd w:fill="auto" w:val="clear"/>
            <w:vAlign w:val="bottom"/>
          </w:tcPr>
          <w:p>
            <w:pPr>
              <w:pStyle w:val="TableContents"/>
              <w:spacing w:before="0" w:after="283"/>
              <w:rPr/>
            </w:pPr>
            <w:r>
              <w:rPr/>
              <w:t> </w:t>
            </w:r>
          </w:p>
        </w:tc>
        <w:tc>
          <w:tcPr>
            <w:tcW w:w="205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September 27,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28095" w:type="dxa"/>
        <w:jc w:val="center"/>
        <w:tblInd w:w="0" w:type="dxa"/>
        <w:tblCellMar>
          <w:top w:w="0" w:type="dxa"/>
          <w:left w:w="0" w:type="dxa"/>
          <w:bottom w:w="0" w:type="dxa"/>
          <w:right w:w="0" w:type="dxa"/>
        </w:tblCellMar>
      </w:tblPr>
      <w:tblGrid>
        <w:gridCol w:w="485"/>
        <w:gridCol w:w="120"/>
        <w:gridCol w:w="170"/>
        <w:gridCol w:w="120"/>
        <w:gridCol w:w="27200"/>
      </w:tblGrid>
      <w:tr>
        <w:trPr/>
        <w:tc>
          <w:tcPr>
            <w:tcW w:w="4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720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Underwriting Agreement</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for Senior Debt Securities dated as of September 25, 2002 among Plains All American Pipeline, L.P., PAA Finance Corp. and Wachovia Bank, National Association, as original trustee (incorporated by reference to Exhibit 4.1 to the Quarterly Report on Form 10-Q for the quarter ended September 30, 2002(File No. 001-14569)).</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Subordinated Indenture for Subordinated Debt Securities (incorporated by reference to Exhibit 4.2 to the Registration Statement on Form S-3 filed on August 27, 2001 (File No. 333-68446))</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4.3+</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Senior Debt Securities</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4.4+</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Subordinated Debt Securities</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Opinion of Vinson &amp; Elkins L.L.P. as to the legality of the securities being registered</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8.1*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Opinion of Vinson &amp; Elkins L.L.P. relating to tax matters</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12.1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Calculation of ratio of earnings to fixed charges (incorporated by reference to Exhibit 12.1 of the Partnerships Quarterly Report on Form 10-Q for the quarterly period ended June 30, 2012 filed on August 9, 2012 (File No. 001-14569))</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PricewaterhouseCoopers LLP</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23.2*</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Ernst &amp; Young, LLP</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23.3*</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Vinson &amp; Elkins L.L.P. (contained in Exhibits 5.1 and 8.1)</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24.1*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Powers of Attorney (included on the signature page)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25.1*</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T-1 Statement of Eligibility and Qualification under the Trust Indenture Act of 1939 of the trustee under the Senior Indenture</w:t>
            </w:r>
          </w:p>
        </w:tc>
      </w:tr>
      <w:tr>
        <w:trPr>
          <w:trHeight w:val="120" w:hRule="atLeast"/>
        </w:trPr>
        <w:tc>
          <w:tcPr>
            <w:tcW w:w="485" w:type="dxa"/>
            <w:tcBorders/>
            <w:shd w:fill="auto" w:val="clear"/>
            <w:vAlign w:val="center"/>
          </w:tcPr>
          <w:p>
            <w:pPr>
              <w:pStyle w:val="TableContents"/>
              <w:spacing w:before="0" w:after="283"/>
              <w:rPr>
                <w:sz w:val="4"/>
                <w:szCs w:val="4"/>
              </w:rPr>
            </w:pPr>
            <w:r>
              <w:rPr>
                <w:sz w:val="4"/>
                <w:szCs w:val="4"/>
              </w:rPr>
            </w:r>
          </w:p>
        </w:tc>
        <w:tc>
          <w:tcPr>
            <w:tcW w:w="290" w:type="dxa"/>
            <w:gridSpan w:val="2"/>
            <w:tcBorders/>
            <w:shd w:fill="auto" w:val="clear"/>
            <w:vAlign w:val="center"/>
          </w:tcPr>
          <w:p>
            <w:pPr>
              <w:pStyle w:val="TableContents"/>
              <w:spacing w:before="0" w:after="283"/>
              <w:rPr>
                <w:sz w:val="4"/>
                <w:szCs w:val="4"/>
              </w:rPr>
            </w:pPr>
            <w:r>
              <w:rPr>
                <w:sz w:val="4"/>
                <w:szCs w:val="4"/>
              </w:rPr>
            </w:r>
          </w:p>
        </w:tc>
        <w:tc>
          <w:tcPr>
            <w:tcW w:w="27320" w:type="dxa"/>
            <w:gridSpan w:val="2"/>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rFonts w:ascii="Times New Roman" w:hAnsi="Times New Roman"/>
                <w:sz w:val="20"/>
              </w:rPr>
            </w:pPr>
            <w:r>
              <w:rPr>
                <w:rFonts w:ascii="Times New Roman" w:hAnsi="Times New Roman"/>
                <w:sz w:val="20"/>
              </w:rPr>
              <w:t>25.2*</w:t>
            </w:r>
          </w:p>
        </w:tc>
        <w:tc>
          <w:tcPr>
            <w:tcW w:w="120" w:type="dxa"/>
            <w:tcBorders/>
            <w:shd w:fill="auto" w:val="clear"/>
            <w:vAlign w:val="bottom"/>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120" w:type="dxa"/>
            <w:tcBorders/>
            <w:shd w:fill="auto" w:val="clear"/>
            <w:vAlign w:val="bottom"/>
          </w:tcPr>
          <w:p>
            <w:pPr>
              <w:pStyle w:val="TableContents"/>
              <w:spacing w:before="0" w:after="283"/>
              <w:rPr/>
            </w:pPr>
            <w:r>
              <w:rPr/>
              <w:t>  </w:t>
            </w:r>
          </w:p>
        </w:tc>
        <w:tc>
          <w:tcPr>
            <w:tcW w:w="27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T-1 Statement of Eligibility and Qualification under the Trust Indenture Act of 1939 of the trustee under the Subordinated Indenture</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filed as an exhibit to a report pursuant to Section 13(a) or 15(d) of the Exchange Act or in a post-effective amendment to this registration statement.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II-8 </w:t>
      </w:r>
      <w:r>
        <w:br w:type="page"/>
      </w:r>
    </w:p>
    <w:p>
      <w:pPr>
        <w:pStyle w:val="TextBody"/>
        <w:spacing w:before="0" w:after="0"/>
        <w:jc w:val="right"/>
        <w:rPr>
          <w:rFonts w:ascii="Times New Roman" w:hAnsi="Times New Roman"/>
          <w:b/>
          <w:sz w:val="20"/>
        </w:rPr>
      </w:pPr>
      <w:bookmarkStart w:id="18" w:name="d415854dex51.htm"/>
      <w:bookmarkStart w:id="19" w:name="ksd415854dex51"/>
      <w:bookmarkEnd w:id="18"/>
      <w:bookmarkEnd w:id="19"/>
      <w:r>
        <w:rPr>
          <w:rFonts w:ascii="Times New Roman" w:hAnsi="Times New Roman"/>
          <w:b/>
          <w:sz w:val="20"/>
        </w:rPr>
        <w:t xml:space="preserve">Exhibit 5.1 </w:t>
      </w:r>
    </w:p>
    <w:p>
      <w:pPr>
        <w:pStyle w:val="TextBody"/>
        <w:spacing w:before="0" w:after="0"/>
        <w:rPr/>
      </w:pPr>
      <w:r>
        <w:rPr/>
        <w:t> </w:t>
      </w:r>
    </w:p>
    <w:p>
      <w:pPr>
        <w:pStyle w:val="TextBody"/>
        <w:spacing w:before="180" w:after="0"/>
        <w:rPr/>
      </w:pPr>
      <w:r>
        <w:rPr/>
        <w:drawing>
          <wp:inline distT="0" distB="0" distL="0" distR="0">
            <wp:extent cx="1685925"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200025"/>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September 27,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Re: Plains All American Pipeline L.P.  Registration Statement on Form S-3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 xml:space="preserve">We have acted as counsel for Plains All American Pipeline, L.P., a Delaware limited partnership (the Partnership) with respect to the preparation of the Registration Statement on Form S-3 (the Registration Statement) filed on the date hereof with the Securities and Exchange Commission (the Commission) in connection with the registration by the Partnership under the Securities Act of 1933, as amended (the Securities Act), of the offer and sale by the Partnership from time to time, pursuant to Rule 415 under the Securities Act, of: </w:t>
      </w:r>
    </w:p>
    <w:p>
      <w:pPr>
        <w:pStyle w:val="TextBody"/>
        <w:spacing w:before="180" w:after="0"/>
        <w:rPr>
          <w:rFonts w:ascii="Times New Roman" w:hAnsi="Times New Roman"/>
          <w:sz w:val="20"/>
        </w:rPr>
      </w:pPr>
      <w:r>
        <w:rPr>
          <w:rFonts w:ascii="Times New Roman" w:hAnsi="Times New Roman"/>
          <w:sz w:val="20"/>
        </w:rPr>
        <w:t xml:space="preserve">(1) common units representing limited partner interests in the Partnership (the Common Units); and </w:t>
      </w:r>
    </w:p>
    <w:p>
      <w:pPr>
        <w:pStyle w:val="TextBody"/>
        <w:spacing w:before="180" w:after="0"/>
        <w:rPr>
          <w:rFonts w:ascii="Times New Roman" w:hAnsi="Times New Roman"/>
          <w:sz w:val="20"/>
        </w:rPr>
      </w:pPr>
      <w:r>
        <w:rPr>
          <w:rFonts w:ascii="Times New Roman" w:hAnsi="Times New Roman"/>
          <w:sz w:val="20"/>
        </w:rPr>
        <w:t xml:space="preserve">(2) debt securities, which may be co-issued by PAA Finance Corp., a Delaware corporation (PAA Finance), in one or more series, consisting of notes, debentures or other evidences of indebtedness (the Debt Securities). </w:t>
      </w:r>
    </w:p>
    <w:p>
      <w:pPr>
        <w:pStyle w:val="TextBody"/>
        <w:spacing w:before="180" w:after="0"/>
        <w:rPr>
          <w:rFonts w:ascii="Times New Roman" w:hAnsi="Times New Roman"/>
          <w:sz w:val="20"/>
        </w:rPr>
      </w:pPr>
      <w:r>
        <w:rPr>
          <w:rFonts w:ascii="Times New Roman" w:hAnsi="Times New Roman"/>
          <w:sz w:val="20"/>
        </w:rPr>
        <w:t xml:space="preserve">The Common Units and Debt Securities are collectively referred to herein as the Securities. We have also participated in the preparation of the Prospectus (the Prospectus) contained in the Registration Statement to which this opinion is an exhibit. </w:t>
      </w:r>
    </w:p>
    <w:p>
      <w:pPr>
        <w:pStyle w:val="TextBody"/>
        <w:spacing w:before="180" w:after="0"/>
        <w:rPr>
          <w:rFonts w:ascii="Times New Roman" w:hAnsi="Times New Roman"/>
          <w:sz w:val="20"/>
        </w:rPr>
      </w:pPr>
      <w:r>
        <w:rPr>
          <w:rFonts w:ascii="Times New Roman" w:hAnsi="Times New Roman"/>
          <w:sz w:val="20"/>
        </w:rPr>
        <w:t xml:space="preserve">In rendering the opinions set forth below, we have examined the Delaware Revised Uniform Limited Partnership Act (the Delaware LP Act), the Registration Statement, including the Prospectus, the Senior Indenture (the Senior Indenture) filed as an exhibit to the Registration Statement, the form of Subordinated Indenture (the Subordinated Indenture, together with the Senior Indenture, the Indentures) filed as an exhibit to the Registration Statement, the Fourth Amended and Restated Agreement of Limited Partnership of the Partnership, as amended, the Certificate of Limited Partnership filed with the Secretary of State of Delaware pursuant to the Delaware LP Act in connection with the formation of the Partnership, the formation documents of PAA Finance and such other documents as we have deemed necessary or appropriate for purposes of this opinion. In addition, we have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7"/>
        <w:gridCol w:w="123"/>
        <w:gridCol w:w="493"/>
        <w:gridCol w:w="123"/>
        <w:gridCol w:w="4619"/>
      </w:tblGrid>
      <w:tr>
        <w:trPr/>
        <w:tc>
          <w:tcPr>
            <w:tcW w:w="48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619" w:type="dxa"/>
            <w:tcBorders/>
            <w:shd w:fill="auto" w:val="clear"/>
            <w:vAlign w:val="center"/>
          </w:tcPr>
          <w:p>
            <w:pPr>
              <w:pStyle w:val="TableContents"/>
              <w:spacing w:before="0" w:after="283"/>
              <w:rPr>
                <w:sz w:val="4"/>
                <w:szCs w:val="4"/>
              </w:rPr>
            </w:pPr>
            <w:r>
              <w:rPr>
                <w:sz w:val="4"/>
                <w:szCs w:val="4"/>
              </w:rPr>
            </w:r>
          </w:p>
        </w:tc>
      </w:tr>
      <w:tr>
        <w:trPr/>
        <w:tc>
          <w:tcPr>
            <w:tcW w:w="4847" w:type="dxa"/>
            <w:tcBorders/>
            <w:shd w:fill="auto" w:val="clear"/>
          </w:tcPr>
          <w:p>
            <w:pPr>
              <w:pStyle w:val="TableContents"/>
              <w:spacing w:before="0" w:after="0"/>
              <w:rPr>
                <w:rFonts w:ascii="Times New Roman" w:hAnsi="Times New Roman"/>
                <w:b/>
                <w:sz w:val="14"/>
              </w:rPr>
            </w:pPr>
            <w:r>
              <w:rPr>
                <w:rFonts w:ascii="Times New Roman" w:hAnsi="Times New Roman"/>
                <w:b/>
                <w:sz w:val="14"/>
              </w:rPr>
              <w:t>Vinson &amp; Elkins LLP Attorneys at Law</w:t>
            </w:r>
          </w:p>
          <w:p>
            <w:pPr>
              <w:pStyle w:val="TableContents"/>
              <w:spacing w:before="0" w:after="15"/>
              <w:rPr>
                <w:rFonts w:ascii="Times New Roman" w:hAnsi="Times New Roman"/>
                <w:sz w:val="14"/>
              </w:rPr>
            </w:pPr>
            <w:r>
              <w:rPr>
                <w:rFonts w:ascii="Times New Roman" w:hAnsi="Times New Roman"/>
                <w:sz w:val="14"/>
              </w:rPr>
              <w:t>Abu Dhabi Austin Beijing Dallas Dubai Hong Kong Houston London Moscow New York Palo Alto Riyadh San Francisco Shanghai Tokyo Washington</w:t>
            </w:r>
          </w:p>
        </w:tc>
        <w:tc>
          <w:tcPr>
            <w:tcW w:w="123" w:type="dxa"/>
            <w:tcBorders/>
            <w:shd w:fill="auto" w:val="clear"/>
            <w:vAlign w:val="bottom"/>
          </w:tcPr>
          <w:p>
            <w:pPr>
              <w:pStyle w:val="TableContents"/>
              <w:spacing w:before="0" w:after="283"/>
              <w:rPr/>
            </w:pPr>
            <w:r>
              <w:rPr/>
              <w:t>  </w:t>
            </w:r>
          </w:p>
        </w:tc>
        <w:tc>
          <w:tcPr>
            <w:tcW w:w="493" w:type="dxa"/>
            <w:tcBorders/>
            <w:shd w:fill="auto" w:val="clea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4619" w:type="dxa"/>
            <w:tcBorders/>
            <w:shd w:fill="auto" w:val="clear"/>
          </w:tcPr>
          <w:p>
            <w:pPr>
              <w:pStyle w:val="TableContents"/>
              <w:spacing w:before="0" w:after="0"/>
              <w:rPr>
                <w:rFonts w:ascii="Times New Roman" w:hAnsi="Times New Roman"/>
                <w:sz w:val="14"/>
              </w:rPr>
            </w:pPr>
            <w:r>
              <w:rPr>
                <w:rFonts w:ascii="Times New Roman" w:hAnsi="Times New Roman"/>
                <w:sz w:val="14"/>
              </w:rPr>
              <w:t>First City Tower, 1001 Fannin Street, Suite 2500</w:t>
            </w:r>
          </w:p>
          <w:p>
            <w:pPr>
              <w:pStyle w:val="TableContents"/>
              <w:spacing w:before="0" w:after="0"/>
              <w:rPr>
                <w:rFonts w:ascii="Times New Roman" w:hAnsi="Times New Roman"/>
                <w:sz w:val="14"/>
              </w:rPr>
            </w:pPr>
            <w:r>
              <w:rPr>
                <w:rFonts w:ascii="Times New Roman" w:hAnsi="Times New Roman"/>
                <w:sz w:val="14"/>
              </w:rPr>
              <w:t>Houston, TX 77002-6760</w:t>
            </w:r>
          </w:p>
          <w:p>
            <w:pPr>
              <w:pStyle w:val="TableContents"/>
              <w:spacing w:before="0" w:after="15"/>
              <w:rPr>
                <w:rFonts w:ascii="Times New Roman" w:hAnsi="Times New Roman"/>
                <w:sz w:val="14"/>
              </w:rPr>
            </w:pPr>
            <w:r>
              <w:rPr>
                <w:rFonts w:ascii="Times New Roman" w:hAnsi="Times New Roman"/>
                <w:b/>
                <w:sz w:val="14"/>
              </w:rPr>
              <w:t>Tel</w:t>
            </w:r>
            <w:r>
              <w:rPr>
                <w:rFonts w:ascii="Times New Roman" w:hAnsi="Times New Roman"/>
                <w:sz w:val="14"/>
              </w:rPr>
              <w:t xml:space="preserve"> +1.713.758.2222 </w:t>
            </w:r>
            <w:r>
              <w:rPr>
                <w:rFonts w:ascii="Times New Roman" w:hAnsi="Times New Roman"/>
                <w:b/>
                <w:sz w:val="14"/>
              </w:rPr>
              <w:t>Fax</w:t>
            </w:r>
            <w:r>
              <w:rPr>
                <w:rFonts w:ascii="Times New Roman" w:hAnsi="Times New Roman"/>
                <w:sz w:val="14"/>
              </w:rPr>
              <w:t xml:space="preserve"> +1.713.758.2346 </w:t>
            </w:r>
            <w:r>
              <w:rPr>
                <w:rFonts w:ascii="Times New Roman" w:hAnsi="Times New Roman"/>
                <w:b/>
                <w:sz w:val="14"/>
              </w:rPr>
              <w:t>www.velaw.com</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149"/>
        <w:gridCol w:w="120"/>
        <w:gridCol w:w="4936"/>
      </w:tblGrid>
      <w:tr>
        <w:trPr/>
        <w:tc>
          <w:tcPr>
            <w:tcW w:w="51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36" w:type="dxa"/>
            <w:tcBorders/>
            <w:shd w:fill="auto" w:val="clear"/>
            <w:vAlign w:val="center"/>
          </w:tcPr>
          <w:p>
            <w:pPr>
              <w:pStyle w:val="TableContents"/>
              <w:spacing w:before="0" w:after="283"/>
              <w:rPr>
                <w:sz w:val="4"/>
                <w:szCs w:val="4"/>
              </w:rPr>
            </w:pPr>
            <w:r>
              <w:rPr>
                <w:sz w:val="4"/>
                <w:szCs w:val="4"/>
              </w:rPr>
            </w:r>
          </w:p>
        </w:tc>
      </w:tr>
      <w:tr>
        <w:trPr/>
        <w:tc>
          <w:tcPr>
            <w:tcW w:w="5149" w:type="dxa"/>
            <w:tcBorders/>
            <w:shd w:fill="auto" w:val="clear"/>
          </w:tcPr>
          <w:p>
            <w:pPr>
              <w:pStyle w:val="TableContents"/>
              <w:spacing w:before="0" w:after="283"/>
              <w:rPr/>
            </w:pPr>
            <w:r>
              <w:rPr/>
              <w:drawing>
                <wp:inline distT="0" distB="0" distL="0" distR="0">
                  <wp:extent cx="485775"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5775" cy="19050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4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September 27, 2012 Page 2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reviewed certain certificates of officers of the general partner of the Partnership and of public officials, and we have relied on such certificates with respect to certain factual matters that we have not independently established. </w:t>
      </w:r>
    </w:p>
    <w:p>
      <w:pPr>
        <w:pStyle w:val="TextBody"/>
        <w:spacing w:before="180" w:after="0"/>
        <w:rPr>
          <w:rFonts w:ascii="Times New Roman" w:hAnsi="Times New Roman"/>
          <w:sz w:val="20"/>
        </w:rPr>
      </w:pPr>
      <w:r>
        <w:rPr>
          <w:rFonts w:ascii="Times New Roman" w:hAnsi="Times New Roman"/>
          <w:sz w:val="20"/>
        </w:rPr>
        <w:t xml:space="preserve">In connection with this opinion, we have assumed that: </w:t>
      </w:r>
    </w:p>
    <w:p>
      <w:pPr>
        <w:pStyle w:val="TextBody"/>
        <w:spacing w:before="180" w:after="0"/>
        <w:rPr>
          <w:rFonts w:ascii="Times New Roman" w:hAnsi="Times New Roman"/>
          <w:sz w:val="20"/>
        </w:rPr>
      </w:pPr>
      <w:r>
        <w:rPr>
          <w:rFonts w:ascii="Times New Roman" w:hAnsi="Times New Roman"/>
          <w:sz w:val="20"/>
        </w:rPr>
        <w:t xml:space="preserve">(1) the Registration Statement, and any amendments thereto (including post-effective amendments), will have become effective; </w:t>
      </w:r>
    </w:p>
    <w:p>
      <w:pPr>
        <w:pStyle w:val="TextBody"/>
        <w:spacing w:before="180" w:after="0"/>
        <w:rPr>
          <w:rFonts w:ascii="Times New Roman" w:hAnsi="Times New Roman"/>
          <w:sz w:val="20"/>
        </w:rPr>
      </w:pPr>
      <w:r>
        <w:rPr>
          <w:rFonts w:ascii="Times New Roman" w:hAnsi="Times New Roman"/>
          <w:sz w:val="20"/>
        </w:rPr>
        <w:t xml:space="preserve">(2) a Prospectus Supplement will have been prepared and filed with the Commission describing the Securities offered thereby; </w:t>
      </w:r>
    </w:p>
    <w:p>
      <w:pPr>
        <w:pStyle w:val="TextBody"/>
        <w:spacing w:before="180" w:after="0"/>
        <w:rPr>
          <w:rFonts w:ascii="Times New Roman" w:hAnsi="Times New Roman"/>
          <w:sz w:val="20"/>
        </w:rPr>
      </w:pPr>
      <w:r>
        <w:rPr>
          <w:rFonts w:ascii="Times New Roman" w:hAnsi="Times New Roman"/>
          <w:sz w:val="20"/>
        </w:rPr>
        <w:t xml:space="preserve">(3) all Securities will be issued and sold in compliance with applicable federal and state securities laws and in the manner stated in the Registration Statement and the appropriate Prospectus Supplement; </w:t>
      </w:r>
    </w:p>
    <w:p>
      <w:pPr>
        <w:pStyle w:val="TextBody"/>
        <w:spacing w:before="180" w:after="0"/>
        <w:rPr>
          <w:rFonts w:ascii="Times New Roman" w:hAnsi="Times New Roman"/>
          <w:sz w:val="20"/>
        </w:rPr>
      </w:pPr>
      <w:r>
        <w:rPr>
          <w:rFonts w:ascii="Times New Roman" w:hAnsi="Times New Roman"/>
          <w:sz w:val="20"/>
        </w:rPr>
        <w:t xml:space="preserve">(4) a definitive purchase, underwriting or similar agreement with respect to any Securities offered will have been duly authorized and validly executed and delivered by the Partnership and the other parties thereto; and </w:t>
      </w:r>
    </w:p>
    <w:p>
      <w:pPr>
        <w:pStyle w:val="TextBody"/>
        <w:spacing w:before="180" w:after="0"/>
        <w:rPr>
          <w:rFonts w:ascii="Times New Roman" w:hAnsi="Times New Roman"/>
          <w:sz w:val="20"/>
        </w:rPr>
      </w:pPr>
      <w:r>
        <w:rPr>
          <w:rFonts w:ascii="Times New Roman" w:hAnsi="Times New Roman"/>
          <w:sz w:val="20"/>
        </w:rPr>
        <w:t xml:space="preserve">(5) any Securities issuable upon conversion, exchange or exercise of any Security being offered will be duly authorized, created, and, if appropriate, reserved for issuance upon such conversion, exercise or exchange.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we are of the opinion that: </w:t>
      </w:r>
    </w:p>
    <w:p>
      <w:pPr>
        <w:pStyle w:val="TextBody"/>
        <w:spacing w:before="180" w:after="0"/>
        <w:rPr>
          <w:rFonts w:ascii="Times New Roman" w:hAnsi="Times New Roman"/>
          <w:sz w:val="20"/>
        </w:rPr>
      </w:pPr>
      <w:r>
        <w:rPr>
          <w:rFonts w:ascii="Times New Roman" w:hAnsi="Times New Roman"/>
          <w:sz w:val="20"/>
        </w:rPr>
        <w:t xml:space="preserve">(1) With respect to the Common Units, when (a) the Partnership has taken all necessary action to approve the issuance of such Common Units, the terms of the offering thereof and related matters and (b)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and non-assessable. </w:t>
      </w:r>
    </w:p>
    <w:p>
      <w:pPr>
        <w:pStyle w:val="TextBody"/>
        <w:spacing w:before="180" w:after="0"/>
        <w:rPr>
          <w:rFonts w:ascii="Times New Roman" w:hAnsi="Times New Roman"/>
          <w:sz w:val="20"/>
        </w:rPr>
      </w:pPr>
      <w:r>
        <w:rPr>
          <w:rFonts w:ascii="Times New Roman" w:hAnsi="Times New Roman"/>
          <w:sz w:val="20"/>
        </w:rPr>
        <w:t xml:space="preserve">(2) With respect to the Debt Securities, when (a) the applicable Indenture has been duly qualified under the Trust Indenture Act of 1939, as amended; (b) the Partnership and PAA Finance, as applicable, have taken all necessary action to duly authorize and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149"/>
        <w:gridCol w:w="120"/>
        <w:gridCol w:w="4936"/>
      </w:tblGrid>
      <w:tr>
        <w:trPr/>
        <w:tc>
          <w:tcPr>
            <w:tcW w:w="51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36" w:type="dxa"/>
            <w:tcBorders/>
            <w:shd w:fill="auto" w:val="clear"/>
            <w:vAlign w:val="center"/>
          </w:tcPr>
          <w:p>
            <w:pPr>
              <w:pStyle w:val="TableContents"/>
              <w:spacing w:before="0" w:after="283"/>
              <w:rPr>
                <w:sz w:val="4"/>
                <w:szCs w:val="4"/>
              </w:rPr>
            </w:pPr>
            <w:r>
              <w:rPr>
                <w:sz w:val="4"/>
                <w:szCs w:val="4"/>
              </w:rPr>
            </w:r>
          </w:p>
        </w:tc>
      </w:tr>
      <w:tr>
        <w:trPr/>
        <w:tc>
          <w:tcPr>
            <w:tcW w:w="5149" w:type="dxa"/>
            <w:tcBorders/>
            <w:shd w:fill="auto" w:val="clear"/>
          </w:tcPr>
          <w:p>
            <w:pPr>
              <w:pStyle w:val="TableContents"/>
              <w:spacing w:before="0" w:after="283"/>
              <w:rPr/>
            </w:pPr>
            <w:r>
              <w:rPr/>
              <w:drawing>
                <wp:inline distT="0" distB="0" distL="0" distR="0">
                  <wp:extent cx="485775"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5775" cy="190500"/>
                          </a:xfrm>
                          <a:prstGeom prst="rect">
                            <a:avLst/>
                          </a:prstGeom>
                        </pic:spPr>
                      </pic:pic>
                    </a:graphicData>
                  </a:graphic>
                </wp:inline>
              </w:drawing>
            </w:r>
            <w:r>
              <w:rPr/>
              <w:t xml:space="preserve"> </w:t>
            </w:r>
          </w:p>
        </w:tc>
        <w:tc>
          <w:tcPr>
            <w:tcW w:w="120" w:type="dxa"/>
            <w:tcBorders/>
            <w:shd w:fill="auto" w:val="clear"/>
            <w:vAlign w:val="bottom"/>
          </w:tcPr>
          <w:p>
            <w:pPr>
              <w:pStyle w:val="TableContents"/>
              <w:spacing w:before="0" w:after="283"/>
              <w:rPr/>
            </w:pPr>
            <w:r>
              <w:rPr/>
              <w:t>  </w:t>
            </w:r>
          </w:p>
        </w:tc>
        <w:tc>
          <w:tcPr>
            <w:tcW w:w="49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September 27, 2012 Page 3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approve the issuance and terms of such Debt Securities, the terms of the offering thereof and related matters; and (c)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180" w:after="0"/>
        <w:rPr>
          <w:rFonts w:ascii="Times New Roman" w:hAnsi="Times New Roman"/>
          <w:sz w:val="20"/>
        </w:rPr>
      </w:pPr>
      <w:r>
        <w:rPr>
          <w:rFonts w:ascii="Times New Roman" w:hAnsi="Times New Roman"/>
          <w:sz w:val="20"/>
        </w:rPr>
        <w:t xml:space="preserve">(1) We have assumed, without independent verification, that the certificates for the Common Units will conform to the specimens thereof examined by us and will have been duly countersigned by a transfer agent and duly registered by a registrar of the Common Units. </w:t>
      </w:r>
    </w:p>
    <w:p>
      <w:pPr>
        <w:pStyle w:val="TextBody"/>
        <w:spacing w:before="180" w:after="0"/>
        <w:rPr>
          <w:rFonts w:ascii="Times New Roman" w:hAnsi="Times New Roman"/>
          <w:sz w:val="20"/>
        </w:rPr>
      </w:pPr>
      <w:r>
        <w:rPr>
          <w:rFonts w:ascii="Times New Roman" w:hAnsi="Times New Roman"/>
          <w:sz w:val="20"/>
        </w:rPr>
        <w:t xml:space="preserve">(2) We have assumed that (a) each document submitted to us for review is accurate and complete, each such document that is an original is authentic, each such document that is a copy conforms to an authentic original and all signatures on each such document are genuine and (b) each certificate from governmental officials reviewed by us is accurate, complete and authentic, and all official public records are accurate and complete. </w:t>
      </w:r>
    </w:p>
    <w:p>
      <w:pPr>
        <w:pStyle w:val="TextBody"/>
        <w:spacing w:before="180" w:after="0"/>
        <w:rPr>
          <w:rFonts w:ascii="Times New Roman" w:hAnsi="Times New Roman"/>
          <w:sz w:val="20"/>
        </w:rPr>
      </w:pPr>
      <w:r>
        <w:rPr>
          <w:rFonts w:ascii="Times New Roman" w:hAnsi="Times New Roman"/>
          <w:sz w:val="20"/>
        </w:rPr>
        <w:t xml:space="preserve">(3) We express no opinions concerning (a) the validity or enforceability of any provisions contained in the Indentures that purport to waive or not give effect to the rights to notices, defenses, subrogation or other rights or benefits that cannot be effectively waived under applicable law; or (b) the enforceability of indemnification provisions to the extent they purport to relate to liabilities resulting from or based upon negligence or any violation of federal or state securities or blue sky laws.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174"/>
        <w:gridCol w:w="123"/>
        <w:gridCol w:w="4908"/>
      </w:tblGrid>
      <w:tr>
        <w:trPr/>
        <w:tc>
          <w:tcPr>
            <w:tcW w:w="517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4908" w:type="dxa"/>
            <w:tcBorders/>
            <w:shd w:fill="auto" w:val="clear"/>
            <w:vAlign w:val="center"/>
          </w:tcPr>
          <w:p>
            <w:pPr>
              <w:pStyle w:val="TableContents"/>
              <w:spacing w:before="0" w:after="283"/>
              <w:rPr>
                <w:sz w:val="4"/>
                <w:szCs w:val="4"/>
              </w:rPr>
            </w:pPr>
            <w:r>
              <w:rPr>
                <w:sz w:val="4"/>
                <w:szCs w:val="4"/>
              </w:rPr>
            </w:r>
          </w:p>
        </w:tc>
      </w:tr>
      <w:tr>
        <w:trPr/>
        <w:tc>
          <w:tcPr>
            <w:tcW w:w="5174" w:type="dxa"/>
            <w:tcBorders/>
            <w:shd w:fill="auto" w:val="clear"/>
          </w:tcPr>
          <w:p>
            <w:pPr>
              <w:pStyle w:val="TableContents"/>
              <w:spacing w:before="0" w:after="283"/>
              <w:rPr/>
            </w:pPr>
            <w:r>
              <w:rPr/>
              <w:drawing>
                <wp:inline distT="0" distB="0" distL="0" distR="0">
                  <wp:extent cx="485775"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5775" cy="190500"/>
                          </a:xfrm>
                          <a:prstGeom prst="rect">
                            <a:avLst/>
                          </a:prstGeom>
                        </pic:spPr>
                      </pic:pic>
                    </a:graphicData>
                  </a:graphic>
                </wp:inline>
              </w:drawing>
            </w:r>
            <w:r>
              <w:rPr/>
              <w:t xml:space="preserve"> </w:t>
            </w:r>
          </w:p>
        </w:tc>
        <w:tc>
          <w:tcPr>
            <w:tcW w:w="123" w:type="dxa"/>
            <w:tcBorders/>
            <w:shd w:fill="auto" w:val="clear"/>
            <w:vAlign w:val="bottom"/>
          </w:tcPr>
          <w:p>
            <w:pPr>
              <w:pStyle w:val="TableContents"/>
              <w:spacing w:before="0" w:after="283"/>
              <w:rPr/>
            </w:pPr>
            <w:r>
              <w:rPr/>
              <w:t>  </w:t>
            </w:r>
          </w:p>
        </w:tc>
        <w:tc>
          <w:tcPr>
            <w:tcW w:w="4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September 27, 2012 Page 4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The foregoing opinion is limited in all respects to U.S. federal laws, as interpreted by federal courts, and all applicable Delaware statutory provisions, as well as the reported judicial decisions interpreting such provisions. </w:t>
      </w:r>
    </w:p>
    <w:p>
      <w:pPr>
        <w:pStyle w:val="TextBody"/>
        <w:spacing w:before="180" w:after="0"/>
        <w:rPr>
          <w:rFonts w:ascii="Times New Roman" w:hAnsi="Times New Roman"/>
          <w:sz w:val="20"/>
        </w:rPr>
      </w:pPr>
      <w:r>
        <w:rPr>
          <w:rFonts w:ascii="Times New Roman" w:hAnsi="Times New Roman"/>
          <w:sz w:val="20"/>
        </w:rPr>
        <w:t xml:space="preserve">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Securities and Exchange Commission issued thereunder.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Very truly yours,</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/s/ Vinson &amp; Elkins L.L.P.</w:t>
            </w:r>
          </w:p>
        </w:tc>
      </w:tr>
    </w:tbl>
    <w:p>
      <w:pPr>
        <w:pStyle w:val="TextBody"/>
        <w:spacing w:before="0" w:after="0"/>
        <w:jc w:val="right"/>
        <w:rPr>
          <w:rFonts w:ascii="Times New Roman" w:hAnsi="Times New Roman"/>
          <w:b/>
          <w:sz w:val="20"/>
        </w:rPr>
      </w:pPr>
      <w:r>
        <w:br w:type="page"/>
      </w:r>
      <w:bookmarkStart w:id="20" w:name="d415854dex81.htm"/>
      <w:bookmarkStart w:id="21" w:name="ksd415854dex81"/>
      <w:bookmarkEnd w:id="20"/>
      <w:bookmarkEnd w:id="21"/>
      <w:r>
        <w:rPr>
          <w:rFonts w:ascii="Times New Roman" w:hAnsi="Times New Roman"/>
          <w:b/>
          <w:sz w:val="20"/>
        </w:rPr>
        <w:t xml:space="preserve">Exhibit 8.1 </w:t>
      </w:r>
    </w:p>
    <w:p>
      <w:pPr>
        <w:pStyle w:val="TextBody"/>
        <w:spacing w:before="0" w:after="0"/>
        <w:rPr/>
      </w:pPr>
      <w:r>
        <w:rPr/>
        <w:t> </w:t>
      </w:r>
    </w:p>
    <w:p>
      <w:pPr>
        <w:pStyle w:val="TextBody"/>
        <w:spacing w:before="180" w:after="0"/>
        <w:rPr/>
      </w:pPr>
      <w:r>
        <w:rPr/>
        <w:drawing>
          <wp:inline distT="0" distB="0" distL="0" distR="0">
            <wp:extent cx="1685925" cy="200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85925" cy="200025"/>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September 27,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Re: Plains All American Pipeline, L.P. Registration Statement on Form S-3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We have acted as counsel to Plains All American Pipeline, L.P. (the </w:t>
      </w:r>
      <w:r>
        <w:rPr>
          <w:rFonts w:ascii="Times New Roman" w:hAnsi="Times New Roman"/>
          <w:b/>
          <w:i/>
          <w:sz w:val="20"/>
        </w:rPr>
        <w:t>Partnership</w:t>
      </w:r>
      <w:r>
        <w:rPr>
          <w:rFonts w:ascii="Times New Roman" w:hAnsi="Times New Roman"/>
          <w:sz w:val="20"/>
        </w:rPr>
        <w:t>), a Delaware limited partnership, and PAA Finance Corp. (</w:t>
      </w:r>
      <w:r>
        <w:rPr>
          <w:rFonts w:ascii="Times New Roman" w:hAnsi="Times New Roman"/>
          <w:b/>
          <w:i/>
          <w:sz w:val="20"/>
        </w:rPr>
        <w:t>Finance Corp.</w:t>
      </w:r>
      <w:r>
        <w:rPr>
          <w:rFonts w:ascii="Times New Roman" w:hAnsi="Times New Roman"/>
          <w:sz w:val="20"/>
        </w:rPr>
        <w:t>), a Delaware corporation, and certain other subsidiaries of the Partnership with respect to certain legal matters in connection with the preparation of a Prospectus dated on or about the date hereof (the </w:t>
      </w:r>
      <w:r>
        <w:rPr>
          <w:rFonts w:ascii="Times New Roman" w:hAnsi="Times New Roman"/>
          <w:b/>
          <w:i/>
          <w:sz w:val="20"/>
        </w:rPr>
        <w:t>Prospectus</w:t>
      </w:r>
      <w:r>
        <w:rPr>
          <w:rFonts w:ascii="Times New Roman" w:hAnsi="Times New Roman"/>
          <w:sz w:val="20"/>
        </w:rPr>
        <w:t>), forming part of the Registration Statement on Form S-3, (the </w:t>
      </w:r>
      <w:r>
        <w:rPr>
          <w:rFonts w:ascii="Times New Roman" w:hAnsi="Times New Roman"/>
          <w:b/>
          <w:i/>
          <w:sz w:val="20"/>
        </w:rPr>
        <w:t>Registration Statement</w:t>
      </w:r>
      <w:r>
        <w:rPr>
          <w:rFonts w:ascii="Times New Roman" w:hAnsi="Times New Roman"/>
          <w:sz w:val="20"/>
        </w:rPr>
        <w:t>). The Registration Statement relates to the registration under the Securities Act of 1933, as amended (the </w:t>
      </w:r>
      <w:r>
        <w:rPr>
          <w:rFonts w:ascii="Times New Roman" w:hAnsi="Times New Roman"/>
          <w:b/>
          <w:i/>
          <w:sz w:val="20"/>
        </w:rPr>
        <w:t>Securities Act</w:t>
      </w:r>
      <w:r>
        <w:rPr>
          <w:rFonts w:ascii="Times New Roman" w:hAnsi="Times New Roman"/>
          <w:sz w:val="20"/>
        </w:rPr>
        <w:t xml:space="preserve">), respecting the offer from time to time, pursuant to Rule 415 of the Securities Act, an indeterminate amount 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common units representing limited partner interests in the Partnership;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debt securities, which may be co-issued by Finance Corp., consisting of senior debt securities or subordinated debt securities (the </w:t>
            </w:r>
            <w:r>
              <w:rPr>
                <w:rFonts w:ascii="Times New Roman" w:hAnsi="Times New Roman"/>
                <w:b/>
                <w:i/>
                <w:sz w:val="20"/>
              </w:rPr>
              <w:t>Debt Securities</w:t>
            </w:r>
            <w:r>
              <w:rPr>
                <w:rFonts w:ascii="Times New Roman" w:hAnsi="Times New Roman"/>
                <w:sz w:val="20"/>
              </w:rPr>
              <w:t xml:space="preserve">). </w:t>
            </w:r>
          </w:p>
        </w:tc>
      </w:tr>
    </w:tbl>
    <w:p>
      <w:pPr>
        <w:pStyle w:val="TextBody"/>
        <w:spacing w:before="180" w:after="0"/>
        <w:rPr>
          <w:rFonts w:ascii="Times New Roman" w:hAnsi="Times New Roman"/>
          <w:sz w:val="20"/>
        </w:rPr>
      </w:pPr>
      <w:r>
        <w:rPr>
          <w:rFonts w:ascii="Times New Roman" w:hAnsi="Times New Roman"/>
          <w:sz w:val="20"/>
        </w:rPr>
        <w:t>This opinion is based on various facts and assumptions, and is conditioned upon certain representations made by the Partnership as to factual matters through a certificate of an officer of the Partnership (the </w:t>
      </w:r>
      <w:r>
        <w:rPr>
          <w:rFonts w:ascii="Times New Roman" w:hAnsi="Times New Roman"/>
          <w:b/>
          <w:i/>
          <w:sz w:val="20"/>
        </w:rPr>
        <w:t>Officers Certificate</w:t>
      </w:r>
      <w:r>
        <w:rPr>
          <w:rFonts w:ascii="Times New Roman" w:hAnsi="Times New Roman"/>
          <w:sz w:val="20"/>
        </w:rPr>
        <w:t xml:space="preserve">). In addition, this opinion is based upon the factual representations of the Partnership concerning its business, properties and governing documents as set forth in the Registration Statement. </w:t>
      </w:r>
    </w:p>
    <w:p>
      <w:pPr>
        <w:pStyle w:val="TextBody"/>
        <w:spacing w:before="180" w:after="0"/>
        <w:rPr>
          <w:rFonts w:ascii="Times New Roman" w:hAnsi="Times New Roman"/>
          <w:sz w:val="20"/>
        </w:rPr>
      </w:pPr>
      <w:r>
        <w:rPr>
          <w:rFonts w:ascii="Times New Roman" w:hAnsi="Times New Roman"/>
          <w:sz w:val="20"/>
        </w:rPr>
        <w:t xml:space="preserve">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spacing w:before="180" w:after="0"/>
        <w:rPr>
          <w:rFonts w:ascii="Times New Roman" w:hAnsi="Times New Roman"/>
          <w:sz w:val="20"/>
        </w:rPr>
      </w:pPr>
      <w:r>
        <w:rPr>
          <w:rFonts w:ascii="Times New Roman" w:hAnsi="Times New Roman"/>
          <w:sz w:val="20"/>
        </w:rPr>
        <w:t xml:space="preserve">We are opining herein as to the effect on the subject transaction only of the federal income tax laws of the United States, and we express no opinion with respect to the applicability thereto, or the effect thereon, of other federal laws, foreign laws, the laws of any state or any other jurisdiction or as to any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01"/>
        <w:gridCol w:w="203"/>
        <w:gridCol w:w="102"/>
        <w:gridCol w:w="203"/>
        <w:gridCol w:w="4696"/>
      </w:tblGrid>
      <w:tr>
        <w:trPr/>
        <w:tc>
          <w:tcPr>
            <w:tcW w:w="500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auto" w:val="clear"/>
          </w:tcPr>
          <w:p>
            <w:pPr>
              <w:pStyle w:val="TableContents"/>
              <w:spacing w:before="0" w:after="0"/>
              <w:rPr>
                <w:rFonts w:ascii="Times New Roman" w:hAnsi="Times New Roman"/>
                <w:b/>
                <w:sz w:val="14"/>
              </w:rPr>
            </w:pPr>
            <w:r>
              <w:rPr>
                <w:rFonts w:ascii="Times New Roman" w:hAnsi="Times New Roman"/>
                <w:b/>
                <w:sz w:val="14"/>
              </w:rPr>
              <w:t>Vinson &amp; Elkins LLP Attorneys at Law</w:t>
            </w:r>
          </w:p>
          <w:p>
            <w:pPr>
              <w:pStyle w:val="TableContents"/>
              <w:spacing w:before="0" w:after="0"/>
              <w:rPr>
                <w:rFonts w:ascii="Times New Roman" w:hAnsi="Times New Roman"/>
                <w:sz w:val="14"/>
              </w:rPr>
            </w:pPr>
            <w:r>
              <w:rPr>
                <w:rFonts w:ascii="Times New Roman" w:hAnsi="Times New Roman"/>
                <w:sz w:val="14"/>
              </w:rPr>
              <w:t>Abu  Dhabi  Austin  Beijing  Dallas  Dubai  Hong  Kong  Houston  London</w:t>
            </w:r>
          </w:p>
          <w:p>
            <w:pPr>
              <w:pStyle w:val="TableContents"/>
              <w:spacing w:before="0" w:after="15"/>
              <w:rPr>
                <w:rFonts w:ascii="Times New Roman" w:hAnsi="Times New Roman"/>
                <w:sz w:val="14"/>
              </w:rPr>
            </w:pPr>
            <w:r>
              <w:rPr>
                <w:rFonts w:ascii="Times New Roman" w:hAnsi="Times New Roman"/>
                <w:sz w:val="14"/>
              </w:rPr>
              <w:t>Moscow  New  York  Palo  Alto  Riyadh  Shanghai  Tokyo   Washington</w:t>
            </w:r>
          </w:p>
        </w:tc>
        <w:tc>
          <w:tcPr>
            <w:tcW w:w="203"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696"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First City Tower, 1001 Fannin Street, Suite 2500</w:t>
            </w:r>
          </w:p>
          <w:p>
            <w:pPr>
              <w:pStyle w:val="TableContents"/>
              <w:spacing w:before="0" w:after="0"/>
              <w:rPr>
                <w:rFonts w:ascii="Times New Roman" w:hAnsi="Times New Roman"/>
                <w:sz w:val="14"/>
              </w:rPr>
            </w:pPr>
            <w:r>
              <w:rPr>
                <w:rFonts w:ascii="Times New Roman" w:hAnsi="Times New Roman"/>
                <w:sz w:val="14"/>
              </w:rPr>
              <w:t>Houston, TX 77002-6760</w:t>
            </w:r>
          </w:p>
          <w:p>
            <w:pPr>
              <w:pStyle w:val="TableContents"/>
              <w:spacing w:before="0" w:after="15"/>
              <w:rPr>
                <w:rFonts w:ascii="Times New Roman" w:hAnsi="Times New Roman"/>
                <w:sz w:val="14"/>
              </w:rPr>
            </w:pPr>
            <w:r>
              <w:rPr>
                <w:rFonts w:ascii="Times New Roman" w:hAnsi="Times New Roman"/>
                <w:b/>
                <w:sz w:val="14"/>
              </w:rPr>
              <w:t>Tel</w:t>
            </w:r>
            <w:r>
              <w:rPr>
                <w:rFonts w:ascii="Times New Roman" w:hAnsi="Times New Roman"/>
                <w:sz w:val="14"/>
              </w:rPr>
              <w:t xml:space="preserve"> +1.713.758.2222 </w:t>
            </w:r>
            <w:r>
              <w:rPr>
                <w:rFonts w:ascii="Times New Roman" w:hAnsi="Times New Roman"/>
                <w:b/>
                <w:sz w:val="14"/>
              </w:rPr>
              <w:t>Fax</w:t>
            </w:r>
            <w:r>
              <w:rPr>
                <w:rFonts w:ascii="Times New Roman" w:hAnsi="Times New Roman"/>
                <w:sz w:val="14"/>
              </w:rPr>
              <w:t xml:space="preserve"> +1.713.758.2346 </w:t>
            </w:r>
            <w:r>
              <w:rPr>
                <w:rFonts w:ascii="Times New Roman" w:hAnsi="Times New Roman"/>
                <w:b/>
                <w:sz w:val="14"/>
              </w:rPr>
              <w:t>www.velaw.com</w:t>
            </w:r>
          </w:p>
        </w:tc>
      </w:tr>
    </w:tbl>
    <w:p>
      <w:pPr>
        <w:pStyle w:val="HorizontalLine"/>
        <w:pBdr>
          <w:bottom w:val="double" w:sz="6" w:space="0" w:color="808080"/>
        </w:pBdr>
        <w:rPr/>
      </w:pPr>
      <w:r>
        <w:br w:type="page"/>
      </w:r>
      <w:r>
        <w:rPr/>
      </w:r>
    </w:p>
    <w:p>
      <w:pPr>
        <w:pStyle w:val="TextBody"/>
        <w:spacing w:before="0" w:after="0"/>
        <w:rPr/>
      </w:pPr>
      <w:r>
        <w:rPr/>
        <w:drawing>
          <wp:inline distT="0" distB="0" distL="0" distR="0">
            <wp:extent cx="48577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5775" cy="19050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matters of municipal law or the laws of any other local agencies within any state. 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No opinion is expressed as to any matter not discussed therein. </w:t>
      </w:r>
    </w:p>
    <w:p>
      <w:pPr>
        <w:pStyle w:val="TextBody"/>
        <w:spacing w:before="180" w:after="0"/>
        <w:rPr>
          <w:rFonts w:ascii="Times New Roman" w:hAnsi="Times New Roman"/>
          <w:sz w:val="20"/>
        </w:rPr>
      </w:pPr>
      <w:r>
        <w:rPr>
          <w:rFonts w:ascii="Times New Roman" w:hAnsi="Times New Roman"/>
          <w:sz w:val="20"/>
        </w:rPr>
        <w:t xml:space="preserve">This opinion is rendered to you as of the effective date of the Registration Statement,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spacing w:before="180" w:after="0"/>
        <w:rPr>
          <w:rFonts w:ascii="Times New Roman" w:hAnsi="Times New Roman"/>
          <w:sz w:val="20"/>
        </w:rPr>
      </w:pPr>
      <w:r>
        <w:rPr>
          <w:rFonts w:ascii="Times New Roman" w:hAnsi="Times New Roman"/>
          <w:sz w:val="20"/>
        </w:rPr>
        <w:t xml:space="preserve">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limited partnership units or debt securities pursuant to the Registration Statement. </w:t>
      </w:r>
    </w:p>
    <w:p>
      <w:pPr>
        <w:pStyle w:val="TextBody"/>
        <w:spacing w:before="180" w:after="0"/>
        <w:rPr>
          <w:rFonts w:ascii="Times New Roman" w:hAnsi="Times New Roman"/>
          <w:sz w:val="20"/>
        </w:rPr>
      </w:pPr>
      <w:r>
        <w:rPr>
          <w:rFonts w:ascii="Times New Roman" w:hAnsi="Times New Roman"/>
          <w:sz w:val="20"/>
        </w:rPr>
        <w:t xml:space="preserve">We hereby consent to the filing of this opinion as an exhibit to the Prospectus and to the use of our name under the captions Material U.S. Federal Income Tax Consequences and Legal Matters in the Registration Statement. By giving this consent, we do not admit that we are within the category of persons whose consent is required under Section 7 of the Securities Act and the rules and regulations thereunder.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VINSON &amp; ELKINS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Vinson &amp; Elkins L.L.P.</w:t>
            </w:r>
          </w:p>
        </w:tc>
      </w:tr>
    </w:tbl>
    <w:p>
      <w:pPr>
        <w:pStyle w:val="TextBody"/>
        <w:spacing w:before="0" w:after="0"/>
        <w:jc w:val="right"/>
        <w:rPr>
          <w:rFonts w:ascii="Times New Roman" w:hAnsi="Times New Roman"/>
          <w:b/>
          <w:sz w:val="20"/>
        </w:rPr>
      </w:pPr>
      <w:r>
        <w:br w:type="page"/>
      </w:r>
      <w:bookmarkStart w:id="22" w:name="d415854dex231.htm"/>
      <w:bookmarkStart w:id="23" w:name="ksd415854dex231"/>
      <w:bookmarkEnd w:id="22"/>
      <w:bookmarkEnd w:id="23"/>
      <w:r>
        <w:rPr>
          <w:rFonts w:ascii="Times New Roman" w:hAnsi="Times New Roman"/>
          <w:b/>
          <w:sz w:val="20"/>
        </w:rPr>
        <w:t xml:space="preserve">Exhibit 23.1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180" w:after="0"/>
        <w:rPr>
          <w:rFonts w:ascii="Times New Roman" w:hAnsi="Times New Roman"/>
          <w:sz w:val="20"/>
        </w:rPr>
      </w:pPr>
      <w:r>
        <w:rPr>
          <w:rFonts w:ascii="Times New Roman" w:hAnsi="Times New Roman"/>
          <w:sz w:val="20"/>
        </w:rPr>
        <w:t xml:space="preserve">We hereby consent to the incorporation by reference in this Registration Statement on Form S-3 of our report dated February 27, 2012 relating to the financial statements and the effectiveness of internal control over financial reporting, which appears in Plains All American Pipeline, L.P.s Annual Report on Form 10-K for the year ended December 31, 2011. We also consent to the reference to us under the heading Experts in such Registration Statement. </w:t>
      </w:r>
    </w:p>
    <w:p>
      <w:pPr>
        <w:pStyle w:val="TextBody"/>
        <w:spacing w:before="180" w:after="0"/>
        <w:rPr>
          <w:rFonts w:ascii="Times New Roman" w:hAnsi="Times New Roman"/>
          <w:sz w:val="20"/>
        </w:rPr>
      </w:pPr>
      <w:r>
        <w:rPr>
          <w:rFonts w:ascii="Times New Roman" w:hAnsi="Times New Roman"/>
          <w:sz w:val="20"/>
        </w:rPr>
        <w:t xml:space="preserve">/s/ PricewaterhouseCoopers LLP </w:t>
      </w:r>
    </w:p>
    <w:p>
      <w:pPr>
        <w:pStyle w:val="TextBody"/>
        <w:spacing w:before="180" w:after="0"/>
        <w:rPr>
          <w:rFonts w:ascii="Times New Roman" w:hAnsi="Times New Roman"/>
          <w:sz w:val="20"/>
        </w:rPr>
      </w:pPr>
      <w:r>
        <w:rPr>
          <w:rFonts w:ascii="Times New Roman" w:hAnsi="Times New Roman"/>
          <w:sz w:val="20"/>
        </w:rPr>
        <w:t xml:space="preserve">Houston, Texas </w:t>
      </w:r>
    </w:p>
    <w:p>
      <w:pPr>
        <w:pStyle w:val="TextBody"/>
        <w:spacing w:before="0" w:after="0"/>
        <w:rPr>
          <w:rFonts w:ascii="Times New Roman" w:hAnsi="Times New Roman"/>
          <w:sz w:val="20"/>
        </w:rPr>
      </w:pPr>
      <w:r>
        <w:rPr>
          <w:rFonts w:ascii="Times New Roman" w:hAnsi="Times New Roman"/>
          <w:sz w:val="20"/>
        </w:rPr>
        <w:t xml:space="preserve">September 27, 2012 </w:t>
      </w:r>
      <w:r>
        <w:br w:type="page"/>
      </w:r>
    </w:p>
    <w:p>
      <w:pPr>
        <w:pStyle w:val="TextBody"/>
        <w:spacing w:before="0" w:after="0"/>
        <w:jc w:val="right"/>
        <w:rPr>
          <w:rFonts w:ascii="Times New Roman" w:hAnsi="Times New Roman"/>
          <w:b/>
          <w:sz w:val="20"/>
        </w:rPr>
      </w:pPr>
      <w:bookmarkStart w:id="24" w:name="d415854dex232.htm"/>
      <w:bookmarkStart w:id="25" w:name="ksd415854dex232"/>
      <w:bookmarkEnd w:id="24"/>
      <w:bookmarkEnd w:id="25"/>
      <w:r>
        <w:rPr>
          <w:rFonts w:ascii="Times New Roman" w:hAnsi="Times New Roman"/>
          <w:b/>
          <w:sz w:val="20"/>
        </w:rPr>
        <w:t xml:space="preserve">Exhibit 23.2 </w:t>
      </w:r>
    </w:p>
    <w:p>
      <w:pPr>
        <w:pStyle w:val="TextBody"/>
        <w:spacing w:before="180" w:after="0"/>
        <w:jc w:val="center"/>
        <w:rPr>
          <w:rFonts w:ascii="Times New Roman" w:hAnsi="Times New Roman"/>
          <w:b/>
          <w:sz w:val="20"/>
        </w:rPr>
      </w:pPr>
      <w:r>
        <w:rPr>
          <w:rFonts w:ascii="Times New Roman" w:hAnsi="Times New Roman"/>
          <w:b/>
          <w:sz w:val="20"/>
        </w:rPr>
        <w:t xml:space="preserve">CONSENT OF INDEPENDENT AUDITORS </w:t>
      </w:r>
    </w:p>
    <w:p>
      <w:pPr>
        <w:pStyle w:val="TextBody"/>
        <w:spacing w:before="180" w:after="0"/>
        <w:rPr>
          <w:rFonts w:ascii="Times New Roman" w:hAnsi="Times New Roman"/>
          <w:sz w:val="20"/>
        </w:rPr>
      </w:pPr>
      <w:r>
        <w:rPr>
          <w:rFonts w:ascii="Times New Roman" w:hAnsi="Times New Roman"/>
          <w:sz w:val="20"/>
        </w:rPr>
        <w:t xml:space="preserve">We consent to the reference to our firm under the caption Experts and to the incorporation by reference of our report dated March 22, 2012 relating to the financial statements of Project Argyle, a business owned by BP p.l.c. and affiliates, in the Registration Statement on Form S-3 dated September 27, 2012 of Plains All American Pipeline, L.P., which report is included in the Current Report on Form 8-K/A of Plains All American Pipeline, L.P. filed on May 29, 2012 with the Securities and Exchange Commission. </w:t>
      </w:r>
    </w:p>
    <w:p>
      <w:pPr>
        <w:pStyle w:val="TextBody"/>
        <w:spacing w:before="180" w:after="0"/>
        <w:rPr>
          <w:rFonts w:ascii="Times New Roman" w:hAnsi="Times New Roman"/>
          <w:sz w:val="20"/>
        </w:rPr>
      </w:pPr>
      <w:r>
        <w:rPr>
          <w:rFonts w:ascii="Times New Roman" w:hAnsi="Times New Roman"/>
          <w:sz w:val="20"/>
        </w:rPr>
        <w:t xml:space="preserve">/s/ ERNST &amp; YOUNG LLP </w:t>
      </w:r>
    </w:p>
    <w:p>
      <w:pPr>
        <w:pStyle w:val="TextBody"/>
        <w:spacing w:before="180" w:after="0"/>
        <w:rPr>
          <w:rFonts w:ascii="Times New Roman" w:hAnsi="Times New Roman"/>
          <w:sz w:val="20"/>
        </w:rPr>
      </w:pPr>
      <w:r>
        <w:rPr>
          <w:rFonts w:ascii="Times New Roman" w:hAnsi="Times New Roman"/>
          <w:sz w:val="20"/>
        </w:rPr>
        <w:t xml:space="preserve">Calgary, Canada </w:t>
      </w:r>
    </w:p>
    <w:p>
      <w:pPr>
        <w:pStyle w:val="TextBody"/>
        <w:spacing w:before="0" w:after="0"/>
        <w:rPr>
          <w:rFonts w:ascii="Times New Roman" w:hAnsi="Times New Roman"/>
          <w:sz w:val="20"/>
        </w:rPr>
      </w:pPr>
      <w:r>
        <w:rPr>
          <w:rFonts w:ascii="Times New Roman" w:hAnsi="Times New Roman"/>
          <w:sz w:val="20"/>
        </w:rPr>
        <w:t xml:space="preserve">September 27, 2012 </w:t>
      </w:r>
      <w:r>
        <w:br w:type="page"/>
      </w:r>
    </w:p>
    <w:p>
      <w:pPr>
        <w:pStyle w:val="TextBody"/>
        <w:spacing w:before="0" w:after="0"/>
        <w:jc w:val="right"/>
        <w:rPr>
          <w:rFonts w:ascii="Times New Roman" w:hAnsi="Times New Roman"/>
          <w:b/>
          <w:sz w:val="20"/>
        </w:rPr>
      </w:pPr>
      <w:bookmarkStart w:id="26" w:name="d415854dex251.htm"/>
      <w:bookmarkStart w:id="27" w:name="ksd415854dex251"/>
      <w:bookmarkEnd w:id="26"/>
      <w:bookmarkEnd w:id="27"/>
      <w:r>
        <w:rPr>
          <w:rFonts w:ascii="Times New Roman" w:hAnsi="Times New Roman"/>
          <w:b/>
          <w:sz w:val="20"/>
        </w:rPr>
        <w:t xml:space="preserve">Exhibit 25.1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T-1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4"/>
        </w:rPr>
      </w:pPr>
      <w:r>
        <w:rPr>
          <w:rFonts w:ascii="Times New Roman" w:hAnsi="Times New Roman"/>
          <w:b/>
          <w:sz w:val="24"/>
        </w:rPr>
        <w:t xml:space="preserve">STATEMENT OF ELIGIBILITY </w:t>
      </w:r>
    </w:p>
    <w:p>
      <w:pPr>
        <w:pStyle w:val="TextBody"/>
        <w:spacing w:before="0" w:after="0"/>
        <w:jc w:val="center"/>
        <w:rPr>
          <w:rFonts w:ascii="Times New Roman" w:hAnsi="Times New Roman"/>
          <w:b/>
          <w:sz w:val="24"/>
        </w:rPr>
      </w:pPr>
      <w:r>
        <w:rPr>
          <w:rFonts w:ascii="Times New Roman" w:hAnsi="Times New Roman"/>
          <w:b/>
          <w:sz w:val="24"/>
        </w:rPr>
        <w:t xml:space="preserve">UNDER THE TRUST INDENTURE ACT OF 1939 OF A </w:t>
      </w:r>
    </w:p>
    <w:p>
      <w:pPr>
        <w:pStyle w:val="TextBody"/>
        <w:spacing w:before="0" w:after="0"/>
        <w:jc w:val="center"/>
        <w:rPr>
          <w:rFonts w:ascii="Times New Roman" w:hAnsi="Times New Roman"/>
          <w:b/>
          <w:sz w:val="24"/>
        </w:rPr>
      </w:pPr>
      <w:r>
        <w:rPr>
          <w:rFonts w:ascii="Times New Roman" w:hAnsi="Times New Roman"/>
          <w:b/>
          <w:sz w:val="24"/>
        </w:rPr>
        <w:t xml:space="preserve">CORPORATION DESIGNATED TO ACT AS TRUSTEE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31-0841368 </w:t>
      </w:r>
    </w:p>
    <w:p>
      <w:pPr>
        <w:pStyle w:val="TextBody"/>
        <w:spacing w:before="0" w:after="0"/>
        <w:jc w:val="center"/>
        <w:rPr>
          <w:rFonts w:ascii="Times New Roman" w:hAnsi="Times New Roman"/>
          <w:b/>
          <w:sz w:val="14"/>
        </w:rPr>
      </w:pPr>
      <w:r>
        <w:rPr>
          <w:rFonts w:ascii="Times New Roman" w:hAnsi="Times New Roman"/>
          <w:b/>
          <w:sz w:val="14"/>
        </w:rPr>
        <w:t xml:space="preserve">I.R.S. Employer </w:t>
      </w:r>
    </w:p>
    <w:p>
      <w:pPr>
        <w:pStyle w:val="TextBody"/>
        <w:spacing w:before="0" w:after="0"/>
        <w:jc w:val="center"/>
        <w:rPr>
          <w:rFonts w:ascii="Times New Roman" w:hAnsi="Times New Roman"/>
          <w:b/>
          <w:sz w:val="14"/>
        </w:rPr>
      </w:pPr>
      <w:r>
        <w:rPr>
          <w:rFonts w:ascii="Times New Roman" w:hAnsi="Times New Roman"/>
          <w:b/>
          <w:sz w:val="14"/>
        </w:rPr>
        <w:t xml:space="preserve">Identification No.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800 Nicollet Mall</w:t>
            </w:r>
          </w:p>
          <w:p>
            <w:pPr>
              <w:pStyle w:val="TableContents"/>
              <w:spacing w:before="0" w:after="15"/>
              <w:jc w:val="center"/>
              <w:rPr>
                <w:rFonts w:ascii="Times New Roman" w:hAnsi="Times New Roman"/>
                <w:b/>
                <w:sz w:val="20"/>
              </w:rPr>
            </w:pPr>
            <w:r>
              <w:rPr>
                <w:rFonts w:ascii="Times New Roman" w:hAnsi="Times New Roman"/>
                <w:b/>
                <w:sz w:val="20"/>
              </w:rPr>
              <w:t>Minneapolis, Minnesota</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55402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Steven A. Finklea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5555 San Felipe, Suite 1150 </w:t>
      </w:r>
    </w:p>
    <w:p>
      <w:pPr>
        <w:pStyle w:val="TextBody"/>
        <w:spacing w:before="0" w:after="0"/>
        <w:jc w:val="center"/>
        <w:rPr>
          <w:rFonts w:ascii="Times New Roman" w:hAnsi="Times New Roman"/>
          <w:b/>
          <w:sz w:val="20"/>
        </w:rPr>
      </w:pPr>
      <w:r>
        <w:rPr>
          <w:rFonts w:ascii="Times New Roman" w:hAnsi="Times New Roman"/>
          <w:b/>
          <w:sz w:val="20"/>
        </w:rPr>
        <w:t xml:space="preserve">Houston, Texas 77057 </w:t>
      </w:r>
    </w:p>
    <w:p>
      <w:pPr>
        <w:pStyle w:val="TextBody"/>
        <w:spacing w:before="0" w:after="0"/>
        <w:jc w:val="center"/>
        <w:rPr>
          <w:rFonts w:ascii="Times New Roman" w:hAnsi="Times New Roman"/>
          <w:b/>
          <w:sz w:val="20"/>
        </w:rPr>
      </w:pPr>
      <w:r>
        <w:rPr>
          <w:rFonts w:ascii="Times New Roman" w:hAnsi="Times New Roman"/>
          <w:b/>
          <w:sz w:val="20"/>
        </w:rPr>
        <w:t xml:space="preserve">(713) 235-9208 </w:t>
      </w:r>
    </w:p>
    <w:p>
      <w:pPr>
        <w:pStyle w:val="TextBody"/>
        <w:spacing w:before="0" w:after="0"/>
        <w:jc w:val="center"/>
        <w:rPr>
          <w:rFonts w:ascii="Times New Roman" w:hAnsi="Times New Roman"/>
          <w:b/>
          <w:sz w:val="14"/>
        </w:rPr>
      </w:pPr>
      <w:r>
        <w:rPr>
          <w:rFonts w:ascii="Times New Roman" w:hAnsi="Times New Roman"/>
          <w:b/>
          <w:sz w:val="14"/>
        </w:rPr>
        <w:t xml:space="preserve">(Name, address and telephone number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PAA Finance Corp. </w:t>
      </w:r>
    </w:p>
    <w:p>
      <w:pPr>
        <w:pStyle w:val="TextBody"/>
        <w:spacing w:before="0" w:after="0"/>
        <w:jc w:val="center"/>
        <w:rPr>
          <w:rFonts w:ascii="Times New Roman" w:hAnsi="Times New Roman"/>
          <w:b/>
          <w:sz w:val="14"/>
        </w:rPr>
      </w:pPr>
      <w:r>
        <w:rPr>
          <w:rFonts w:ascii="Times New Roman" w:hAnsi="Times New Roman"/>
          <w:b/>
          <w:sz w:val="14"/>
        </w:rPr>
        <w:t xml:space="preserve">(Issuer with respect to the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5"/>
        <w:gridCol w:w="101"/>
        <w:gridCol w:w="4949"/>
      </w:tblGrid>
      <w:tr>
        <w:trPr/>
        <w:tc>
          <w:tcPr>
            <w:tcW w:w="51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15"/>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15"/>
              <w:jc w:val="center"/>
              <w:rPr>
                <w:rFonts w:ascii="Times New Roman" w:hAnsi="Times New Roman"/>
                <w:b/>
                <w:sz w:val="20"/>
              </w:rPr>
            </w:pPr>
            <w:r>
              <w:rPr>
                <w:rFonts w:ascii="Times New Roman" w:hAnsi="Times New Roman"/>
                <w:b/>
                <w:sz w:val="20"/>
              </w:rPr>
              <w:t>56-2464313</w:t>
            </w:r>
          </w:p>
        </w:tc>
      </w:tr>
      <w:tr>
        <w:trPr/>
        <w:tc>
          <w:tcPr>
            <w:tcW w:w="515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5155" w:type="dxa"/>
            <w:tcBorders/>
            <w:shd w:fill="auto" w:val="clear"/>
            <w:vAlign w:val="center"/>
          </w:tcPr>
          <w:p>
            <w:pPr>
              <w:pStyle w:val="TableContents"/>
              <w:spacing w:before="0" w:after="283"/>
              <w:rPr>
                <w:sz w:val="4"/>
                <w:szCs w:val="4"/>
              </w:rPr>
            </w:pPr>
            <w:r>
              <w:rPr>
                <w:sz w:val="4"/>
                <w:szCs w:val="4"/>
              </w:rPr>
            </w:r>
          </w:p>
        </w:tc>
        <w:tc>
          <w:tcPr>
            <w:tcW w:w="5050" w:type="dxa"/>
            <w:gridSpan w:val="2"/>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1"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Senior Debt </w:t>
      </w:r>
    </w:p>
    <w:p>
      <w:pPr>
        <w:pStyle w:val="TextBody"/>
        <w:spacing w:before="0" w:after="0"/>
        <w:jc w:val="center"/>
        <w:rPr>
          <w:rFonts w:ascii="Times New Roman" w:hAnsi="Times New Roman"/>
          <w:b/>
          <w:sz w:val="14"/>
        </w:rPr>
      </w:pPr>
      <w:r>
        <w:rPr>
          <w:rFonts w:ascii="Times New Roman" w:hAnsi="Times New Roman"/>
          <w:b/>
          <w:sz w:val="14"/>
        </w:rPr>
        <w:t xml:space="preserve">(Title of the Indenture Securities) </w:t>
      </w:r>
    </w:p>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spacing w:before="0" w:after="0"/>
        <w:rPr/>
      </w:pPr>
      <w:r>
        <w:rPr/>
        <w:t> </w:t>
      </w:r>
    </w:p>
    <w:tbl>
      <w:tblPr>
        <w:tblW w:w="10245" w:type="dxa"/>
        <w:jc w:val="center"/>
        <w:tblInd w:w="0" w:type="dxa"/>
        <w:tblCellMar>
          <w:top w:w="0" w:type="dxa"/>
          <w:left w:w="0" w:type="dxa"/>
          <w:bottom w:w="0" w:type="dxa"/>
          <w:right w:w="0" w:type="dxa"/>
        </w:tblCellMar>
      </w:tblPr>
      <w:tblGrid>
        <w:gridCol w:w="710"/>
        <w:gridCol w:w="120"/>
        <w:gridCol w:w="260"/>
        <w:gridCol w:w="120"/>
        <w:gridCol w:w="903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035"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953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w:t>
            </w:r>
          </w:p>
        </w:tc>
        <w:tc>
          <w:tcPr>
            <w:tcW w:w="120" w:type="dxa"/>
            <w:tcBorders/>
            <w:shd w:fill="auto" w:val="clear"/>
            <w:vAlign w:val="bottom"/>
          </w:tcPr>
          <w:p>
            <w:pPr>
              <w:pStyle w:val="TableContents"/>
              <w:spacing w:before="0" w:after="283"/>
              <w:rPr/>
            </w:pPr>
            <w:r>
              <w:rPr/>
              <w:t>  </w:t>
            </w:r>
          </w:p>
        </w:tc>
        <w:tc>
          <w:tcPr>
            <w:tcW w:w="9415"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Name and address of each examining or supervising authority to which it is subject.</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Comptroller of the Currency</w:t>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Washington, D.C.</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Whether it is authorized to exercise corporate trust powers.</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pPr>
            <w:r>
              <w:rPr/>
              <w:t> </w:t>
            </w:r>
            <w:r>
              <w:rPr>
                <w:rFonts w:ascii="Times New Roman" w:hAnsi="Times New Roman"/>
                <w:sz w:val="20"/>
              </w:rPr>
              <w:t>Yes</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953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2.</w:t>
            </w:r>
          </w:p>
        </w:tc>
        <w:tc>
          <w:tcPr>
            <w:tcW w:w="120" w:type="dxa"/>
            <w:tcBorders/>
            <w:shd w:fill="auto" w:val="clear"/>
            <w:vAlign w:val="bottom"/>
          </w:tcPr>
          <w:p>
            <w:pPr>
              <w:pStyle w:val="TableContents"/>
              <w:spacing w:before="0" w:after="283"/>
              <w:rPr/>
            </w:pPr>
            <w:r>
              <w:rPr/>
              <w:t>  </w:t>
            </w:r>
          </w:p>
        </w:tc>
        <w:tc>
          <w:tcPr>
            <w:tcW w:w="9415"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AFFILIATIONS WITH OBLIGOR.</w:t>
            </w:r>
            <w:r>
              <w:rPr>
                <w:rFonts w:ascii="Times New Roman" w:hAnsi="Times New Roman"/>
                <w:sz w:val="20"/>
              </w:rPr>
              <w:t xml:space="preserve"> </w:t>
            </w:r>
            <w:r>
              <w:rPr>
                <w:rFonts w:ascii="Times New Roman" w:hAnsi="Times New Roman"/>
                <w:i/>
                <w:sz w:val="20"/>
              </w:rPr>
              <w:t>If the obligor is an affiliate of the Trustee, describe each such affiliation.</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None</w:t>
            </w:r>
          </w:p>
        </w:tc>
      </w:tr>
      <w:tr>
        <w:trPr>
          <w:trHeight w:val="120" w:hRule="atLeast"/>
        </w:trPr>
        <w:tc>
          <w:tcPr>
            <w:tcW w:w="1090" w:type="dxa"/>
            <w:gridSpan w:val="3"/>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1090"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Items 3-15</w:t>
            </w: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Items 3-15 are not applicable because to the best of the Trustees knowledge, the obligor is not in default under any Indenture for which the Trustee acts as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9535"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16.</w:t>
            </w:r>
          </w:p>
        </w:tc>
        <w:tc>
          <w:tcPr>
            <w:tcW w:w="120" w:type="dxa"/>
            <w:tcBorders/>
            <w:shd w:fill="auto" w:val="clear"/>
            <w:vAlign w:val="bottom"/>
          </w:tcPr>
          <w:p>
            <w:pPr>
              <w:pStyle w:val="TableContents"/>
              <w:spacing w:before="0" w:after="283"/>
              <w:rPr/>
            </w:pPr>
            <w:r>
              <w:rPr/>
              <w:t>  </w:t>
            </w:r>
          </w:p>
        </w:tc>
        <w:tc>
          <w:tcPr>
            <w:tcW w:w="9415"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LIST OF EXHIBITS:</w:t>
            </w:r>
            <w:r>
              <w:rPr>
                <w:rFonts w:ascii="Times New Roman" w:hAnsi="Times New Roman"/>
                <w:sz w:val="20"/>
              </w:rPr>
              <w:t xml:space="preserve"> </w:t>
            </w:r>
            <w:r>
              <w:rPr>
                <w:rFonts w:ascii="Times New Roman" w:hAnsi="Times New Roman"/>
                <w:i/>
                <w:sz w:val="20"/>
              </w:rPr>
              <w:t>List below all exhibits filed as a part of this statement of eligibility and qualification.</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Articles of Association of the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certificate of authority of the Trustee to commence business, attached as Exhibit 2.</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certificate of authority of the Trustee to exercise corporate trust powers, attached as Exhibit 3.</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existing bylaws of the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each Indenture referred to in Item 4. Not applicable.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consent of the Trustee required by Section 321(b) of the Trust Indenture Act of 1939, attached as Exhibit 6.</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915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7.    </w:t>
            </w:r>
          </w:p>
        </w:tc>
        <w:tc>
          <w:tcPr>
            <w:tcW w:w="120" w:type="dxa"/>
            <w:tcBorders/>
            <w:shd w:fill="auto" w:val="clear"/>
            <w:vAlign w:val="bottom"/>
          </w:tcPr>
          <w:p>
            <w:pPr>
              <w:pStyle w:val="TableContents"/>
              <w:spacing w:before="0" w:after="283"/>
              <w:rPr/>
            </w:pPr>
            <w:r>
              <w:rPr/>
              <w:t>  </w:t>
            </w:r>
          </w:p>
        </w:tc>
        <w:tc>
          <w:tcPr>
            <w:tcW w:w="90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 of Condition of the Trustee as of June 30, 2012 published pursuant to law or the requirements of its supervising or examining authority, attached as Exhibit 7.</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Amendment No. 2 to registration statement on S-4, Registration Number 333-128217 filed on November 15, 2005.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registration statement on S-4, Registration Number 333-166527 filed on May 5, 2010.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pBdr/>
        <w:spacing w:before="180" w:after="0"/>
        <w:rPr/>
      </w:pPr>
      <w:r>
        <w:rPr>
          <w:rFonts w:ascii="Times New Roman" w:hAnsi="Times New Roman"/>
          <w:sz w:val="20"/>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20</w:t>
      </w:r>
      <w:r>
        <w:rPr>
          <w:rFonts w:ascii="Times New Roman" w:hAnsi="Times New Roman"/>
          <w:sz w:val="14"/>
        </w:rPr>
        <w:t xml:space="preserve">th </w:t>
      </w:r>
      <w:r>
        <w:rPr>
          <w:rFonts w:ascii="Times New Roman" w:hAnsi="Times New Roman"/>
          <w:sz w:val="20"/>
        </w:rPr>
        <w:t xml:space="preserve">of September,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spacing w:before="0" w:after="0"/>
        <w:rPr/>
      </w:pPr>
      <w:r>
        <w:rPr/>
        <w:t> </w:t>
      </w:r>
    </w:p>
    <w:p>
      <w:pPr>
        <w:pStyle w:val="TextBody"/>
        <w:spacing w:before="180" w:after="0"/>
        <w:rPr/>
      </w:pPr>
      <w:r>
        <w:rPr/>
        <w:drawing>
          <wp:inline distT="0" distB="0" distL="0" distR="0">
            <wp:extent cx="447675"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47675" cy="504825"/>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6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9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CERTIFICATE OF CORPORATE EXISTENCE </w:t>
      </w:r>
    </w:p>
    <w:p>
      <w:pPr>
        <w:pStyle w:val="TextBody"/>
        <w:spacing w:before="180" w:after="0"/>
        <w:rPr>
          <w:rFonts w:ascii="Times New Roman" w:hAnsi="Times New Roman"/>
          <w:sz w:val="20"/>
        </w:rPr>
      </w:pPr>
      <w:r>
        <w:rPr>
          <w:rFonts w:ascii="Times New Roman" w:hAnsi="Times New Roman"/>
          <w:sz w:val="20"/>
        </w:rPr>
        <w:t xml:space="preserve">I, Thomas J. Curry, Comptroller of the Currency, do hereby certify that: </w:t>
      </w:r>
    </w:p>
    <w:p>
      <w:pPr>
        <w:pStyle w:val="TextBody"/>
        <w:spacing w:before="90" w:after="0"/>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180" w:after="0"/>
        <w:rPr>
          <w:rFonts w:ascii="Times New Roman" w:hAnsi="Times New Roman"/>
          <w:sz w:val="20"/>
        </w:rPr>
      </w:pPr>
      <w:r>
        <w:rPr>
          <w:rFonts w:ascii="Times New Roman" w:hAnsi="Times New Roman"/>
          <w:sz w:val="20"/>
        </w:rPr>
        <w:t xml:space="preserve">2. U.S. Bank National Association, Cincinnati, Ohio (Charter No. 24), is a national banking association formed under the laws of the United States and is authorized thereunder to transact the business of banking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90"/>
        <w:gridCol w:w="200"/>
        <w:gridCol w:w="517"/>
        <w:gridCol w:w="200"/>
        <w:gridCol w:w="3974"/>
        <w:gridCol w:w="200"/>
        <w:gridCol w:w="2824"/>
      </w:tblGrid>
      <w:tr>
        <w:trPr/>
        <w:tc>
          <w:tcPr>
            <w:tcW w:w="229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397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2824" w:type="dxa"/>
            <w:tcBorders/>
            <w:shd w:fill="auto" w:val="clear"/>
            <w:vAlign w:val="center"/>
          </w:tcPr>
          <w:p>
            <w:pPr>
              <w:pStyle w:val="TableContents"/>
              <w:spacing w:before="0" w:after="283"/>
              <w:rPr>
                <w:sz w:val="4"/>
                <w:szCs w:val="4"/>
              </w:rPr>
            </w:pPr>
            <w:r>
              <w:rPr>
                <w:sz w:val="4"/>
                <w:szCs w:val="4"/>
              </w:rPr>
            </w:r>
          </w:p>
        </w:tc>
      </w:tr>
      <w:tr>
        <w:trPr/>
        <w:tc>
          <w:tcPr>
            <w:tcW w:w="2290" w:type="dxa"/>
            <w:vMerge w:val="restart"/>
            <w:tcBorders/>
            <w:shd w:fill="auto" w:val="clear"/>
            <w:vAlign w:val="bottom"/>
          </w:tcPr>
          <w:p>
            <w:pPr>
              <w:pStyle w:val="TableContents"/>
              <w:spacing w:before="0" w:after="283"/>
              <w:jc w:val="right"/>
              <w:rPr/>
            </w:pPr>
            <w:r>
              <w:rPr/>
              <w:drawing>
                <wp:inline distT="0" distB="0" distL="0" distR="0">
                  <wp:extent cx="1447800" cy="1447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47800" cy="1447800"/>
                          </a:xfrm>
                          <a:prstGeom prst="rect">
                            <a:avLst/>
                          </a:prstGeom>
                        </pic:spPr>
                      </pic:pic>
                    </a:graphicData>
                  </a:graphic>
                </wp:inline>
              </w:drawing>
            </w:r>
            <w:r>
              <w:rPr/>
              <w:t xml:space="preserve"> </w:t>
            </w:r>
          </w:p>
        </w:tc>
        <w:tc>
          <w:tcPr>
            <w:tcW w:w="200" w:type="dxa"/>
            <w:tcBorders/>
            <w:shd w:fill="auto" w:val="clear"/>
            <w:vAlign w:val="bottom"/>
          </w:tcPr>
          <w:p>
            <w:pPr>
              <w:pStyle w:val="TableContents"/>
              <w:spacing w:before="0" w:after="283"/>
              <w:rPr/>
            </w:pPr>
            <w:r>
              <w:rPr/>
              <w:t>  </w:t>
            </w:r>
          </w:p>
        </w:tc>
        <w:tc>
          <w:tcPr>
            <w:tcW w:w="517"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6998"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 xml:space="preserve">IN TESTIMONY WHEREOF, today, May 9, 2012, I have hereunto subscribed my name and caused my seal of office to be affixed to these presents at the U.S. Department of the Treasury, in the City of Washington, District of Columbia. </w:t>
            </w:r>
          </w:p>
          <w:p>
            <w:pPr>
              <w:pStyle w:val="TableContents"/>
              <w:spacing w:before="0" w:after="15"/>
              <w:rPr/>
            </w:pPr>
            <w:r>
              <w:rPr/>
              <w:t> </w:t>
            </w:r>
          </w:p>
        </w:tc>
      </w:tr>
      <w:tr>
        <w:trPr/>
        <w:tc>
          <w:tcPr>
            <w:tcW w:w="2290" w:type="dxa"/>
            <w:vMerge w:val="continue"/>
            <w:tcBorders/>
            <w:shd w:fill="auto" w:val="clear"/>
            <w:vAlign w:val="bottom"/>
          </w:tcPr>
          <w:p>
            <w:pPr>
              <w:pStyle w:val="Normal"/>
              <w:rPr/>
            </w:pPr>
            <w:r>
              <w:rPr/>
            </w:r>
          </w:p>
        </w:tc>
        <w:tc>
          <w:tcPr>
            <w:tcW w:w="200" w:type="dxa"/>
            <w:tcBorders/>
            <w:shd w:fill="auto" w:val="clear"/>
            <w:vAlign w:val="bottom"/>
          </w:tcPr>
          <w:p>
            <w:pPr>
              <w:pStyle w:val="TableContents"/>
              <w:spacing w:before="0" w:after="283"/>
              <w:rPr/>
            </w:pPr>
            <w:r>
              <w:rPr/>
              <w:t>  </w:t>
            </w:r>
          </w:p>
        </w:tc>
        <w:tc>
          <w:tcPr>
            <w:tcW w:w="517"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3974" w:type="dxa"/>
            <w:tcBorders/>
            <w:shd w:fill="auto" w:val="clear"/>
          </w:tcPr>
          <w:p>
            <w:pPr>
              <w:pStyle w:val="TableContents"/>
              <w:pBdr>
                <w:bottom w:val="single" w:sz="2" w:space="1" w:color="000000"/>
              </w:pBdr>
              <w:spacing w:before="0" w:after="0"/>
              <w:jc w:val="center"/>
              <w:rPr/>
            </w:pPr>
            <w:r>
              <w:rPr/>
              <w:drawing>
                <wp:inline distT="0" distB="0" distL="0" distR="0">
                  <wp:extent cx="2447925" cy="847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47925" cy="847725"/>
                          </a:xfrm>
                          <a:prstGeom prst="rect">
                            <a:avLst/>
                          </a:prstGeom>
                        </pic:spPr>
                      </pic:pic>
                    </a:graphicData>
                  </a:graphic>
                </wp:inline>
              </w:drawing>
            </w:r>
            <w:r>
              <w:rPr/>
              <w:t xml:space="preserve"> </w:t>
            </w:r>
          </w:p>
          <w:p>
            <w:pPr>
              <w:pStyle w:val="TableContents"/>
              <w:spacing w:before="0" w:after="15"/>
              <w:jc w:val="center"/>
              <w:rPr>
                <w:rFonts w:ascii="Times New Roman" w:hAnsi="Times New Roman"/>
                <w:sz w:val="20"/>
              </w:rPr>
            </w:pPr>
            <w:r>
              <w:rPr>
                <w:rFonts w:ascii="Times New Roman" w:hAnsi="Times New Roman"/>
                <w:sz w:val="20"/>
              </w:rPr>
              <w:t>Comptroller of the Currency</w:t>
            </w:r>
          </w:p>
        </w:tc>
        <w:tc>
          <w:tcPr>
            <w:tcW w:w="200" w:type="dxa"/>
            <w:tcBorders/>
            <w:shd w:fill="auto" w:val="clear"/>
            <w:vAlign w:val="bottom"/>
          </w:tcPr>
          <w:p>
            <w:pPr>
              <w:pStyle w:val="TableContents"/>
              <w:spacing w:before="0" w:after="283"/>
              <w:rPr/>
            </w:pPr>
            <w:r>
              <w:rPr/>
              <w:t>  </w:t>
            </w:r>
          </w:p>
        </w:tc>
        <w:tc>
          <w:tcPr>
            <w:tcW w:w="2824" w:type="dxa"/>
            <w:tcBorders/>
            <w:shd w:fill="auto" w:val="clear"/>
          </w:tcPr>
          <w:p>
            <w:pPr>
              <w:pStyle w:val="TableContents"/>
              <w:spacing w:before="0" w:after="283"/>
              <w:rPr>
                <w:sz w:val="4"/>
                <w:szCs w:val="4"/>
              </w:rPr>
            </w:pPr>
            <w:r>
              <w:rPr>
                <w:sz w:val="4"/>
                <w:szCs w:val="4"/>
              </w:rPr>
            </w:r>
          </w:p>
        </w:tc>
      </w:tr>
      <w:tr>
        <w:trPr/>
        <w:tc>
          <w:tcPr>
            <w:tcW w:w="2290" w:type="dxa"/>
            <w:vMerge w:val="continue"/>
            <w:tcBorders/>
            <w:shd w:fill="auto" w:val="clear"/>
            <w:vAlign w:val="bottom"/>
          </w:tcPr>
          <w:p>
            <w:pPr>
              <w:pStyle w:val="Normal"/>
              <w:rPr/>
            </w:pPr>
            <w:r>
              <w:rPr/>
            </w:r>
          </w:p>
        </w:tc>
        <w:tc>
          <w:tcPr>
            <w:tcW w:w="200"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3974"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2824" w:type="dxa"/>
            <w:tcBorders/>
            <w:shd w:fill="auto" w:val="clear"/>
            <w:vAlign w:val="bottom"/>
          </w:tcPr>
          <w:p>
            <w:pPr>
              <w:pStyle w:val="TableContents"/>
              <w:spacing w:before="0" w:after="283"/>
              <w:rPr>
                <w:sz w:val="4"/>
                <w:szCs w:val="4"/>
              </w:rPr>
            </w:pPr>
            <w:r>
              <w:rPr>
                <w:sz w:val="4"/>
                <w:szCs w:val="4"/>
              </w:rPr>
            </w:r>
          </w:p>
        </w:tc>
      </w:tr>
      <w:tr>
        <w:trPr/>
        <w:tc>
          <w:tcPr>
            <w:tcW w:w="2290" w:type="dxa"/>
            <w:vMerge w:val="continue"/>
            <w:tcBorders/>
            <w:shd w:fill="auto" w:val="clear"/>
            <w:vAlign w:val="bottom"/>
          </w:tcPr>
          <w:p>
            <w:pPr>
              <w:pStyle w:val="Normal"/>
              <w:rPr/>
            </w:pPr>
            <w:r>
              <w:rPr/>
            </w:r>
          </w:p>
        </w:tc>
        <w:tc>
          <w:tcPr>
            <w:tcW w:w="200"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3974"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2824" w:type="dxa"/>
            <w:tcBorders/>
            <w:shd w:fill="auto" w:val="clear"/>
            <w:vAlign w:val="bottom"/>
          </w:tcPr>
          <w:p>
            <w:pPr>
              <w:pStyle w:val="TableContents"/>
              <w:spacing w:before="0" w:after="283"/>
              <w:rPr>
                <w:sz w:val="4"/>
                <w:szCs w:val="4"/>
              </w:rPr>
            </w:pPr>
            <w:r>
              <w:rPr>
                <w:sz w:val="4"/>
                <w:szCs w:val="4"/>
              </w:rPr>
            </w:r>
          </w:p>
        </w:tc>
      </w:tr>
      <w:tr>
        <w:trPr/>
        <w:tc>
          <w:tcPr>
            <w:tcW w:w="2290" w:type="dxa"/>
            <w:tcBorders/>
            <w:shd w:fill="auto" w:val="clea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517"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3974"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pPr>
            <w:r>
              <w:rPr/>
              <w:t>  </w:t>
            </w:r>
          </w:p>
        </w:tc>
        <w:tc>
          <w:tcPr>
            <w:tcW w:w="2824"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3 </w:t>
      </w:r>
    </w:p>
    <w:p>
      <w:pPr>
        <w:pStyle w:val="TextBody"/>
        <w:spacing w:before="0" w:after="0"/>
        <w:rPr/>
      </w:pPr>
      <w:r>
        <w:rPr/>
        <w:t> </w:t>
      </w:r>
    </w:p>
    <w:p>
      <w:pPr>
        <w:pStyle w:val="TextBody"/>
        <w:spacing w:before="180" w:after="0"/>
        <w:rPr/>
      </w:pPr>
      <w:r>
        <w:rPr/>
        <w:drawing>
          <wp:inline distT="0" distB="0" distL="0" distR="0">
            <wp:extent cx="447675" cy="495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47675" cy="495300"/>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6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9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CERTIFICATION OF FIDUCIARY POWERS </w:t>
      </w:r>
    </w:p>
    <w:p>
      <w:pPr>
        <w:pStyle w:val="TextBody"/>
        <w:spacing w:before="180" w:after="0"/>
        <w:rPr>
          <w:rFonts w:ascii="Times New Roman" w:hAnsi="Times New Roman"/>
          <w:sz w:val="20"/>
        </w:rPr>
      </w:pPr>
      <w:r>
        <w:rPr>
          <w:rFonts w:ascii="Times New Roman" w:hAnsi="Times New Roman"/>
          <w:sz w:val="20"/>
        </w:rPr>
        <w:t xml:space="preserve">I, John Walsh, Acting Comptroller of the Currency, do hereby certify that: </w:t>
      </w:r>
    </w:p>
    <w:p>
      <w:pPr>
        <w:pStyle w:val="TextBody"/>
        <w:spacing w:before="180" w:after="0"/>
        <w:rPr>
          <w:rFonts w:ascii="Times New Roman" w:hAnsi="Times New Roman"/>
          <w:sz w:val="20"/>
        </w:rPr>
      </w:pPr>
      <w:r>
        <w:rPr>
          <w:rFonts w:ascii="Times New Roman" w:hAnsi="Times New Roman"/>
          <w:sz w:val="20"/>
        </w:rPr>
        <w:t xml:space="preserve">1. The Office of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180" w:after="0"/>
        <w:rPr>
          <w:rFonts w:ascii="Times New Roman" w:hAnsi="Times New Roman"/>
          <w:sz w:val="20"/>
        </w:rPr>
      </w:pPr>
      <w:r>
        <w:rPr>
          <w:rFonts w:ascii="Times New Roman" w:hAnsi="Times New Roman"/>
          <w:sz w:val="20"/>
        </w:rPr>
        <w:t xml:space="preserve">2. U.S.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89"/>
        <w:gridCol w:w="105"/>
        <w:gridCol w:w="183"/>
        <w:gridCol w:w="121"/>
        <w:gridCol w:w="3968"/>
        <w:gridCol w:w="121"/>
        <w:gridCol w:w="3218"/>
      </w:tblGrid>
      <w:tr>
        <w:trPr/>
        <w:tc>
          <w:tcPr>
            <w:tcW w:w="248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96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18" w:type="dxa"/>
            <w:tcBorders/>
            <w:shd w:fill="auto" w:val="clear"/>
            <w:vAlign w:val="center"/>
          </w:tcPr>
          <w:p>
            <w:pPr>
              <w:pStyle w:val="TableContents"/>
              <w:spacing w:before="0" w:after="283"/>
              <w:rPr>
                <w:sz w:val="4"/>
                <w:szCs w:val="4"/>
              </w:rPr>
            </w:pPr>
            <w:r>
              <w:rPr>
                <w:sz w:val="4"/>
                <w:szCs w:val="4"/>
              </w:rPr>
            </w:r>
          </w:p>
        </w:tc>
      </w:tr>
      <w:tr>
        <w:trPr/>
        <w:tc>
          <w:tcPr>
            <w:tcW w:w="2489" w:type="dxa"/>
            <w:vMerge w:val="restart"/>
            <w:tcBorders/>
            <w:shd w:fill="auto" w:val="clear"/>
            <w:vAlign w:val="center"/>
          </w:tcPr>
          <w:p>
            <w:pPr>
              <w:pStyle w:val="TableContents"/>
              <w:spacing w:before="0" w:after="283"/>
              <w:rPr/>
            </w:pPr>
            <w:r>
              <w:rPr/>
              <w:drawing>
                <wp:inline distT="0" distB="0" distL="0" distR="0">
                  <wp:extent cx="1447800" cy="1457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47800" cy="1457325"/>
                          </a:xfrm>
                          <a:prstGeom prst="rect">
                            <a:avLst/>
                          </a:prstGeom>
                        </pic:spPr>
                      </pic:pic>
                    </a:graphicData>
                  </a:graphic>
                </wp:inline>
              </w:drawing>
            </w:r>
            <w:r>
              <w:rPr/>
              <w:t xml:space="preserve"> </w:t>
            </w:r>
          </w:p>
        </w:tc>
        <w:tc>
          <w:tcPr>
            <w:tcW w:w="105" w:type="dxa"/>
            <w:tcBorders/>
            <w:shd w:fill="auto" w:val="clear"/>
            <w:vAlign w:val="bottom"/>
          </w:tcPr>
          <w:p>
            <w:pPr>
              <w:pStyle w:val="TableContents"/>
              <w:spacing w:before="0" w:after="283"/>
              <w:rPr/>
            </w:pPr>
            <w:r>
              <w:rPr/>
              <w:t> </w:t>
            </w:r>
          </w:p>
        </w:tc>
        <w:tc>
          <w:tcPr>
            <w:tcW w:w="183" w:type="dxa"/>
            <w:vMerge w:val="restart"/>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73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IN TESTIMONY WHEREOF, today, September 14, 2011, I have hereunto subscribed my name and caused my seal of office to be affixed to these presents at the U.S. Department of the Treasury, in the City of Washington, District of Columbia.</w:t>
            </w:r>
          </w:p>
        </w:tc>
      </w:tr>
      <w:tr>
        <w:trPr/>
        <w:tc>
          <w:tcPr>
            <w:tcW w:w="2489" w:type="dxa"/>
            <w:vMerge w:val="continue"/>
            <w:tcBorders/>
            <w:shd w:fill="auto" w:val="clear"/>
            <w:vAlign w:val="center"/>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vMerge w:val="continue"/>
            <w:tcBorders/>
            <w:shd w:fill="auto" w:val="clear"/>
            <w:vAlign w:val="bottom"/>
          </w:tcPr>
          <w:p>
            <w:pPr>
              <w:pStyle w:val="Normal"/>
              <w:rPr/>
            </w:pPr>
            <w:r>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pBdr>
                <w:bottom w:val="single" w:sz="2" w:space="1" w:color="000000"/>
              </w:pBdr>
              <w:spacing w:before="0" w:after="15"/>
              <w:jc w:val="center"/>
              <w:rPr/>
            </w:pPr>
            <w:r>
              <w:rPr/>
              <w:drawing>
                <wp:inline distT="0" distB="0" distL="0" distR="0">
                  <wp:extent cx="1362075" cy="419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62075" cy="419100"/>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r>
        <w:trPr/>
        <w:tc>
          <w:tcPr>
            <w:tcW w:w="2489" w:type="dxa"/>
            <w:vMerge w:val="continue"/>
            <w:tcBorders/>
            <w:shd w:fill="auto" w:val="clear"/>
            <w:vAlign w:val="center"/>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Acting Comptroller of the Currency</w:t>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r>
        <w:trPr/>
        <w:tc>
          <w:tcPr>
            <w:tcW w:w="2489" w:type="dxa"/>
            <w:vMerge w:val="continue"/>
            <w:tcBorders/>
            <w:shd w:fill="auto" w:val="clear"/>
            <w:vAlign w:val="center"/>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r>
        <w:trPr/>
        <w:tc>
          <w:tcPr>
            <w:tcW w:w="2489" w:type="dxa"/>
            <w:vMerge w:val="continue"/>
            <w:tcBorders/>
            <w:shd w:fill="auto" w:val="clear"/>
            <w:vAlign w:val="center"/>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spacing w:before="180" w:after="0"/>
        <w:jc w:val="center"/>
        <w:rPr>
          <w:rFonts w:ascii="Times New Roman" w:hAnsi="Times New Roman"/>
          <w:b/>
          <w:sz w:val="20"/>
        </w:rPr>
      </w:pPr>
      <w:r>
        <w:rPr>
          <w:rFonts w:ascii="Times New Roman" w:hAnsi="Times New Roman"/>
          <w:b/>
          <w:sz w:val="20"/>
        </w:rPr>
        <w:t xml:space="preserve">CONSENT </w:t>
      </w:r>
    </w:p>
    <w:p>
      <w:pPr>
        <w:pStyle w:val="TextBody"/>
        <w:spacing w:before="180" w:after="0"/>
        <w:rPr>
          <w:rFonts w:ascii="Times New Roman" w:hAnsi="Times New Roman"/>
          <w:sz w:val="20"/>
        </w:rPr>
      </w:pPr>
      <w:r>
        <w:rPr>
          <w:rFonts w:ascii="Times New Roman" w:hAnsi="Times New Roman"/>
          <w:sz w:val="20"/>
        </w:rPr>
        <w:t xml:space="preserve">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spacing w:before="180" w:after="0"/>
        <w:rPr>
          <w:rFonts w:ascii="Times New Roman" w:hAnsi="Times New Roman"/>
          <w:sz w:val="20"/>
        </w:rPr>
      </w:pPr>
      <w:r>
        <w:rPr>
          <w:rFonts w:ascii="Times New Roman" w:hAnsi="Times New Roman"/>
          <w:sz w:val="20"/>
        </w:rPr>
        <w:t xml:space="preserve">Dated: September 20,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spacing w:before="0" w:after="0"/>
        <w:jc w:val="center"/>
        <w:rPr>
          <w:rFonts w:ascii="Times New Roman" w:hAnsi="Times New Roman"/>
          <w:b/>
          <w:sz w:val="20"/>
        </w:rPr>
      </w:pPr>
      <w:r>
        <w:rPr>
          <w:rFonts w:ascii="Times New Roman" w:hAnsi="Times New Roman"/>
          <w:b/>
          <w:sz w:val="20"/>
        </w:rPr>
        <w:t xml:space="preserve">As of 6/30/2012 </w:t>
      </w:r>
    </w:p>
    <w:p>
      <w:pPr>
        <w:pStyle w:val="TextBody"/>
        <w:spacing w:before="180" w:after="0"/>
        <w:jc w:val="center"/>
        <w:rPr>
          <w:rFonts w:ascii="Times New Roman" w:hAnsi="Times New Roman"/>
          <w:b/>
          <w:sz w:val="20"/>
        </w:rPr>
      </w:pPr>
      <w:r>
        <w:rPr>
          <w:rFonts w:ascii="Times New Roman" w:hAnsi="Times New Roman"/>
          <w:b/>
          <w:sz w:val="20"/>
        </w:rPr>
        <w:t xml:space="preserve">($000s)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561"/>
        <w:gridCol w:w="323"/>
        <w:gridCol w:w="125"/>
        <w:gridCol w:w="1073"/>
        <w:gridCol w:w="123"/>
      </w:tblGrid>
      <w:tr>
        <w:trPr/>
        <w:tc>
          <w:tcPr>
            <w:tcW w:w="856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6/30/2012</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Cash and Balances Due From Depository Institutions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15,399,893</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Securities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72,720,824</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Federal Funds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75,584</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Loans &amp; Lease Financing Receivables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211,830,660</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Fixed Assets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5,286,747</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12,383,063</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25,125,941</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Deposits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245,043,009</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Fed Funds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6,587,299</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Treasury Demand Notes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Trading 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937,898</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Other Borrowed Money</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35,563,317</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Acceptances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and Debentures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5,829,815</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11,359,611</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Liabilities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305,320,949</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Equity</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Minority Interest in Subsidiaries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2,015,054</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Common and Preferred Stock</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18,200</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Surplus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14,133,323</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Undivided Profits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21,335,186</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Equity Capital</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37,501,763</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 and Equity Capital</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TextBody"/>
        <w:spacing w:before="0" w:after="0"/>
        <w:jc w:val="right"/>
        <w:rPr>
          <w:rFonts w:ascii="Times New Roman" w:hAnsi="Times New Roman"/>
          <w:b/>
          <w:sz w:val="20"/>
        </w:rPr>
      </w:pPr>
      <w:bookmarkStart w:id="28" w:name="d415854dex252.htm"/>
      <w:bookmarkStart w:id="29" w:name="ksd415854dex252"/>
      <w:bookmarkEnd w:id="28"/>
      <w:bookmarkEnd w:id="29"/>
      <w:r>
        <w:rPr>
          <w:rFonts w:ascii="Times New Roman" w:hAnsi="Times New Roman"/>
          <w:b/>
          <w:sz w:val="20"/>
        </w:rPr>
        <w:t xml:space="preserve">Exhibit 25.2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T-1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4"/>
        </w:rPr>
      </w:pPr>
      <w:r>
        <w:rPr>
          <w:rFonts w:ascii="Times New Roman" w:hAnsi="Times New Roman"/>
          <w:b/>
          <w:sz w:val="24"/>
        </w:rPr>
        <w:t xml:space="preserve">STATEMENT OF ELIGIBILITY </w:t>
      </w:r>
    </w:p>
    <w:p>
      <w:pPr>
        <w:pStyle w:val="TextBody"/>
        <w:spacing w:before="0" w:after="0"/>
        <w:jc w:val="center"/>
        <w:rPr>
          <w:rFonts w:ascii="Times New Roman" w:hAnsi="Times New Roman"/>
          <w:b/>
          <w:sz w:val="24"/>
        </w:rPr>
      </w:pPr>
      <w:r>
        <w:rPr>
          <w:rFonts w:ascii="Times New Roman" w:hAnsi="Times New Roman"/>
          <w:b/>
          <w:sz w:val="24"/>
        </w:rPr>
        <w:t xml:space="preserve">UNDER THE TRUST INDENTURE ACT OF 1939 OF A </w:t>
      </w:r>
    </w:p>
    <w:p>
      <w:pPr>
        <w:pStyle w:val="TextBody"/>
        <w:spacing w:before="0" w:after="0"/>
        <w:jc w:val="center"/>
        <w:rPr>
          <w:rFonts w:ascii="Times New Roman" w:hAnsi="Times New Roman"/>
          <w:b/>
          <w:sz w:val="24"/>
        </w:rPr>
      </w:pPr>
      <w:r>
        <w:rPr>
          <w:rFonts w:ascii="Times New Roman" w:hAnsi="Times New Roman"/>
          <w:b/>
          <w:sz w:val="24"/>
        </w:rPr>
        <w:t xml:space="preserve">CORPORATION DESIGNATED TO ACT AS TRUSTEE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31-0841368 </w:t>
      </w:r>
    </w:p>
    <w:p>
      <w:pPr>
        <w:pStyle w:val="TextBody"/>
        <w:spacing w:before="0" w:after="0"/>
        <w:jc w:val="center"/>
        <w:rPr>
          <w:rFonts w:ascii="Times New Roman" w:hAnsi="Times New Roman"/>
          <w:b/>
          <w:sz w:val="14"/>
        </w:rPr>
      </w:pPr>
      <w:r>
        <w:rPr>
          <w:rFonts w:ascii="Times New Roman" w:hAnsi="Times New Roman"/>
          <w:b/>
          <w:sz w:val="14"/>
        </w:rPr>
        <w:t xml:space="preserve">I.R.S. Employer </w:t>
      </w:r>
    </w:p>
    <w:p>
      <w:pPr>
        <w:pStyle w:val="TextBody"/>
        <w:spacing w:before="0" w:after="0"/>
        <w:jc w:val="center"/>
        <w:rPr>
          <w:rFonts w:ascii="Times New Roman" w:hAnsi="Times New Roman"/>
          <w:b/>
          <w:sz w:val="14"/>
        </w:rPr>
      </w:pPr>
      <w:r>
        <w:rPr>
          <w:rFonts w:ascii="Times New Roman" w:hAnsi="Times New Roman"/>
          <w:b/>
          <w:sz w:val="14"/>
        </w:rPr>
        <w:t xml:space="preserve">Identification No.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800 Nicollet Mall</w:t>
            </w:r>
          </w:p>
          <w:p>
            <w:pPr>
              <w:pStyle w:val="TableContents"/>
              <w:spacing w:before="0" w:after="15"/>
              <w:jc w:val="center"/>
              <w:rPr>
                <w:rFonts w:ascii="Times New Roman" w:hAnsi="Times New Roman"/>
                <w:b/>
                <w:sz w:val="20"/>
              </w:rPr>
            </w:pPr>
            <w:r>
              <w:rPr>
                <w:rFonts w:ascii="Times New Roman" w:hAnsi="Times New Roman"/>
                <w:b/>
                <w:sz w:val="20"/>
              </w:rPr>
              <w:t>Minneapolis, Minnesota</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55402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Steven A. Finklea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5555 San Felipe, Suite 1150 </w:t>
      </w:r>
    </w:p>
    <w:p>
      <w:pPr>
        <w:pStyle w:val="TextBody"/>
        <w:spacing w:before="0" w:after="0"/>
        <w:jc w:val="center"/>
        <w:rPr>
          <w:rFonts w:ascii="Times New Roman" w:hAnsi="Times New Roman"/>
          <w:b/>
          <w:sz w:val="20"/>
        </w:rPr>
      </w:pPr>
      <w:r>
        <w:rPr>
          <w:rFonts w:ascii="Times New Roman" w:hAnsi="Times New Roman"/>
          <w:b/>
          <w:sz w:val="20"/>
        </w:rPr>
        <w:t xml:space="preserve">Houston, Texas 77057 </w:t>
      </w:r>
    </w:p>
    <w:p>
      <w:pPr>
        <w:pStyle w:val="TextBody"/>
        <w:spacing w:before="0" w:after="0"/>
        <w:jc w:val="center"/>
        <w:rPr>
          <w:rFonts w:ascii="Times New Roman" w:hAnsi="Times New Roman"/>
          <w:b/>
          <w:sz w:val="20"/>
        </w:rPr>
      </w:pPr>
      <w:r>
        <w:rPr>
          <w:rFonts w:ascii="Times New Roman" w:hAnsi="Times New Roman"/>
          <w:b/>
          <w:sz w:val="20"/>
        </w:rPr>
        <w:t xml:space="preserve">(713) 235-9208 </w:t>
      </w:r>
    </w:p>
    <w:p>
      <w:pPr>
        <w:pStyle w:val="TextBody"/>
        <w:spacing w:before="0" w:after="0"/>
        <w:jc w:val="center"/>
        <w:rPr>
          <w:rFonts w:ascii="Times New Roman" w:hAnsi="Times New Roman"/>
          <w:b/>
          <w:sz w:val="14"/>
        </w:rPr>
      </w:pPr>
      <w:r>
        <w:rPr>
          <w:rFonts w:ascii="Times New Roman" w:hAnsi="Times New Roman"/>
          <w:b/>
          <w:sz w:val="14"/>
        </w:rPr>
        <w:t xml:space="preserve">(Name, address and telephone number of agent for service)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PAA Finance Corp. </w:t>
      </w:r>
    </w:p>
    <w:p>
      <w:pPr>
        <w:pStyle w:val="TextBody"/>
        <w:spacing w:before="0" w:after="0"/>
        <w:jc w:val="center"/>
        <w:rPr>
          <w:rFonts w:ascii="Times New Roman" w:hAnsi="Times New Roman"/>
          <w:b/>
          <w:sz w:val="14"/>
        </w:rPr>
      </w:pPr>
      <w:r>
        <w:rPr>
          <w:rFonts w:ascii="Times New Roman" w:hAnsi="Times New Roman"/>
          <w:b/>
          <w:sz w:val="14"/>
        </w:rPr>
        <w:t xml:space="preserve">(Issuer with respect to the Securities)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5"/>
        <w:gridCol w:w="101"/>
        <w:gridCol w:w="4949"/>
      </w:tblGrid>
      <w:tr>
        <w:trPr/>
        <w:tc>
          <w:tcPr>
            <w:tcW w:w="515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15"/>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15"/>
              <w:jc w:val="center"/>
              <w:rPr>
                <w:rFonts w:ascii="Times New Roman" w:hAnsi="Times New Roman"/>
                <w:b/>
                <w:sz w:val="20"/>
              </w:rPr>
            </w:pPr>
            <w:r>
              <w:rPr>
                <w:rFonts w:ascii="Times New Roman" w:hAnsi="Times New Roman"/>
                <w:b/>
                <w:sz w:val="20"/>
              </w:rPr>
              <w:t>56-2464313</w:t>
            </w:r>
          </w:p>
        </w:tc>
      </w:tr>
      <w:tr>
        <w:trPr/>
        <w:tc>
          <w:tcPr>
            <w:tcW w:w="515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5155" w:type="dxa"/>
            <w:tcBorders/>
            <w:shd w:fill="auto" w:val="clear"/>
            <w:vAlign w:val="center"/>
          </w:tcPr>
          <w:p>
            <w:pPr>
              <w:pStyle w:val="TableContents"/>
              <w:spacing w:before="0" w:after="283"/>
              <w:rPr>
                <w:sz w:val="4"/>
                <w:szCs w:val="4"/>
              </w:rPr>
            </w:pPr>
            <w:r>
              <w:rPr>
                <w:sz w:val="4"/>
                <w:szCs w:val="4"/>
              </w:rPr>
            </w:r>
          </w:p>
        </w:tc>
        <w:tc>
          <w:tcPr>
            <w:tcW w:w="5050" w:type="dxa"/>
            <w:gridSpan w:val="2"/>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1"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1"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0"/>
        </w:rPr>
      </w:pPr>
      <w:r>
        <w:rPr>
          <w:rFonts w:ascii="Times New Roman" w:hAnsi="Times New Roman"/>
          <w:b/>
          <w:sz w:val="20"/>
        </w:rPr>
        <w:t xml:space="preserve">Subordinated Debt </w:t>
      </w:r>
    </w:p>
    <w:p>
      <w:pPr>
        <w:pStyle w:val="TextBody"/>
        <w:spacing w:before="0" w:after="0"/>
        <w:jc w:val="center"/>
        <w:rPr>
          <w:rFonts w:ascii="Times New Roman" w:hAnsi="Times New Roman"/>
          <w:b/>
          <w:sz w:val="14"/>
        </w:rPr>
      </w:pPr>
      <w:r>
        <w:rPr>
          <w:rFonts w:ascii="Times New Roman" w:hAnsi="Times New Roman"/>
          <w:b/>
          <w:sz w:val="14"/>
        </w:rPr>
        <w:t xml:space="preserve">(Title of the Indenture Securities) </w:t>
      </w:r>
    </w:p>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FORM T-1 </w:t>
      </w:r>
    </w:p>
    <w:p>
      <w:pPr>
        <w:pStyle w:val="TextBody"/>
        <w:spacing w:before="0" w:after="0"/>
        <w:rPr/>
      </w:pPr>
      <w:r>
        <w:rPr/>
        <w:t> </w:t>
      </w:r>
    </w:p>
    <w:tbl>
      <w:tblPr>
        <w:tblW w:w="14640" w:type="dxa"/>
        <w:jc w:val="center"/>
        <w:tblInd w:w="0" w:type="dxa"/>
        <w:tblCellMar>
          <w:top w:w="0" w:type="dxa"/>
          <w:left w:w="0" w:type="dxa"/>
          <w:bottom w:w="0" w:type="dxa"/>
          <w:right w:w="0" w:type="dxa"/>
        </w:tblCellMar>
      </w:tblPr>
      <w:tblGrid>
        <w:gridCol w:w="710"/>
        <w:gridCol w:w="120"/>
        <w:gridCol w:w="260"/>
        <w:gridCol w:w="120"/>
        <w:gridCol w:w="13430"/>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43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13930"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w:t>
            </w:r>
          </w:p>
        </w:tc>
        <w:tc>
          <w:tcPr>
            <w:tcW w:w="120" w:type="dxa"/>
            <w:tcBorders/>
            <w:shd w:fill="auto" w:val="clear"/>
            <w:vAlign w:val="bottom"/>
          </w:tcPr>
          <w:p>
            <w:pPr>
              <w:pStyle w:val="TableContents"/>
              <w:spacing w:before="0" w:after="283"/>
              <w:rPr/>
            </w:pPr>
            <w:r>
              <w:rPr/>
              <w:t>  </w:t>
            </w:r>
          </w:p>
        </w:tc>
        <w:tc>
          <w:tcPr>
            <w:tcW w:w="13810"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GENERAL INFORMATION</w:t>
            </w:r>
            <w:r>
              <w:rPr>
                <w:rFonts w:ascii="Times New Roman" w:hAnsi="Times New Roman"/>
                <w:b/>
                <w:i/>
                <w:sz w:val="20"/>
              </w:rPr>
              <w:t>.</w:t>
            </w:r>
            <w:r>
              <w:rPr>
                <w:rFonts w:ascii="Times New Roman" w:hAnsi="Times New Roman"/>
                <w:sz w:val="20"/>
              </w:rPr>
              <w:t xml:space="preserve"> Furnish the following information as to the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a)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Name and address of each examining or supervising authority to which it is subject.</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Comptroller of the Currency</w:t>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Washington, D.C.</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b)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Whether it is authorized to exercise corporate trust powers.</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pPr>
            <w:r>
              <w:rPr/>
              <w:t> </w:t>
            </w:r>
            <w:r>
              <w:rPr>
                <w:rFonts w:ascii="Times New Roman" w:hAnsi="Times New Roman"/>
                <w:sz w:val="20"/>
              </w:rPr>
              <w:t>Yes</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13930"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2.</w:t>
            </w:r>
          </w:p>
        </w:tc>
        <w:tc>
          <w:tcPr>
            <w:tcW w:w="120" w:type="dxa"/>
            <w:tcBorders/>
            <w:shd w:fill="auto" w:val="clear"/>
            <w:vAlign w:val="bottom"/>
          </w:tcPr>
          <w:p>
            <w:pPr>
              <w:pStyle w:val="TableContents"/>
              <w:spacing w:before="0" w:after="283"/>
              <w:rPr/>
            </w:pPr>
            <w:r>
              <w:rPr/>
              <w:t>  </w:t>
            </w:r>
          </w:p>
        </w:tc>
        <w:tc>
          <w:tcPr>
            <w:tcW w:w="13810"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AFFILIATIONS WITH OBLIGOR.</w:t>
            </w:r>
            <w:r>
              <w:rPr>
                <w:rFonts w:ascii="Times New Roman" w:hAnsi="Times New Roman"/>
                <w:sz w:val="20"/>
              </w:rPr>
              <w:t xml:space="preserve"> </w:t>
            </w:r>
            <w:r>
              <w:rPr>
                <w:rFonts w:ascii="Times New Roman" w:hAnsi="Times New Roman"/>
                <w:i/>
                <w:sz w:val="20"/>
              </w:rPr>
              <w:t>If the obligor is an affiliate of the Trustee, describe each such affiliation.</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None</w:t>
            </w:r>
          </w:p>
        </w:tc>
      </w:tr>
      <w:tr>
        <w:trPr>
          <w:trHeight w:val="120" w:hRule="atLeast"/>
        </w:trPr>
        <w:tc>
          <w:tcPr>
            <w:tcW w:w="1090" w:type="dxa"/>
            <w:gridSpan w:val="3"/>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1090"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Items 3-15</w:t>
            </w: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Items 3-15 are not applicable because to the best of the Trustees knowledge, the obligor is not in default under any Indenture for which the Trustee acts as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13930" w:type="dxa"/>
            <w:gridSpan w:val="4"/>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16.</w:t>
            </w:r>
          </w:p>
        </w:tc>
        <w:tc>
          <w:tcPr>
            <w:tcW w:w="120" w:type="dxa"/>
            <w:tcBorders/>
            <w:shd w:fill="auto" w:val="clear"/>
            <w:vAlign w:val="bottom"/>
          </w:tcPr>
          <w:p>
            <w:pPr>
              <w:pStyle w:val="TableContents"/>
              <w:spacing w:before="0" w:after="283"/>
              <w:rPr/>
            </w:pPr>
            <w:r>
              <w:rPr/>
              <w:t>  </w:t>
            </w:r>
          </w:p>
        </w:tc>
        <w:tc>
          <w:tcPr>
            <w:tcW w:w="13810"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LIST OF EXHIBITS:</w:t>
            </w:r>
            <w:r>
              <w:rPr>
                <w:rFonts w:ascii="Times New Roman" w:hAnsi="Times New Roman"/>
                <w:sz w:val="20"/>
              </w:rPr>
              <w:t xml:space="preserve"> </w:t>
            </w:r>
            <w:r>
              <w:rPr>
                <w:rFonts w:ascii="Times New Roman" w:hAnsi="Times New Roman"/>
                <w:i/>
                <w:sz w:val="20"/>
              </w:rPr>
              <w:t>List below all exhibits filed as a part of this statement of eligibility and qualification.</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Articles of Association of the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certificate of authority of the Trustee to commence business, attached as Exhibit 2.</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certificate of authority of the Trustee to exercise corporate trust powers, attached as Exhibit 3.</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the existing bylaws of the Trustee.**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5.    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 copy of each Indenture referred to in Item 4. Not applicable.</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consent of the Trustee required by Section 321(b) of the Trust Indenture Act of 1939, attached as Exhibit 6.</w:t>
            </w:r>
          </w:p>
        </w:tc>
      </w:tr>
      <w:tr>
        <w:trPr>
          <w:trHeight w:val="120" w:hRule="atLeast"/>
        </w:trPr>
        <w:tc>
          <w:tcPr>
            <w:tcW w:w="710" w:type="dxa"/>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13550"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6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7.    </w:t>
            </w:r>
          </w:p>
        </w:tc>
        <w:tc>
          <w:tcPr>
            <w:tcW w:w="120" w:type="dxa"/>
            <w:tcBorders/>
            <w:shd w:fill="auto" w:val="clear"/>
            <w:vAlign w:val="bottom"/>
          </w:tcPr>
          <w:p>
            <w:pPr>
              <w:pStyle w:val="TableContents"/>
              <w:spacing w:before="0" w:after="283"/>
              <w:rPr/>
            </w:pPr>
            <w:r>
              <w:rPr/>
              <w:t>  </w:t>
            </w:r>
          </w:p>
        </w:tc>
        <w:tc>
          <w:tcPr>
            <w:tcW w:w="13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Report of Condition of the Trustee as of June 30, 2012 published pursuant to law or the requirements of its supervising or examining authority, attached as Exhibit 7.</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Amendment No. 2 to registration statement on S-4, Registration Number 333-128217 filed on November 15, 2005.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Incorporated by reference to Exhibit 25.1 to registration statement on S-4, Registration Number 333-166527 filed on May 5, 2010.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pBdr/>
        <w:spacing w:before="180" w:after="0"/>
        <w:rPr/>
      </w:pPr>
      <w:r>
        <w:rPr>
          <w:rFonts w:ascii="Times New Roman" w:hAnsi="Times New Roman"/>
          <w:sz w:val="20"/>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20</w:t>
      </w:r>
      <w:r>
        <w:rPr>
          <w:rFonts w:ascii="Times New Roman" w:hAnsi="Times New Roman"/>
          <w:sz w:val="14"/>
        </w:rPr>
        <w:t xml:space="preserve">th </w:t>
      </w:r>
      <w:r>
        <w:rPr>
          <w:rFonts w:ascii="Times New Roman" w:hAnsi="Times New Roman"/>
          <w:sz w:val="20"/>
        </w:rPr>
        <w:t xml:space="preserve">of September,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2 </w:t>
      </w:r>
    </w:p>
    <w:p>
      <w:pPr>
        <w:pStyle w:val="TextBody"/>
        <w:spacing w:before="0" w:after="0"/>
        <w:rPr/>
      </w:pPr>
      <w:r>
        <w:rPr/>
        <w:t> </w:t>
      </w:r>
    </w:p>
    <w:p>
      <w:pPr>
        <w:pStyle w:val="TextBody"/>
        <w:spacing w:before="180" w:after="0"/>
        <w:rPr/>
      </w:pPr>
      <w:r>
        <w:rPr/>
        <w:drawing>
          <wp:inline distT="0" distB="0" distL="0" distR="0">
            <wp:extent cx="447675" cy="504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47675" cy="504825"/>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6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9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CERTIFICATE OF CORPORATE EXISTENCE </w:t>
      </w:r>
    </w:p>
    <w:p>
      <w:pPr>
        <w:pStyle w:val="TextBody"/>
        <w:spacing w:before="180" w:after="0"/>
        <w:rPr>
          <w:rFonts w:ascii="Times New Roman" w:hAnsi="Times New Roman"/>
          <w:sz w:val="20"/>
        </w:rPr>
      </w:pPr>
      <w:r>
        <w:rPr>
          <w:rFonts w:ascii="Times New Roman" w:hAnsi="Times New Roman"/>
          <w:sz w:val="20"/>
        </w:rPr>
        <w:t xml:space="preserve">I, Thomas J. Curry, Comptroller of the Currency, do hereby certify that: </w:t>
      </w:r>
    </w:p>
    <w:p>
      <w:pPr>
        <w:pStyle w:val="TextBody"/>
        <w:spacing w:before="90" w:after="0"/>
        <w:rPr>
          <w:rFonts w:ascii="Times New Roman" w:hAnsi="Times New Roman"/>
          <w:sz w:val="20"/>
        </w:rPr>
      </w:pPr>
      <w:r>
        <w:rPr>
          <w:rFonts w:ascii="Times New Roman" w:hAnsi="Times New Roman"/>
          <w:sz w:val="20"/>
        </w:rPr>
        <w:t xml:space="preserve">1.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180" w:after="0"/>
        <w:rPr>
          <w:rFonts w:ascii="Times New Roman" w:hAnsi="Times New Roman"/>
          <w:sz w:val="20"/>
        </w:rPr>
      </w:pPr>
      <w:r>
        <w:rPr>
          <w:rFonts w:ascii="Times New Roman" w:hAnsi="Times New Roman"/>
          <w:sz w:val="20"/>
        </w:rPr>
        <w:t xml:space="preserve">2. U.S. Bank National Association, Cincinnati, Ohio (Charter No. 24), is a national banking association formed under the laws of the United States and is authorized thereunder to transact the business of banking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56"/>
        <w:gridCol w:w="212"/>
        <w:gridCol w:w="286"/>
        <w:gridCol w:w="212"/>
        <w:gridCol w:w="3909"/>
        <w:gridCol w:w="212"/>
        <w:gridCol w:w="3018"/>
      </w:tblGrid>
      <w:tr>
        <w:trPr/>
        <w:tc>
          <w:tcPr>
            <w:tcW w:w="235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39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3018" w:type="dxa"/>
            <w:tcBorders/>
            <w:shd w:fill="auto" w:val="clear"/>
            <w:vAlign w:val="center"/>
          </w:tcPr>
          <w:p>
            <w:pPr>
              <w:pStyle w:val="TableContents"/>
              <w:spacing w:before="0" w:after="283"/>
              <w:rPr>
                <w:sz w:val="4"/>
                <w:szCs w:val="4"/>
              </w:rPr>
            </w:pPr>
            <w:r>
              <w:rPr>
                <w:sz w:val="4"/>
                <w:szCs w:val="4"/>
              </w:rPr>
            </w:r>
          </w:p>
        </w:tc>
      </w:tr>
      <w:tr>
        <w:trPr/>
        <w:tc>
          <w:tcPr>
            <w:tcW w:w="2356" w:type="dxa"/>
            <w:vMerge w:val="restart"/>
            <w:tcBorders/>
            <w:shd w:fill="auto" w:val="clear"/>
            <w:vAlign w:val="bottom"/>
          </w:tcPr>
          <w:p>
            <w:pPr>
              <w:pStyle w:val="TableContents"/>
              <w:spacing w:before="0" w:after="283"/>
              <w:jc w:val="right"/>
              <w:rPr/>
            </w:pPr>
            <w:r>
              <w:rPr/>
              <w:drawing>
                <wp:inline distT="0" distB="0" distL="0" distR="0">
                  <wp:extent cx="1447800" cy="1447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47800" cy="1447800"/>
                          </a:xfrm>
                          <a:prstGeom prst="rect">
                            <a:avLst/>
                          </a:prstGeom>
                        </pic:spPr>
                      </pic:pic>
                    </a:graphicData>
                  </a:graphic>
                </wp:inline>
              </w:drawing>
            </w:r>
            <w:r>
              <w:rPr/>
              <w:t xml:space="preserve"> </w:t>
            </w:r>
          </w:p>
        </w:tc>
        <w:tc>
          <w:tcPr>
            <w:tcW w:w="212" w:type="dxa"/>
            <w:tcBorders/>
            <w:shd w:fill="auto" w:val="clear"/>
            <w:vAlign w:val="bottom"/>
          </w:tcPr>
          <w:p>
            <w:pPr>
              <w:pStyle w:val="TableContents"/>
              <w:spacing w:before="0" w:after="283"/>
              <w:rPr/>
            </w:pPr>
            <w:r>
              <w:rPr/>
              <w:t>  </w:t>
            </w:r>
          </w:p>
        </w:tc>
        <w:tc>
          <w:tcPr>
            <w:tcW w:w="286" w:type="dxa"/>
            <w:tcBorders/>
            <w:shd w:fill="auto" w:val="clea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713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 xml:space="preserve">IN TESTIMONY WHEREOF, today, May 9, 2012, I have hereunto subscribed my name and caused my seal of office to be affixed to these presents at the U.S. Department of the Treasury, in the City of Washington, District of Columbia. </w:t>
            </w:r>
          </w:p>
          <w:p>
            <w:pPr>
              <w:pStyle w:val="TableContents"/>
              <w:spacing w:before="0" w:after="15"/>
              <w:rPr/>
            </w:pPr>
            <w:r>
              <w:rPr/>
              <w:t> </w:t>
            </w:r>
          </w:p>
        </w:tc>
      </w:tr>
      <w:tr>
        <w:trPr/>
        <w:tc>
          <w:tcPr>
            <w:tcW w:w="2356" w:type="dxa"/>
            <w:vMerge w:val="continue"/>
            <w:tcBorders/>
            <w:shd w:fill="auto" w:val="clear"/>
            <w:vAlign w:val="bottom"/>
          </w:tcPr>
          <w:p>
            <w:pPr>
              <w:pStyle w:val="Normal"/>
              <w:rPr/>
            </w:pPr>
            <w:r>
              <w:rPr/>
            </w:r>
          </w:p>
        </w:tc>
        <w:tc>
          <w:tcPr>
            <w:tcW w:w="212" w:type="dxa"/>
            <w:tcBorders/>
            <w:shd w:fill="auto" w:val="clear"/>
            <w:vAlign w:val="bottom"/>
          </w:tcPr>
          <w:p>
            <w:pPr>
              <w:pStyle w:val="TableContents"/>
              <w:spacing w:before="0" w:after="283"/>
              <w:rPr/>
            </w:pPr>
            <w:r>
              <w:rPr/>
              <w:t>  </w:t>
            </w:r>
          </w:p>
        </w:tc>
        <w:tc>
          <w:tcPr>
            <w:tcW w:w="286" w:type="dxa"/>
            <w:tcBorders/>
            <w:shd w:fill="auto" w:val="clea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3909" w:type="dxa"/>
            <w:tcBorders/>
            <w:shd w:fill="auto" w:val="clear"/>
          </w:tcPr>
          <w:p>
            <w:pPr>
              <w:pStyle w:val="TableContents"/>
              <w:pBdr>
                <w:bottom w:val="single" w:sz="2" w:space="1" w:color="000000"/>
              </w:pBdr>
              <w:spacing w:before="0" w:after="0"/>
              <w:jc w:val="center"/>
              <w:rPr/>
            </w:pPr>
            <w:r>
              <w:rPr/>
              <w:drawing>
                <wp:inline distT="0" distB="0" distL="0" distR="0">
                  <wp:extent cx="2447925" cy="847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447925" cy="847725"/>
                          </a:xfrm>
                          <a:prstGeom prst="rect">
                            <a:avLst/>
                          </a:prstGeom>
                        </pic:spPr>
                      </pic:pic>
                    </a:graphicData>
                  </a:graphic>
                </wp:inline>
              </w:drawing>
            </w:r>
            <w:r>
              <w:rPr/>
              <w:t xml:space="preserve"> </w:t>
            </w:r>
          </w:p>
          <w:p>
            <w:pPr>
              <w:pStyle w:val="TableContents"/>
              <w:spacing w:before="0" w:after="15"/>
              <w:jc w:val="center"/>
              <w:rPr>
                <w:rFonts w:ascii="Times New Roman" w:hAnsi="Times New Roman"/>
                <w:sz w:val="20"/>
              </w:rPr>
            </w:pPr>
            <w:r>
              <w:rPr>
                <w:rFonts w:ascii="Times New Roman" w:hAnsi="Times New Roman"/>
                <w:sz w:val="20"/>
              </w:rPr>
              <w:t>Comptroller of the Currency</w:t>
            </w:r>
          </w:p>
        </w:tc>
        <w:tc>
          <w:tcPr>
            <w:tcW w:w="212" w:type="dxa"/>
            <w:tcBorders/>
            <w:shd w:fill="auto" w:val="clear"/>
            <w:vAlign w:val="bottom"/>
          </w:tcPr>
          <w:p>
            <w:pPr>
              <w:pStyle w:val="TableContents"/>
              <w:spacing w:before="0" w:after="283"/>
              <w:rPr/>
            </w:pPr>
            <w:r>
              <w:rPr/>
              <w:t>  </w:t>
            </w:r>
          </w:p>
        </w:tc>
        <w:tc>
          <w:tcPr>
            <w:tcW w:w="3018" w:type="dxa"/>
            <w:tcBorders/>
            <w:shd w:fill="auto" w:val="clear"/>
          </w:tcPr>
          <w:p>
            <w:pPr>
              <w:pStyle w:val="TableContents"/>
              <w:spacing w:before="0" w:after="283"/>
              <w:rPr>
                <w:sz w:val="4"/>
                <w:szCs w:val="4"/>
              </w:rPr>
            </w:pPr>
            <w:r>
              <w:rPr>
                <w:sz w:val="4"/>
                <w:szCs w:val="4"/>
              </w:rPr>
            </w:r>
          </w:p>
        </w:tc>
      </w:tr>
      <w:tr>
        <w:trPr/>
        <w:tc>
          <w:tcPr>
            <w:tcW w:w="2356" w:type="dxa"/>
            <w:vMerge w:val="continue"/>
            <w:tcBorders/>
            <w:shd w:fill="auto" w:val="clear"/>
            <w:vAlign w:val="bottom"/>
          </w:tcPr>
          <w:p>
            <w:pPr>
              <w:pStyle w:val="Normal"/>
              <w:rPr/>
            </w:pPr>
            <w:r>
              <w:rPr/>
            </w:r>
          </w:p>
        </w:tc>
        <w:tc>
          <w:tcPr>
            <w:tcW w:w="21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3909"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3018" w:type="dxa"/>
            <w:tcBorders/>
            <w:shd w:fill="auto" w:val="clear"/>
            <w:vAlign w:val="bottom"/>
          </w:tcPr>
          <w:p>
            <w:pPr>
              <w:pStyle w:val="TableContents"/>
              <w:spacing w:before="0" w:after="283"/>
              <w:rPr>
                <w:sz w:val="4"/>
                <w:szCs w:val="4"/>
              </w:rPr>
            </w:pPr>
            <w:r>
              <w:rPr>
                <w:sz w:val="4"/>
                <w:szCs w:val="4"/>
              </w:rPr>
            </w:r>
          </w:p>
        </w:tc>
      </w:tr>
      <w:tr>
        <w:trPr/>
        <w:tc>
          <w:tcPr>
            <w:tcW w:w="2356" w:type="dxa"/>
            <w:vMerge w:val="continue"/>
            <w:tcBorders/>
            <w:shd w:fill="auto" w:val="clear"/>
            <w:vAlign w:val="bottom"/>
          </w:tcPr>
          <w:p>
            <w:pPr>
              <w:pStyle w:val="Normal"/>
              <w:rPr/>
            </w:pPr>
            <w:r>
              <w:rPr/>
            </w:r>
          </w:p>
        </w:tc>
        <w:tc>
          <w:tcPr>
            <w:tcW w:w="21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3909"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3018" w:type="dxa"/>
            <w:tcBorders/>
            <w:shd w:fill="auto" w:val="clear"/>
            <w:vAlign w:val="bottom"/>
          </w:tcPr>
          <w:p>
            <w:pPr>
              <w:pStyle w:val="TableContents"/>
              <w:spacing w:before="0" w:after="283"/>
              <w:rPr>
                <w:sz w:val="4"/>
                <w:szCs w:val="4"/>
              </w:rPr>
            </w:pPr>
            <w:r>
              <w:rPr>
                <w:sz w:val="4"/>
                <w:szCs w:val="4"/>
              </w:rPr>
            </w:r>
          </w:p>
        </w:tc>
      </w:tr>
      <w:tr>
        <w:trPr/>
        <w:tc>
          <w:tcPr>
            <w:tcW w:w="2356" w:type="dxa"/>
            <w:tcBorders/>
            <w:shd w:fill="auto" w:val="clea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3909"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pPr>
            <w:r>
              <w:rPr/>
              <w:t>  </w:t>
            </w:r>
          </w:p>
        </w:tc>
        <w:tc>
          <w:tcPr>
            <w:tcW w:w="301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3 </w:t>
      </w:r>
    </w:p>
    <w:p>
      <w:pPr>
        <w:pStyle w:val="TextBody"/>
        <w:spacing w:before="0" w:after="0"/>
        <w:rPr/>
      </w:pPr>
      <w:r>
        <w:rPr/>
        <w:t> </w:t>
      </w:r>
    </w:p>
    <w:p>
      <w:pPr>
        <w:pStyle w:val="TextBody"/>
        <w:spacing w:before="180" w:after="0"/>
        <w:rPr/>
      </w:pPr>
      <w:r>
        <w:rPr/>
        <w:drawing>
          <wp:inline distT="0" distB="0" distL="0" distR="0">
            <wp:extent cx="447675" cy="495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47675" cy="495300"/>
                    </a:xfrm>
                    <a:prstGeom prst="rect">
                      <a:avLst/>
                    </a:prstGeom>
                  </pic:spPr>
                </pic:pic>
              </a:graphicData>
            </a:graphic>
          </wp:inline>
        </w:drawing>
      </w:r>
      <w:r>
        <w:rPr/>
        <w:t xml:space="preserve">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60" w:after="0"/>
        <w:rPr>
          <w:rFonts w:ascii="Times New Roman" w:hAnsi="Times New Roman"/>
          <w:sz w:val="20"/>
        </w:rPr>
      </w:pPr>
      <w:r>
        <w:rPr>
          <w:rFonts w:ascii="Times New Roman" w:hAnsi="Times New Roman"/>
          <w:sz w:val="20"/>
        </w:rPr>
        <w:t xml:space="preserve">Comptroller of the Currency </w:t>
      </w:r>
    </w:p>
    <w:p>
      <w:pPr>
        <w:pStyle w:val="TextBody"/>
        <w:spacing w:before="0" w:after="0"/>
        <w:rPr>
          <w:rFonts w:ascii="Times New Roman" w:hAnsi="Times New Roman"/>
          <w:sz w:val="20"/>
        </w:rPr>
      </w:pPr>
      <w:r>
        <w:rPr>
          <w:rFonts w:ascii="Times New Roman" w:hAnsi="Times New Roman"/>
          <w:sz w:val="20"/>
        </w:rPr>
        <w:t xml:space="preserve">Administrator of National Banks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90" w:after="0"/>
        <w:rPr>
          <w:rFonts w:ascii="Times New Roman" w:hAnsi="Times New Roman"/>
          <w:sz w:val="20"/>
        </w:rPr>
      </w:pPr>
      <w:r>
        <w:rPr>
          <w:rFonts w:ascii="Times New Roman" w:hAnsi="Times New Roman"/>
          <w:sz w:val="20"/>
        </w:rPr>
        <w:t xml:space="preserve">Washington, DC 20219 </w:t>
      </w:r>
    </w:p>
    <w:p>
      <w:pPr>
        <w:pStyle w:val="TextBody"/>
        <w:spacing w:before="360" w:after="0"/>
        <w:jc w:val="center"/>
        <w:rPr>
          <w:rFonts w:ascii="Times New Roman" w:hAnsi="Times New Roman"/>
          <w:b/>
          <w:sz w:val="20"/>
        </w:rPr>
      </w:pPr>
      <w:r>
        <w:rPr>
          <w:rFonts w:ascii="Times New Roman" w:hAnsi="Times New Roman"/>
          <w:b/>
          <w:sz w:val="20"/>
        </w:rPr>
        <w:t xml:space="preserve">CERTIFICATION OF FIDUCIARY POWERS </w:t>
      </w:r>
    </w:p>
    <w:p>
      <w:pPr>
        <w:pStyle w:val="TextBody"/>
        <w:spacing w:before="180" w:after="0"/>
        <w:rPr>
          <w:rFonts w:ascii="Times New Roman" w:hAnsi="Times New Roman"/>
          <w:sz w:val="20"/>
        </w:rPr>
      </w:pPr>
      <w:r>
        <w:rPr>
          <w:rFonts w:ascii="Times New Roman" w:hAnsi="Times New Roman"/>
          <w:sz w:val="20"/>
        </w:rPr>
        <w:t xml:space="preserve">I, John Walsh, Acting Comptroller of the Currency, do hereby certify that: </w:t>
      </w:r>
    </w:p>
    <w:p>
      <w:pPr>
        <w:pStyle w:val="TextBody"/>
        <w:spacing w:before="180" w:after="0"/>
        <w:rPr>
          <w:rFonts w:ascii="Times New Roman" w:hAnsi="Times New Roman"/>
          <w:sz w:val="20"/>
        </w:rPr>
      </w:pPr>
      <w:r>
        <w:rPr>
          <w:rFonts w:ascii="Times New Roman" w:hAnsi="Times New Roman"/>
          <w:sz w:val="20"/>
        </w:rPr>
        <w:t xml:space="preserve">1. The Office of the Comptroller of the Currency, pursuant to Revised Statutes 324, et seq, as amended, and 12 USC 1, et seq, as amended, has possession, custody, and control of all records pertaining to the chartering, regulation, and supervision of all national banking associations. </w:t>
      </w:r>
    </w:p>
    <w:p>
      <w:pPr>
        <w:pStyle w:val="TextBody"/>
        <w:spacing w:before="180" w:after="0"/>
        <w:rPr>
          <w:rFonts w:ascii="Times New Roman" w:hAnsi="Times New Roman"/>
          <w:sz w:val="20"/>
        </w:rPr>
      </w:pPr>
      <w:r>
        <w:rPr>
          <w:rFonts w:ascii="Times New Roman" w:hAnsi="Times New Roman"/>
          <w:sz w:val="20"/>
        </w:rPr>
        <w:t xml:space="preserve">2. U.S.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89"/>
        <w:gridCol w:w="105"/>
        <w:gridCol w:w="183"/>
        <w:gridCol w:w="121"/>
        <w:gridCol w:w="3968"/>
        <w:gridCol w:w="121"/>
        <w:gridCol w:w="3218"/>
      </w:tblGrid>
      <w:tr>
        <w:trPr/>
        <w:tc>
          <w:tcPr>
            <w:tcW w:w="248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96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18" w:type="dxa"/>
            <w:tcBorders/>
            <w:shd w:fill="auto" w:val="clear"/>
            <w:vAlign w:val="center"/>
          </w:tcPr>
          <w:p>
            <w:pPr>
              <w:pStyle w:val="TableContents"/>
              <w:spacing w:before="0" w:after="283"/>
              <w:rPr>
                <w:sz w:val="4"/>
                <w:szCs w:val="4"/>
              </w:rPr>
            </w:pPr>
            <w:r>
              <w:rPr>
                <w:sz w:val="4"/>
                <w:szCs w:val="4"/>
              </w:rPr>
            </w:r>
          </w:p>
        </w:tc>
      </w:tr>
      <w:tr>
        <w:trPr/>
        <w:tc>
          <w:tcPr>
            <w:tcW w:w="2489" w:type="dxa"/>
            <w:vMerge w:val="restart"/>
            <w:tcBorders/>
            <w:shd w:fill="auto" w:val="clear"/>
            <w:vAlign w:val="bottom"/>
          </w:tcPr>
          <w:p>
            <w:pPr>
              <w:pStyle w:val="TableContents"/>
              <w:spacing w:before="0" w:after="283"/>
              <w:rPr/>
            </w:pPr>
            <w:r>
              <w:rPr/>
              <w:drawing>
                <wp:inline distT="0" distB="0" distL="0" distR="0">
                  <wp:extent cx="1447800" cy="14573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47800" cy="1457325"/>
                          </a:xfrm>
                          <a:prstGeom prst="rect">
                            <a:avLst/>
                          </a:prstGeom>
                        </pic:spPr>
                      </pic:pic>
                    </a:graphicData>
                  </a:graphic>
                </wp:inline>
              </w:drawing>
            </w:r>
            <w:r>
              <w:rPr/>
              <w:t xml:space="preserve"> </w:t>
            </w:r>
          </w:p>
        </w:tc>
        <w:tc>
          <w:tcPr>
            <w:tcW w:w="105" w:type="dxa"/>
            <w:tcBorders/>
            <w:shd w:fill="auto" w:val="clear"/>
            <w:vAlign w:val="bottom"/>
          </w:tcPr>
          <w:p>
            <w:pPr>
              <w:pStyle w:val="TableContents"/>
              <w:spacing w:before="0" w:after="283"/>
              <w:rPr/>
            </w:pPr>
            <w:r>
              <w:rPr/>
              <w:t> </w:t>
            </w:r>
          </w:p>
        </w:tc>
        <w:tc>
          <w:tcPr>
            <w:tcW w:w="183" w:type="dxa"/>
            <w:vMerge w:val="restart"/>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730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IN TESTIMONY WHEREOF, today, September 14, 2011, I have hereunto subscribed my name and caused my seal of office to be affixed to these presents at the U.S. Department of the Treasury, in the City of Washington, District of Columbia.</w:t>
            </w:r>
          </w:p>
        </w:tc>
      </w:tr>
      <w:tr>
        <w:trPr/>
        <w:tc>
          <w:tcPr>
            <w:tcW w:w="2489" w:type="dxa"/>
            <w:vMerge w:val="continue"/>
            <w:tcBorders/>
            <w:shd w:fill="auto" w:val="clear"/>
            <w:vAlign w:val="bottom"/>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vMerge w:val="continue"/>
            <w:tcBorders/>
            <w:shd w:fill="auto" w:val="clear"/>
            <w:vAlign w:val="bottom"/>
          </w:tcPr>
          <w:p>
            <w:pPr>
              <w:pStyle w:val="Normal"/>
              <w:rPr/>
            </w:pPr>
            <w:r>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pBdr>
                <w:bottom w:val="single" w:sz="2" w:space="1" w:color="000000"/>
              </w:pBdr>
              <w:spacing w:before="0" w:after="15"/>
              <w:jc w:val="center"/>
              <w:rPr/>
            </w:pPr>
            <w:r>
              <w:rPr/>
              <w:drawing>
                <wp:inline distT="0" distB="0" distL="0" distR="0">
                  <wp:extent cx="1362075" cy="419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62075" cy="419100"/>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r>
        <w:trPr/>
        <w:tc>
          <w:tcPr>
            <w:tcW w:w="2489" w:type="dxa"/>
            <w:vMerge w:val="continue"/>
            <w:tcBorders/>
            <w:shd w:fill="auto" w:val="clear"/>
            <w:vAlign w:val="bottom"/>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Acting Comptroller of the Currency</w:t>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r>
        <w:trPr/>
        <w:tc>
          <w:tcPr>
            <w:tcW w:w="2489" w:type="dxa"/>
            <w:vMerge w:val="continue"/>
            <w:tcBorders/>
            <w:shd w:fill="auto" w:val="clear"/>
            <w:vAlign w:val="bottom"/>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r>
        <w:trPr/>
        <w:tc>
          <w:tcPr>
            <w:tcW w:w="2489" w:type="dxa"/>
            <w:vMerge w:val="continue"/>
            <w:tcBorders/>
            <w:shd w:fill="auto" w:val="clear"/>
            <w:vAlign w:val="bottom"/>
          </w:tcPr>
          <w:p>
            <w:pPr>
              <w:pStyle w:val="Normal"/>
              <w:rPr/>
            </w:pPr>
            <w:r>
              <w:rPr/>
            </w:r>
          </w:p>
        </w:tc>
        <w:tc>
          <w:tcPr>
            <w:tcW w:w="105"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968"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218"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6 </w:t>
      </w:r>
    </w:p>
    <w:p>
      <w:pPr>
        <w:pStyle w:val="TextBody"/>
        <w:spacing w:before="180" w:after="0"/>
        <w:jc w:val="center"/>
        <w:rPr>
          <w:rFonts w:ascii="Times New Roman" w:hAnsi="Times New Roman"/>
          <w:b/>
          <w:sz w:val="20"/>
        </w:rPr>
      </w:pPr>
      <w:r>
        <w:rPr>
          <w:rFonts w:ascii="Times New Roman" w:hAnsi="Times New Roman"/>
          <w:b/>
          <w:sz w:val="20"/>
        </w:rPr>
        <w:t xml:space="preserve">CONSENT </w:t>
      </w:r>
    </w:p>
    <w:p>
      <w:pPr>
        <w:pStyle w:val="TextBody"/>
        <w:spacing w:before="180" w:after="0"/>
        <w:rPr>
          <w:rFonts w:ascii="Times New Roman" w:hAnsi="Times New Roman"/>
          <w:sz w:val="20"/>
        </w:rPr>
      </w:pPr>
      <w:r>
        <w:rPr>
          <w:rFonts w:ascii="Times New Roman" w:hAnsi="Times New Roman"/>
          <w:sz w:val="20"/>
        </w:rPr>
        <w:t xml:space="preserve">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 </w:t>
      </w:r>
    </w:p>
    <w:p>
      <w:pPr>
        <w:pStyle w:val="TextBody"/>
        <w:spacing w:before="180" w:after="0"/>
        <w:rPr>
          <w:rFonts w:ascii="Times New Roman" w:hAnsi="Times New Roman"/>
          <w:sz w:val="20"/>
        </w:rPr>
      </w:pPr>
      <w:r>
        <w:rPr>
          <w:rFonts w:ascii="Times New Roman" w:hAnsi="Times New Roman"/>
          <w:sz w:val="20"/>
        </w:rPr>
        <w:t xml:space="preserve">Dated: September 20, 2012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4"/>
        <w:gridCol w:w="3739"/>
      </w:tblGrid>
      <w:tr>
        <w:trPr/>
        <w:tc>
          <w:tcPr>
            <w:tcW w:w="2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9"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Steven A. Finklea</w:t>
            </w:r>
          </w:p>
        </w:tc>
      </w:tr>
      <w:tr>
        <w:trPr/>
        <w:tc>
          <w:tcPr>
            <w:tcW w:w="259"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7 </w:t>
      </w:r>
    </w:p>
    <w:p>
      <w:pPr>
        <w:pStyle w:val="TextBody"/>
        <w:spacing w:before="0" w:after="0"/>
        <w:jc w:val="center"/>
        <w:rPr>
          <w:rFonts w:ascii="Times New Roman" w:hAnsi="Times New Roman"/>
          <w:b/>
          <w:sz w:val="20"/>
        </w:rPr>
      </w:pPr>
      <w:r>
        <w:rPr>
          <w:rFonts w:ascii="Times New Roman" w:hAnsi="Times New Roman"/>
          <w:b/>
          <w:sz w:val="20"/>
        </w:rPr>
        <w:t xml:space="preserve">U.S. Bank National Association </w:t>
      </w:r>
    </w:p>
    <w:p>
      <w:pPr>
        <w:pStyle w:val="TextBody"/>
        <w:spacing w:before="0" w:after="0"/>
        <w:jc w:val="center"/>
        <w:rPr>
          <w:rFonts w:ascii="Times New Roman" w:hAnsi="Times New Roman"/>
          <w:b/>
          <w:sz w:val="20"/>
        </w:rPr>
      </w:pPr>
      <w:r>
        <w:rPr>
          <w:rFonts w:ascii="Times New Roman" w:hAnsi="Times New Roman"/>
          <w:b/>
          <w:sz w:val="20"/>
        </w:rPr>
        <w:t xml:space="preserve">Statement of Financial Condition </w:t>
      </w:r>
    </w:p>
    <w:p>
      <w:pPr>
        <w:pStyle w:val="TextBody"/>
        <w:spacing w:before="0" w:after="0"/>
        <w:jc w:val="center"/>
        <w:rPr>
          <w:rFonts w:ascii="Times New Roman" w:hAnsi="Times New Roman"/>
          <w:b/>
          <w:sz w:val="20"/>
        </w:rPr>
      </w:pPr>
      <w:r>
        <w:rPr>
          <w:rFonts w:ascii="Times New Roman" w:hAnsi="Times New Roman"/>
          <w:b/>
          <w:sz w:val="20"/>
        </w:rPr>
        <w:t xml:space="preserve">As of 6/30/2012 </w:t>
      </w:r>
    </w:p>
    <w:p>
      <w:pPr>
        <w:pStyle w:val="TextBody"/>
        <w:spacing w:before="180" w:after="0"/>
        <w:jc w:val="center"/>
        <w:rPr>
          <w:rFonts w:ascii="Times New Roman" w:hAnsi="Times New Roman"/>
          <w:b/>
          <w:sz w:val="20"/>
        </w:rPr>
      </w:pPr>
      <w:r>
        <w:rPr>
          <w:rFonts w:ascii="Times New Roman" w:hAnsi="Times New Roman"/>
          <w:b/>
          <w:sz w:val="20"/>
        </w:rPr>
        <w:t xml:space="preserve">($000s)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561"/>
        <w:gridCol w:w="323"/>
        <w:gridCol w:w="125"/>
        <w:gridCol w:w="1073"/>
        <w:gridCol w:w="123"/>
      </w:tblGrid>
      <w:tr>
        <w:trPr/>
        <w:tc>
          <w:tcPr>
            <w:tcW w:w="856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119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6/30/2012</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73"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Cash and Balances Due From Depository Institutions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15,399,893</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Securities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72,720,824</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Federal Funds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75,584</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Loans &amp; Lease Financing Receivables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211,830,660</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Fixed Assets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5,286,747</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12,383,063</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25,125,941</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Deposits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245,043,009</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Fed Funds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6,587,299</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Treasury Demand Notes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Trading 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937,898</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Other Borrowed Money</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35,563,317</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Acceptances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Subordinated Notes and Debentures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5,829,815</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11,359,611</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Liabilities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305,320,949</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Equity</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73"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Minority Interest in Subsidiaries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2,015,054</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Common and Preferred Stock</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18,200</w:t>
            </w:r>
          </w:p>
        </w:tc>
        <w:tc>
          <w:tcPr>
            <w:tcW w:w="123" w:type="dxa"/>
            <w:tcBorders/>
            <w:shd w:fill="auto" w:val="clear"/>
            <w:vAlign w:val="bottom"/>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sz w:val="20"/>
              </w:rPr>
            </w:pPr>
            <w:r>
              <w:rPr>
                <w:rFonts w:ascii="Times New Roman" w:hAnsi="Times New Roman"/>
                <w:sz w:val="20"/>
              </w:rPr>
              <w:t>Surplus</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14,133,323</w:t>
            </w:r>
          </w:p>
        </w:tc>
        <w:tc>
          <w:tcPr>
            <w:tcW w:w="123" w:type="dxa"/>
            <w:tcBorders/>
            <w:shd w:fill="CCEEFF" w:val="clear"/>
            <w:vAlign w:val="bottom"/>
          </w:tcPr>
          <w:p>
            <w:pPr>
              <w:pStyle w:val="TableContents"/>
              <w:spacing w:before="0" w:after="283"/>
              <w:rPr/>
            </w:pPr>
            <w:r>
              <w:rPr/>
              <w:t>  </w:t>
            </w:r>
          </w:p>
        </w:tc>
      </w:tr>
      <w:tr>
        <w:trPr/>
        <w:tc>
          <w:tcPr>
            <w:tcW w:w="8561" w:type="dxa"/>
            <w:tcBorders/>
            <w:shd w:fill="auto" w:val="clear"/>
          </w:tcPr>
          <w:p>
            <w:pPr>
              <w:pStyle w:val="TableContents"/>
              <w:spacing w:before="0" w:after="283"/>
              <w:rPr>
                <w:rFonts w:ascii="Times New Roman" w:hAnsi="Times New Roman"/>
                <w:sz w:val="20"/>
              </w:rPr>
            </w:pPr>
            <w:r>
              <w:rPr>
                <w:rFonts w:ascii="Times New Roman" w:hAnsi="Times New Roman"/>
                <w:sz w:val="20"/>
              </w:rPr>
              <w:t>Undivided Profits</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21,335,186</w:t>
            </w:r>
          </w:p>
        </w:tc>
        <w:tc>
          <w:tcPr>
            <w:tcW w:w="123" w:type="dxa"/>
            <w:tcBorders/>
            <w:shd w:fill="auto" w:val="clear"/>
            <w:vAlign w:val="bottom"/>
          </w:tcPr>
          <w:p>
            <w:pPr>
              <w:pStyle w:val="TableContents"/>
              <w:spacing w:before="0" w:after="283"/>
              <w:rPr/>
            </w:pPr>
            <w:r>
              <w:rPr/>
              <w:t>  </w:t>
            </w:r>
          </w:p>
        </w:tc>
      </w:tr>
      <w:tr>
        <w:trPr/>
        <w:tc>
          <w:tcPr>
            <w:tcW w:w="8561"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1073"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856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Equity Capital</w:t>
            </w:r>
          </w:p>
        </w:tc>
        <w:tc>
          <w:tcPr>
            <w:tcW w:w="3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37,501,763</w:t>
            </w:r>
          </w:p>
        </w:tc>
        <w:tc>
          <w:tcPr>
            <w:tcW w:w="123" w:type="dxa"/>
            <w:tcBorders/>
            <w:shd w:fill="CCEEFF" w:val="clear"/>
            <w:vAlign w:val="bottom"/>
          </w:tcPr>
          <w:p>
            <w:pPr>
              <w:pStyle w:val="TableContents"/>
              <w:spacing w:before="0" w:after="283"/>
              <w:rPr/>
            </w:pPr>
            <w:r>
              <w:rPr/>
              <w:t>  </w:t>
            </w:r>
          </w:p>
        </w:tc>
      </w:tr>
      <w:tr>
        <w:trPr>
          <w:trHeight w:val="120" w:hRule="atLeast"/>
        </w:trPr>
        <w:tc>
          <w:tcPr>
            <w:tcW w:w="8561" w:type="dxa"/>
            <w:tcBorders/>
            <w:shd w:fill="auto" w:val="clear"/>
            <w:vAlign w:val="center"/>
          </w:tcPr>
          <w:p>
            <w:pPr>
              <w:pStyle w:val="TableContents"/>
              <w:spacing w:before="0" w:after="283"/>
              <w:rPr>
                <w:sz w:val="4"/>
                <w:szCs w:val="4"/>
              </w:rPr>
            </w:pPr>
            <w:r>
              <w:rPr>
                <w:sz w:val="4"/>
                <w:szCs w:val="4"/>
              </w:rPr>
            </w:r>
          </w:p>
        </w:tc>
        <w:tc>
          <w:tcPr>
            <w:tcW w:w="1644" w:type="dxa"/>
            <w:gridSpan w:val="4"/>
            <w:tcBorders/>
            <w:shd w:fill="auto" w:val="clear"/>
            <w:vAlign w:val="center"/>
          </w:tcPr>
          <w:p>
            <w:pPr>
              <w:pStyle w:val="TableContents"/>
              <w:spacing w:before="0" w:after="283"/>
              <w:rPr>
                <w:sz w:val="4"/>
                <w:szCs w:val="4"/>
              </w:rPr>
            </w:pPr>
            <w:r>
              <w:rPr>
                <w:sz w:val="4"/>
                <w:szCs w:val="4"/>
              </w:rPr>
            </w:r>
          </w:p>
        </w:tc>
      </w:tr>
      <w:tr>
        <w:trPr/>
        <w:tc>
          <w:tcPr>
            <w:tcW w:w="8561"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 and Equity Capital</w:t>
            </w:r>
          </w:p>
        </w:tc>
        <w:tc>
          <w:tcPr>
            <w:tcW w:w="3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107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342,822,712</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75</Pages>
  <Words>30975</Words>
  <CharactersWithSpaces>191460</CharactersWithSpaces>
  <Paragraphs>2719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T-1 (Subordinated Indenture)</dc:title>
</cp:coreProperties>
</file>