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73" w:lineRule="exact"/>
        <w:rPr>
          <w:sz w:val="24"/>
          <w:szCs w:val="24"/>
          <w:color w:val="auto"/>
        </w:rPr>
      </w:pPr>
    </w:p>
    <w:p>
      <w:pPr>
        <w:ind w:left="4020" w:right="2380" w:hanging="4012"/>
        <w:spacing w:after="0" w:line="258" w:lineRule="auto"/>
        <w:tabs>
          <w:tab w:leader="none" w:pos="253"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1"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1-36132</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GP HOLDINGS, L.P.</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82" w:lineRule="exact"/>
        <w:rPr>
          <w:sz w:val="24"/>
          <w:szCs w:val="24"/>
          <w:color w:val="auto"/>
        </w:rPr>
      </w:pPr>
    </w:p>
    <w:tbl>
      <w:tblPr>
        <w:tblLayout w:type="fixed"/>
        <w:tblInd w:w="880" w:type="dxa"/>
        <w:tblCellMar>
          <w:top w:w="0" w:type="dxa"/>
          <w:left w:w="0" w:type="dxa"/>
          <w:bottom w:w="0" w:type="dxa"/>
          <w:right w:w="0" w:type="dxa"/>
        </w:tblCellMar>
      </w:tblPr>
      <w:tr>
        <w:trPr>
          <w:trHeight w:val="186"/>
        </w:trPr>
        <w:tc>
          <w:tcPr>
            <w:tcW w:w="39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4"/>
              </w:rPr>
              <w:t>Delaware</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tcPr>
          <w:p>
            <w:pPr>
              <w:jc w:val="right"/>
              <w:ind w:right="1890"/>
              <w:spacing w:after="0"/>
              <w:rPr>
                <w:sz w:val="20"/>
                <w:szCs w:val="20"/>
                <w:color w:val="auto"/>
              </w:rPr>
            </w:pPr>
            <w:r>
              <w:rPr>
                <w:rFonts w:ascii="Arial" w:cs="Arial" w:eastAsia="Arial" w:hAnsi="Arial"/>
                <w:sz w:val="14"/>
                <w:szCs w:val="14"/>
                <w:b w:val="1"/>
                <w:bCs w:val="1"/>
                <w:color w:val="auto"/>
              </w:rPr>
              <w:t>90-1005472</w:t>
            </w:r>
          </w:p>
        </w:tc>
      </w:tr>
      <w:tr>
        <w:trPr>
          <w:trHeight w:val="203"/>
        </w:trPr>
        <w:tc>
          <w:tcPr>
            <w:tcW w:w="3900" w:type="dxa"/>
            <w:vAlign w:val="bottom"/>
            <w:gridSpan w:val="3"/>
          </w:tcPr>
          <w:p>
            <w:pPr>
              <w:jc w:val="center"/>
              <w:ind w:right="34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5760" w:type="dxa"/>
            <w:vAlign w:val="bottom"/>
            <w:gridSpan w:val="4"/>
          </w:tcPr>
          <w:p>
            <w:pPr>
              <w:jc w:val="center"/>
              <w:ind w:left="1071"/>
              <w:spacing w:after="0"/>
              <w:rPr>
                <w:sz w:val="20"/>
                <w:szCs w:val="20"/>
                <w:color w:val="auto"/>
              </w:rPr>
            </w:pPr>
            <w:r>
              <w:rPr>
                <w:rFonts w:ascii="Arial" w:cs="Arial" w:eastAsia="Arial" w:hAnsi="Arial"/>
                <w:sz w:val="14"/>
                <w:szCs w:val="14"/>
                <w:color w:val="auto"/>
                <w:w w:val="97"/>
              </w:rPr>
              <w:t>(I.R.S. Employer Identification No.)</w:t>
            </w:r>
          </w:p>
        </w:tc>
      </w:tr>
      <w:tr>
        <w:trPr>
          <w:trHeight w:val="297"/>
        </w:trPr>
        <w:tc>
          <w:tcPr>
            <w:tcW w:w="39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tcPr>
          <w:p>
            <w:pPr>
              <w:jc w:val="right"/>
              <w:ind w:right="2070"/>
              <w:spacing w:after="0"/>
              <w:rPr>
                <w:sz w:val="20"/>
                <w:szCs w:val="20"/>
                <w:color w:val="auto"/>
              </w:rPr>
            </w:pPr>
            <w:r>
              <w:rPr>
                <w:rFonts w:ascii="Arial" w:cs="Arial" w:eastAsia="Arial" w:hAnsi="Arial"/>
                <w:sz w:val="14"/>
                <w:szCs w:val="14"/>
                <w:b w:val="1"/>
                <w:bCs w:val="1"/>
                <w:color w:val="auto"/>
              </w:rPr>
              <w:t>77002</w:t>
            </w:r>
          </w:p>
        </w:tc>
      </w:tr>
      <w:tr>
        <w:trPr>
          <w:trHeight w:val="203"/>
        </w:trPr>
        <w:tc>
          <w:tcPr>
            <w:tcW w:w="3900" w:type="dxa"/>
            <w:vAlign w:val="bottom"/>
            <w:gridSpan w:val="3"/>
          </w:tcPr>
          <w:p>
            <w:pPr>
              <w:jc w:val="center"/>
              <w:ind w:right="348"/>
              <w:spacing w:after="0"/>
              <w:rPr>
                <w:sz w:val="20"/>
                <w:szCs w:val="20"/>
                <w:color w:val="auto"/>
              </w:rPr>
            </w:pPr>
            <w:r>
              <w:rPr>
                <w:rFonts w:ascii="Arial" w:cs="Arial" w:eastAsia="Arial" w:hAnsi="Arial"/>
                <w:sz w:val="14"/>
                <w:szCs w:val="14"/>
                <w:color w:val="auto"/>
                <w:w w:val="95"/>
              </w:rPr>
              <w:t>(Address of principal executive offices)</w:t>
            </w: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40" w:type="dxa"/>
            <w:vAlign w:val="bottom"/>
          </w:tcPr>
          <w:p>
            <w:pPr>
              <w:jc w:val="center"/>
              <w:ind w:right="1730"/>
              <w:spacing w:after="0"/>
              <w:rPr>
                <w:sz w:val="20"/>
                <w:szCs w:val="20"/>
                <w:color w:val="auto"/>
              </w:rPr>
            </w:pPr>
            <w:r>
              <w:rPr>
                <w:rFonts w:ascii="Arial" w:cs="Arial" w:eastAsia="Arial" w:hAnsi="Arial"/>
                <w:sz w:val="14"/>
                <w:szCs w:val="14"/>
                <w:color w:val="auto"/>
                <w:w w:val="96"/>
              </w:rPr>
              <w:t>(Zip Code)</w:t>
            </w:r>
          </w:p>
        </w:tc>
      </w:tr>
      <w:tr>
        <w:trPr>
          <w:trHeight w:val="527"/>
        </w:trPr>
        <w:tc>
          <w:tcPr>
            <w:tcW w:w="6820" w:type="dxa"/>
            <w:vAlign w:val="bottom"/>
            <w:gridSpan w:val="6"/>
          </w:tcPr>
          <w:p>
            <w:pPr>
              <w:jc w:val="center"/>
              <w:ind w:left="2789"/>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(713) 646-4100</w:t>
            </w:r>
          </w:p>
        </w:tc>
        <w:tc>
          <w:tcPr>
            <w:tcW w:w="2840" w:type="dxa"/>
            <w:vAlign w:val="bottom"/>
          </w:tcPr>
          <w:p>
            <w:pPr>
              <w:spacing w:after="0"/>
              <w:rPr>
                <w:sz w:val="24"/>
                <w:szCs w:val="24"/>
                <w:color w:val="auto"/>
              </w:rPr>
            </w:pPr>
          </w:p>
        </w:tc>
      </w:tr>
      <w:tr>
        <w:trPr>
          <w:trHeight w:val="405"/>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4"/>
          </w:tcPr>
          <w:p>
            <w:pPr>
              <w:ind w:left="80"/>
              <w:spacing w:after="0"/>
              <w:rPr>
                <w:sz w:val="20"/>
                <w:szCs w:val="20"/>
                <w:color w:val="auto"/>
              </w:rPr>
            </w:pPr>
            <w:r>
              <w:rPr>
                <w:rFonts w:ascii="Arial" w:cs="Arial" w:eastAsia="Arial" w:hAnsi="Arial"/>
                <w:sz w:val="14"/>
                <w:szCs w:val="14"/>
                <w:color w:val="auto"/>
                <w:w w:val="97"/>
              </w:rPr>
              <w:t>Securities registered pursuant to Section 12(b) of the Act:</w:t>
            </w:r>
          </w:p>
        </w:tc>
        <w:tc>
          <w:tcPr>
            <w:tcW w:w="2840" w:type="dxa"/>
            <w:vAlign w:val="bottom"/>
          </w:tcPr>
          <w:p>
            <w:pPr>
              <w:spacing w:after="0"/>
              <w:rPr>
                <w:sz w:val="24"/>
                <w:szCs w:val="24"/>
                <w:color w:val="auto"/>
              </w:rPr>
            </w:pPr>
          </w:p>
        </w:tc>
      </w:tr>
      <w:tr>
        <w:trPr>
          <w:trHeight w:val="208"/>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Title of Each Class</w:t>
            </w:r>
          </w:p>
        </w:tc>
        <w:tc>
          <w:tcPr>
            <w:tcW w:w="1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center"/>
              <w:ind w:right="591"/>
              <w:spacing w:after="0"/>
              <w:rPr>
                <w:sz w:val="20"/>
                <w:szCs w:val="20"/>
                <w:color w:val="auto"/>
              </w:rPr>
            </w:pPr>
            <w:r>
              <w:rPr>
                <w:rFonts w:ascii="Arial" w:cs="Arial" w:eastAsia="Arial" w:hAnsi="Arial"/>
                <w:sz w:val="13"/>
                <w:szCs w:val="13"/>
                <w:b w:val="1"/>
                <w:bCs w:val="1"/>
                <w:color w:val="auto"/>
                <w:w w:val="87"/>
              </w:rPr>
              <w:t>Trading Symbol(s)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157"/>
        </w:trPr>
        <w:tc>
          <w:tcPr>
            <w:tcW w:w="3900" w:type="dxa"/>
            <w:vAlign w:val="bottom"/>
            <w:gridSpan w:val="3"/>
          </w:tcPr>
          <w:p>
            <w:pPr>
              <w:jc w:val="center"/>
              <w:ind w:right="668"/>
              <w:spacing w:after="0" w:line="157" w:lineRule="exact"/>
              <w:rPr>
                <w:sz w:val="20"/>
                <w:szCs w:val="20"/>
                <w:color w:val="auto"/>
              </w:rPr>
            </w:pPr>
            <w:r>
              <w:rPr>
                <w:rFonts w:ascii="Arial" w:cs="Arial" w:eastAsia="Arial" w:hAnsi="Arial"/>
                <w:sz w:val="14"/>
                <w:szCs w:val="14"/>
                <w:color w:val="auto"/>
                <w:w w:val="92"/>
              </w:rPr>
              <w:t>Class A Shares, Representing Limited Partner</w:t>
            </w:r>
          </w:p>
        </w:tc>
        <w:tc>
          <w:tcPr>
            <w:tcW w:w="2920" w:type="dxa"/>
            <w:vAlign w:val="bottom"/>
            <w:gridSpan w:val="3"/>
          </w:tcPr>
          <w:p>
            <w:pPr>
              <w:jc w:val="center"/>
              <w:ind w:right="1080"/>
              <w:spacing w:after="0" w:line="157" w:lineRule="exact"/>
              <w:rPr>
                <w:sz w:val="20"/>
                <w:szCs w:val="20"/>
                <w:color w:val="auto"/>
              </w:rPr>
            </w:pPr>
            <w:r>
              <w:rPr>
                <w:rFonts w:ascii="Arial" w:cs="Arial" w:eastAsia="Arial" w:hAnsi="Arial"/>
                <w:sz w:val="14"/>
                <w:szCs w:val="14"/>
                <w:color w:val="auto"/>
                <w:w w:val="92"/>
              </w:rPr>
              <w:t>PAGP</w:t>
            </w:r>
          </w:p>
        </w:tc>
        <w:tc>
          <w:tcPr>
            <w:tcW w:w="2840" w:type="dxa"/>
            <w:vAlign w:val="bottom"/>
          </w:tcPr>
          <w:p>
            <w:pPr>
              <w:jc w:val="center"/>
              <w:ind w:right="250"/>
              <w:spacing w:after="0" w:line="157" w:lineRule="exact"/>
              <w:rPr>
                <w:sz w:val="20"/>
                <w:szCs w:val="20"/>
                <w:color w:val="auto"/>
              </w:rPr>
            </w:pPr>
            <w:r>
              <w:rPr>
                <w:rFonts w:ascii="Arial" w:cs="Arial" w:eastAsia="Arial" w:hAnsi="Arial"/>
                <w:sz w:val="14"/>
                <w:szCs w:val="14"/>
                <w:color w:val="auto"/>
                <w:w w:val="94"/>
              </w:rPr>
              <w:t>New York Stock Exchange</w:t>
            </w:r>
          </w:p>
        </w:tc>
      </w:tr>
      <w:tr>
        <w:trPr>
          <w:trHeight w:val="182"/>
        </w:trPr>
        <w:tc>
          <w:tcPr>
            <w:tcW w:w="3900" w:type="dxa"/>
            <w:vAlign w:val="bottom"/>
            <w:gridSpan w:val="3"/>
          </w:tcPr>
          <w:p>
            <w:pPr>
              <w:jc w:val="center"/>
              <w:ind w:right="688"/>
              <w:spacing w:after="0"/>
              <w:rPr>
                <w:sz w:val="20"/>
                <w:szCs w:val="20"/>
                <w:color w:val="auto"/>
              </w:rPr>
            </w:pPr>
            <w:r>
              <w:rPr>
                <w:rFonts w:ascii="Arial" w:cs="Arial" w:eastAsia="Arial" w:hAnsi="Arial"/>
                <w:sz w:val="14"/>
                <w:szCs w:val="14"/>
                <w:color w:val="auto"/>
                <w:w w:val="93"/>
              </w:rPr>
              <w:t>Interests</w:t>
            </w: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tcPr>
          <w:p>
            <w:pPr>
              <w:spacing w:after="0"/>
              <w:rPr>
                <w:sz w:val="15"/>
                <w:szCs w:val="15"/>
                <w:color w:val="auto"/>
              </w:rPr>
            </w:pPr>
          </w:p>
        </w:tc>
      </w:tr>
    </w:tbl>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9" w:lineRule="exact"/>
        <w:rPr>
          <w:sz w:val="24"/>
          <w:szCs w:val="24"/>
          <w:color w:val="auto"/>
        </w:rPr>
      </w:pPr>
    </w:p>
    <w:p>
      <w:pPr>
        <w:ind w:left="300" w:right="3500"/>
        <w:spacing w:after="0" w:line="360"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100" w:firstLine="284"/>
        <w:spacing w:after="0" w:line="29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100" w:firstLine="284"/>
        <w:spacing w:after="0" w:line="29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o</w:t>
      </w:r>
    </w:p>
    <w:p>
      <w:pPr>
        <w:spacing w:after="0" w:line="1" w:lineRule="exact"/>
        <w:rPr>
          <w:sz w:val="24"/>
          <w:szCs w:val="24"/>
          <w:color w:val="auto"/>
        </w:rPr>
      </w:pPr>
    </w:p>
    <w:p>
      <w:pPr>
        <w:ind w:right="320" w:firstLine="28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3" w:right="239" w:bottom="1440" w:gutter="0" w:footer="0" w:header="0"/>
        </w:sectPr>
      </w:pPr>
    </w:p>
    <w:p>
      <w:pPr>
        <w:spacing w:after="0" w:line="16" w:lineRule="exact"/>
        <w:rPr>
          <w:sz w:val="24"/>
          <w:szCs w:val="24"/>
          <w:color w:val="auto"/>
        </w:rPr>
      </w:pPr>
    </w:p>
    <w:p>
      <w:pPr>
        <w:ind w:left="188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07" w:lineRule="exact"/>
        <w:rPr>
          <w:sz w:val="24"/>
          <w:szCs w:val="24"/>
          <w:color w:val="auto"/>
        </w:rPr>
      </w:pPr>
    </w:p>
    <w:p>
      <w:pPr>
        <w:sectPr>
          <w:pgSz w:w="11900" w:h="16838" w:orient="portrait"/>
          <w:cols w:equalWidth="0" w:num="2">
            <w:col w:w="6920" w:space="720"/>
            <w:col w:w="3780"/>
          </w:cols>
          <w:pgMar w:left="240" w:top="233" w:right="239" w:bottom="1440" w:gutter="0" w:footer="0" w:header="0"/>
          <w:type w:val="continuous"/>
        </w:sectPr>
      </w:pPr>
    </w:p>
    <w:p>
      <w:pPr>
        <w:ind w:left="19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07" w:lineRule="exact"/>
        <w:rPr>
          <w:sz w:val="24"/>
          <w:szCs w:val="24"/>
          <w:color w:val="auto"/>
        </w:rPr>
      </w:pPr>
    </w:p>
    <w:p>
      <w:pPr>
        <w:sectPr>
          <w:pgSz w:w="11900" w:h="16838" w:orient="portrait"/>
          <w:cols w:equalWidth="0" w:num="2">
            <w:col w:w="6620" w:space="720"/>
            <w:col w:w="4080"/>
          </w:cols>
          <w:pgMar w:left="240" w:top="233" w:right="239" w:bottom="1440" w:gutter="0" w:footer="0" w:header="0"/>
          <w:type w:val="continuous"/>
        </w:sectPr>
      </w:pPr>
    </w:p>
    <w:p>
      <w:pPr>
        <w:ind w:left="73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ind w:right="420" w:firstLine="324"/>
        <w:spacing w:after="0" w:line="28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82" w:lineRule="exact"/>
        <w:rPr>
          <w:sz w:val="24"/>
          <w:szCs w:val="24"/>
          <w:color w:val="auto"/>
        </w:rPr>
      </w:pPr>
    </w:p>
    <w:p>
      <w:pPr>
        <w:jc w:val="both"/>
        <w:ind w:firstLine="324"/>
        <w:spacing w:after="0" w:line="257" w:lineRule="auto"/>
        <w:rPr>
          <w:sz w:val="20"/>
          <w:szCs w:val="20"/>
          <w:color w:val="auto"/>
        </w:rPr>
      </w:pPr>
      <w:r>
        <w:rPr>
          <w:rFonts w:ascii="Arial" w:cs="Arial" w:eastAsia="Arial" w:hAnsi="Arial"/>
          <w:sz w:val="14"/>
          <w:szCs w:val="14"/>
          <w:color w:val="auto"/>
        </w:rPr>
        <w:t>The aggregate market value of the Class A shares held by non-affiliates of the registrant (treating all executive officers and directors of the registrant and holders of 10% or more of the Class A shares outstanding, for this purpose, as if they may be affiliates of the registrant) was approximately $4.0 billion on June 28, 2019, based on a closing price of $24.97 per Class A share as reported on the New York Stock Exchange on such date. As of February 12, 2020, there were 182,138,592 Class A shares outstanding.</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0" w:lineRule="exact"/>
        <w:rPr>
          <w:sz w:val="24"/>
          <w:szCs w:val="24"/>
          <w:color w:val="auto"/>
        </w:rPr>
      </w:pPr>
    </w:p>
    <w:p>
      <w:pPr>
        <w:jc w:val="center"/>
        <w:ind w:left="260" w:right="120"/>
        <w:spacing w:after="0" w:line="244" w:lineRule="auto"/>
        <w:rPr>
          <w:sz w:val="20"/>
          <w:szCs w:val="20"/>
          <w:color w:val="auto"/>
        </w:rPr>
      </w:pPr>
      <w:r>
        <w:rPr>
          <w:rFonts w:ascii="Arial" w:cs="Arial" w:eastAsia="Arial" w:hAnsi="Arial"/>
          <w:sz w:val="15"/>
          <w:szCs w:val="15"/>
          <w:color w:val="auto"/>
        </w:rPr>
        <w:t>Portions of the registrant’s definitive Proxy Statement to be filed pursuant to Regulation 14A pertaining to the 2020 Annual Meeting of Shareholders are incorporated by reference into Part III hereof. The registrant intends to file such Proxy Statement no later than 120 days after the end of the fiscal year covered by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10-K—2019 ANNUAL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r>
      <w:tr>
        <w:trPr>
          <w:trHeight w:val="176"/>
        </w:trPr>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bottom w:val="single" w:sz="8" w:color="0000FF"/>
            </w:tcBorders>
            <w:gridSpan w:val="2"/>
          </w:tcPr>
          <w:p>
            <w:pPr>
              <w:jc w:val="center"/>
              <w:spacing w:after="0" w:line="15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w:t>
              </w:r>
            </w:hyperlink>
          </w:p>
        </w:tc>
        <w:tc>
          <w:tcPr>
            <w:tcW w:w="4060" w:type="dxa"/>
            <w:vAlign w:val="bottom"/>
            <w:gridSpan w:val="10"/>
          </w:tcPr>
          <w:p>
            <w:pPr>
              <w:spacing w:after="0"/>
              <w:rPr>
                <w:sz w:val="15"/>
                <w:szCs w:val="15"/>
                <w:color w:val="auto"/>
              </w:rPr>
            </w:pPr>
          </w:p>
        </w:tc>
        <w:tc>
          <w:tcPr>
            <w:tcW w:w="920" w:type="dxa"/>
            <w:vAlign w:val="bottom"/>
          </w:tcPr>
          <w:p>
            <w:pPr>
              <w:jc w:val="right"/>
              <w:spacing w:after="0" w:line="156" w:lineRule="exact"/>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493"/>
        </w:trPr>
        <w:tc>
          <w:tcPr>
            <w:tcW w:w="1780" w:type="dxa"/>
            <w:vAlign w:val="bottom"/>
            <w:tcBorders>
              <w:bottom w:val="single" w:sz="8" w:color="0000FF"/>
            </w:tcBorders>
            <w:gridSpan w:val="5"/>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Items 1 and 2.</w:t>
              </w:r>
            </w:hyperlink>
          </w:p>
        </w:tc>
        <w:tc>
          <w:tcPr>
            <w:tcW w:w="1720" w:type="dxa"/>
            <w:vAlign w:val="bottom"/>
            <w:tcBorders>
              <w:bottom w:val="single" w:sz="8" w:color="0000FF"/>
            </w:tcBorders>
            <w:gridSpan w:val="5"/>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Business and Properties</w:t>
              </w:r>
            </w:hyperlink>
          </w:p>
        </w:tc>
        <w:tc>
          <w:tcPr>
            <w:tcW w:w="6980" w:type="dxa"/>
            <w:vAlign w:val="bottom"/>
            <w:gridSpan w:val="22"/>
          </w:tcPr>
          <w:p>
            <w:pPr>
              <w:spacing w:after="0"/>
              <w:rPr>
                <w:sz w:val="24"/>
                <w:szCs w:val="24"/>
                <w:color w:val="auto"/>
              </w:rPr>
            </w:pPr>
          </w:p>
        </w:tc>
        <w:tc>
          <w:tcPr>
            <w:tcW w:w="9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50">
              <w:r>
                <w:rPr>
                  <w:rFonts w:ascii="Arial" w:cs="Arial" w:eastAsia="Arial" w:hAnsi="Arial"/>
                  <w:sz w:val="18"/>
                  <w:szCs w:val="18"/>
                  <w:color w:val="0000FF"/>
                  <w:w w:val="92"/>
                </w:rPr>
                <w:t>Item 1A.</w:t>
              </w:r>
            </w:hyperlink>
          </w:p>
        </w:tc>
        <w:tc>
          <w:tcPr>
            <w:tcW w:w="1120" w:type="dxa"/>
            <w:vAlign w:val="bottom"/>
            <w:gridSpan w:val="2"/>
          </w:tcPr>
          <w:p>
            <w:pPr>
              <w:spacing w:after="0"/>
              <w:rPr>
                <w:sz w:val="18"/>
                <w:szCs w:val="18"/>
                <w:color w:val="auto"/>
              </w:rPr>
            </w:pPr>
          </w:p>
        </w:tc>
        <w:tc>
          <w:tcPr>
            <w:tcW w:w="8700" w:type="dxa"/>
            <w:vAlign w:val="bottom"/>
            <w:gridSpan w:val="2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920" w:type="dxa"/>
            <w:vAlign w:val="bottom"/>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50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75">
              <w:r>
                <w:rPr>
                  <w:rFonts w:ascii="Arial" w:cs="Arial" w:eastAsia="Arial" w:hAnsi="Arial"/>
                  <w:sz w:val="18"/>
                  <w:szCs w:val="18"/>
                  <w:color w:val="0000FF"/>
                  <w:w w:val="92"/>
                </w:rPr>
                <w:t>Item 1B.</w:t>
              </w:r>
            </w:hyperlink>
          </w:p>
        </w:tc>
        <w:tc>
          <w:tcPr>
            <w:tcW w:w="1120" w:type="dxa"/>
            <w:vAlign w:val="bottom"/>
            <w:gridSpan w:val="2"/>
          </w:tcPr>
          <w:p>
            <w:pPr>
              <w:spacing w:after="0"/>
              <w:rPr>
                <w:sz w:val="18"/>
                <w:szCs w:val="18"/>
                <w:color w:val="auto"/>
              </w:rPr>
            </w:pPr>
          </w:p>
        </w:tc>
        <w:tc>
          <w:tcPr>
            <w:tcW w:w="8700" w:type="dxa"/>
            <w:vAlign w:val="bottom"/>
            <w:gridSpan w:val="2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Unresolved Staff Comments</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1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Item 3.</w:t>
              </w:r>
            </w:hyperlink>
          </w:p>
        </w:tc>
        <w:tc>
          <w:tcPr>
            <w:tcW w:w="140" w:type="dxa"/>
            <w:vAlign w:val="bottom"/>
            <w:tcBorders>
              <w:top w:val="single" w:sz="8" w:color="0000FF"/>
            </w:tcBorders>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40" w:type="dxa"/>
            <w:vAlign w:val="bottom"/>
            <w:tcBorders>
              <w:top w:val="single" w:sz="8" w:color="0000FF"/>
            </w:tcBorders>
            <w:gridSpan w:val="8"/>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Legal Proceedings</w:t>
              </w:r>
            </w:hyperlink>
          </w:p>
        </w:tc>
        <w:tc>
          <w:tcPr>
            <w:tcW w:w="6660" w:type="dxa"/>
            <w:vAlign w:val="bottom"/>
            <w:gridSpan w:val="19"/>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75">
              <w:r>
                <w:rPr>
                  <w:rFonts w:ascii="Arial" w:cs="Arial" w:eastAsia="Arial" w:hAnsi="Arial"/>
                  <w:sz w:val="18"/>
                  <w:szCs w:val="18"/>
                  <w:color w:val="0000FF"/>
                  <w:w w:val="90"/>
                </w:rPr>
                <w:t>Item 4.</w:t>
              </w:r>
            </w:hyperlink>
          </w:p>
        </w:tc>
        <w:tc>
          <w:tcPr>
            <w:tcW w:w="1260" w:type="dxa"/>
            <w:vAlign w:val="bottom"/>
            <w:gridSpan w:val="4"/>
          </w:tcPr>
          <w:p>
            <w:pPr>
              <w:spacing w:after="0"/>
              <w:rPr>
                <w:sz w:val="18"/>
                <w:szCs w:val="18"/>
                <w:color w:val="auto"/>
              </w:rPr>
            </w:pPr>
          </w:p>
        </w:tc>
        <w:tc>
          <w:tcPr>
            <w:tcW w:w="8700" w:type="dxa"/>
            <w:vAlign w:val="bottom"/>
            <w:gridSpan w:val="27"/>
          </w:tcPr>
          <w:p>
            <w:pPr>
              <w:spacing w:after="0"/>
              <w:rPr>
                <w:rFonts w:ascii="Arial" w:cs="Arial" w:eastAsia="Arial" w:hAnsi="Arial"/>
                <w:sz w:val="18"/>
                <w:szCs w:val="18"/>
                <w:color w:val="0000FF"/>
              </w:rPr>
            </w:pPr>
            <w:hyperlink w:anchor="page75">
              <w:r>
                <w:rPr>
                  <w:rFonts w:ascii="Arial" w:cs="Arial" w:eastAsia="Arial" w:hAnsi="Arial"/>
                  <w:sz w:val="18"/>
                  <w:szCs w:val="18"/>
                  <w:color w:val="0000FF"/>
                </w:rPr>
                <w:t>Mine Safety Disclosures</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75</w:t>
              </w:r>
            </w:hyperlink>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13"/>
          </w:tcPr>
          <w:p>
            <w:pPr>
              <w:jc w:val="center"/>
              <w:ind w:right="4040"/>
              <w:spacing w:after="0"/>
              <w:rPr>
                <w:rFonts w:ascii="Arial" w:cs="Arial" w:eastAsia="Arial" w:hAnsi="Arial"/>
                <w:sz w:val="18"/>
                <w:szCs w:val="18"/>
                <w:b w:val="1"/>
                <w:bCs w:val="1"/>
                <w:color w:val="0000FF"/>
                <w:w w:val="99"/>
              </w:rPr>
            </w:pPr>
            <w:hyperlink w:anchor="page75">
              <w:r>
                <w:rPr>
                  <w:rFonts w:ascii="Arial" w:cs="Arial" w:eastAsia="Arial" w:hAnsi="Arial"/>
                  <w:sz w:val="18"/>
                  <w:szCs w:val="18"/>
                  <w:b w:val="1"/>
                  <w:bCs w:val="1"/>
                  <w:color w:val="0000FF"/>
                  <w:w w:val="99"/>
                </w:rPr>
                <w:t>PART II</w:t>
              </w:r>
            </w:hyperlink>
          </w:p>
        </w:tc>
        <w:tc>
          <w:tcPr>
            <w:tcW w:w="920" w:type="dxa"/>
            <w:vAlign w:val="bottom"/>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76</w:t>
              </w:r>
            </w:hyperlink>
          </w:p>
        </w:tc>
      </w:tr>
      <w:tr>
        <w:trPr>
          <w:trHeight w:val="20"/>
        </w:trPr>
        <w:tc>
          <w:tcPr>
            <w:tcW w:w="6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642"/>
        </w:trPr>
        <w:tc>
          <w:tcPr>
            <w:tcW w:w="520" w:type="dxa"/>
            <w:vAlign w:val="bottom"/>
          </w:tcPr>
          <w:p>
            <w:pPr>
              <w:spacing w:after="0"/>
              <w:rPr>
                <w:rFonts w:ascii="Arial" w:cs="Arial" w:eastAsia="Arial" w:hAnsi="Arial"/>
                <w:sz w:val="18"/>
                <w:szCs w:val="18"/>
                <w:color w:val="0000FF"/>
                <w:w w:val="90"/>
              </w:rPr>
            </w:pPr>
            <w:hyperlink w:anchor="page76">
              <w:r>
                <w:rPr>
                  <w:rFonts w:ascii="Arial" w:cs="Arial" w:eastAsia="Arial" w:hAnsi="Arial"/>
                  <w:sz w:val="18"/>
                  <w:szCs w:val="18"/>
                  <w:color w:val="0000FF"/>
                  <w:w w:val="90"/>
                </w:rPr>
                <w:t>Item 5.</w:t>
              </w:r>
            </w:hyperlink>
          </w:p>
        </w:tc>
        <w:tc>
          <w:tcPr>
            <w:tcW w:w="1260" w:type="dxa"/>
            <w:vAlign w:val="bottom"/>
            <w:gridSpan w:val="4"/>
          </w:tcPr>
          <w:p>
            <w:pPr>
              <w:spacing w:after="0"/>
              <w:rPr>
                <w:sz w:val="24"/>
                <w:szCs w:val="24"/>
                <w:color w:val="auto"/>
              </w:rPr>
            </w:pPr>
          </w:p>
        </w:tc>
        <w:tc>
          <w:tcPr>
            <w:tcW w:w="8700" w:type="dxa"/>
            <w:vAlign w:val="bottom"/>
            <w:gridSpan w:val="27"/>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Market for Registrant’s Shares, Related Shareholder Matters and Issuer Purchases of Equity Securities</w:t>
              </w:r>
            </w:hyperlink>
          </w:p>
        </w:tc>
        <w:tc>
          <w:tcPr>
            <w:tcW w:w="92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76</w:t>
              </w:r>
            </w:hyperlink>
          </w:p>
        </w:tc>
      </w:tr>
      <w:tr>
        <w:trPr>
          <w:trHeight w:val="210"/>
        </w:trPr>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78">
              <w:r>
                <w:rPr>
                  <w:rFonts w:ascii="Arial" w:cs="Arial" w:eastAsia="Arial" w:hAnsi="Arial"/>
                  <w:sz w:val="18"/>
                  <w:szCs w:val="18"/>
                  <w:color w:val="0000FF"/>
                  <w:w w:val="90"/>
                </w:rPr>
                <w:t>Item 6.</w:t>
              </w:r>
            </w:hyperlink>
          </w:p>
        </w:tc>
        <w:tc>
          <w:tcPr>
            <w:tcW w:w="1260" w:type="dxa"/>
            <w:vAlign w:val="bottom"/>
            <w:gridSpan w:val="4"/>
          </w:tcPr>
          <w:p>
            <w:pPr>
              <w:spacing w:after="0"/>
              <w:rPr>
                <w:sz w:val="18"/>
                <w:szCs w:val="18"/>
                <w:color w:val="auto"/>
              </w:rPr>
            </w:pPr>
          </w:p>
        </w:tc>
        <w:tc>
          <w:tcPr>
            <w:tcW w:w="7360" w:type="dxa"/>
            <w:vAlign w:val="bottom"/>
            <w:tcBorders>
              <w:top w:val="single" w:sz="8" w:color="0000FF"/>
            </w:tcBorders>
            <w:gridSpan w:val="26"/>
          </w:tcPr>
          <w:p>
            <w:pPr>
              <w:spacing w:after="0"/>
              <w:rPr>
                <w:rFonts w:ascii="Arial" w:cs="Arial" w:eastAsia="Arial" w:hAnsi="Arial"/>
                <w:sz w:val="18"/>
                <w:szCs w:val="18"/>
                <w:color w:val="0000FF"/>
              </w:rPr>
            </w:pPr>
            <w:hyperlink w:anchor="page78">
              <w:r>
                <w:rPr>
                  <w:rFonts w:ascii="Arial" w:cs="Arial" w:eastAsia="Arial" w:hAnsi="Arial"/>
                  <w:sz w:val="18"/>
                  <w:szCs w:val="18"/>
                  <w:color w:val="0000FF"/>
                </w:rPr>
                <w:t>Selected Financial Data</w:t>
              </w:r>
            </w:hyperlink>
          </w:p>
        </w:tc>
        <w:tc>
          <w:tcPr>
            <w:tcW w:w="1340" w:type="dxa"/>
            <w:vAlign w:val="bottom"/>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78</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Item 7.</w:t>
              </w:r>
            </w:hyperlink>
          </w:p>
        </w:tc>
        <w:tc>
          <w:tcPr>
            <w:tcW w:w="1260" w:type="dxa"/>
            <w:vAlign w:val="bottom"/>
            <w:gridSpan w:val="4"/>
          </w:tcPr>
          <w:p>
            <w:pPr>
              <w:spacing w:after="0"/>
              <w:rPr>
                <w:sz w:val="18"/>
                <w:szCs w:val="18"/>
                <w:color w:val="auto"/>
              </w:rPr>
            </w:pPr>
          </w:p>
        </w:tc>
        <w:tc>
          <w:tcPr>
            <w:tcW w:w="646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79">
              <w:r>
                <w:rPr>
                  <w:rFonts w:ascii="Arial" w:cs="Arial" w:eastAsia="Arial" w:hAnsi="Arial"/>
                  <w:sz w:val="18"/>
                  <w:szCs w:val="18"/>
                  <w:color w:val="0000FF"/>
                  <w:w w:val="90"/>
                </w:rPr>
                <w:t>Management’s Discussion and Analysis of Financial Condition and Results of Operations</w:t>
              </w:r>
            </w:hyperlink>
          </w:p>
        </w:tc>
        <w:tc>
          <w:tcPr>
            <w:tcW w:w="2240" w:type="dxa"/>
            <w:vAlign w:val="bottom"/>
            <w:gridSpan w:val="4"/>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80</w:t>
              </w:r>
            </w:hyperlink>
          </w:p>
        </w:tc>
      </w:tr>
      <w:tr>
        <w:trPr>
          <w:trHeight w:val="210"/>
        </w:trPr>
        <w:tc>
          <w:tcPr>
            <w:tcW w:w="1780" w:type="dxa"/>
            <w:vAlign w:val="bottom"/>
            <w:tcBorders>
              <w:bottom w:val="single" w:sz="8" w:color="0000FF"/>
            </w:tcBorders>
            <w:gridSpan w:val="5"/>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Item 7A.</w:t>
              </w:r>
            </w:hyperlink>
          </w:p>
        </w:tc>
        <w:tc>
          <w:tcPr>
            <w:tcW w:w="4360" w:type="dxa"/>
            <w:vAlign w:val="bottom"/>
            <w:tcBorders>
              <w:bottom w:val="single" w:sz="8" w:color="0000FF"/>
            </w:tcBorders>
            <w:gridSpan w:val="16"/>
          </w:tcPr>
          <w:p>
            <w:pPr>
              <w:spacing w:after="0"/>
              <w:rPr>
                <w:rFonts w:ascii="Arial" w:cs="Arial" w:eastAsia="Arial" w:hAnsi="Arial"/>
                <w:sz w:val="18"/>
                <w:szCs w:val="18"/>
                <w:color w:val="0000FF"/>
                <w:w w:val="92"/>
              </w:rPr>
            </w:pPr>
            <w:hyperlink w:anchor="page108">
              <w:r>
                <w:rPr>
                  <w:rFonts w:ascii="Arial" w:cs="Arial" w:eastAsia="Arial" w:hAnsi="Arial"/>
                  <w:sz w:val="18"/>
                  <w:szCs w:val="18"/>
                  <w:color w:val="0000FF"/>
                  <w:w w:val="92"/>
                </w:rPr>
                <w:t>Quantitative and Qualitative Disclosures About Market Risk</w:t>
              </w:r>
            </w:hyperlink>
          </w:p>
        </w:tc>
        <w:tc>
          <w:tcPr>
            <w:tcW w:w="4340" w:type="dxa"/>
            <w:vAlign w:val="bottom"/>
            <w:gridSpan w:val="11"/>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109</w:t>
              </w:r>
            </w:hyperlink>
          </w:p>
        </w:tc>
      </w:tr>
      <w:tr>
        <w:trPr>
          <w:trHeight w:val="210"/>
        </w:trPr>
        <w:tc>
          <w:tcPr>
            <w:tcW w:w="520" w:type="dxa"/>
            <w:vAlign w:val="bottom"/>
          </w:tcPr>
          <w:p>
            <w:pPr>
              <w:spacing w:after="0"/>
              <w:rPr>
                <w:rFonts w:ascii="Arial" w:cs="Arial" w:eastAsia="Arial" w:hAnsi="Arial"/>
                <w:sz w:val="18"/>
                <w:szCs w:val="18"/>
                <w:color w:val="0000FF"/>
                <w:w w:val="90"/>
              </w:rPr>
            </w:pPr>
            <w:hyperlink w:anchor="page110">
              <w:r>
                <w:rPr>
                  <w:rFonts w:ascii="Arial" w:cs="Arial" w:eastAsia="Arial" w:hAnsi="Arial"/>
                  <w:sz w:val="18"/>
                  <w:szCs w:val="18"/>
                  <w:color w:val="0000FF"/>
                  <w:w w:val="90"/>
                </w:rPr>
                <w:t>Item 8.</w:t>
              </w:r>
            </w:hyperlink>
          </w:p>
        </w:tc>
        <w:tc>
          <w:tcPr>
            <w:tcW w:w="1260" w:type="dxa"/>
            <w:vAlign w:val="bottom"/>
            <w:gridSpan w:val="4"/>
          </w:tcPr>
          <w:p>
            <w:pPr>
              <w:spacing w:after="0"/>
              <w:rPr>
                <w:sz w:val="18"/>
                <w:szCs w:val="18"/>
                <w:color w:val="auto"/>
              </w:rPr>
            </w:pPr>
          </w:p>
        </w:tc>
        <w:tc>
          <w:tcPr>
            <w:tcW w:w="8700" w:type="dxa"/>
            <w:vAlign w:val="bottom"/>
            <w:gridSpan w:val="27"/>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Financial Statements and Supplementary Data</w:t>
              </w:r>
            </w:hyperlink>
          </w:p>
        </w:tc>
        <w:tc>
          <w:tcPr>
            <w:tcW w:w="9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520" w:type="dxa"/>
            <w:vAlign w:val="bottom"/>
          </w:tcPr>
          <w:p>
            <w:pPr>
              <w:spacing w:after="0"/>
              <w:rPr>
                <w:rFonts w:ascii="Arial" w:cs="Arial" w:eastAsia="Arial" w:hAnsi="Arial"/>
                <w:sz w:val="18"/>
                <w:szCs w:val="18"/>
                <w:color w:val="0000FF"/>
                <w:w w:val="90"/>
              </w:rPr>
            </w:pPr>
            <w:hyperlink w:anchor="page110">
              <w:r>
                <w:rPr>
                  <w:rFonts w:ascii="Arial" w:cs="Arial" w:eastAsia="Arial" w:hAnsi="Arial"/>
                  <w:sz w:val="18"/>
                  <w:szCs w:val="18"/>
                  <w:color w:val="0000FF"/>
                  <w:w w:val="90"/>
                </w:rPr>
                <w:t>Item 9.</w:t>
              </w:r>
            </w:hyperlink>
          </w:p>
        </w:tc>
        <w:tc>
          <w:tcPr>
            <w:tcW w:w="1260" w:type="dxa"/>
            <w:vAlign w:val="bottom"/>
            <w:gridSpan w:val="4"/>
          </w:tcPr>
          <w:p>
            <w:pPr>
              <w:spacing w:after="0"/>
              <w:rPr>
                <w:sz w:val="18"/>
                <w:szCs w:val="18"/>
                <w:color w:val="auto"/>
              </w:rPr>
            </w:pPr>
          </w:p>
        </w:tc>
        <w:tc>
          <w:tcPr>
            <w:tcW w:w="8700" w:type="dxa"/>
            <w:vAlign w:val="bottom"/>
            <w:gridSpan w:val="27"/>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Changes in and Disagreements With Accountants on Accounting and Financial Disclosure</w:t>
              </w:r>
            </w:hyperlink>
          </w:p>
        </w:tc>
        <w:tc>
          <w:tcPr>
            <w:tcW w:w="9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rFonts w:ascii="Arial" w:cs="Arial" w:eastAsia="Arial" w:hAnsi="Arial"/>
                <w:sz w:val="18"/>
                <w:szCs w:val="18"/>
                <w:color w:val="0000FF"/>
                <w:w w:val="92"/>
              </w:rPr>
            </w:pPr>
            <w:hyperlink w:anchor="page110">
              <w:r>
                <w:rPr>
                  <w:rFonts w:ascii="Arial" w:cs="Arial" w:eastAsia="Arial" w:hAnsi="Arial"/>
                  <w:sz w:val="18"/>
                  <w:szCs w:val="18"/>
                  <w:color w:val="0000FF"/>
                  <w:w w:val="92"/>
                </w:rPr>
                <w:t>Item 9A.</w:t>
              </w:r>
            </w:hyperlink>
          </w:p>
        </w:tc>
        <w:tc>
          <w:tcPr>
            <w:tcW w:w="1120" w:type="dxa"/>
            <w:vAlign w:val="bottom"/>
            <w:gridSpan w:val="2"/>
          </w:tcPr>
          <w:p>
            <w:pPr>
              <w:spacing w:after="0"/>
              <w:rPr>
                <w:sz w:val="18"/>
                <w:szCs w:val="18"/>
                <w:color w:val="auto"/>
              </w:rPr>
            </w:pPr>
          </w:p>
        </w:tc>
        <w:tc>
          <w:tcPr>
            <w:tcW w:w="8700" w:type="dxa"/>
            <w:vAlign w:val="bottom"/>
            <w:gridSpan w:val="27"/>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Controls and Procedures</w:t>
              </w:r>
            </w:hyperlink>
          </w:p>
        </w:tc>
        <w:tc>
          <w:tcPr>
            <w:tcW w:w="920" w:type="dxa"/>
            <w:vAlign w:val="bottom"/>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110</w:t>
              </w:r>
            </w:hyperlink>
          </w:p>
        </w:tc>
      </w:tr>
      <w:tr>
        <w:trPr>
          <w:trHeight w:val="210"/>
        </w:trPr>
        <w:tc>
          <w:tcPr>
            <w:tcW w:w="660" w:type="dxa"/>
            <w:vAlign w:val="bottom"/>
            <w:tcBorders>
              <w:top w:val="single" w:sz="8" w:color="0000FF"/>
            </w:tcBorders>
            <w:gridSpan w:val="3"/>
          </w:tcPr>
          <w:p>
            <w:pPr>
              <w:spacing w:after="0"/>
              <w:rPr>
                <w:rFonts w:ascii="Arial" w:cs="Arial" w:eastAsia="Arial" w:hAnsi="Arial"/>
                <w:sz w:val="18"/>
                <w:szCs w:val="18"/>
                <w:color w:val="0000FF"/>
                <w:w w:val="92"/>
              </w:rPr>
            </w:pPr>
            <w:hyperlink w:anchor="page111">
              <w:r>
                <w:rPr>
                  <w:rFonts w:ascii="Arial" w:cs="Arial" w:eastAsia="Arial" w:hAnsi="Arial"/>
                  <w:sz w:val="18"/>
                  <w:szCs w:val="18"/>
                  <w:color w:val="0000FF"/>
                  <w:w w:val="92"/>
                </w:rPr>
                <w:t>Item 9B.</w:t>
              </w:r>
            </w:hyperlink>
          </w:p>
        </w:tc>
        <w:tc>
          <w:tcPr>
            <w:tcW w:w="1120" w:type="dxa"/>
            <w:vAlign w:val="bottom"/>
            <w:gridSpan w:val="2"/>
          </w:tcPr>
          <w:p>
            <w:pPr>
              <w:spacing w:after="0"/>
              <w:rPr>
                <w:sz w:val="18"/>
                <w:szCs w:val="18"/>
                <w:color w:val="auto"/>
              </w:rPr>
            </w:pPr>
          </w:p>
        </w:tc>
        <w:tc>
          <w:tcPr>
            <w:tcW w:w="1760" w:type="dxa"/>
            <w:vAlign w:val="bottom"/>
            <w:tcBorders>
              <w:top w:val="single" w:sz="8" w:color="0000FF"/>
            </w:tcBorders>
            <w:gridSpan w:val="6"/>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Other Information</w:t>
              </w:r>
            </w:hyperlink>
          </w:p>
        </w:tc>
        <w:tc>
          <w:tcPr>
            <w:tcW w:w="6940" w:type="dxa"/>
            <w:vAlign w:val="bottom"/>
            <w:gridSpan w:val="21"/>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111</w:t>
              </w:r>
            </w:hyperlink>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Borders>
              <w:bottom w:val="single" w:sz="8" w:color="0000FF"/>
            </w:tcBorders>
            <w:gridSpan w:val="8"/>
          </w:tcPr>
          <w:p>
            <w:pPr>
              <w:jc w:val="center"/>
              <w:ind w:right="20"/>
              <w:spacing w:after="0"/>
              <w:rPr>
                <w:rFonts w:ascii="Arial" w:cs="Arial" w:eastAsia="Arial" w:hAnsi="Arial"/>
                <w:sz w:val="18"/>
                <w:szCs w:val="18"/>
                <w:b w:val="1"/>
                <w:bCs w:val="1"/>
                <w:color w:val="0000FF"/>
              </w:rPr>
            </w:pPr>
            <w:hyperlink w:anchor="page111">
              <w:r>
                <w:rPr>
                  <w:rFonts w:ascii="Arial" w:cs="Arial" w:eastAsia="Arial" w:hAnsi="Arial"/>
                  <w:sz w:val="18"/>
                  <w:szCs w:val="18"/>
                  <w:b w:val="1"/>
                  <w:bCs w:val="1"/>
                  <w:color w:val="0000FF"/>
                </w:rPr>
                <w:t>PART III</w:t>
              </w:r>
            </w:hyperlink>
          </w:p>
        </w:tc>
        <w:tc>
          <w:tcPr>
            <w:tcW w:w="3980" w:type="dxa"/>
            <w:vAlign w:val="bottom"/>
            <w:gridSpan w:val="7"/>
          </w:tcPr>
          <w:p>
            <w:pPr>
              <w:spacing w:after="0"/>
              <w:rPr>
                <w:sz w:val="24"/>
                <w:szCs w:val="24"/>
                <w:color w:val="auto"/>
              </w:rPr>
            </w:pPr>
          </w:p>
        </w:tc>
        <w:tc>
          <w:tcPr>
            <w:tcW w:w="920" w:type="dxa"/>
            <w:vAlign w:val="bottom"/>
          </w:tcPr>
          <w:p>
            <w:pPr>
              <w:jc w:val="right"/>
              <w:spacing w:after="0"/>
              <w:rPr>
                <w:rFonts w:ascii="Arial" w:cs="Arial" w:eastAsia="Arial" w:hAnsi="Arial"/>
                <w:sz w:val="18"/>
                <w:szCs w:val="18"/>
                <w:color w:val="auto"/>
              </w:rPr>
            </w:pPr>
            <w:hyperlink w:anchor="page111">
              <w:r>
                <w:rPr>
                  <w:rFonts w:ascii="Arial" w:cs="Arial" w:eastAsia="Arial" w:hAnsi="Arial"/>
                  <w:sz w:val="18"/>
                  <w:szCs w:val="18"/>
                  <w:color w:val="auto"/>
                </w:rPr>
                <w:t>112</w:t>
              </w:r>
            </w:hyperlink>
          </w:p>
        </w:tc>
      </w:tr>
      <w:tr>
        <w:trPr>
          <w:trHeight w:val="480"/>
        </w:trPr>
        <w:tc>
          <w:tcPr>
            <w:tcW w:w="1780" w:type="dxa"/>
            <w:vAlign w:val="bottom"/>
            <w:gridSpan w:val="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10.</w:t>
              </w:r>
            </w:hyperlink>
          </w:p>
        </w:tc>
        <w:tc>
          <w:tcPr>
            <w:tcW w:w="8700" w:type="dxa"/>
            <w:vAlign w:val="bottom"/>
            <w:gridSpan w:val="2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Directors and Executive Officers of Our General Partner and Corporate Governance</w:t>
              </w:r>
            </w:hyperlink>
          </w:p>
        </w:tc>
        <w:tc>
          <w:tcPr>
            <w:tcW w:w="9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210"/>
        </w:trPr>
        <w:tc>
          <w:tcPr>
            <w:tcW w:w="6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Item 11.</w:t>
              </w:r>
            </w:hyperlink>
          </w:p>
        </w:tc>
        <w:tc>
          <w:tcPr>
            <w:tcW w:w="1180" w:type="dxa"/>
            <w:vAlign w:val="bottom"/>
            <w:gridSpan w:val="3"/>
          </w:tcPr>
          <w:p>
            <w:pPr>
              <w:spacing w:after="0"/>
              <w:rPr>
                <w:sz w:val="18"/>
                <w:szCs w:val="18"/>
                <w:color w:val="auto"/>
              </w:rPr>
            </w:pPr>
          </w:p>
        </w:tc>
        <w:tc>
          <w:tcPr>
            <w:tcW w:w="18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9"/>
              </w:rPr>
            </w:pPr>
            <w:hyperlink w:anchor="page112">
              <w:r>
                <w:rPr>
                  <w:rFonts w:ascii="Arial" w:cs="Arial" w:eastAsia="Arial" w:hAnsi="Arial"/>
                  <w:sz w:val="18"/>
                  <w:szCs w:val="18"/>
                  <w:color w:val="0000FF"/>
                  <w:w w:val="89"/>
                </w:rPr>
                <w:t>Executive Compensation</w:t>
              </w:r>
            </w:hyperlink>
          </w:p>
        </w:tc>
        <w:tc>
          <w:tcPr>
            <w:tcW w:w="4240" w:type="dxa"/>
            <w:vAlign w:val="bottom"/>
            <w:tcBorders>
              <w:top w:val="single" w:sz="8" w:color="0000FF"/>
            </w:tcBorders>
            <w:gridSpan w:val="15"/>
          </w:tcPr>
          <w:p>
            <w:pPr>
              <w:spacing w:after="0"/>
              <w:rPr>
                <w:sz w:val="18"/>
                <w:szCs w:val="18"/>
                <w:color w:val="auto"/>
              </w:rPr>
            </w:pPr>
          </w:p>
        </w:tc>
        <w:tc>
          <w:tcPr>
            <w:tcW w:w="2660" w:type="dxa"/>
            <w:vAlign w:val="bottom"/>
            <w:gridSpan w:val="5"/>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210"/>
        </w:trPr>
        <w:tc>
          <w:tcPr>
            <w:tcW w:w="1780" w:type="dxa"/>
            <w:vAlign w:val="bottom"/>
            <w:gridSpan w:val="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12.</w:t>
              </w:r>
            </w:hyperlink>
          </w:p>
        </w:tc>
        <w:tc>
          <w:tcPr>
            <w:tcW w:w="8700" w:type="dxa"/>
            <w:vAlign w:val="bottom"/>
            <w:gridSpan w:val="2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Security Ownership of Certain Beneficial Owners and Management and Related Shareholder Matters</w:t>
              </w:r>
            </w:hyperlink>
          </w:p>
        </w:tc>
        <w:tc>
          <w:tcPr>
            <w:tcW w:w="9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112</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700" w:type="dxa"/>
            <w:vAlign w:val="bottom"/>
            <w:gridSpan w:val="6"/>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780" w:type="dxa"/>
            <w:vAlign w:val="bottom"/>
            <w:gridSpan w:val="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13.</w:t>
              </w:r>
            </w:hyperlink>
          </w:p>
        </w:tc>
        <w:tc>
          <w:tcPr>
            <w:tcW w:w="8700" w:type="dxa"/>
            <w:vAlign w:val="bottom"/>
            <w:gridSpan w:val="27"/>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Certain Relationships and Related Transactions, and Director Independence</w:t>
              </w:r>
            </w:hyperlink>
          </w:p>
        </w:tc>
        <w:tc>
          <w:tcPr>
            <w:tcW w:w="920" w:type="dxa"/>
            <w:vAlign w:val="bottom"/>
          </w:tcPr>
          <w:p>
            <w:pPr>
              <w:jc w:val="right"/>
              <w:spacing w:after="0"/>
              <w:rPr>
                <w:rFonts w:ascii="Arial" w:cs="Arial" w:eastAsia="Arial" w:hAnsi="Arial"/>
                <w:sz w:val="18"/>
                <w:szCs w:val="18"/>
                <w:color w:val="auto"/>
              </w:rPr>
            </w:pPr>
            <w:hyperlink w:anchor="page112">
              <w:r>
                <w:rPr>
                  <w:rFonts w:ascii="Arial" w:cs="Arial" w:eastAsia="Arial" w:hAnsi="Arial"/>
                  <w:sz w:val="18"/>
                  <w:szCs w:val="18"/>
                  <w:color w:val="auto"/>
                </w:rPr>
                <w:t>113</w:t>
              </w:r>
            </w:hyperlink>
          </w:p>
        </w:tc>
      </w:tr>
      <w:tr>
        <w:trPr>
          <w:trHeight w:val="210"/>
        </w:trPr>
        <w:tc>
          <w:tcPr>
            <w:tcW w:w="1780" w:type="dxa"/>
            <w:vAlign w:val="bottom"/>
            <w:tcBorders>
              <w:top w:val="single" w:sz="8" w:color="0000FF"/>
            </w:tcBorders>
            <w:gridSpan w:val="5"/>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Item 14.</w:t>
              </w:r>
            </w:hyperlink>
          </w:p>
        </w:tc>
        <w:tc>
          <w:tcPr>
            <w:tcW w:w="5440" w:type="dxa"/>
            <w:vAlign w:val="bottom"/>
            <w:tcBorders>
              <w:top w:val="single" w:sz="8" w:color="0000FF"/>
            </w:tcBorders>
            <w:gridSpan w:val="21"/>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Principal Accountant Fees and Services</w:t>
              </w:r>
            </w:hyperlink>
          </w:p>
        </w:tc>
        <w:tc>
          <w:tcPr>
            <w:tcW w:w="3260" w:type="dxa"/>
            <w:vAlign w:val="bottom"/>
            <w:gridSpan w:val="6"/>
          </w:tcPr>
          <w:p>
            <w:pPr>
              <w:spacing w:after="0"/>
              <w:rPr>
                <w:sz w:val="18"/>
                <w:szCs w:val="18"/>
                <w:color w:val="auto"/>
              </w:rPr>
            </w:pPr>
          </w:p>
        </w:tc>
        <w:tc>
          <w:tcPr>
            <w:tcW w:w="9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113</w:t>
              </w:r>
            </w:hyperlink>
          </w:p>
        </w:tc>
      </w:tr>
      <w:tr>
        <w:trPr>
          <w:trHeight w:val="466"/>
        </w:trPr>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720" w:type="dxa"/>
            <w:vAlign w:val="bottom"/>
            <w:gridSpan w:val="15"/>
          </w:tcPr>
          <w:p>
            <w:pPr>
              <w:jc w:val="center"/>
              <w:ind w:right="4000"/>
              <w:spacing w:after="0"/>
              <w:rPr>
                <w:rFonts w:ascii="Arial" w:cs="Arial" w:eastAsia="Arial" w:hAnsi="Arial"/>
                <w:sz w:val="18"/>
                <w:szCs w:val="18"/>
                <w:b w:val="1"/>
                <w:bCs w:val="1"/>
                <w:color w:val="0000FF"/>
              </w:rPr>
            </w:pPr>
            <w:hyperlink w:anchor="page113">
              <w:r>
                <w:rPr>
                  <w:rFonts w:ascii="Arial" w:cs="Arial" w:eastAsia="Arial" w:hAnsi="Arial"/>
                  <w:sz w:val="18"/>
                  <w:szCs w:val="18"/>
                  <w:b w:val="1"/>
                  <w:bCs w:val="1"/>
                  <w:color w:val="0000FF"/>
                </w:rPr>
                <w:t>PART IV</w:t>
              </w:r>
            </w:hyperlink>
          </w:p>
        </w:tc>
        <w:tc>
          <w:tcPr>
            <w:tcW w:w="92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114</w:t>
              </w:r>
            </w:hyperlink>
          </w:p>
        </w:tc>
      </w:tr>
      <w:tr>
        <w:trPr>
          <w:trHeight w:val="480"/>
        </w:trPr>
        <w:tc>
          <w:tcPr>
            <w:tcW w:w="1780" w:type="dxa"/>
            <w:vAlign w:val="bottom"/>
            <w:gridSpan w:val="5"/>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Item 15.</w:t>
              </w:r>
            </w:hyperlink>
          </w:p>
        </w:tc>
        <w:tc>
          <w:tcPr>
            <w:tcW w:w="4000" w:type="dxa"/>
            <w:vAlign w:val="bottom"/>
            <w:gridSpan w:val="13"/>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Exhibits and Financial Statement Schedules</w:t>
              </w:r>
            </w:hyperlink>
          </w:p>
        </w:tc>
        <w:tc>
          <w:tcPr>
            <w:tcW w:w="700" w:type="dxa"/>
            <w:vAlign w:val="bottom"/>
            <w:tcBorders>
              <w:top w:val="single" w:sz="8" w:color="0000FF"/>
            </w:tcBorders>
            <w:gridSpan w:val="6"/>
          </w:tcPr>
          <w:p>
            <w:pPr>
              <w:spacing w:after="0"/>
              <w:rPr>
                <w:sz w:val="24"/>
                <w:szCs w:val="24"/>
                <w:color w:val="auto"/>
              </w:rPr>
            </w:pPr>
          </w:p>
        </w:tc>
        <w:tc>
          <w:tcPr>
            <w:tcW w:w="4000" w:type="dxa"/>
            <w:vAlign w:val="bottom"/>
            <w:gridSpan w:val="8"/>
          </w:tcPr>
          <w:p>
            <w:pPr>
              <w:spacing w:after="0"/>
              <w:rPr>
                <w:sz w:val="24"/>
                <w:szCs w:val="24"/>
                <w:color w:val="auto"/>
              </w:rPr>
            </w:pPr>
          </w:p>
        </w:tc>
        <w:tc>
          <w:tcPr>
            <w:tcW w:w="92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114</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620" w:type="dxa"/>
            <w:vAlign w:val="bottom"/>
            <w:gridSpan w:val="7"/>
            <w:shd w:val="clear" w:color="auto" w:fill="0000FF"/>
          </w:tcPr>
          <w:p>
            <w:pPr>
              <w:spacing w:after="0" w:line="20" w:lineRule="exact"/>
              <w:rPr>
                <w:sz w:val="1"/>
                <w:szCs w:val="1"/>
                <w:color w:val="auto"/>
              </w:rPr>
            </w:pPr>
          </w:p>
        </w:tc>
        <w:tc>
          <w:tcPr>
            <w:tcW w:w="5540" w:type="dxa"/>
            <w:vAlign w:val="bottom"/>
            <w:gridSpan w:val="1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0"/>
        </w:trPr>
        <w:tc>
          <w:tcPr>
            <w:tcW w:w="1780" w:type="dxa"/>
            <w:vAlign w:val="bottom"/>
            <w:gridSpan w:val="5"/>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Item 16.</w:t>
              </w:r>
            </w:hyperlink>
          </w:p>
        </w:tc>
        <w:tc>
          <w:tcPr>
            <w:tcW w:w="8700" w:type="dxa"/>
            <w:vAlign w:val="bottom"/>
            <w:gridSpan w:val="27"/>
          </w:tcPr>
          <w:p>
            <w:pPr>
              <w:spacing w:after="0"/>
              <w:rPr>
                <w:rFonts w:ascii="Arial" w:cs="Arial" w:eastAsia="Arial" w:hAnsi="Arial"/>
                <w:sz w:val="18"/>
                <w:szCs w:val="18"/>
                <w:color w:val="0000FF"/>
              </w:rPr>
            </w:pPr>
            <w:hyperlink w:anchor="page121">
              <w:r>
                <w:rPr>
                  <w:rFonts w:ascii="Arial" w:cs="Arial" w:eastAsia="Arial" w:hAnsi="Arial"/>
                  <w:sz w:val="18"/>
                  <w:szCs w:val="18"/>
                  <w:color w:val="0000FF"/>
                </w:rPr>
                <w:t>Form 10-K Summary</w:t>
              </w:r>
            </w:hyperlink>
          </w:p>
        </w:tc>
        <w:tc>
          <w:tcPr>
            <w:tcW w:w="920" w:type="dxa"/>
            <w:vAlign w:val="bottom"/>
          </w:tcPr>
          <w:p>
            <w:pPr>
              <w:jc w:val="right"/>
              <w:spacing w:after="0"/>
              <w:rPr>
                <w:rFonts w:ascii="Arial" w:cs="Arial" w:eastAsia="Arial" w:hAnsi="Arial"/>
                <w:sz w:val="18"/>
                <w:szCs w:val="18"/>
                <w:color w:val="auto"/>
              </w:rPr>
            </w:pPr>
            <w:hyperlink w:anchor="page121">
              <w:r>
                <w:rPr>
                  <w:rFonts w:ascii="Arial" w:cs="Arial" w:eastAsia="Arial" w:hAnsi="Arial"/>
                  <w:sz w:val="18"/>
                  <w:szCs w:val="18"/>
                  <w:color w:val="auto"/>
                </w:rPr>
                <w:t>121</w:t>
              </w:r>
            </w:hyperlink>
          </w:p>
        </w:tc>
      </w:tr>
      <w:tr>
        <w:trPr>
          <w:trHeight w:val="20"/>
        </w:trPr>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36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117" w:lineRule="exact"/>
        <w:rPr>
          <w:rFonts w:ascii="Arial" w:cs="Arial" w:eastAsia="Arial" w:hAnsi="Arial"/>
          <w:sz w:val="18"/>
          <w:szCs w:val="18"/>
          <w:color w:val="auto"/>
        </w:rPr>
      </w:pPr>
    </w:p>
    <w:p>
      <w:pPr>
        <w:ind w:left="980" w:hanging="324"/>
        <w:spacing w:after="0" w:line="259"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the United States or other countries, particularly key consumption markets like China, that trigger a meaningful drop in the global demand for crude oil and petroleum products (e.g., the recent coronavirus outbreak in China);</w:t>
      </w:r>
    </w:p>
    <w:p>
      <w:pPr>
        <w:spacing w:after="0" w:line="62" w:lineRule="exact"/>
        <w:rPr>
          <w:rFonts w:ascii="Arial" w:cs="Arial" w:eastAsia="Arial" w:hAnsi="Arial"/>
          <w:sz w:val="18"/>
          <w:szCs w:val="18"/>
          <w:color w:val="auto"/>
        </w:rPr>
      </w:pPr>
    </w:p>
    <w:p>
      <w:pPr>
        <w:ind w:left="980" w:right="500" w:hanging="324"/>
        <w:spacing w:after="0" w:line="30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negative societal sentiment regarding the fossil fuel industry and the continued development and consumption of fossil fuels, which could influence consumer preferences and governmental or regulatory actions in ways that adversely impact our business;</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117"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62" w:lineRule="exact"/>
        <w:rPr>
          <w:rFonts w:ascii="Arial" w:cs="Arial" w:eastAsia="Arial" w:hAnsi="Arial"/>
          <w:sz w:val="18"/>
          <w:szCs w:val="18"/>
          <w:color w:val="auto"/>
        </w:rPr>
      </w:pPr>
    </w:p>
    <w:p>
      <w:pPr>
        <w:ind w:left="980" w:right="560" w:hanging="324"/>
        <w:spacing w:after="0" w:line="308"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successful integration and future performance of acquired assets or businesses and the successful operation of joint ventures and joint operating arrangements we enter into from time to time, whether relating to assets operated by us or by third parties;</w:t>
      </w:r>
    </w:p>
    <w:p>
      <w:pPr>
        <w:spacing w:after="0" w:line="3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117"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and future laws, rulings, governmental regulations, accounting standards and statements, and related interpretations, including legislation or regulatory initiatives that prohibit, restrict or regulate hydraulic fracturing;</w:t>
      </w:r>
    </w:p>
    <w:p>
      <w:pPr>
        <w:spacing w:after="0" w:line="62" w:lineRule="exact"/>
        <w:rPr>
          <w:rFonts w:ascii="Arial" w:cs="Arial" w:eastAsia="Arial" w:hAnsi="Arial"/>
          <w:sz w:val="18"/>
          <w:szCs w:val="18"/>
          <w:color w:val="auto"/>
        </w:rPr>
      </w:pPr>
    </w:p>
    <w:p>
      <w:pPr>
        <w:ind w:left="980" w:right="26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 w:lineRule="exact"/>
        <w:rPr>
          <w:rFonts w:ascii="Arial" w:cs="Arial" w:eastAsia="Arial" w:hAnsi="Arial"/>
          <w:sz w:val="16"/>
          <w:szCs w:val="16"/>
          <w:color w:val="auto"/>
        </w:rPr>
      </w:pPr>
    </w:p>
    <w:p>
      <w:pPr>
        <w:ind w:left="980" w:right="240" w:hanging="324"/>
        <w:spacing w:after="0" w:line="264"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(both within the United States and globally and including the potential for a recession or significant slowdown in economic activity levels) and the amplification of other risks caused by volatile financial markets, capital constraints and liquidity concerns;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divestitures, joint ventures, acquisitions or other strategic opportunities;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weather interference with business operations or project construction, including the impact of extreme weather events or conditions;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fluctuations in the debt and equity markets, including the price of PAA’s units at the time of vesting under its long-term incentive plans;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 and</w:t>
      </w:r>
    </w:p>
    <w:p>
      <w:pPr>
        <w:spacing w:after="0" w:line="140" w:lineRule="exact"/>
        <w:rPr>
          <w:rFonts w:ascii="Arial" w:cs="Arial" w:eastAsia="Arial" w:hAnsi="Arial"/>
          <w:sz w:val="16"/>
          <w:szCs w:val="16"/>
          <w:color w:val="auto"/>
        </w:rPr>
      </w:pPr>
    </w:p>
    <w:p>
      <w:pPr>
        <w:ind w:left="980" w:right="4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natural gas liquids.</w:t>
      </w:r>
    </w:p>
    <w:p>
      <w:pPr>
        <w:spacing w:after="0" w:line="62"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Other factors described herein, as well as factors that are unknown or unpredictable, could also have a material adverse effect on future results. Please read Item 1A. “Risk Factors.” Except as required by applicable securities laws, we do not intend to update these forward-looking statements and information.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 and 2. </w:t>
      </w:r>
      <w:r>
        <w:rPr>
          <w:rFonts w:ascii="Arial" w:cs="Arial" w:eastAsia="Arial" w:hAnsi="Arial"/>
          <w:sz w:val="18"/>
          <w:szCs w:val="18"/>
          <w:b w:val="1"/>
          <w:bCs w:val="1"/>
          <w:i w:val="1"/>
          <w:i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December 31, 2019,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History</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completed our initial public offering (“IPO”) in October 2013, and our Class A shares are publicly traded on the New York Stock Exchange under the ticker symbol “PAGP”. Immediately prior to completion of our IPO, certain owners of Plains AAP, L.P. (“AAP”) transferred a portion of their interests in AAP to us, resulting in our ownership of a limited partnership interest in AAP. As of December 31, 2019, we owned (i) a 100% managing member interest in Plains All American GP LLC (“GP LLC”), which has also elected to be taxed as a corporation for United States federal income tax purposes, and</w:t>
      </w:r>
    </w:p>
    <w:p>
      <w:pPr>
        <w:spacing w:after="0" w:line="2" w:lineRule="exact"/>
        <w:rPr>
          <w:sz w:val="20"/>
          <w:szCs w:val="20"/>
          <w:color w:val="auto"/>
        </w:rPr>
      </w:pPr>
    </w:p>
    <w:p>
      <w:pPr>
        <w:ind w:right="200" w:firstLine="8"/>
        <w:spacing w:after="0" w:line="254"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approximate 73% limited partner interest in AAP through our direct ownership of approximately 181.1 million Class A units of AAP (“AAP units”) and indirect ownership of approximately 1.0 million AAP units through GP LLC. As of such date, the remaining limited partner interests in AAP were held by a group of owners that included many of the owners of AAP immediately prior to our IPO and various current and former members of management (collectively, the “Legacy Owners”).</w:t>
      </w:r>
    </w:p>
    <w:p>
      <w:pPr>
        <w:spacing w:after="0" w:line="217"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GP LLC is a Delaware limited liability company that also holds the non-economic general partner interest in AAP. AAP is a Delaware limited partnership that, as of December 31, 2019, directly owned a limited partner interest in PAA through its ownership of approximately 249.6 million PAA common units (approximately 31% of PAA’s total outstanding common units and Series A preferred units combined (together, “PAA Common Unit Equivalents”)). AAP is the sole member of PAA GP LLC (“PAA GP”), a Delaware limited liability company that directly holds the non-economic general partner interest in PAA. Our non-economic general partner interest is held by PAA GP Holdings LLC (“PAGP GP”), a Delaware limited liability company.</w:t>
      </w:r>
    </w:p>
    <w:p>
      <w:pPr>
        <w:spacing w:after="0" w:line="18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19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References to the “PAGP Entities” include PAGP GP, PAGP, GP LLC, AAP and PAA GP. References to the “Plains Entities” include the PAGP Entities and PAA and its subsidiaries.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Structure and Management</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general partner manages our operations and activities and is responsible for exercising on our behalf any rights we have as the sole and managing member of GP LLC. The board of directors of our general partner (the “Board”) has ultimate responsibility for managing the business and affairs of AAP, PAA and us. GP LLC employs all domestic officers and personnel involved in the operation and management of PAA. PAA’s Canadian officers and personnel are employed by Plains Midstream Canada ULC (“PMCULC”). Our general partner does not receive a management fee or other compensation in connection with its management of our business.</w:t>
      </w:r>
    </w:p>
    <w:p>
      <w:pPr>
        <w:spacing w:after="0" w:line="21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two diagrams below show our organizational structure and ownership as of December 31, 2019 in both a summarized and more detailed format. The first diagram depicts our legal structure in summary format, while the second diagram depicts a more comprehensive view of such structure, including ownership and economic interests and shares and units outstanding:</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Summarized Partnership Structure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6560185" cy="4493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0185" cy="44938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right="360" w:hanging="11"/>
        <w:spacing w:after="0" w:line="259" w:lineRule="auto"/>
        <w:rPr>
          <w:sz w:val="20"/>
          <w:szCs w:val="20"/>
          <w:color w:val="auto"/>
        </w:rPr>
      </w:pPr>
      <w:r>
        <w:rPr>
          <w:rFonts w:ascii="Arial" w:cs="Arial" w:eastAsia="Arial" w:hAnsi="Arial"/>
          <w:sz w:val="18"/>
          <w:szCs w:val="18"/>
          <w:color w:val="auto"/>
        </w:rPr>
        <w:t>Through a “pass-through” voting right as a result of PAA’s ownership of our Class C shares, PAA’s common unitholders and Series A preferred unitholders have the effective right to vote, pro rata with the holders of our Class A and Class B shares, for the election of eligible directors. The Class C shares are voted by PAA on behalf of and pursuant to instructions received from PAA’s common unitholders and Series A preferred unitholders.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Represents percentage ownership of PAA Common Unit Equivalents.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Detailed Partnership Structure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160020</wp:posOffset>
            </wp:positionV>
            <wp:extent cx="5866130" cy="7040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6130" cy="704088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23241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right="220" w:hanging="11"/>
        <w:spacing w:after="0" w:line="308" w:lineRule="auto"/>
        <w:rPr>
          <w:sz w:val="20"/>
          <w:szCs w:val="20"/>
          <w:color w:val="auto"/>
        </w:rPr>
      </w:pPr>
      <w:r>
        <w:rPr>
          <w:rFonts w:ascii="Arial" w:cs="Arial" w:eastAsia="Arial" w:hAnsi="Arial"/>
          <w:sz w:val="17"/>
          <w:szCs w:val="17"/>
          <w:color w:val="auto"/>
        </w:rPr>
        <w:t>Represents the number of AAP units for which the outstanding Class B units of AAP (referred to herein as the “AAP Management Units”) will be exchangeable, assuming the conversion of all such units at a rate of approximately 0.941 AAP units for each AAP Management Unit.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Assumes conversion of all outstanding AAP Management Units into AAP units.</w:t>
      </w:r>
    </w:p>
    <w:p>
      <w:pPr>
        <w:spacing w:after="0" w:line="117" w:lineRule="exact"/>
        <w:rPr>
          <w:sz w:val="20"/>
          <w:szCs w:val="20"/>
          <w:color w:val="auto"/>
        </w:rPr>
      </w:pPr>
    </w:p>
    <w:p>
      <w:pPr>
        <w:ind w:left="20" w:right="20" w:hanging="11"/>
        <w:spacing w:after="0" w:line="259" w:lineRule="auto"/>
        <w:rPr>
          <w:sz w:val="20"/>
          <w:szCs w:val="20"/>
          <w:color w:val="auto"/>
        </w:rPr>
      </w:pPr>
      <w:r>
        <w:rPr>
          <w:rFonts w:ascii="Arial" w:cs="Arial" w:eastAsia="Arial" w:hAnsi="Arial"/>
          <w:sz w:val="18"/>
          <w:szCs w:val="18"/>
          <w:color w:val="auto"/>
        </w:rPr>
        <w:t>Each Class C share represents a non-economic limited partner interest in us. Through a “pass-through” voting right as a result of PAA’s ownership of our Class C shares, PAA’s common unitholders and Series A preferred unitholders have the effective right to vote, pro rata with the holders of our Class A and Class B shares, for the election of eligible directors. The Class C shares are voted by PAA on behalf of and pursuant to instructions received from PAA’s common unitholders and Series A preferred unitholders.</w:t>
      </w:r>
    </w:p>
    <w:p>
      <w:pPr>
        <w:spacing w:after="0" w:line="79"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Represents percentage ownership of PAA Common Unit Equivalents. PAA’s Series B preferred units are not convertible into common units and are not included in PAA Common Unit Equivalents.</w:t>
      </w:r>
    </w:p>
    <w:p>
      <w:pPr>
        <w:spacing w:after="0" w:line="62" w:lineRule="exact"/>
        <w:rPr>
          <w:sz w:val="20"/>
          <w:szCs w:val="20"/>
          <w:color w:val="auto"/>
        </w:rPr>
      </w:pPr>
    </w:p>
    <w:p>
      <w:pPr>
        <w:ind w:left="20" w:right="140" w:hanging="11"/>
        <w:spacing w:after="0" w:line="277" w:lineRule="auto"/>
        <w:rPr>
          <w:sz w:val="20"/>
          <w:szCs w:val="20"/>
          <w:color w:val="auto"/>
        </w:rPr>
      </w:pPr>
      <w:r>
        <w:rPr>
          <w:rFonts w:ascii="Arial" w:cs="Arial" w:eastAsia="Arial" w:hAnsi="Arial"/>
          <w:sz w:val="18"/>
          <w:szCs w:val="18"/>
          <w:color w:val="auto"/>
        </w:rPr>
        <w:t>PAA holds direct and indirect ownership interests in consolidated operating subsidiaries including, but not limited to, Plains Marketing, L.P., Plains Pipeline, L.P., PMCULC and PAA Natural Gas Storage, L.P.</w:t>
      </w:r>
    </w:p>
    <w:p>
      <w:pPr>
        <w:spacing w:after="0" w:line="62" w:lineRule="exact"/>
        <w:rPr>
          <w:sz w:val="20"/>
          <w:szCs w:val="20"/>
          <w:color w:val="auto"/>
        </w:rPr>
      </w:pPr>
    </w:p>
    <w:p>
      <w:pPr>
        <w:ind w:left="20" w:right="220" w:hanging="11"/>
        <w:spacing w:after="0" w:line="257" w:lineRule="auto"/>
        <w:rPr>
          <w:sz w:val="20"/>
          <w:szCs w:val="20"/>
          <w:color w:val="auto"/>
        </w:rPr>
      </w:pPr>
      <w:r>
        <w:rPr>
          <w:rFonts w:ascii="Arial" w:cs="Arial" w:eastAsia="Arial" w:hAnsi="Arial"/>
          <w:sz w:val="18"/>
          <w:szCs w:val="18"/>
          <w:color w:val="auto"/>
        </w:rPr>
        <w:t>PAA holds indirect equity interests in unconsolidated entities including Advantage Pipeline, L.L.C., BridgeTex Pipeline Company, LLC, Cactus II Pipeline LLC, Caddo Pipeline LLC, Capline Pipeline Company LLC, Cheyenne Pipeline LLC, Cushing Connect Pipeline &amp; Terminal LLC, Diamond Pipeline LLC, Eagle Ford Pipeline LLC, Eagle Ford Terminals Corpus Christi LLC, Midway Pipeline LLC, Red Oak Pipeline LLC, Saddlehorn Pipeline Company, LLC, Settoon Towing, LLC, STACK Pipeline LLC, White Cliffs Pipeline, L.L.C. and Wink to Webster Pipeline LLC.</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2019, our only cash-generating assets consisted of approximately 182.1 million AAP units, which represented an approximate 73% limited partner and economic interest in AAP. Of these AAP units, we directly own approximately 181.1 million, and we indirectly own the remaining 1.0 million AAP units through our 100% ownership in GP LLC. Unless we directly acquire and hold assets or businesses in the future, our cash flows will be generated solely from the cash distributions we receive on the AAP units. AAP currently receives all of its cash flows from distributions on common units it owns in PAA. As of December 31, 2019, AAP owned approximately 249.6 million common units in PAA.</w:t>
      </w:r>
    </w:p>
    <w:p>
      <w:pPr>
        <w:spacing w:after="0" w:line="20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making loans, purchasing equity interests or providing other forms of financial support to PAA.</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a one-to-one relationship between our Class A shares and the underlying PAA common units in which we have an indirect economic interest through our ownership interests in AAP and GP LLC (referred to as “Economic Parity”), such that the number of our outstanding Class A shares equals the number of AAP units we directly and indirectly own, which in turn equals the number of PAA common units held by AAP attributable to our direct and indirect ownership interest in AAP.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Business Strategy</w:t>
      </w:r>
    </w:p>
    <w:p>
      <w:pPr>
        <w:spacing w:after="0" w:line="25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supply, logistics and distribution expertise. We believe PAA’s successful execution of this strategy will enable it to generate sustainable earnings and cash flow. PAA intends to execute its strategy by:</w:t>
      </w:r>
    </w:p>
    <w:p>
      <w:pPr>
        <w:spacing w:after="0" w:line="6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Focusing on operational excellence, continuous improvement and running a safe, reliable, environmentally and socially responsible operation;</w:t>
      </w:r>
    </w:p>
    <w:p>
      <w:pPr>
        <w:spacing w:after="0" w:line="140" w:lineRule="exact"/>
        <w:rPr>
          <w:rFonts w:ascii="Arial" w:cs="Arial" w:eastAsia="Arial" w:hAnsi="Arial"/>
          <w:sz w:val="16"/>
          <w:szCs w:val="16"/>
          <w:color w:val="auto"/>
        </w:rPr>
      </w:pPr>
    </w:p>
    <w:p>
      <w:pPr>
        <w:ind w:left="980" w:right="280" w:hanging="324"/>
        <w:spacing w:after="0" w:line="286"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Enabling North American production growth and creating access to multiple markets through the development and implementation of timely and competitive solutions that support evolving crude oil and NGL needs in the midstream transportation and infrastructure sector in North America and are well positioned to benefit from long-term industry trends and opportunities;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180" w:hanging="324"/>
        <w:spacing w:after="0" w:line="264"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its transportation, terminalling, storage, processing and fractionation assets in conjunction with its commercial capabilities to provide flexibility and deliver value chain solutions to customers, capture market opportunities, address physical market imbalances, mitigate inherent risks and sustain or increase margins;</w:t>
      </w:r>
    </w:p>
    <w:p>
      <w:pPr>
        <w:spacing w:after="0" w:line="7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Optimizing its operations and portfolio of assets by delivering industry leading reliability and efficiency in order to attract business opportunities and enhance returns; and</w:t>
      </w:r>
    </w:p>
    <w:p>
      <w:pPr>
        <w:spacing w:after="0" w:line="62" w:lineRule="exact"/>
        <w:rPr>
          <w:rFonts w:ascii="Arial" w:cs="Arial" w:eastAsia="Arial" w:hAnsi="Arial"/>
          <w:sz w:val="18"/>
          <w:szCs w:val="18"/>
          <w:color w:val="auto"/>
        </w:rPr>
      </w:pPr>
    </w:p>
    <w:p>
      <w:pPr>
        <w:ind w:left="980" w:right="360" w:hanging="324"/>
        <w:spacing w:after="0" w:line="342" w:lineRule="auto"/>
        <w:tabs>
          <w:tab w:leader="none" w:pos="975" w:val="left"/>
        </w:tabs>
        <w:numPr>
          <w:ilvl w:val="0"/>
          <w:numId w:val="7"/>
        </w:numPr>
        <w:rPr>
          <w:rFonts w:ascii="Arial" w:cs="Arial" w:eastAsia="Arial" w:hAnsi="Arial"/>
          <w:sz w:val="16"/>
          <w:szCs w:val="16"/>
          <w:color w:val="auto"/>
        </w:rPr>
      </w:pPr>
      <w:r>
        <w:rPr>
          <w:rFonts w:ascii="Arial" w:cs="Arial" w:eastAsia="Arial" w:hAnsi="Arial"/>
          <w:sz w:val="16"/>
          <w:szCs w:val="16"/>
          <w:color w:val="auto"/>
        </w:rPr>
        <w:t>Pursuing a balanced, long-term financial strategy that is focused on enhancing financial flexibility by making disciplined capital allocation decisions that sustain or increase distributable cash flow and returns, while sustainably increasing cash returned to equity holders over time.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Competitive Strengths</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competitive strengths position PAA to successfully execute its principal business strategy:</w:t>
      </w:r>
    </w:p>
    <w:p>
      <w:pPr>
        <w:spacing w:after="0" w:line="117" w:lineRule="exact"/>
        <w:rPr>
          <w:sz w:val="20"/>
          <w:szCs w:val="20"/>
          <w:color w:val="auto"/>
        </w:rPr>
      </w:pPr>
    </w:p>
    <w:p>
      <w:pPr>
        <w:ind w:left="980" w:right="60" w:hanging="324"/>
        <w:spacing w:after="0" w:line="254" w:lineRule="auto"/>
        <w:tabs>
          <w:tab w:leader="none" w:pos="97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Many of PAA’s assets are strategically located, part of an integrated value chain and operationally flexible. </w:t>
      </w:r>
      <w:r>
        <w:rPr>
          <w:rFonts w:ascii="Arial" w:cs="Arial" w:eastAsia="Arial" w:hAnsi="Arial"/>
          <w:sz w:val="18"/>
          <w:szCs w:val="18"/>
          <w:color w:val="auto"/>
        </w:rPr>
        <w:t>The majority of PAA’s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segment assets are in crude oil service, are located in well-established crude oil producing regions (with PAA’s largest asset presence in the Permian Basin) and other transportation corridors and are connected, directly or indirectly, with PAA’s Facilities segment assets. The majority of PAA’s Facilities segment assets are located at major trading locations and premium markets that serve as gateways to major North American refinery and distribution markets where PAA has strong business relationships. In addition, PAA’s assets include pipeline, rail, barge, truck and storage assets, which provide PAA’s customers and PAA with significant flexibility and optionality to satisfy demand and balance markets, particularly during a dynamic period of changing product flows and recent developments with respect to rising crude oil exports.</w:t>
      </w:r>
    </w:p>
    <w:p>
      <w:pPr>
        <w:spacing w:after="0" w:line="138" w:lineRule="exact"/>
        <w:rPr>
          <w:rFonts w:ascii="Arial" w:cs="Arial" w:eastAsia="Arial" w:hAnsi="Arial"/>
          <w:sz w:val="18"/>
          <w:szCs w:val="18"/>
          <w:i w:val="1"/>
          <w:iCs w:val="1"/>
          <w:color w:val="auto"/>
        </w:rPr>
      </w:pPr>
    </w:p>
    <w:p>
      <w:pPr>
        <w:ind w:left="980" w:hanging="324"/>
        <w:spacing w:after="0" w:line="279" w:lineRule="auto"/>
        <w:tabs>
          <w:tab w:leader="none" w:pos="97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possesses specialized crude oil and NGL market knowledge. </w:t>
      </w:r>
      <w:r>
        <w:rPr>
          <w:rFonts w:ascii="Arial" w:cs="Arial" w:eastAsia="Arial" w:hAnsi="Arial"/>
          <w:sz w:val="17"/>
          <w:szCs w:val="17"/>
          <w:color w:val="auto"/>
        </w:rPr>
        <w:t>We believe PAA’s business relationships with participants in various phases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crude oil and NGL distribution chain, from producers to refiners, as well as PAA’s own industry expertise (including PAA’s knowledge of North American crude oil and NGL flows), provide PAA with extensive market insight and an understanding of the North American physical crude oil and NGL markets that enables PAA to provide value chain solutions for its customers.</w:t>
      </w:r>
    </w:p>
    <w:p>
      <w:pPr>
        <w:spacing w:after="0" w:line="117" w:lineRule="exact"/>
        <w:rPr>
          <w:rFonts w:ascii="Arial" w:cs="Arial" w:eastAsia="Arial" w:hAnsi="Arial"/>
          <w:sz w:val="17"/>
          <w:szCs w:val="17"/>
          <w:i w:val="1"/>
          <w:iCs w:val="1"/>
          <w:color w:val="auto"/>
        </w:rPr>
      </w:pPr>
    </w:p>
    <w:p>
      <w:pPr>
        <w:ind w:left="980" w:right="100" w:hanging="324"/>
        <w:spacing w:after="0" w:line="259" w:lineRule="auto"/>
        <w:tabs>
          <w:tab w:leader="none" w:pos="97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PAA’s supply and logistics activities typically generate a positive margin with the opportunity to realize incremental margins. </w:t>
      </w:r>
      <w:r>
        <w:rPr>
          <w:rFonts w:ascii="Arial" w:cs="Arial" w:eastAsia="Arial" w:hAnsi="Arial"/>
          <w:sz w:val="18"/>
          <w:szCs w:val="18"/>
          <w:color w:val="auto"/>
        </w:rPr>
        <w:t>We believe the</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activities executed within PAA’s Supply and Logistics segment in combination with PAA’s risk management strategies provides PAA with a low-risk opportunity to generate incremental margin, the amount of which may vary depending on market conditions (such as differentials and certain competitive factors).</w:t>
      </w:r>
    </w:p>
    <w:p>
      <w:pPr>
        <w:spacing w:after="0" w:line="132" w:lineRule="exact"/>
        <w:rPr>
          <w:rFonts w:ascii="Arial" w:cs="Arial" w:eastAsia="Arial" w:hAnsi="Arial"/>
          <w:sz w:val="18"/>
          <w:szCs w:val="18"/>
          <w:i w:val="1"/>
          <w:iCs w:val="1"/>
          <w:color w:val="auto"/>
        </w:rPr>
      </w:pPr>
    </w:p>
    <w:p>
      <w:pPr>
        <w:ind w:left="980" w:right="60" w:hanging="324"/>
        <w:spacing w:after="0" w:line="270" w:lineRule="auto"/>
        <w:tabs>
          <w:tab w:leader="none" w:pos="97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has the strategic and technical skills and the financial flexibility to continue to pursue strategic transactions, including joint ventures, joint ownership arrangements, acquisitions or divestitures. </w:t>
      </w:r>
      <w:r>
        <w:rPr>
          <w:rFonts w:ascii="Arial" w:cs="Arial" w:eastAsia="Arial" w:hAnsi="Arial"/>
          <w:sz w:val="17"/>
          <w:szCs w:val="17"/>
          <w:color w:val="auto"/>
        </w:rPr>
        <w:t>Since 2016, PAA has consummated over 10 joint venture and/or joint ownership</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and completed over $3 billion of divestitures of non-core assets and/or strategic sales of partial interests in selected assets. In addition, since its initial public offering, PAA has completed and integrated over 90 acquisitions with an aggregate purchase price of approximately $13.3 billion, and PAA has also implemented expansion capital projects totaling approximately $15.8 billion. In addition, considering PAA’s investment grade credit ratings at two of three agencies, liquidity and capital structure, PAA believes it has the financial resources and strength necessary to finance future strategic expansion, joint venture and acquisition opportunities. As of December 31, 2019, PAA had approximately $2.5 billion of liquidity available, including cash and cash equivalents and availability under its committed credit facilities, subject to continued covenant compliance.</w:t>
      </w:r>
    </w:p>
    <w:p>
      <w:pPr>
        <w:spacing w:after="0" w:line="127" w:lineRule="exact"/>
        <w:rPr>
          <w:rFonts w:ascii="Arial" w:cs="Arial" w:eastAsia="Arial" w:hAnsi="Arial"/>
          <w:sz w:val="17"/>
          <w:szCs w:val="17"/>
          <w:i w:val="1"/>
          <w:iCs w:val="1"/>
          <w:color w:val="auto"/>
        </w:rPr>
      </w:pPr>
    </w:p>
    <w:p>
      <w:pPr>
        <w:ind w:left="980" w:hanging="324"/>
        <w:spacing w:after="0" w:line="279" w:lineRule="auto"/>
        <w:tabs>
          <w:tab w:leader="none" w:pos="97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PAA has an experienced management team whose interests are aligned with those of its unitholders. </w:t>
      </w:r>
      <w:r>
        <w:rPr>
          <w:rFonts w:ascii="Arial" w:cs="Arial" w:eastAsia="Arial" w:hAnsi="Arial"/>
          <w:sz w:val="17"/>
          <w:szCs w:val="17"/>
          <w:color w:val="auto"/>
        </w:rPr>
        <w:t>PAA’s executive management team has an</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of 30+ years of experience spanning across all sectors of the energy industry, as well as investment banking, and an average of 17 years with PAA or its predecessors and affiliates. In addition, through their ownership of PAA common units and grants of phantom units and interests in us, PAA’s management team has a vested interest in PAA’s continued success.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Strategy</w:t>
      </w:r>
    </w:p>
    <w:p>
      <w:pPr>
        <w:spacing w:after="0" w:line="256"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financial strategy is designed to be complementary to PAA’s financial and business strategies. Our only cash-generating assets consist of our direct and indirect limited partner interests in AAP, which currently receives all of its cash flows from distributions on the PAA common units it owns.</w:t>
      </w:r>
    </w:p>
    <w:p>
      <w:pPr>
        <w:spacing w:after="0" w:line="15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have entered into an Omnibus Agreement with the Plains Entities which provides for (i) our ability to issue additional Class A shares and use the net proceeds therefrom to purchase a like number of AAP units from AAP, and the corresponding ability of AAP to use the net proceeds therefrom to purchase a like number of PAA common units from PAA and (ii) our ability to lend proceeds of any future indebtedness we incur to AAP, and AAP’s corresponding ability to lend such proceeds to PAA, in each case on substantially the same terms as we incur.</w:t>
      </w:r>
    </w:p>
    <w:p>
      <w:pPr>
        <w:spacing w:after="0" w:line="198"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Accordingly, we may access the equity capital markets from time to time to enhance the financial position of PAA and its ability to compete for incremental capital opportunities (including organic investments and third-party acquisitions) to drive future growth. We currently do not intend to incur any indebtedness in the near term. We would expect to fund direct acquisitions made by us, if any, with a combination of debt and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Financial Strategy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Targeted Credit Profile</w:t>
      </w:r>
    </w:p>
    <w:p>
      <w:pPr>
        <w:spacing w:after="0" w:line="25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believe that a major factor in PAA’s continued success is its ability to maintain significant financial flexibility, a competitive cost of capital and access to the capital markets. In that regard, PAA intends to maintain a credit profile that it believes is consistent with investment grade credit ratings. PAA targets a credit profile with the following attributes:</w:t>
      </w:r>
    </w:p>
    <w:p>
      <w:pPr>
        <w:spacing w:after="0" w:line="208" w:lineRule="exact"/>
        <w:rPr>
          <w:sz w:val="20"/>
          <w:szCs w:val="20"/>
          <w:color w:val="auto"/>
        </w:rPr>
      </w:pPr>
    </w:p>
    <w:p>
      <w:pPr>
        <w:ind w:left="980" w:right="60" w:hanging="324"/>
        <w:spacing w:after="0" w:line="255"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long-term debt-to-Adjusted EBITDA multiple averaging between 3.0x and 3.5x (“Adjusted EBITDA” is earnings before interest, taxes, depreciation and amortization (including our proportionate share of depreciation and amortization and gains and losses on significant asset sales by unconsolidated entities), gains and losses on asset sales and asset impairments, and gains on sales of investments in unconsolidated entities, adjusted for selected items that impact comparability. See Item 7. “Management’s Discussion and Analysis of Financial Condition and Results of Operations—Results of Operations—Non-GAAP Financial Measures” for a discussion of our selected items that impact comparability and our non-GAAP measures.);</w:t>
      </w:r>
    </w:p>
    <w:p>
      <w:pPr>
        <w:spacing w:after="0" w:line="8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long-term debt-to-total capitalization ratio of approximately 50% or 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total debt-to-total capitalization ratio of approximately 60% or 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average Adjusted EBITDA-to-interest coverage multiple of approximately 3.3x or better.</w:t>
      </w:r>
    </w:p>
    <w:p>
      <w:pPr>
        <w:spacing w:after="0" w:line="36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first two of these four metrics include long-term debt as a critical measure, but do not include certain components of PAA’s capital structure such as short-term debt, preferred units and operating leases that may be considered by rating agencies in assigning their ratings. At December 31, 2019, PAA’s publicly-traded senior notes comprised approximately 97% of its reported long-term debt. Additionally, PAA also routinely incurs short-term debt primarily in connection with its supply and logistics activities that involve the simultaneous purchase and forward sale of crude oil and NGL. The crude oil and NGL purchased in these transactions are hedged. These borrowings are self-liquidating as they are repaid with sales proceeds. PAA also incurs short-term debt to fund New York Mercantile Exchange (“NYMEX”) and Intercontinental Exchange (“ICE”) margin requirements. In certain market conditions, these routine short-term debt levels may increase above certain baseline levels. Similar to PAA’s working capital borrowings, these borrowings are self-liquidating. PAA does not consider the working capital borrowings or margin requirements associated with these activities to be part of its long-term capital structure.</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For PAA to maintain its targeted credit profile and achieve growth through acquisitions and expansion capital, PAA has historically targeted to fund approximately 55% of the capital requirements associated with these activities with equity, cash flow in excess of distributions or proceeds from asset sales. However, in connection with PAA’s leverage reduction plan, as discussed below, and in recognition of challenging financial markets, PAA has retained a larger amount of cash flow in excess of distributions and sold a meaningful amount of assets to fund the equity portion of its expansion capital investments, while refraining from accessing the equity capital markets. Additionally, from time to time, PAA may be outside the parameters of its targeted credit profile as, in certain cases, capital expenditures and acquisitions may be financed initially using debt or there may be delays in realizing anticipated synergies from acquisitions or contributions from expansion capital projects to Adjusted EBITDA.</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Leverage Reduction Plan</w:t>
      </w:r>
    </w:p>
    <w:p>
      <w:pPr>
        <w:spacing w:after="0" w:line="25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In August 2017, PAA announced that it was implementing an action plan to strengthen its balance sheet, reduce leverage, enhance its distribution coverage, minimize new issuances of common equity and position PAA for future distribution growth. In April 2019, PAA announced its achievement of these objectives. See Item 7. “Management’s Discussion and Analysis of Financial Condition and Results of Operations—Executive Summary” for a summary of this action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Values and Social Responsibility</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Core Values include Safety and Environmental Stewardship, Accountability, Ethics and Integrity and Respect and Fairness. Our Code of Business Conduct sets forth the ways in which these Core Values govern how we and PAA conduct ourselves and engage in business relationships. Additional information about our Core Values and our commitment to environmental and social responsibility is available in the Social Responsibility portion of our website. See “—Available Information”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Investment, Acquisition and Divestiture Activities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Consistent with its business strategy, PAA is continuously engaged in the evaluation of potential acquisitions, joint ventures and capital projects. As a part of these efforts, PAA often engages in discussions with potential sellers or other parties regarding the possible purchase of or investment in assets and operations that are strategic and complementary to PAA’s existing operations. In response to changing U.S. production profiles, increased competition for new build assets and PAA’s desire to make disciplined capital investment decisions, over the last several years, PAA has increased its joint venture and/or joint ownership related activities in an effort to fully meet the current and future needs of its customers while also optimizing and rationalizing assets and enhancing its investment returns. The vast majority of our joint ventures are accounted for as investments in unconsolidated subsidiaries. In addition, PAA has in the past evaluated and pursued, and intends in the future to evaluate and pursue, the acquisition of or investment in other energy-related assets that have characteristics and opportunities similar to PAA’s existing business lines and enable PAA to leverage its assets, knowledge and skill sets. Such efforts may involve participation by PAA in processes that have been made public and involve a number of potential buyers or investors, commonly referred to as “auction” processes, as well as situations in which PAA believes it is the only party or one of a limited number of parties who are in negotiations with the potential seller or other party. These acquisition and investment efforts often involve assets which, if acquired or constructed, could have a material effect on PAA’s financial condition and results of operations.</w:t>
      </w:r>
    </w:p>
    <w:p>
      <w:pPr>
        <w:spacing w:after="0" w:line="20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PAA also continuously evaluates whether it should (i) sell assets that it regards as non-core or that it believes might be a better fit with the business and/or assets of a third-party buyer or (ii) sell partial interests in assets to strategic joint venture partners, in each case to optimize PAA’s asset portfolio and strengthen its balance sheet and leverage metrics. With respect to a potential divestiture, PAA may also conduct an auction process or may negotiate a transaction with one or a limited number of potential buyers.</w:t>
      </w:r>
    </w:p>
    <w:p>
      <w:pPr>
        <w:spacing w:after="0" w:line="2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PAA typically does not announce a transaction until after it has executed a definitive agreement. However, in certain cases in order to protect its business interests or for other reasons, PAA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PAA has entered into a definitive agreement may be subject to customary and other closing conditions, which may not ultimately be satisfied or waived. Accordingly, PAA can give no assurance that its current or future acquisition or investment efforts will be successful, or that its strategic asset divestitures will be completed. Although PAA expects the acquisitions and investments it makes to be accretive in the long term, PAA can provide no assurance that its expectations will ultimately be realized. See Item 1A. “Risk Factors—Risks Related to PAA’s Business—Acquisitions, divestitures and joint ventures involve risks that may adversely affect PAA’s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Investment Activities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2019, PAA entered into four new joint ventures (“JV”) and consummated two new undivided joint interest (“UJI”) arrangements with long-term partners throughout the industry value chain. In total, PAA is now party to over 25 JV and UJI arrangements spanning across multiple North American basins. These capital-efficient arrangements allow for strategic alignment with long-term industry partners who are able to add volume commitments to the systems and improve PAA’s project returns.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PAA’s JVs as of December 31, 2019:</w:t>
      </w:r>
    </w:p>
    <w:p>
      <w:pPr>
        <w:spacing w:after="0" w:line="298"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JV</w:t>
      </w:r>
    </w:p>
    <w:p>
      <w:pPr>
        <w:spacing w:after="0" w:line="42" w:lineRule="exact"/>
        <w:rPr>
          <w:sz w:val="20"/>
          <w:szCs w:val="20"/>
          <w:color w:val="auto"/>
        </w:rPr>
      </w:pPr>
    </w:p>
    <w:p>
      <w:pPr>
        <w:ind w:left="8700"/>
        <w:spacing w:after="0"/>
        <w:tabs>
          <w:tab w:leader="none" w:pos="9980" w:val="left"/>
        </w:tabs>
        <w:rPr>
          <w:sz w:val="20"/>
          <w:szCs w:val="20"/>
          <w:color w:val="auto"/>
        </w:rPr>
      </w:pPr>
      <w:r>
        <w:rPr>
          <w:rFonts w:ascii="Arial" w:cs="Arial" w:eastAsia="Arial" w:hAnsi="Arial"/>
          <w:sz w:val="14"/>
          <w:szCs w:val="14"/>
          <w:b w:val="1"/>
          <w:bCs w:val="1"/>
          <w:color w:val="auto"/>
        </w:rPr>
        <w:t>Ownership</w:t>
      </w:r>
      <w:r>
        <w:rPr>
          <w:sz w:val="20"/>
          <w:szCs w:val="20"/>
          <w:color w:val="auto"/>
        </w:rPr>
        <w:tab/>
      </w:r>
      <w:r>
        <w:rPr>
          <w:rFonts w:ascii="Arial" w:cs="Arial" w:eastAsia="Arial" w:hAnsi="Arial"/>
          <w:sz w:val="14"/>
          <w:szCs w:val="14"/>
          <w:b w:val="1"/>
          <w:bCs w:val="1"/>
          <w:color w:val="auto"/>
        </w:rPr>
        <w:t>Investment</w:t>
      </w:r>
    </w:p>
    <w:p>
      <w:pPr>
        <w:sectPr>
          <w:pgSz w:w="11900" w:h="16838" w:orient="portrait"/>
          <w:cols w:equalWidth="0" w:num="1">
            <w:col w:w="11400"/>
          </w:cols>
          <w:pgMar w:left="240" w:top="125" w:right="25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Advantage Pipeline Holdings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BridgeTex Pipeline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Cactus II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Caddo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Capline Pipeline Company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Cheyenne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Cushing Connect Pipeline &amp; Terminal LLC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Diamond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Eagle Ford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Eagle Ford Terminals Corpus Christi LLC</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Midway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Red Oak Pipeline LLC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Red River Pipeline Company LLC </w:t>
      </w:r>
      <w:r>
        <w:rPr>
          <w:rFonts w:ascii="Arial" w:cs="Arial" w:eastAsia="Arial" w:hAnsi="Arial"/>
          <w:sz w:val="23"/>
          <w:szCs w:val="23"/>
          <w:color w:val="auto"/>
          <w:vertAlign w:val="superscript"/>
        </w:rPr>
        <w:t>(5)</w:t>
      </w:r>
    </w:p>
    <w:p>
      <w:pPr>
        <w:ind w:left="20"/>
        <w:spacing w:after="0"/>
        <w:rPr>
          <w:sz w:val="20"/>
          <w:szCs w:val="20"/>
          <w:color w:val="auto"/>
        </w:rPr>
      </w:pPr>
      <w:r>
        <w:rPr>
          <w:rFonts w:ascii="Arial" w:cs="Arial" w:eastAsia="Arial" w:hAnsi="Arial"/>
          <w:sz w:val="18"/>
          <w:szCs w:val="18"/>
          <w:color w:val="auto"/>
        </w:rPr>
        <w:t xml:space="preserve">Saddlehorn Pipeline Company, LLC </w:t>
      </w:r>
      <w:r>
        <w:rPr>
          <w:rFonts w:ascii="Arial" w:cs="Arial" w:eastAsia="Arial" w:hAnsi="Arial"/>
          <w:sz w:val="23"/>
          <w:szCs w:val="23"/>
          <w:color w:val="auto"/>
          <w:vertAlign w:val="superscript"/>
        </w:rPr>
        <w:t>(5)</w:t>
      </w:r>
    </w:p>
    <w:p>
      <w:pPr>
        <w:ind w:left="20"/>
        <w:spacing w:after="0"/>
        <w:rPr>
          <w:sz w:val="20"/>
          <w:szCs w:val="20"/>
          <w:color w:val="auto"/>
        </w:rPr>
      </w:pPr>
      <w:r>
        <w:rPr>
          <w:rFonts w:ascii="Arial" w:cs="Arial" w:eastAsia="Arial" w:hAnsi="Arial"/>
          <w:sz w:val="18"/>
          <w:szCs w:val="18"/>
          <w:color w:val="auto"/>
        </w:rPr>
        <w:t>Settoon Towing, LLC</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STACK Pipeline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White Cliffs Pipeline, LLC</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Wink to Webster Pipeline LLC </w:t>
      </w:r>
      <w:r>
        <w:rPr>
          <w:rFonts w:ascii="Arial" w:cs="Arial" w:eastAsia="Arial" w:hAnsi="Arial"/>
          <w:sz w:val="23"/>
          <w:szCs w:val="23"/>
          <w:color w:val="auto"/>
          <w:vertAlign w:val="superscript"/>
        </w:rPr>
        <w:t>(5)</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Type of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23495</wp:posOffset>
            </wp:positionV>
            <wp:extent cx="722947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Crude Oil Pipeline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Crude Oil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31750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-31115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(3)</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-31115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 xml:space="preserve">Crude Oil Pipeline </w:t>
      </w:r>
      <w:r>
        <w:rPr>
          <w:rFonts w:ascii="Arial" w:cs="Arial" w:eastAsia="Arial" w:hAnsi="Arial"/>
          <w:sz w:val="19"/>
          <w:szCs w:val="19"/>
          <w:color w:val="auto"/>
          <w:vertAlign w:val="superscript"/>
        </w:rPr>
        <w:t>(4)</w:t>
      </w:r>
      <w:r>
        <w:rPr>
          <w:rFonts w:ascii="Arial" w:cs="Arial" w:eastAsia="Arial" w:hAnsi="Arial"/>
          <w:sz w:val="15"/>
          <w:szCs w:val="15"/>
          <w:color w:val="auto"/>
        </w:rPr>
        <w:t xml:space="preserve"> and Terminal </w:t>
      </w:r>
      <w:r>
        <w:rPr>
          <w:rFonts w:ascii="Arial" w:cs="Arial" w:eastAsia="Arial" w:hAnsi="Arial"/>
          <w:sz w:val="19"/>
          <w:szCs w:val="19"/>
          <w:color w:val="auto"/>
          <w:vertAlign w:val="superscript"/>
        </w:rPr>
        <w:t>(2)</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-31115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 xml:space="preserve">Crude Oil Terminal and Dock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-24130</wp:posOffset>
            </wp:positionV>
            <wp:extent cx="72294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-31115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580"/>
        <w:spacing w:after="0" w:line="225" w:lineRule="auto"/>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Crude Oil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21590</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Barge Transportation Services</w:t>
      </w:r>
    </w:p>
    <w:p>
      <w:pPr>
        <w:spacing w:after="0" w:line="8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-17780</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color w:val="auto"/>
        </w:rPr>
        <w:t>Crude Oil Pipeline</w:t>
      </w:r>
    </w:p>
    <w:p>
      <w:pPr>
        <w:spacing w:after="0" w:line="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Crude Oil Pipeline </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-20955</wp:posOffset>
            </wp:positionV>
            <wp:extent cx="7229475" cy="197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Percentage</w:t>
      </w:r>
      <w:r>
        <w:rPr>
          <w:sz w:val="20"/>
          <w:szCs w:val="20"/>
          <w:color w:val="auto"/>
        </w:rPr>
        <w:tab/>
      </w:r>
      <w:r>
        <w:rPr>
          <w:rFonts w:ascii="Arial" w:cs="Arial" w:eastAsia="Arial" w:hAnsi="Arial"/>
          <w:sz w:val="14"/>
          <w:szCs w:val="14"/>
          <w:b w:val="1"/>
          <w:bCs w:val="1"/>
          <w:color w:val="auto"/>
        </w:rPr>
        <w:t>Balance</w:t>
      </w:r>
    </w:p>
    <w:p>
      <w:pPr>
        <w:spacing w:after="0" w:line="63" w:lineRule="exact"/>
        <w:rPr>
          <w:sz w:val="20"/>
          <w:szCs w:val="20"/>
          <w:color w:val="auto"/>
        </w:rPr>
      </w:pPr>
    </w:p>
    <w:p>
      <w:pPr>
        <w:ind w:left="100"/>
        <w:spacing w:after="0"/>
        <w:tabs>
          <w:tab w:leader="none" w:pos="1040" w:val="left"/>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76</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8"/>
          <w:szCs w:val="18"/>
          <w:color w:val="auto"/>
        </w:rPr>
        <w:t>431</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738</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65</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484</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44</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23</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476</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382</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126</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76</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20</w:t>
      </w:r>
    </w:p>
    <w:p>
      <w:pPr>
        <w:spacing w:after="0" w:line="23" w:lineRule="exact"/>
        <w:rPr>
          <w:sz w:val="20"/>
          <w:szCs w:val="20"/>
          <w:color w:val="auto"/>
        </w:rPr>
      </w:pPr>
    </w:p>
    <w:p>
      <w:pPr>
        <w:ind w:left="100"/>
        <w:spacing w:after="0"/>
        <w:tabs>
          <w:tab w:leader="none" w:pos="1900" w:val="left"/>
          <w:tab w:leader="none" w:pos="22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vertAlign w:val="subscript"/>
        </w:rPr>
        <w:t>(6)</w:t>
      </w:r>
    </w:p>
    <w:p>
      <w:pPr>
        <w:spacing w:after="0" w:line="10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8"/>
          <w:szCs w:val="18"/>
          <w:color w:val="auto"/>
        </w:rPr>
        <w:t>234</w:t>
      </w:r>
    </w:p>
    <w:p>
      <w:pPr>
        <w:spacing w:after="0" w:line="63" w:lineRule="exact"/>
        <w:rPr>
          <w:sz w:val="20"/>
          <w:szCs w:val="20"/>
          <w:color w:val="auto"/>
        </w:rPr>
      </w:pPr>
    </w:p>
    <w:p>
      <w:pPr>
        <w:ind w:left="100"/>
        <w:spacing w:after="0"/>
        <w:tabs>
          <w:tab w:leader="none" w:pos="19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59</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8"/>
          <w:szCs w:val="18"/>
          <w:color w:val="auto"/>
        </w:rPr>
        <w:t>117</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196</w:t>
      </w:r>
    </w:p>
    <w:p>
      <w:pPr>
        <w:spacing w:after="0" w:line="63"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136</w:t>
      </w:r>
    </w:p>
    <w:p>
      <w:pPr>
        <w:spacing w:after="0" w:line="77" w:lineRule="exact"/>
        <w:rPr>
          <w:sz w:val="20"/>
          <w:szCs w:val="20"/>
          <w:color w:val="auto"/>
        </w:rPr>
      </w:pPr>
    </w:p>
    <w:p>
      <w:pPr>
        <w:ind w:left="1700" w:hanging="637"/>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57785</wp:posOffset>
            </wp:positionV>
            <wp:extent cx="7715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3">
            <w:col w:w="4480" w:space="720"/>
            <w:col w:w="2780" w:space="720"/>
            <w:col w:w="2700"/>
          </w:cols>
          <w:pgMar w:left="240" w:top="125" w:right="259" w:bottom="1440" w:gutter="0" w:footer="0" w:header="0"/>
          <w:type w:val="continuous"/>
        </w:sectPr>
      </w:pPr>
    </w:p>
    <w:p>
      <w:pPr>
        <w:spacing w:after="0" w:line="30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20" w:right="4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Asset is operated by Plains.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or development by the entity and has not yet been placed in service.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Entity owns a UJI in the crude oil pipeline.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We consolidate Red River Pipeline Company LLC based on control, with our partner’s 33% interest accounted for as a noncontrolling interest.</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PAA’s most significant UJIs as of December 31, 2019, excluding UJIs that are indirectly owned by PAA through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JVs (e.g., Wink to Webster, Saddlehorn and Red River JVs):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Basin Pipeline </w:t>
      </w:r>
      <w:r>
        <w:rPr>
          <w:rFonts w:ascii="Arial" w:cs="Arial" w:eastAsia="Arial" w:hAnsi="Arial"/>
          <w:sz w:val="23"/>
          <w:szCs w:val="23"/>
          <w:color w:val="auto"/>
          <w:vertAlign w:val="superscript"/>
        </w:rPr>
        <w:t>(1)</w:t>
      </w:r>
    </w:p>
    <w:p>
      <w:pPr>
        <w:ind w:left="20"/>
        <w:spacing w:after="0"/>
        <w:rPr>
          <w:sz w:val="20"/>
          <w:szCs w:val="20"/>
          <w:color w:val="auto"/>
        </w:rPr>
      </w:pPr>
      <w:r>
        <w:rPr>
          <w:rFonts w:ascii="Arial" w:cs="Arial" w:eastAsia="Arial" w:hAnsi="Arial"/>
          <w:sz w:val="18"/>
          <w:szCs w:val="18"/>
          <w:color w:val="auto"/>
        </w:rPr>
        <w:t xml:space="preserve">Empress Processing </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Ft. Saskatchewan NGL Storage, Processing and Fractionation </w:t>
      </w:r>
      <w:r>
        <w:rPr>
          <w:rFonts w:ascii="Arial" w:cs="Arial" w:eastAsia="Arial" w:hAnsi="Arial"/>
          <w:sz w:val="20"/>
          <w:szCs w:val="20"/>
          <w:color w:val="auto"/>
          <w:vertAlign w:val="superscript"/>
        </w:rPr>
        <w:t>(2)</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Kerrobert Storage and Pipeline Assets </w:t>
      </w:r>
      <w:r>
        <w:rPr>
          <w:rFonts w:ascii="Arial" w:cs="Arial" w:eastAsia="Arial" w:hAnsi="Arial"/>
          <w:sz w:val="23"/>
          <w:szCs w:val="23"/>
          <w:color w:val="auto"/>
          <w:vertAlign w:val="superscript"/>
        </w:rPr>
        <w:t>(1)</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Mesa Pipeline </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Rocky Mountain Pipelines </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Sarnia NGL Storage, Processing and Fractionation </w:t>
      </w:r>
      <w:r>
        <w:rPr>
          <w:rFonts w:ascii="Arial" w:cs="Arial" w:eastAsia="Arial" w:hAnsi="Arial"/>
          <w:sz w:val="23"/>
          <w:szCs w:val="23"/>
          <w:color w:val="auto"/>
          <w:vertAlign w:val="superscript"/>
        </w:rPr>
        <w:t>(2)</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Sunrise II Pipeline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Superior Storage and Fractionation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24955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Asset is operated by Plains.</w:t>
      </w:r>
    </w:p>
    <w:p>
      <w:pPr>
        <w:spacing w:after="0" w:line="82" w:lineRule="exact"/>
        <w:rPr>
          <w:rFonts w:ascii="Arial" w:cs="Arial" w:eastAsia="Arial" w:hAnsi="Arial"/>
          <w:sz w:val="23"/>
          <w:szCs w:val="23"/>
          <w:color w:val="auto"/>
          <w:vertAlign w:val="superscript"/>
        </w:rPr>
      </w:pPr>
    </w:p>
    <w:p>
      <w:pPr>
        <w:ind w:left="640" w:hanging="632"/>
        <w:spacing w:after="0" w:line="219" w:lineRule="auto"/>
        <w:tabs>
          <w:tab w:leader="none" w:pos="64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Certain of these assets are operated by Plains.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Acquisitions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UJI</w:t>
            </w:r>
          </w:p>
        </w:tc>
      </w:tr>
      <w:tr>
        <w:trPr>
          <w:trHeight w:val="203"/>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Type of</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r>
      <w:tr>
        <w:trPr>
          <w:trHeight w:val="209"/>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Operating Segment</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Operation</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Percentage</w:t>
            </w:r>
          </w:p>
        </w:tc>
      </w:tr>
      <w:tr>
        <w:trPr>
          <w:trHeight w:val="243"/>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87%</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50% to 88%</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 to 87%</w:t>
            </w:r>
          </w:p>
        </w:tc>
      </w:tr>
      <w:tr>
        <w:trPr>
          <w:trHeight w:val="256"/>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NGL Pipeline and</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50%</w:t>
            </w:r>
          </w:p>
        </w:tc>
      </w:tr>
      <w:tr>
        <w:trPr>
          <w:trHeight w:val="230"/>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Facility</w:t>
            </w:r>
          </w:p>
        </w:tc>
        <w:tc>
          <w:tcPr>
            <w:tcW w:w="1620" w:type="dxa"/>
            <w:vAlign w:val="bottom"/>
          </w:tcPr>
          <w:p>
            <w:pPr>
              <w:spacing w:after="0"/>
              <w:rPr>
                <w:sz w:val="20"/>
                <w:szCs w:val="20"/>
                <w:color w:val="auto"/>
              </w:rPr>
            </w:pP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63%</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21% to 58%</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62% to 84%</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Transportation</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Crude Oil Pipeline</w:t>
            </w:r>
          </w:p>
        </w:tc>
        <w:tc>
          <w:tcPr>
            <w:tcW w:w="1620" w:type="dxa"/>
            <w:vAlign w:val="bottom"/>
          </w:tcPr>
          <w:p>
            <w:pPr>
              <w:jc w:val="right"/>
              <w:ind w:right="634"/>
              <w:spacing w:after="0"/>
              <w:rPr>
                <w:sz w:val="20"/>
                <w:szCs w:val="20"/>
                <w:color w:val="auto"/>
              </w:rPr>
            </w:pPr>
            <w:r>
              <w:rPr>
                <w:rFonts w:ascii="Arial" w:cs="Arial" w:eastAsia="Arial" w:hAnsi="Arial"/>
                <w:sz w:val="18"/>
                <w:szCs w:val="18"/>
                <w:color w:val="auto"/>
              </w:rPr>
              <w:t>80%</w:t>
            </w:r>
          </w:p>
        </w:tc>
      </w:tr>
      <w:tr>
        <w:trPr>
          <w:trHeight w:val="270"/>
        </w:trPr>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Facilities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NGL Facility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68% to 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-1320165</wp:posOffset>
            </wp:positionV>
            <wp:extent cx="72123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-839470</wp:posOffset>
            </wp:positionV>
            <wp:extent cx="721233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-496570</wp:posOffset>
            </wp:positionV>
            <wp:extent cx="721233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-153670</wp:posOffset>
            </wp:positionV>
            <wp:extent cx="721233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-1671320</wp:posOffset>
            </wp:positionV>
            <wp:extent cx="721233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pacing w:after="0" w:line="1864" w:lineRule="exact"/>
        <w:rPr>
          <w:sz w:val="20"/>
          <w:szCs w:val="20"/>
          <w:color w:val="auto"/>
        </w:rPr>
      </w:pPr>
    </w:p>
    <w:p>
      <w:pPr>
        <w:sectPr>
          <w:pgSz w:w="11900" w:h="16838" w:orient="portrait"/>
          <w:cols w:equalWidth="0" w:num="2">
            <w:col w:w="5360" w:space="720"/>
            <w:col w:w="5340"/>
          </w:cols>
          <w:pgMar w:left="240" w:top="125" w:right="239" w:bottom="1440" w:gutter="0" w:footer="0" w:header="0"/>
          <w:type w:val="continuous"/>
        </w:sectPr>
      </w:pPr>
    </w:p>
    <w:p>
      <w:pPr>
        <w:spacing w:after="0" w:line="52"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Since PAA’s initial public offering, the acquisition of midstream assets and businesses has been an important component of its business strategy. While the pace of PAA’s acquisition activity has slowed down in recent years, it continues to selectively analyze and pursue assets and businesses that are strategic and complementary to PAA’s existing operations.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acquisitions greater than $200 million that PAA has completed over the past five years through December 31, 2019:</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center"/>
              <w:ind w:right="48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342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Acquisition</w:t>
            </w:r>
          </w:p>
        </w:tc>
        <w:tc>
          <w:tcPr>
            <w:tcW w:w="100" w:type="dxa"/>
            <w:vAlign w:val="bottom"/>
            <w:vMerge w:val="restart"/>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vMerge w:val="restart"/>
          </w:tcPr>
          <w:p>
            <w:pPr>
              <w:spacing w:after="0"/>
              <w:rPr>
                <w:sz w:val="11"/>
                <w:szCs w:val="11"/>
                <w:color w:val="auto"/>
              </w:rPr>
            </w:pPr>
          </w:p>
        </w:tc>
        <w:tc>
          <w:tcPr>
            <w:tcW w:w="46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tcPr>
          <w:p>
            <w:pPr>
              <w:jc w:val="center"/>
              <w:ind w:right="481"/>
              <w:spacing w:after="0" w:line="135" w:lineRule="exact"/>
              <w:rPr>
                <w:sz w:val="20"/>
                <w:szCs w:val="20"/>
                <w:color w:val="auto"/>
              </w:rPr>
            </w:pPr>
            <w:r>
              <w:rPr>
                <w:rFonts w:ascii="Arial" w:cs="Arial" w:eastAsia="Arial" w:hAnsi="Arial"/>
                <w:sz w:val="14"/>
                <w:szCs w:val="14"/>
                <w:b w:val="1"/>
                <w:bCs w:val="1"/>
                <w:color w:val="auto"/>
                <w:w w:val="91"/>
              </w:rPr>
              <w:t xml:space="preserve">Purchase Price </w:t>
            </w:r>
            <w:r>
              <w:rPr>
                <w:rFonts w:ascii="Arial" w:cs="Arial" w:eastAsia="Arial" w:hAnsi="Arial"/>
                <w:sz w:val="9"/>
                <w:szCs w:val="9"/>
                <w:b w:val="1"/>
                <w:bCs w:val="1"/>
                <w:color w:val="auto"/>
                <w:w w:val="91"/>
              </w:rPr>
              <w:t>(1)</w:t>
            </w:r>
          </w:p>
        </w:tc>
        <w:tc>
          <w:tcPr>
            <w:tcW w:w="0" w:type="dxa"/>
            <w:vAlign w:val="bottom"/>
          </w:tcPr>
          <w:p>
            <w:pPr>
              <w:spacing w:after="0"/>
              <w:rPr>
                <w:sz w:val="1"/>
                <w:szCs w:val="1"/>
                <w:color w:val="auto"/>
              </w:rPr>
            </w:pPr>
          </w:p>
        </w:tc>
      </w:tr>
      <w:tr>
        <w:trPr>
          <w:trHeight w:val="188"/>
        </w:trPr>
        <w:tc>
          <w:tcPr>
            <w:tcW w:w="3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24"/>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Alpha Crude Connector Gathering System</w:t>
            </w: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Feb-2017</w:t>
            </w:r>
          </w:p>
        </w:tc>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Recently constructed gathering system located in the Northern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7"/>
        </w:trPr>
        <w:tc>
          <w:tcPr>
            <w:tcW w:w="3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 Basin</w:t>
            </w:r>
          </w:p>
        </w:tc>
        <w:tc>
          <w:tcPr>
            <w:tcW w:w="2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180"/>
              <w:spacing w:after="0"/>
              <w:rPr>
                <w:sz w:val="20"/>
                <w:szCs w:val="20"/>
                <w:color w:val="auto"/>
              </w:rPr>
            </w:pPr>
            <w:r>
              <w:rPr>
                <w:rFonts w:ascii="Arial" w:cs="Arial" w:eastAsia="Arial" w:hAnsi="Arial"/>
                <w:sz w:val="18"/>
                <w:szCs w:val="18"/>
                <w:color w:val="auto"/>
                <w:w w:val="98"/>
              </w:rPr>
              <w:t>Spectra Energy Partners Western Canada</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Aug-2016</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w w:val="97"/>
              </w:rPr>
              <w:t>Integrated system of NGL assets located in Western Canada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141"/>
              <w:spacing w:after="0" w:line="229" w:lineRule="exact"/>
              <w:rPr>
                <w:sz w:val="20"/>
                <w:szCs w:val="20"/>
                <w:color w:val="auto"/>
              </w:rPr>
            </w:pPr>
            <w:r>
              <w:rPr>
                <w:rFonts w:ascii="Arial" w:cs="Arial" w:eastAsia="Arial" w:hAnsi="Arial"/>
                <w:sz w:val="18"/>
                <w:szCs w:val="18"/>
                <w:color w:val="auto"/>
              </w:rPr>
              <w:t xml:space="preserve">204  </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230"/>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NGL Assets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32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As applicable, the approximate purchase price includes total cash paid and debt assumed, including amounts for working capital and inventory.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Approximate purchase price of $180 million, net of cash, inventory and other working capital acquired.</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2020, PAA acquired Felix Midstream LLC (“Felix Midstream”) from Felix Energy Holdings II, LLC (“Felix Energy”) for approximately $305 million. Felix Midstream owns and operates a newly constructed crude oil gathering system in the Delaware Basin, with associated crude oil storage and truck offloading capacity, and is supported by a long-term acreage dedication.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Divestitures</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2016, PAA initiated a program to evaluate potential sales of non-core assets and/or sales of partial interests in assets to strategic joint venture partners to optimize its asset portfolio and strengthen its balance sheet and leverage metrics. Through December 31, 2019, PAA has completed asset sales totaling over $3 billion. The following table summarizes the proceeds received for sales of assets during the years ended December 31, 2019, 2018, 2017 and 2016 (in millions):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9"/>
                <w:szCs w:val="9"/>
                <w:b w:val="1"/>
                <w:bCs w:val="1"/>
                <w:color w:val="auto"/>
              </w:rPr>
              <w:t>(2)</w:t>
            </w:r>
          </w:p>
        </w:tc>
      </w:tr>
      <w:tr>
        <w:trPr>
          <w:trHeight w:val="243"/>
        </w:trPr>
        <w:tc>
          <w:tcPr>
            <w:tcW w:w="5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divestitures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569</w:t>
            </w:r>
          </w:p>
        </w:tc>
      </w:tr>
      <w:tr>
        <w:trPr>
          <w:trHeight w:val="27"/>
        </w:trPr>
        <w:tc>
          <w:tcPr>
            <w:tcW w:w="5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00" w:hanging="652"/>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Includes proceeds from our formation of Red River Pipeline Company LLC in May 2019. See Note 12 to our Consolidated Financial Statements for additional information.</w:t>
      </w:r>
    </w:p>
    <w:p>
      <w:pPr>
        <w:spacing w:after="0" w:line="94" w:lineRule="exact"/>
        <w:rPr>
          <w:rFonts w:ascii="Arial" w:cs="Arial" w:eastAsia="Arial" w:hAnsi="Arial"/>
          <w:sz w:val="23"/>
          <w:szCs w:val="23"/>
          <w:color w:val="auto"/>
          <w:vertAlign w:val="superscript"/>
        </w:rPr>
      </w:pPr>
    </w:p>
    <w:p>
      <w:pPr>
        <w:ind w:left="660" w:right="3580" w:hanging="652"/>
        <w:spacing w:after="0" w:line="408" w:lineRule="auto"/>
        <w:tabs>
          <w:tab w:leader="none" w:pos="64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Proceeds are net of amounts paid for the remaining interest in a pipeline that was subsequently sold. See Note 7 to our Consolidated Financial Statements for additional discussion of divestitures.</w:t>
      </w:r>
    </w:p>
    <w:p>
      <w:pPr>
        <w:spacing w:after="0" w:line="6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2020, PAA signed a definitive agreement to sell certain of its Los Angeles Basin crude oil terminals for $195 million, subject to certain adjustments. PAA expects the transaction to close in the second half of 2020, subject to customary closing conditions, including the receipt of regulatory approvals. Additionally, in February 2020, PAA sold a 10% interest in Saddlehorn Pipeline Company, LLC for approximately $78 million, and has retained a 30% interest.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PAA’s Expansion Capital Projects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PAA’s extensive asset base and its relationships with long-term industry partners across the value chain provide it with opportunities for organic growth through the construction of additional assets that are complementary to, and expand or extend, its existing asset base. PAA’s 2020 capital plan consists of capital-efficient, highly contracted projects that help solve industry needs and that are expected to meet or exceed its investment return hurdles. Substantially all of the capital spent will be invested in PAA’s fee-based Transportation and Facilities segments. The following expansion capital projects are included in PAA’s 2020 capital plan as of February 2020:</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90"/>
              </w:rPr>
              <w:t>Projected</w:t>
            </w:r>
          </w:p>
        </w:tc>
        <w:tc>
          <w:tcPr>
            <w:tcW w:w="200" w:type="dxa"/>
            <w:vAlign w:val="bottom"/>
          </w:tcPr>
          <w:p>
            <w:pPr>
              <w:spacing w:after="0"/>
              <w:rPr>
                <w:sz w:val="14"/>
                <w:szCs w:val="14"/>
                <w:color w:val="auto"/>
              </w:rPr>
            </w:pPr>
          </w:p>
        </w:tc>
        <w:tc>
          <w:tcPr>
            <w:tcW w:w="12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2020 Plan</w:t>
            </w:r>
          </w:p>
        </w:tc>
        <w:tc>
          <w:tcPr>
            <w:tcW w:w="0" w:type="dxa"/>
            <w:vAlign w:val="bottom"/>
          </w:tcPr>
          <w:p>
            <w:pPr>
              <w:spacing w:after="0"/>
              <w:rPr>
                <w:sz w:val="1"/>
                <w:szCs w:val="1"/>
                <w:color w:val="auto"/>
              </w:rPr>
            </w:pPr>
          </w:p>
        </w:tc>
      </w:tr>
      <w:tr>
        <w:trPr>
          <w:trHeight w:val="135"/>
        </w:trPr>
        <w:tc>
          <w:tcPr>
            <w:tcW w:w="29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Project</w:t>
            </w:r>
          </w:p>
        </w:tc>
        <w:tc>
          <w:tcPr>
            <w:tcW w:w="120" w:type="dxa"/>
            <w:vAlign w:val="bottom"/>
            <w:vMerge w:val="restart"/>
          </w:tcPr>
          <w:p>
            <w:pPr>
              <w:spacing w:after="0"/>
              <w:rPr>
                <w:sz w:val="11"/>
                <w:szCs w:val="11"/>
                <w:color w:val="auto"/>
              </w:rPr>
            </w:pPr>
          </w:p>
        </w:tc>
        <w:tc>
          <w:tcPr>
            <w:tcW w:w="532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14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16"/>
              <w:spacing w:after="0" w:line="135" w:lineRule="exact"/>
              <w:rPr>
                <w:sz w:val="20"/>
                <w:szCs w:val="20"/>
                <w:color w:val="auto"/>
              </w:rPr>
            </w:pPr>
            <w:r>
              <w:rPr>
                <w:rFonts w:ascii="Arial" w:cs="Arial" w:eastAsia="Arial" w:hAnsi="Arial"/>
                <w:sz w:val="14"/>
                <w:szCs w:val="14"/>
                <w:b w:val="1"/>
                <w:bCs w:val="1"/>
                <w:color w:val="auto"/>
                <w:w w:val="94"/>
              </w:rPr>
              <w:t xml:space="preserve">Amount </w:t>
            </w:r>
            <w:r>
              <w:rPr>
                <w:rFonts w:ascii="Arial" w:cs="Arial" w:eastAsia="Arial" w:hAnsi="Arial"/>
                <w:sz w:val="9"/>
                <w:szCs w:val="9"/>
                <w:b w:val="1"/>
                <w:bCs w:val="1"/>
                <w:color w:val="auto"/>
                <w:w w:val="94"/>
              </w:rPr>
              <w:t>(1)</w:t>
            </w:r>
          </w:p>
        </w:tc>
        <w:tc>
          <w:tcPr>
            <w:tcW w:w="0" w:type="dxa"/>
            <w:vAlign w:val="bottom"/>
          </w:tcPr>
          <w:p>
            <w:pPr>
              <w:spacing w:after="0"/>
              <w:rPr>
                <w:sz w:val="1"/>
                <w:szCs w:val="1"/>
                <w:color w:val="auto"/>
              </w:rPr>
            </w:pPr>
          </w:p>
        </w:tc>
      </w:tr>
      <w:tr>
        <w:trPr>
          <w:trHeight w:val="188"/>
        </w:trPr>
        <w:tc>
          <w:tcPr>
            <w:tcW w:w="2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2"/>
              </w:rPr>
              <w:t>In-Service Date</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 in millions)</w:t>
            </w:r>
          </w:p>
        </w:tc>
        <w:tc>
          <w:tcPr>
            <w:tcW w:w="0" w:type="dxa"/>
            <w:vAlign w:val="bottom"/>
          </w:tcPr>
          <w:p>
            <w:pPr>
              <w:spacing w:after="0"/>
              <w:rPr>
                <w:sz w:val="1"/>
                <w:szCs w:val="1"/>
                <w:color w:val="auto"/>
              </w:rPr>
            </w:pPr>
          </w:p>
        </w:tc>
      </w:tr>
      <w:tr>
        <w:trPr>
          <w:trHeight w:val="224"/>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Long-Haul Pipeline Projects</w:t>
            </w: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Primarily includes contributions for our interests in (i) the Red Oak JV</w:t>
            </w:r>
          </w:p>
        </w:tc>
        <w:tc>
          <w:tcPr>
            <w:tcW w:w="142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1"/>
              </w:rPr>
              <w:t>2H 2020 - 2022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pipeline, (ii) the Diamond JV pipeline expansion / Capline JV pipeline</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(iii) the Saddlehorn JV pipeline expansion and (iv) the Red</w:t>
            </w: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River pipeline expansion</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Permian Basin Takeaway Pipeline</w:t>
            </w:r>
          </w:p>
        </w:tc>
        <w:tc>
          <w:tcPr>
            <w:tcW w:w="5420" w:type="dxa"/>
            <w:vAlign w:val="bottom"/>
            <w:gridSpan w:val="2"/>
          </w:tcPr>
          <w:p>
            <w:pPr>
              <w:spacing w:after="0"/>
              <w:rPr>
                <w:sz w:val="20"/>
                <w:szCs w:val="20"/>
                <w:color w:val="auto"/>
              </w:rPr>
            </w:pPr>
            <w:r>
              <w:rPr>
                <w:rFonts w:ascii="Arial" w:cs="Arial" w:eastAsia="Arial" w:hAnsi="Arial"/>
                <w:sz w:val="18"/>
                <w:szCs w:val="18"/>
                <w:color w:val="auto"/>
              </w:rPr>
              <w:t>Primarily includes contributions for our interest in (i) the Wink to</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2021</w:t>
            </w:r>
          </w:p>
        </w:tc>
        <w:tc>
          <w:tcPr>
            <w:tcW w:w="20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Projects</w:t>
            </w:r>
          </w:p>
        </w:tc>
        <w:tc>
          <w:tcPr>
            <w:tcW w:w="5420" w:type="dxa"/>
            <w:vAlign w:val="bottom"/>
            <w:gridSpan w:val="2"/>
          </w:tcPr>
          <w:p>
            <w:pPr>
              <w:spacing w:after="0"/>
              <w:rPr>
                <w:sz w:val="20"/>
                <w:szCs w:val="20"/>
                <w:color w:val="auto"/>
              </w:rPr>
            </w:pPr>
            <w:r>
              <w:rPr>
                <w:rFonts w:ascii="Arial" w:cs="Arial" w:eastAsia="Arial" w:hAnsi="Arial"/>
                <w:sz w:val="18"/>
                <w:szCs w:val="18"/>
                <w:color w:val="auto"/>
                <w:w w:val="94"/>
              </w:rPr>
              <w:t>Webster JV pipeline and (ii) the remaining Cactus II JV pipeline projects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Complementary Permian Basin Projects</w:t>
            </w: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 projects to support the Permian Basin takeaway pipeline</w:t>
            </w:r>
          </w:p>
        </w:tc>
        <w:tc>
          <w:tcPr>
            <w:tcW w:w="142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0"/>
              </w:rPr>
              <w:t>1H 2020 - 2021+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projects, and to expand/extend our gathering and intra-basin pipelines</w:t>
            </w:r>
          </w:p>
        </w:tc>
        <w:tc>
          <w:tcPr>
            <w:tcW w:w="14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80" w:type="dxa"/>
            <w:vAlign w:val="bottom"/>
            <w:gridSpan w:val="2"/>
          </w:tcPr>
          <w:p>
            <w:pPr>
              <w:spacing w:after="0"/>
              <w:rPr>
                <w:sz w:val="20"/>
                <w:szCs w:val="20"/>
                <w:color w:val="auto"/>
              </w:rPr>
            </w:pPr>
            <w:r>
              <w:rPr>
                <w:rFonts w:ascii="Arial" w:cs="Arial" w:eastAsia="Arial" w:hAnsi="Arial"/>
                <w:sz w:val="18"/>
                <w:szCs w:val="18"/>
                <w:color w:val="auto"/>
              </w:rPr>
              <w:t>Selected Facilities Projects</w:t>
            </w:r>
          </w:p>
        </w:tc>
        <w:tc>
          <w:tcPr>
            <w:tcW w:w="5420" w:type="dxa"/>
            <w:vAlign w:val="bottom"/>
            <w:gridSpan w:val="2"/>
          </w:tcPr>
          <w:p>
            <w:pPr>
              <w:spacing w:after="0"/>
              <w:rPr>
                <w:sz w:val="20"/>
                <w:szCs w:val="20"/>
                <w:color w:val="auto"/>
              </w:rPr>
            </w:pPr>
            <w:r>
              <w:rPr>
                <w:rFonts w:ascii="Arial" w:cs="Arial" w:eastAsia="Arial" w:hAnsi="Arial"/>
                <w:sz w:val="18"/>
                <w:szCs w:val="18"/>
                <w:color w:val="auto"/>
              </w:rPr>
              <w:t>Primarily includes amounts for capacity additions at our St. James</w:t>
            </w:r>
          </w:p>
        </w:tc>
        <w:tc>
          <w:tcPr>
            <w:tcW w:w="1420" w:type="dxa"/>
            <w:vAlign w:val="bottom"/>
          </w:tcPr>
          <w:p>
            <w:pPr>
              <w:jc w:val="center"/>
              <w:ind w:right="15"/>
              <w:spacing w:after="0"/>
              <w:rPr>
                <w:sz w:val="20"/>
                <w:szCs w:val="20"/>
                <w:color w:val="auto"/>
              </w:rPr>
            </w:pPr>
            <w:r>
              <w:rPr>
                <w:rFonts w:ascii="Arial" w:cs="Arial" w:eastAsia="Arial" w:hAnsi="Arial"/>
                <w:sz w:val="18"/>
                <w:szCs w:val="18"/>
                <w:color w:val="auto"/>
                <w:w w:val="89"/>
              </w:rPr>
              <w:t>2020</w:t>
            </w:r>
          </w:p>
        </w:tc>
        <w:tc>
          <w:tcPr>
            <w:tcW w:w="200" w:type="dxa"/>
            <w:vAlign w:val="bottom"/>
          </w:tcPr>
          <w:p>
            <w:pPr>
              <w:spacing w:after="0"/>
              <w:rPr>
                <w:sz w:val="19"/>
                <w:szCs w:val="19"/>
                <w:color w:val="auto"/>
              </w:rPr>
            </w:pPr>
          </w:p>
        </w:tc>
        <w:tc>
          <w:tcPr>
            <w:tcW w:w="1240" w:type="dxa"/>
            <w:vAlign w:val="bottom"/>
          </w:tcPr>
          <w:p>
            <w:pPr>
              <w:jc w:val="right"/>
              <w:ind w:right="76"/>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Projects</w:t>
            </w:r>
          </w:p>
        </w:tc>
        <w:tc>
          <w:tcPr>
            <w:tcW w:w="5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center"/>
              <w:ind w:right="35"/>
              <w:spacing w:after="0"/>
              <w:rPr>
                <w:sz w:val="20"/>
                <w:szCs w:val="20"/>
                <w:color w:val="auto"/>
              </w:rPr>
            </w:pPr>
            <w:r>
              <w:rPr>
                <w:rFonts w:ascii="Arial" w:cs="Arial" w:eastAsia="Arial" w:hAnsi="Arial"/>
                <w:sz w:val="18"/>
                <w:szCs w:val="18"/>
                <w:color w:val="auto"/>
                <w:w w:val="90"/>
              </w:rPr>
              <w:t>1H 2020 - 2021+</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line="170" w:lineRule="exact"/>
              <w:rPr>
                <w:sz w:val="20"/>
                <w:szCs w:val="20"/>
                <w:color w:val="auto"/>
              </w:rPr>
            </w:pPr>
            <w:r>
              <w:rPr>
                <w:rFonts w:ascii="Arial" w:cs="Arial" w:eastAsia="Arial" w:hAnsi="Arial"/>
                <w:sz w:val="18"/>
                <w:szCs w:val="18"/>
                <w:color w:val="auto"/>
              </w:rPr>
              <w:t>Total Projected Expansion Capital</w:t>
            </w:r>
          </w:p>
        </w:tc>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top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6"/>
              <w:spacing w:after="0" w:line="170" w:lineRule="exact"/>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187"/>
        </w:trPr>
        <w:tc>
          <w:tcPr>
            <w:tcW w:w="3080" w:type="dxa"/>
            <w:vAlign w:val="bottom"/>
            <w:gridSpan w:val="2"/>
          </w:tcPr>
          <w:p>
            <w:pPr>
              <w:spacing w:after="0" w:line="188" w:lineRule="exact"/>
              <w:rPr>
                <w:sz w:val="20"/>
                <w:szCs w:val="20"/>
                <w:color w:val="auto"/>
              </w:rPr>
            </w:pPr>
            <w:r>
              <w:rPr>
                <w:rFonts w:ascii="Arial" w:cs="Arial" w:eastAsia="Arial" w:hAnsi="Arial"/>
                <w:sz w:val="17"/>
                <w:szCs w:val="17"/>
                <w:color w:val="auto"/>
              </w:rPr>
              <w:t xml:space="preserve">Expenditures </w:t>
            </w:r>
            <w:r>
              <w:rPr>
                <w:rFonts w:ascii="Arial" w:cs="Arial" w:eastAsia="Arial" w:hAnsi="Arial"/>
                <w:sz w:val="21"/>
                <w:szCs w:val="21"/>
                <w:color w:val="auto"/>
                <w:vertAlign w:val="superscript"/>
              </w:rPr>
              <w:t>(1)</w:t>
            </w:r>
          </w:p>
        </w:tc>
        <w:tc>
          <w:tcPr>
            <w:tcW w:w="5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 w:hanging="652"/>
        <w:spacing w:after="0" w:line="234"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the portion of the total project cost expected to be incurred during the year. Potential variation to current capital costs estimates may result from (i) changes to project design, (ii) final cost of materials and labor and (iii) timing of incurrence of costs due to uncontrollable factors such as receipt of permits or regulatory approvals and weather.</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Petroleum Market Overview</w:t>
      </w:r>
    </w:p>
    <w:p>
      <w:pPr>
        <w:spacing w:after="0" w:line="256"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global petroleum demand for crude oil and other petroleum liquids worldwide averaged approximately 101 million barrels per day in 2019 and since the year 2000 has grown at an average annual rate of approximately 1.0 to 1.5 million barrels per day. The largest drivers of demand growth are increases in population and rising standards of living in developing nations, particularly in Asia. The U.S. is the largest liquid petroleum demand market totaling approximately 20 million barrels per day. The U.S. is also the largest crude oil producing country, averaging approximately 12.2 million barrels per day of total crude oil supply in 2019 (based on EIA data through November 2019). Given the relative size of the U.S. production market and the ability for U.S. exploration and production (“E&amp;P”) companies to grow production rapidly, the U.S. is positioned to provide marginal supply for growing world demand.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Market Overview</w:t>
      </w:r>
    </w:p>
    <w:p>
      <w:pPr>
        <w:spacing w:after="0" w:line="252"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While commodities are typically considered unspecialized, mass-produced and fungible, crude oil is neither unspecialized nor fungible. The crude slate available to U.S. and world-wide refineries consists of a substantial number of different grades and varieties. Each crude oil grade has distinguishing physical properties. For example, specific gravity (generally referred to as light or heavy), sulfur content (generally referred to as sweet or sour) and metals content, along with other characteristics, collectively result in varying economic attributes. In many cases, these factors result in the need for such grades to be batched or segregated in the transportation and storage processes, blended to precise specifications or adjusted in value.</w:t>
      </w:r>
    </w:p>
    <w:p>
      <w:pPr>
        <w:spacing w:after="0" w:line="18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lack of fungibility of the various grades of crude oil creates logistical transportation, terminalling and storage challenges and inefficiencies associated with regional volumetric supply and demand imbalances. These logistical inefficiencies are created as certain qualities of crude oil are indigenous to particular regions or countries. Also, each refinery has a distinct configuration of process units designed to handle particular grades of crude oil. The relative yields and the cost to obtain, transport and process the crude oil drive the refinery’s choice of feedstock. In addition, from time to time, natural disasters and geopolitical factors such as hurricanes, earthquakes, tsunamis, inclement weather, labor strikes, refinery disruptions, embargoes and armed conflicts may impact supply, demand, transportation and storage logistics.</w:t>
      </w:r>
    </w:p>
    <w:p>
      <w:pPr>
        <w:spacing w:after="0" w:line="2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assets and our business strategy are designed to serve our producer and refiner customers by addressing regional crude oil supply and demand imbalances that exist in the United States and Canada and to supply a growing need for crude oil exports from the U.S. The nature and extent of supply and demand imbalances change from time to time as a result of a variety of factors, including global demand for exports, regional production declines and/or increases; refinery expansions, modifications and shut-downs; available transportation and storage capacity; and government mandates and related regulatory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Themes in 2019</w:t>
      </w:r>
    </w:p>
    <w:p>
      <w:pPr>
        <w:spacing w:after="0" w:line="25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U.S. crude oil market was influenced by a number of fundamental themes in 2019. U.S. E&amp;P companies reduced capital investment in 2019, spurring a reduction in U.S. onshore rig count throughout the year. Notwithstanding, total U.S. crude oil production increased to new records in 2019 and multiple Permian Basin crude oil pipeline projects were advanced. These factors enabled U.S. Gulf Coast crude oil exports to reach all-time highs of more than 3 million barrels per day. The relationship between the price of a barrel of crude oil at the U.S. benchmark at Cushing, Oklahoma shifted to a discount to the Permian crude oil benchmark in Midland in the second half of 2019 after trading at a premium for several years prior.</w:t>
      </w:r>
    </w:p>
    <w:p>
      <w:pPr>
        <w:spacing w:after="0" w:line="20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Crude oil (WTI at Cushing) prices during the year generally ranged between $50 to $60 per barrel. Upward pressure was placed on crude oil prices by OPEC and Russian production limits and tensions in the Middle East. However, prices were moderated by continued petroleum liquids production increases by non-OPEC countries, led by the United States, Canada, Norway and Brazil.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Crude Oil Market Conditions</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According to the EIA, monthly total U.S. crude onshore production, including the Gulf of Mexico, continued to increase in 2019, exceeding 12.6 million barrels per day in October (the last month of available EIA data). According to the EIA, lower 48 onshore production was roughly 10.3 million barrels per day in October. Approximately 90% of the lower 48 onshore production in 2019 came from six major basins - Permian, Eagle Ford, Williston, Anadarko, Denver-Julesburg and Powder River. We provide crude oil transportation services in each of these basins.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6329045" cy="2813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2904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24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According to the EIA, from January 2016 to October 2019, the Permian (Texas and New Mexico) was responsible for approximately 77% of the total U.S. crude oil production growth. A combination of E&amp;P companies, marketers and refiners have made contractual commitments to support the construction of new long-haul takeaway pipeline projects to bring current and expected volume growth to market. Certain of these projects were placed into service in 2019, and others are expected to be placed into service in 2020 and 2021. Simultaneously, publicly traded E&amp;P companies in the region have prioritized investor returns over production growth, resulting in moderated capital investment and forecasted production growth versus actual levels of investment and rates of growth experienced in recent years. As a result of these dynamics, the Permian is expected to be amply supplied with pipeline takeaway capacity for the foreseeable future.</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2015, a long-standing federal ban on crude oil exports out of the U.S. was lifted, and with the surge in U.S. production and expansion in pipeline capacity, U.S. crude oil exports exceeded 3.5 million barrels per day in certain weeks in 2019. Although the U.S. remains a net importer of crude oil, the U.S. transitioned to a net exporter of crude oil and other petroleum products in 2019. The ports located in Houston, Corpus Christi and Beaumont/Nederland have accounted for the largest share of crude exports in 2019, with the Corpus Christi area increasing the most on a relative basis.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U.S. Crude Oil Exports and Net Imports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(Thousand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517640" cy="2710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17640" cy="271018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Source: EIA</w:t>
      </w:r>
    </w:p>
    <w:p>
      <w:pPr>
        <w:spacing w:after="0" w:line="7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3"/>
          <w:szCs w:val="23"/>
          <w:b w:val="1"/>
          <w:bCs w:val="1"/>
          <w:color w:val="auto"/>
          <w:vertAlign w:val="superscript"/>
        </w:rPr>
      </w:pPr>
      <w:r>
        <w:rPr>
          <w:rFonts w:ascii="Arial" w:cs="Arial" w:eastAsia="Arial" w:hAnsi="Arial"/>
          <w:sz w:val="18"/>
          <w:szCs w:val="18"/>
          <w:color w:val="auto"/>
        </w:rPr>
        <w:t>Net Imports is calculated as total imports minus total exports.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Market Overview</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NGL primarily includes ethane, propane, normal butane, iso-butane and natural gasoline, and is derived from natural gas production and processing activities, as well as crude oil refining processes. Liquefied petroleum gas (“LPG”) primarily includes propane and butane, which liquefy at moderate pressures thus making it easier to transport and store such products as compared to ethane. NGL refers to all NGL products including LPG when used in this Form 10-K.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NGL Demand. </w:t>
      </w:r>
      <w:r>
        <w:rPr>
          <w:rFonts w:ascii="Arial" w:cs="Arial" w:eastAsia="Arial" w:hAnsi="Arial"/>
          <w:sz w:val="18"/>
          <w:szCs w:val="18"/>
          <w:color w:val="auto"/>
        </w:rPr>
        <w:t>Individual NGL products have varying uses. Described below are the five basic NGL components and their typical uses:</w:t>
      </w:r>
    </w:p>
    <w:p>
      <w:pPr>
        <w:spacing w:after="0" w:line="252" w:lineRule="exact"/>
        <w:rPr>
          <w:sz w:val="20"/>
          <w:szCs w:val="20"/>
          <w:color w:val="auto"/>
        </w:rPr>
      </w:pPr>
    </w:p>
    <w:p>
      <w:pPr>
        <w:ind w:left="980" w:right="120" w:hanging="324"/>
        <w:spacing w:after="0" w:line="286" w:lineRule="auto"/>
        <w:tabs>
          <w:tab w:leader="none" w:pos="97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Ethane (C2). </w:t>
      </w:r>
      <w:r>
        <w:rPr>
          <w:rFonts w:ascii="Arial" w:cs="Arial" w:eastAsia="Arial" w:hAnsi="Arial"/>
          <w:sz w:val="17"/>
          <w:szCs w:val="17"/>
          <w:color w:val="auto"/>
        </w:rPr>
        <w:t>Ethane accounts for the largest portion of the NGL barrel and substantially all of the extracted ethane is used as feedstock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of ethylene, one of the basic building blocks for a wide range of plastics and other chemical products. When ethane recovery from a wet natural gas stream is uneconomic, ethane is left in the natural gas stream, subject to pipeline specifications.</w:t>
      </w:r>
    </w:p>
    <w:p>
      <w:pPr>
        <w:spacing w:after="0" w:line="192" w:lineRule="exact"/>
        <w:rPr>
          <w:rFonts w:ascii="Arial" w:cs="Arial" w:eastAsia="Arial" w:hAnsi="Arial"/>
          <w:sz w:val="17"/>
          <w:szCs w:val="17"/>
          <w:i w:val="1"/>
          <w:iCs w:val="1"/>
          <w:color w:val="auto"/>
        </w:rPr>
      </w:pPr>
    </w:p>
    <w:p>
      <w:pPr>
        <w:ind w:left="980" w:right="400" w:hanging="324"/>
        <w:spacing w:after="0" w:line="277" w:lineRule="auto"/>
        <w:tabs>
          <w:tab w:leader="none" w:pos="97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Propane (C3). </w:t>
      </w:r>
      <w:r>
        <w:rPr>
          <w:rFonts w:ascii="Arial" w:cs="Arial" w:eastAsia="Arial" w:hAnsi="Arial"/>
          <w:sz w:val="18"/>
          <w:szCs w:val="18"/>
          <w:color w:val="auto"/>
        </w:rPr>
        <w:t>Propane is used as heating fuel, engine fuel and industrial fuel, for agricultural burning and drying and also as petrochemical</w:t>
      </w:r>
      <w:r>
        <w:rPr>
          <w:rFonts w:ascii="Arial" w:cs="Arial" w:eastAsia="Arial" w:hAnsi="Arial"/>
          <w:sz w:val="18"/>
          <w:szCs w:val="18"/>
          <w:i w:val="1"/>
          <w:iCs w:val="1"/>
          <w:color w:val="auto"/>
        </w:rPr>
        <w:t xml:space="preserve"> </w:t>
      </w:r>
      <w:r>
        <w:rPr>
          <w:rFonts w:ascii="Arial" w:cs="Arial" w:eastAsia="Arial" w:hAnsi="Arial"/>
          <w:sz w:val="18"/>
          <w:szCs w:val="18"/>
          <w:color w:val="auto"/>
        </w:rPr>
        <w:t>feedstock for the production of ethylene and propylene.</w:t>
      </w:r>
    </w:p>
    <w:p>
      <w:pPr>
        <w:spacing w:after="0" w:line="197" w:lineRule="exact"/>
        <w:rPr>
          <w:rFonts w:ascii="Arial" w:cs="Arial" w:eastAsia="Arial" w:hAnsi="Arial"/>
          <w:sz w:val="18"/>
          <w:szCs w:val="18"/>
          <w:i w:val="1"/>
          <w:iCs w:val="1"/>
          <w:color w:val="auto"/>
        </w:rPr>
      </w:pPr>
    </w:p>
    <w:p>
      <w:pPr>
        <w:ind w:left="980" w:right="80" w:hanging="324"/>
        <w:spacing w:after="0" w:line="286" w:lineRule="auto"/>
        <w:tabs>
          <w:tab w:leader="none" w:pos="97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Normal butane (C4). </w:t>
      </w:r>
      <w:r>
        <w:rPr>
          <w:rFonts w:ascii="Arial" w:cs="Arial" w:eastAsia="Arial" w:hAnsi="Arial"/>
          <w:sz w:val="17"/>
          <w:szCs w:val="17"/>
          <w:color w:val="auto"/>
        </w:rPr>
        <w:t>Normal butane is principally used for motor gasoline blending and as fuel gas, either alone or in a mixture with propane,</w:t>
      </w:r>
      <w:r>
        <w:rPr>
          <w:rFonts w:ascii="Arial" w:cs="Arial" w:eastAsia="Arial" w:hAnsi="Arial"/>
          <w:sz w:val="17"/>
          <w:szCs w:val="17"/>
          <w:i w:val="1"/>
          <w:iCs w:val="1"/>
          <w:color w:val="auto"/>
        </w:rPr>
        <w:t xml:space="preserve"> </w:t>
      </w:r>
      <w:r>
        <w:rPr>
          <w:rFonts w:ascii="Arial" w:cs="Arial" w:eastAsia="Arial" w:hAnsi="Arial"/>
          <w:sz w:val="17"/>
          <w:szCs w:val="17"/>
          <w:color w:val="auto"/>
        </w:rPr>
        <w:t>and feedstock for the manufacture of ethylene and butadiene, a key ingredient of synthetic rubber. Normal butane is also used as a feedstock for iso-butane production and as a diluent in the transportation of heavy crude oil and bitumen, particularly in Canada.</w:t>
      </w:r>
    </w:p>
    <w:p>
      <w:pPr>
        <w:spacing w:after="0" w:line="192" w:lineRule="exact"/>
        <w:rPr>
          <w:rFonts w:ascii="Arial" w:cs="Arial" w:eastAsia="Arial" w:hAnsi="Arial"/>
          <w:sz w:val="17"/>
          <w:szCs w:val="17"/>
          <w:i w:val="1"/>
          <w:iCs w:val="1"/>
          <w:color w:val="auto"/>
        </w:rPr>
      </w:pPr>
    </w:p>
    <w:p>
      <w:pPr>
        <w:ind w:left="980" w:hanging="324"/>
        <w:spacing w:after="0"/>
        <w:tabs>
          <w:tab w:leader="none" w:pos="98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Iso-butane. </w:t>
      </w:r>
      <w:r>
        <w:rPr>
          <w:rFonts w:ascii="Arial" w:cs="Arial" w:eastAsia="Arial" w:hAnsi="Arial"/>
          <w:sz w:val="18"/>
          <w:szCs w:val="18"/>
          <w:color w:val="auto"/>
        </w:rPr>
        <w:t>Iso-butane is principally used by refiners to produce alkylates to enhance the octane content of motor gasoline.</w:t>
      </w:r>
    </w:p>
    <w:p>
      <w:pPr>
        <w:spacing w:after="0" w:line="252" w:lineRule="exact"/>
        <w:rPr>
          <w:rFonts w:ascii="Arial" w:cs="Arial" w:eastAsia="Arial" w:hAnsi="Arial"/>
          <w:sz w:val="18"/>
          <w:szCs w:val="18"/>
          <w:i w:val="1"/>
          <w:iCs w:val="1"/>
          <w:color w:val="auto"/>
        </w:rPr>
      </w:pPr>
    </w:p>
    <w:p>
      <w:pPr>
        <w:ind w:left="980" w:right="840" w:hanging="324"/>
        <w:spacing w:after="0" w:line="277" w:lineRule="auto"/>
        <w:tabs>
          <w:tab w:leader="none" w:pos="975"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Natural Gasoline. </w:t>
      </w:r>
      <w:r>
        <w:rPr>
          <w:rFonts w:ascii="Arial" w:cs="Arial" w:eastAsia="Arial" w:hAnsi="Arial"/>
          <w:sz w:val="18"/>
          <w:szCs w:val="18"/>
          <w:color w:val="auto"/>
        </w:rPr>
        <w:t>Natural gasoline is principally used as a motor gasoline blend stock, a petrochemical feedstock, or as diluent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of heavy crude oil and bitumen, particularly in Canada.</w:t>
      </w:r>
    </w:p>
    <w:p>
      <w:pPr>
        <w:spacing w:after="0" w:line="19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7"/>
          <w:szCs w:val="17"/>
          <w:i w:val="1"/>
          <w:iCs w:val="1"/>
          <w:color w:val="auto"/>
        </w:rPr>
        <w:t xml:space="preserve">NGL Supply. </w:t>
      </w:r>
      <w:r>
        <w:rPr>
          <w:rFonts w:ascii="Arial" w:cs="Arial" w:eastAsia="Arial" w:hAnsi="Arial"/>
          <w:sz w:val="17"/>
          <w:szCs w:val="17"/>
          <w:color w:val="auto"/>
        </w:rPr>
        <w:t>The bulk of NGL supply (approximately 90% in the United States and 75% in Canada) comes from gas processing plants,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separate a mixture of NGL from the dry gas (primarily methane). This NGL mix (also referred to as “Y Grade”) is then either fractionated at the processing site into the five individual NGL components (known as purity products), which may be transported, stored and sold to end use markets, or transported to a regional fractionation facility. Excess supply has pressured prices of all NGL products, distorting historical price relationships with crude oil prices, and decreasing fractionation spreads (the difference between the cost of natural gas supplies and the extracted natural gas liquids).</w:t>
      </w:r>
    </w:p>
    <w:p>
      <w:pPr>
        <w:spacing w:after="0" w:line="20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majority of gas processing plants in the United States are located along the Gulf Coast, in the West Texas/Oklahoma area, the Marcellus and Utica region and in the Rockies region. In Canada, the vast majority of the processing capacity is located in Alberta, with a much smaller (but increasing) amount in British Columbia and Saskatchewan.</w:t>
      </w:r>
    </w:p>
    <w:p>
      <w:pPr>
        <w:spacing w:after="0" w:line="20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NGL products from refineries represent approximately 7% of the United States supply and 4% of Canadian supply and are by-products of the refinery conversion process. Consequently, they have generally already been separated into individual components and do not require further fractionation. NGL products from refineries are principally propane, with lesser amounts of butane, refinery naphthas (products similar to natural gasoline) and ethane. Due to refinery maintenance schedules and seasonal demand considerations, refinery production of propane and butane varies on a seasonal basis.</w:t>
      </w:r>
    </w:p>
    <w:p>
      <w:pPr>
        <w:spacing w:after="0" w:line="181"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NGL (primarily propane and butane) is also imported into certain regions of the United States from Canada and other parts of the world (approximately 3% of total supply). Propane and butane is also exported from certain regions of the United States. The development of new NGL export facilities has compressed historical price differentials between markets in Edmonton, Alberta and other major NGL infrastructure and trading hubs discussed below.</w:t>
      </w:r>
    </w:p>
    <w:p>
      <w:pPr>
        <w:spacing w:after="0" w:line="21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 xml:space="preserve">NGL Transportation and Trading Hubs. </w:t>
      </w:r>
      <w:r>
        <w:rPr>
          <w:rFonts w:ascii="Arial" w:cs="Arial" w:eastAsia="Arial" w:hAnsi="Arial"/>
          <w:sz w:val="18"/>
          <w:szCs w:val="18"/>
          <w:color w:val="auto"/>
        </w:rPr>
        <w:t>NGL, whether as a mixture or as purity products, is transported by pipelines, barges, railcars and tank</w:t>
      </w:r>
      <w:r>
        <w:rPr>
          <w:rFonts w:ascii="Arial" w:cs="Arial" w:eastAsia="Arial" w:hAnsi="Arial"/>
          <w:sz w:val="18"/>
          <w:szCs w:val="18"/>
          <w:i w:val="1"/>
          <w:iCs w:val="1"/>
          <w:color w:val="auto"/>
        </w:rPr>
        <w:t xml:space="preserve"> </w:t>
      </w:r>
      <w:r>
        <w:rPr>
          <w:rFonts w:ascii="Arial" w:cs="Arial" w:eastAsia="Arial" w:hAnsi="Arial"/>
          <w:sz w:val="18"/>
          <w:szCs w:val="18"/>
          <w:color w:val="auto"/>
        </w:rPr>
        <w:t>trucks. The method of transportation used depends on, among other things, the resources of the transporter, the locations of production points and delivery points, cost-efficiency and the quantity of product being transported.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Pipelines are generally the most cost-efficient mode of transportation when large, consistent volumes of product are to be delivered.</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major NGL infrastructure and trading hubs in North America are located at Mont Belvieu, Texas; Conway, Kansas; Edmonton, Alberta; and Sarnia, Ontario. Each of these hubs contains a critical mass of infrastructure, including fractionators, storage, pipelines and access to end markets, particularly Mont Belvieu.</w:t>
      </w:r>
    </w:p>
    <w:p>
      <w:pPr>
        <w:spacing w:after="0" w:line="20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NGL Storage. </w:t>
      </w:r>
      <w:r>
        <w:rPr>
          <w:rFonts w:ascii="Arial" w:cs="Arial" w:eastAsia="Arial" w:hAnsi="Arial"/>
          <w:sz w:val="17"/>
          <w:szCs w:val="17"/>
          <w:color w:val="auto"/>
        </w:rPr>
        <w:t>Storage is especially important for NGL as supply and demand can vary materially on a seasonal basis. NGL must be stored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pressure to maintain a liquid state. The lighter the product (e.g., ethane), the greater the pressure that must be maintained. Large volumes of NGL are stored in underground caverns constructed in salt or granite; however, product is also stored in above ground tanks. Natural gasoline can be stored at relatively low pressures in tankage similar to that used to store motor gasoline. Propane and butane are stored at much higher pressures in steel spheres, cylinders, bullets, salt caverns or other configurations. Ethane is stored at very high pressures, typically in salt caverns.</w:t>
      </w:r>
    </w:p>
    <w:p>
      <w:pPr>
        <w:spacing w:after="0" w:line="20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NGL Market Outlook. </w:t>
      </w:r>
      <w:r>
        <w:rPr>
          <w:rFonts w:ascii="Arial" w:cs="Arial" w:eastAsia="Arial" w:hAnsi="Arial"/>
          <w:sz w:val="18"/>
          <w:szCs w:val="18"/>
          <w:color w:val="auto"/>
        </w:rPr>
        <w:t>The growth of shale-based production in both traditional and new producing areas has resulted in a significant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NGL supplies from gas processing plants over the past several years. This has driven extensive expansion and new development of midstream infrastructure in Canada, the Bakken, Marcellus/Utica, and throughout Texas.</w:t>
      </w:r>
    </w:p>
    <w:p>
      <w:pPr>
        <w:spacing w:after="0" w:line="14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growth of production in non-traditional producing regions and the increase in export capacity has shifted regional basis relationships and created new logistics and infrastructure opportunities. Growth of 9% in 2019 for North American NGL production has meant expansion into new markets, through exports or increased petrochemical demand. The continuation of a relatively low ratio of North American gas and NGL prices to world-wide crude oil prices will mean North American NGL can continue to be competitive on a world scale, either as feedstock for North American based manufacturing or export to overseas markets. In addition to substantially increased exports, a portion of the increased supply of NGL will be absorbed by the domestic petrochemical sector as low-cost feed stocks, as the North American petrochemical industry has enjoyed a supply cost advantage on a world scale.</w:t>
      </w:r>
    </w:p>
    <w:p>
      <w:pPr>
        <w:spacing w:after="0" w:line="13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believe the fundamentals of an accessible resource base and improved midstream infrastructure should mean producers can continue to develop the most economic new supply. The NGL market is, among other things, expected to be driven by:</w:t>
      </w:r>
    </w:p>
    <w:p>
      <w:pPr>
        <w:spacing w:after="0" w:line="13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absolute prices of NGL products and their prices relative to natural gas and crude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drilling activity and wet natural gas production in developing liquids-rich production areas;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available processing, fractionation, storage and transportation capacity;</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petro-chemical demand driven by the build-out or new builds of Ethylene Cracker capacity (ethane demand) and Propane Dehydrogenation facilities (propane demand);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export capacity for both ethane and propane;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diluent requirements for heavy Canadian oil;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changes in gasoline specifications affecting demand for butane;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demand from refiners;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seasonal weather-related demand;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inefficiencies caused by regional supply and demand imbalances.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and other factors, the NGL market is complex and volatile, which, along with expected market growth, creates opportunities to solve the logistical inefficiencies inherent in the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Market Overview</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North American natural gas storage facilities provide a staging and warehousing function for seasonal swings in demand relative to supply, as well as an essential reliability cushion against disruptions in natural gas supply, demand and transportation by allowing natural gas to be injected into, withdrawn from or warehoused in such storage facilities as dictated by market conditions. Natural gas storage serves as a “shock absorber” that balances the market, serving as a source of supply to meet the consumption demands in excess of daily production capacity during high-demand periods and a warehouse for gas production in excess of daily demand during low-demand periods.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firstLine="648"/>
        <w:spacing w:after="0" w:line="257" w:lineRule="auto"/>
        <w:rPr>
          <w:sz w:val="20"/>
          <w:szCs w:val="20"/>
          <w:color w:val="auto"/>
        </w:rPr>
      </w:pPr>
      <w:r>
        <w:rPr>
          <w:rFonts w:ascii="Arial" w:cs="Arial" w:eastAsia="Arial" w:hAnsi="Arial"/>
          <w:sz w:val="16"/>
          <w:szCs w:val="16"/>
          <w:color w:val="auto"/>
        </w:rPr>
        <w:t>Overall market conditions for natural gas storage appear to be improving as several fundamental factors are contributing to growth in North American natural gas demand. These factors include (i) increasing exports of LNG from North America, (ii) increasing exports of natural gas to Mexico,</w:t>
      </w:r>
    </w:p>
    <w:p>
      <w:pPr>
        <w:ind w:right="240" w:firstLine="8"/>
        <w:spacing w:after="0" w:line="286" w:lineRule="auto"/>
        <w:tabs>
          <w:tab w:leader="none" w:pos="315"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construction of new gas-fired power plants, (iv) sustained fuel switching from coal to natural gas among existing power plants and (v) growth in base-level industrial demand. The increase in both supply and demand has created greater opportunities for natural gas storage and pipeline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Segments and Associated Assets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GAAP, we consolidate GP LLC, AAP and PAA and its subsidiaries. We currently have no separate operating activities apart from those conducted by PAA. As such, our segment analysis, presentation and discussion is the same as that of PAA, which conducts its operations through three segments—Transportation, Facilities and Supply and Logistics. Accordingly, any references to “we,” “us,” “our,” and similar terms describing assets, business characteristics or other related matters are references to assets, business characteristics or other matters involving PAA’s assets and operations. We have an extensive network of pipeline transportation, terminalling, storage and gathering assets in key crude oil and NGL producing basins and transportation corridors and at major market hubs in the United States and Canada. The map and descriptions below highlight our more significant assets (including certain assets under construction or development) as of December 31, 2019. Unless the context requires otherwise, references herein to our “facilities” includes all of the pipelines, terminals, storage and other assets owned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5866130" cy="5042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6130" cy="504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description of the activities and assets for each of our three business segments.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Segment</w:t>
      </w:r>
    </w:p>
    <w:p>
      <w:pPr>
        <w:spacing w:after="0" w:line="25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We generate revenue through a combination of tariffs, pipeline capacity agreements and other transportation fees. Our Transportation segment also includes equity earnings from our investments in entities that own or are developing transportation assets. We account for these investments under the equity method of accounting. See Note 9 to our Consolidated Financial Statements for additional information regarding these investments.</w:t>
      </w:r>
    </w:p>
    <w:p>
      <w:pPr>
        <w:spacing w:after="0" w:line="21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2019, we employed a variety of owned or, to a much lesser extent, leased long-term physical assets throughout the United States and Canada in this segment, including approximately:</w:t>
      </w:r>
    </w:p>
    <w:p>
      <w:pPr>
        <w:spacing w:after="0" w:line="19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18,535 miles of active crude oil and NGL pipelines and gathering systems;</w:t>
      </w:r>
    </w:p>
    <w:p>
      <w:pPr>
        <w:spacing w:after="0" w:line="117"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million barrels of active, above-ground tank capacity used primarily to facilitate pipeline throughput and help maintain product quality segregation;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825 trailers (primarily in Canada);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transport and storage barges and 20 transport tugs through our interest in Settoon Towing.</w:t>
      </w:r>
    </w:p>
    <w:p>
      <w:pPr>
        <w:spacing w:after="0" w:line="360" w:lineRule="exact"/>
        <w:rPr>
          <w:sz w:val="20"/>
          <w:szCs w:val="20"/>
          <w:color w:val="auto"/>
        </w:rPr>
      </w:pPr>
    </w:p>
    <w:p>
      <w:pPr>
        <w:ind w:right="280" w:firstLine="648"/>
        <w:spacing w:after="0" w:line="272" w:lineRule="auto"/>
        <w:rPr>
          <w:sz w:val="20"/>
          <w:szCs w:val="20"/>
          <w:color w:val="auto"/>
        </w:rPr>
      </w:pPr>
      <w:r>
        <w:rPr>
          <w:rFonts w:ascii="Arial" w:cs="Arial" w:eastAsia="Arial" w:hAnsi="Arial"/>
          <w:sz w:val="18"/>
          <w:szCs w:val="18"/>
          <w:color w:val="auto"/>
        </w:rPr>
        <w:t>The following is a tabular presentation of our active crude oil and NGL pipeline assets in the United States and Canada as of December 31, 2019, grouped by geographic location:</w:t>
      </w:r>
    </w:p>
    <w:p>
      <w:pPr>
        <w:sectPr>
          <w:pgSz w:w="11900" w:h="16838" w:orient="portrait"/>
          <w:cols w:equalWidth="0" w:num="1">
            <w:col w:w="11400"/>
          </w:cols>
          <w:pgMar w:left="240" w:top="125" w:right="259" w:bottom="1440" w:gutter="0" w:footer="0" w:header="0"/>
        </w:sectPr>
      </w:pPr>
    </w:p>
    <w:p>
      <w:pPr>
        <w:spacing w:after="0" w:line="15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3430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4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Crude Oil Pipelines:</w:t>
      </w:r>
    </w:p>
    <w:p>
      <w:pPr>
        <w:spacing w:after="0" w:line="3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Permian Basin: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Gathering pipelines</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Intra-basin pipelines </w:t>
      </w:r>
      <w:r>
        <w:rPr>
          <w:rFonts w:ascii="Arial" w:cs="Arial" w:eastAsia="Arial" w:hAnsi="Arial"/>
          <w:sz w:val="20"/>
          <w:szCs w:val="20"/>
          <w:color w:val="auto"/>
          <w:vertAlign w:val="superscript"/>
        </w:rPr>
        <w:t>(3)</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 xml:space="preserve">Long-haul pipelines </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5"/>
                <w:szCs w:val="15"/>
                <w:b w:val="1"/>
                <w:bCs w:val="1"/>
                <w:color w:val="auto"/>
                <w:w w:val="92"/>
              </w:rPr>
              <w:t>Approximate System Miles</w:t>
            </w:r>
          </w:p>
        </w:tc>
        <w:tc>
          <w:tcPr>
            <w:tcW w:w="1860" w:type="dxa"/>
            <w:vAlign w:val="bottom"/>
          </w:tcPr>
          <w:p>
            <w:pPr>
              <w:jc w:val="center"/>
              <w:spacing w:after="0" w:line="153" w:lineRule="exact"/>
              <w:rPr>
                <w:sz w:val="20"/>
                <w:szCs w:val="20"/>
                <w:color w:val="auto"/>
              </w:rPr>
            </w:pPr>
            <w:r>
              <w:rPr>
                <w:rFonts w:ascii="Arial" w:cs="Arial" w:eastAsia="Arial" w:hAnsi="Arial"/>
                <w:sz w:val="15"/>
                <w:szCs w:val="15"/>
                <w:b w:val="1"/>
                <w:bCs w:val="1"/>
                <w:color w:val="auto"/>
                <w:w w:val="91"/>
              </w:rPr>
              <w:t>2019 Average Net</w:t>
            </w:r>
          </w:p>
        </w:tc>
        <w:tc>
          <w:tcPr>
            <w:tcW w:w="0" w:type="dxa"/>
            <w:vAlign w:val="bottom"/>
          </w:tcPr>
          <w:p>
            <w:pPr>
              <w:spacing w:after="0"/>
              <w:rPr>
                <w:sz w:val="1"/>
                <w:szCs w:val="1"/>
                <w:color w:val="auto"/>
              </w:rPr>
            </w:pPr>
          </w:p>
        </w:tc>
      </w:tr>
      <w:tr>
        <w:trPr>
          <w:trHeight w:val="63"/>
        </w:trPr>
        <w:tc>
          <w:tcPr>
            <w:tcW w:w="19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Ownership Percentage</w:t>
            </w:r>
          </w:p>
        </w:tc>
        <w:tc>
          <w:tcPr>
            <w:tcW w:w="1960" w:type="dxa"/>
            <w:vAlign w:val="bottom"/>
            <w:gridSpan w:val="2"/>
            <w:vMerge w:val="continue"/>
          </w:tcPr>
          <w:p>
            <w:pPr>
              <w:spacing w:after="0"/>
              <w:rPr>
                <w:sz w:val="5"/>
                <w:szCs w:val="5"/>
                <w:color w:val="auto"/>
              </w:rPr>
            </w:pPr>
          </w:p>
        </w:tc>
        <w:tc>
          <w:tcPr>
            <w:tcW w:w="18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 xml:space="preserve">Barrels per Day </w:t>
            </w:r>
            <w:r>
              <w:rPr>
                <w:rFonts w:ascii="Arial" w:cs="Arial" w:eastAsia="Arial" w:hAnsi="Arial"/>
                <w:sz w:val="9"/>
                <w:szCs w:val="9"/>
                <w:b w:val="1"/>
                <w:bCs w:val="1"/>
                <w:color w:val="auto"/>
                <w:w w:val="95"/>
              </w:rPr>
              <w:t>(2)</w:t>
            </w:r>
          </w:p>
        </w:tc>
        <w:tc>
          <w:tcPr>
            <w:tcW w:w="0" w:type="dxa"/>
            <w:vAlign w:val="bottom"/>
          </w:tcPr>
          <w:p>
            <w:pPr>
              <w:spacing w:after="0"/>
              <w:rPr>
                <w:sz w:val="1"/>
                <w:szCs w:val="1"/>
                <w:color w:val="auto"/>
              </w:rPr>
            </w:pPr>
          </w:p>
        </w:tc>
      </w:tr>
      <w:tr>
        <w:trPr>
          <w:trHeight w:val="137"/>
        </w:trPr>
        <w:tc>
          <w:tcPr>
            <w:tcW w:w="1960" w:type="dxa"/>
            <w:vAlign w:val="bottom"/>
            <w:gridSpan w:val="2"/>
            <w:vMerge w:val="continue"/>
          </w:tcPr>
          <w:p>
            <w:pPr>
              <w:spacing w:after="0"/>
              <w:rPr>
                <w:sz w:val="11"/>
                <w:szCs w:val="11"/>
                <w:color w:val="auto"/>
              </w:rPr>
            </w:pPr>
          </w:p>
        </w:tc>
        <w:tc>
          <w:tcPr>
            <w:tcW w:w="1860" w:type="dxa"/>
            <w:vAlign w:val="bottom"/>
          </w:tcPr>
          <w:p>
            <w:pPr>
              <w:jc w:val="right"/>
              <w:ind w:right="817"/>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7620</wp:posOffset>
            </wp:positionV>
            <wp:extent cx="717804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342265</wp:posOffset>
            </wp:positionV>
            <wp:extent cx="717804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1340" w:type="dxa"/>
            <w:vAlign w:val="bottom"/>
          </w:tcPr>
          <w:p>
            <w:pPr>
              <w:jc w:val="right"/>
              <w:ind w:right="650"/>
              <w:spacing w:after="0"/>
              <w:rPr>
                <w:sz w:val="20"/>
                <w:szCs w:val="20"/>
                <w:color w:val="auto"/>
              </w:rPr>
            </w:pPr>
            <w:r>
              <w:rPr>
                <w:rFonts w:ascii="Arial" w:cs="Arial" w:eastAsia="Arial" w:hAnsi="Arial"/>
                <w:sz w:val="18"/>
                <w:szCs w:val="18"/>
                <w:color w:val="auto"/>
              </w:rPr>
              <w:t>100%</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1,384</w:t>
            </w:r>
          </w:p>
        </w:tc>
      </w:tr>
      <w:tr>
        <w:trPr>
          <w:trHeight w:val="270"/>
        </w:trPr>
        <w:tc>
          <w:tcPr>
            <w:tcW w:w="1340" w:type="dxa"/>
            <w:vAlign w:val="bottom"/>
          </w:tcPr>
          <w:p>
            <w:pPr>
              <w:jc w:val="right"/>
              <w:ind w:right="350"/>
              <w:spacing w:after="0"/>
              <w:rPr>
                <w:sz w:val="20"/>
                <w:szCs w:val="20"/>
                <w:color w:val="auto"/>
              </w:rPr>
            </w:pPr>
            <w:r>
              <w:rPr>
                <w:rFonts w:ascii="Arial" w:cs="Arial" w:eastAsia="Arial" w:hAnsi="Arial"/>
                <w:sz w:val="18"/>
                <w:szCs w:val="18"/>
                <w:color w:val="auto"/>
                <w:w w:val="89"/>
              </w:rPr>
              <w:t>50% - 100%</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3"/>
                <w:szCs w:val="23"/>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2,041</w:t>
            </w:r>
          </w:p>
        </w:tc>
      </w:tr>
      <w:tr>
        <w:trPr>
          <w:trHeight w:val="270"/>
        </w:trPr>
        <w:tc>
          <w:tcPr>
            <w:tcW w:w="1340" w:type="dxa"/>
            <w:vAlign w:val="bottom"/>
          </w:tcPr>
          <w:p>
            <w:pPr>
              <w:jc w:val="right"/>
              <w:ind w:right="350"/>
              <w:spacing w:after="0"/>
              <w:rPr>
                <w:sz w:val="20"/>
                <w:szCs w:val="20"/>
                <w:color w:val="auto"/>
              </w:rPr>
            </w:pPr>
            <w:r>
              <w:rPr>
                <w:rFonts w:ascii="Arial" w:cs="Arial" w:eastAsia="Arial" w:hAnsi="Arial"/>
                <w:sz w:val="18"/>
                <w:szCs w:val="18"/>
                <w:color w:val="auto"/>
                <w:w w:val="89"/>
              </w:rPr>
              <w:t>20% - 100%</w:t>
            </w: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3"/>
                <w:szCs w:val="23"/>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1,265</w:t>
            </w:r>
          </w:p>
        </w:tc>
      </w:tr>
      <w:tr>
        <w:trPr>
          <w:trHeight w:val="27"/>
        </w:trPr>
        <w:tc>
          <w:tcPr>
            <w:tcW w:w="13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1340" w:type="dxa"/>
            <w:vAlign w:val="bottom"/>
          </w:tcPr>
          <w:p>
            <w:pPr>
              <w:spacing w:after="0"/>
              <w:rPr>
                <w:sz w:val="20"/>
                <w:szCs w:val="20"/>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5,480</w:t>
            </w:r>
          </w:p>
        </w:tc>
        <w:tc>
          <w:tcPr>
            <w:tcW w:w="100" w:type="dxa"/>
            <w:vAlign w:val="bottom"/>
          </w:tcPr>
          <w:p>
            <w:pPr>
              <w:spacing w:after="0"/>
              <w:rPr>
                <w:sz w:val="20"/>
                <w:szCs w:val="20"/>
                <w:color w:val="auto"/>
              </w:rPr>
            </w:pP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4,690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-505460</wp:posOffset>
            </wp:positionV>
            <wp:extent cx="717804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71450"/>
                    </a:xfrm>
                    <a:prstGeom prst="rect">
                      <a:avLst/>
                    </a:prstGeom>
                    <a:noFill/>
                  </pic:spPr>
                </pic:pic>
              </a:graphicData>
            </a:graphic>
          </wp:anchor>
        </w:drawing>
        <w:drawing>
          <wp:anchor simplePos="0" relativeHeight="251657728" behindDoc="1" locked="0" layoutInCell="0" allowOverlap="1">
            <wp:simplePos x="0" y="0"/>
            <wp:positionH relativeFrom="column">
              <wp:posOffset>-3503295</wp:posOffset>
            </wp:positionH>
            <wp:positionV relativeFrom="paragraph">
              <wp:posOffset>-162560</wp:posOffset>
            </wp:positionV>
            <wp:extent cx="717804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820"/>
          </w:cols>
          <w:pgMar w:left="240" w:top="125" w:right="259" w:bottom="1440" w:gutter="0" w:footer="0" w:header="0"/>
          <w:type w:val="continuous"/>
        </w:sectPr>
      </w:pP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South Texas/Eagle Ford</w:t>
            </w:r>
          </w:p>
        </w:tc>
        <w:tc>
          <w:tcPr>
            <w:tcW w:w="29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50% - 100%</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446</w:t>
            </w:r>
          </w:p>
        </w:tc>
      </w:tr>
      <w:tr>
        <w:trPr>
          <w:trHeight w:val="257"/>
        </w:trPr>
        <w:tc>
          <w:tcPr>
            <w:tcW w:w="4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Central</w:t>
            </w:r>
          </w:p>
        </w:tc>
        <w:tc>
          <w:tcPr>
            <w:tcW w:w="29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50% - 100%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2,675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r>
      <w:tr>
        <w:trPr>
          <w:trHeight w:val="270"/>
        </w:trPr>
        <w:tc>
          <w:tcPr>
            <w:tcW w:w="45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Gulf Coast</w:t>
            </w:r>
          </w:p>
        </w:tc>
        <w:tc>
          <w:tcPr>
            <w:tcW w:w="29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54% - 100%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r>
      <w:tr>
        <w:trPr>
          <w:trHeight w:val="270"/>
        </w:trPr>
        <w:tc>
          <w:tcPr>
            <w:tcW w:w="45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Rocky Mountain</w:t>
            </w:r>
          </w:p>
        </w:tc>
        <w:tc>
          <w:tcPr>
            <w:tcW w:w="29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 - 100%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293</w:t>
            </w:r>
          </w:p>
        </w:tc>
      </w:tr>
      <w:tr>
        <w:trPr>
          <w:trHeight w:val="270"/>
        </w:trPr>
        <w:tc>
          <w:tcPr>
            <w:tcW w:w="454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Western</w:t>
            </w:r>
          </w:p>
        </w:tc>
        <w:tc>
          <w:tcPr>
            <w:tcW w:w="29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r>
      <w:tr>
        <w:trPr>
          <w:trHeight w:val="257"/>
        </w:trPr>
        <w:tc>
          <w:tcPr>
            <w:tcW w:w="45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50"/>
        </w:trPr>
        <w:tc>
          <w:tcPr>
            <w:tcW w:w="4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9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100%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323</w:t>
            </w:r>
          </w:p>
        </w:tc>
      </w:tr>
      <w:tr>
        <w:trPr>
          <w:trHeight w:val="270"/>
        </w:trPr>
        <w:tc>
          <w:tcPr>
            <w:tcW w:w="4540" w:type="dxa"/>
            <w:vAlign w:val="bottom"/>
            <w:tcBorders>
              <w:bottom w:val="single" w:sz="8" w:color="CCEEFF"/>
            </w:tcBorders>
          </w:tcPr>
          <w:p>
            <w:pPr>
              <w:spacing w:after="0"/>
              <w:rPr>
                <w:sz w:val="23"/>
                <w:szCs w:val="23"/>
                <w:color w:val="auto"/>
              </w:rPr>
            </w:pPr>
          </w:p>
        </w:tc>
        <w:tc>
          <w:tcPr>
            <w:tcW w:w="2940" w:type="dxa"/>
            <w:vAlign w:val="bottom"/>
            <w:tcBorders>
              <w:bottom w:val="single" w:sz="8" w:color="CCEEFF"/>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r>
      <w:tr>
        <w:trPr>
          <w:trHeight w:val="264"/>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Crude Oil Pipelines Total</w:t>
            </w:r>
          </w:p>
        </w:tc>
        <w:tc>
          <w:tcPr>
            <w:tcW w:w="29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16,890</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6,613</w:t>
            </w:r>
          </w:p>
        </w:tc>
      </w:tr>
      <w:tr>
        <w:trPr>
          <w:trHeight w:val="250"/>
        </w:trPr>
        <w:tc>
          <w:tcPr>
            <w:tcW w:w="45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Canadian NGL Pipelines</w:t>
            </w:r>
          </w:p>
        </w:tc>
        <w:tc>
          <w:tcPr>
            <w:tcW w:w="29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 - 100%</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192</w:t>
            </w:r>
          </w:p>
        </w:tc>
      </w:tr>
      <w:tr>
        <w:trPr>
          <w:trHeight w:val="257"/>
        </w:trPr>
        <w:tc>
          <w:tcPr>
            <w:tcW w:w="4540" w:type="dxa"/>
            <w:vAlign w:val="bottom"/>
            <w:tcBorders>
              <w:bottom w:val="single" w:sz="8" w:color="CCEEFF"/>
            </w:tcBorders>
          </w:tcPr>
          <w:p>
            <w:pPr>
              <w:spacing w:after="0"/>
              <w:rPr>
                <w:sz w:val="22"/>
                <w:szCs w:val="22"/>
                <w:color w:val="auto"/>
              </w:rPr>
            </w:pPr>
          </w:p>
        </w:tc>
        <w:tc>
          <w:tcPr>
            <w:tcW w:w="294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89"/>
        </w:trPr>
        <w:tc>
          <w:tcPr>
            <w:tcW w:w="4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Crude Oil and NGL Pipelines Total</w:t>
            </w:r>
          </w:p>
        </w:tc>
        <w:tc>
          <w:tcPr>
            <w:tcW w:w="294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18,535</w:t>
            </w:r>
          </w:p>
        </w:tc>
        <w:tc>
          <w:tcPr>
            <w:tcW w:w="10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6,805</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Includes total mileage from pipelines owned by unconsolidated entities.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right="440" w:hanging="11"/>
        <w:spacing w:after="0" w:line="264" w:lineRule="auto"/>
        <w:rPr>
          <w:sz w:val="20"/>
          <w:szCs w:val="20"/>
          <w:color w:val="auto"/>
        </w:rPr>
      </w:pPr>
      <w:r>
        <w:rPr>
          <w:rFonts w:ascii="Arial" w:cs="Arial" w:eastAsia="Arial" w:hAnsi="Arial"/>
          <w:sz w:val="18"/>
          <w:szCs w:val="18"/>
          <w:color w:val="auto"/>
        </w:rPr>
        <w:t>Represents average daily volumes for the entire year attributable to our interest. Average daily volumes are calculated as the total volumes (attributable to our interest) for the year divided by the number of days in the year. Volumes reflect tariff movements and thus may be included multiple times as volumes move through our integrated system.</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Includes pipelines operated by a third party.</w:t>
      </w:r>
    </w:p>
    <w:p>
      <w:pPr>
        <w:spacing w:after="0" w:line="200"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line="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significant portion of our pipeline assets are interconnected and are operated as a contiguous system. The following descriptions are organized by geographic location and represent a selection of our most significant assets. Pipeline capacities throughout these descriptions are based on our reasonable estimate of volumes that can be delivered from origin to final destination on our pipeline systems. We report pipeline volumes based on the tariffs charged for individual movements, some of which may only utilize a certain segment of a pipeline system (i.e. two short-haul movements on a pipeline from point A to point B and another point B to point C would double the pipeline tariff volumes on a particular system versus a point A to point C movement). As a result, at times, our reported tariff barrel movements may exceed our total capacity.</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Crude Oil Pipelines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Permian Basin</w:t>
      </w:r>
    </w:p>
    <w:p>
      <w:pPr>
        <w:spacing w:after="0" w:line="18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We are among the largest providers of crude oil midstream infrastructure and services in the Permian Basin located in west Texas and southeastern New Mexico. Our Permian Basin asset base represents an interconnected system that aggregates receipts from wellhead gathering lines and bulk truck injection locations into intra-basin trunk lines for transportation and delivery to a combination of owned and third-party mainline takeaway pipelines. Accordingly, our Permian Basin crude oil pipelines fall into one of three categories: Gathering, Intra-basin or Long-haul. We also have approximately 14 million barrels of tank capacity associated with our Permian Basin asset base, which allows us to provide quality segregation and flow assurance in the region.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growth in our average Permian Basin tariff volumes over the last three years (in thousands of barrels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Gathering Pipelines</w:t>
      </w:r>
    </w:p>
    <w:p>
      <w:pPr>
        <w:spacing w:after="0" w:line="198"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We own and operate over 3,100 miles of gathering pipelines in the Permian Basin. Our gathering systems are in both the Midland Basin and the Delaware Basin and in aggregate represent over 2.5 million barrels per day of pipeline capacity. This gathering capacity includes pipeline capacity that delivers volumes to regional hubs and includes certain large diameter pipeline segments/systems. Approximately 75% of the capacity of our gathering systems is in the Delaware Basin. We added approximately 600,000 barrels per day of incremental capacity in 2019 through the completion of various expansion projects.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Intra-basin Pipelines</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operate an intra-basin Permian Basin pipeline system with a capacity of over 3 million barrels per day that connects gathering and truck injection volumes to our owned and operated as well as third-party mainline pipelines that transport crude oil to major market hubs. This interconnected pipeline system is designed to provide shippers flow assurance, flexibility and access to multiple markets. We added approximately 400,000 barrels per day of incremental capacity in 2019 through the completion of various expansion projects.</w:t>
      </w:r>
    </w:p>
    <w:p>
      <w:pPr>
        <w:spacing w:after="0" w:line="214"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Two of our largest intra-basin pipelines are the Mesa and Sunrise Pipelines. The Mesa and Sunrise Pipelines extend from our Midland, Texas terminal to our Colorado City, Texas terminal where they have access to all of the Permian Basin takeaway pipelines that originate at Colorado City.</w:t>
      </w:r>
    </w:p>
    <w:p>
      <w:pPr>
        <w:spacing w:after="0" w:line="151" w:lineRule="exact"/>
        <w:rPr>
          <w:sz w:val="20"/>
          <w:szCs w:val="20"/>
          <w:color w:val="auto"/>
        </w:rPr>
      </w:pPr>
    </w:p>
    <w:p>
      <w:pPr>
        <w:jc w:val="both"/>
        <w:ind w:left="980" w:right="80" w:hanging="324"/>
        <w:spacing w:after="0" w:line="264"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Mesa Pipeline. </w:t>
      </w:r>
      <w:r>
        <w:rPr>
          <w:rFonts w:ascii="Arial" w:cs="Arial" w:eastAsia="Arial" w:hAnsi="Arial"/>
          <w:sz w:val="18"/>
          <w:szCs w:val="18"/>
          <w:color w:val="auto"/>
        </w:rPr>
        <w:t>We own a 63% undivided interest in and are the operator of Mesa Pipeline, which transports crude oil from Midland, Texas to a</w:t>
      </w:r>
      <w:r>
        <w:rPr>
          <w:rFonts w:ascii="Arial" w:cs="Arial" w:eastAsia="Arial" w:hAnsi="Arial"/>
          <w:sz w:val="18"/>
          <w:szCs w:val="18"/>
          <w:i w:val="1"/>
          <w:iCs w:val="1"/>
          <w:color w:val="auto"/>
        </w:rPr>
        <w:t xml:space="preserve"> </w:t>
      </w:r>
      <w:r>
        <w:rPr>
          <w:rFonts w:ascii="Arial" w:cs="Arial" w:eastAsia="Arial" w:hAnsi="Arial"/>
          <w:sz w:val="18"/>
          <w:szCs w:val="18"/>
          <w:color w:val="auto"/>
        </w:rPr>
        <w:t>refinery at Big Spring, Texas, and to connecting carriers at Colorado City, Texas, with capacity of up to 400,000 barrels per day (approximately 252,000 barrels per day attributable to our interest).</w:t>
      </w:r>
    </w:p>
    <w:p>
      <w:pPr>
        <w:spacing w:after="0" w:line="208"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Sunrise Pipeline. </w:t>
      </w:r>
      <w:r>
        <w:rPr>
          <w:rFonts w:ascii="Arial" w:cs="Arial" w:eastAsia="Arial" w:hAnsi="Arial"/>
          <w:sz w:val="18"/>
          <w:szCs w:val="18"/>
          <w:color w:val="auto"/>
        </w:rPr>
        <w:t>Our Sunrise Pipeline, which transports crude oil from Midland, Texas to connecting carriers at Colorado City, Texas, has a</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of approximately 350,000 barrels per day.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Long-haul Pipelines</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We own interests in multiple long-haul Permian Basin pipeline systems that, on a combined basis, represent over 1.5 million barrels per day of currently operational takeaway capacity (net to our ownership interests) out of the Permian Basin.</w:t>
      </w:r>
    </w:p>
    <w:p>
      <w:pPr>
        <w:spacing w:after="0" w:line="197" w:lineRule="exact"/>
        <w:rPr>
          <w:sz w:val="20"/>
          <w:szCs w:val="20"/>
          <w:color w:val="auto"/>
        </w:rPr>
      </w:pPr>
    </w:p>
    <w:p>
      <w:pPr>
        <w:ind w:left="980" w:right="100" w:hanging="324"/>
        <w:spacing w:after="0" w:line="279"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Basin Pipeline (Permian to Cushing). </w:t>
      </w:r>
      <w:r>
        <w:rPr>
          <w:rFonts w:ascii="Arial" w:cs="Arial" w:eastAsia="Arial" w:hAnsi="Arial"/>
          <w:sz w:val="17"/>
          <w:szCs w:val="17"/>
          <w:color w:val="auto"/>
        </w:rPr>
        <w:t>We own an 87% UJI in and are the operator of Basin Pipeline. Basin Pipeline has three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origination locations: Jal, New Mexico; Wink, Texas; and Midland, Texas and, in addition to making intra-basin movements, serves as the primary route for transporting crude oil from the Permian Basin to Cushing, Oklahoma. Basin Pipeline also receives crude oil from a facility in southern Oklahoma which aggregates South Central Oklahoma Oil Province (SCOOP) production.</w:t>
      </w:r>
    </w:p>
    <w:p>
      <w:pPr>
        <w:spacing w:after="0" w:line="198" w:lineRule="exact"/>
        <w:rPr>
          <w:rFonts w:ascii="Arial" w:cs="Arial" w:eastAsia="Arial" w:hAnsi="Arial"/>
          <w:sz w:val="17"/>
          <w:szCs w:val="17"/>
          <w:color w:val="auto"/>
        </w:rPr>
      </w:pPr>
    </w:p>
    <w:p>
      <w:pPr>
        <w:ind w:left="980" w:right="40" w:hanging="324"/>
        <w:spacing w:after="0" w:line="255"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BridgeTex Pipeline (Permian to Houston). </w:t>
      </w:r>
      <w:r>
        <w:rPr>
          <w:rFonts w:ascii="Arial" w:cs="Arial" w:eastAsia="Arial" w:hAnsi="Arial"/>
          <w:sz w:val="18"/>
          <w:szCs w:val="18"/>
          <w:color w:val="auto"/>
        </w:rPr>
        <w:t>After the sale of a portion of our interest in the third quarter of 2018, we now own a 20%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BridgeTex Pipeline Company, LLC, a joint venture with a subsidiary of Magellan Midstream Partners, L.P. (“Magellan”) and an affiliate of OMERS Infrastructure Management Inc. Such joint venture owns a crude oil pipeline (the “BridgeTex Pipeline”) with a capacity of 440,000 barrels per day that originates at Colorado City, Texas, receiving volumes from our Basin and Sunrise Pipelines, and extends to Houston, Texas. The BridgeTex Pipeline is operated by Magellan. See Note 9 to our Consolidated Financial Statements for additional information regarding the sale of a portion of our interest in BridgeTex Pipeline Company, LLC.</w:t>
      </w:r>
    </w:p>
    <w:p>
      <w:pPr>
        <w:spacing w:after="0" w:line="220" w:lineRule="exact"/>
        <w:rPr>
          <w:rFonts w:ascii="Arial" w:cs="Arial" w:eastAsia="Arial" w:hAnsi="Arial"/>
          <w:sz w:val="18"/>
          <w:szCs w:val="18"/>
          <w:color w:val="auto"/>
        </w:rPr>
      </w:pPr>
    </w:p>
    <w:p>
      <w:pPr>
        <w:jc w:val="both"/>
        <w:ind w:left="980" w:right="100" w:hanging="324"/>
        <w:spacing w:after="0" w:line="286"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Sunrise II Pipeline. </w:t>
      </w:r>
      <w:r>
        <w:rPr>
          <w:rFonts w:ascii="Arial" w:cs="Arial" w:eastAsia="Arial" w:hAnsi="Arial"/>
          <w:sz w:val="17"/>
          <w:szCs w:val="17"/>
          <w:color w:val="auto"/>
        </w:rPr>
        <w:t>We operate the Sunrise II Pipeline and, through a UJI arrangement, own 400,000 barrels of the capacity, a portion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leased to our Red Oak joint venture once the Red Oak pipeline system is operational (see discussion of Red Oak below). Our Sunrise II Pipeline transports crude oil from Midland and Colorado City to connecting carriers at Wichita Falls.</w:t>
      </w:r>
    </w:p>
    <w:p>
      <w:pPr>
        <w:spacing w:after="0" w:line="192" w:lineRule="exact"/>
        <w:rPr>
          <w:rFonts w:ascii="Arial" w:cs="Arial" w:eastAsia="Arial" w:hAnsi="Arial"/>
          <w:sz w:val="17"/>
          <w:szCs w:val="17"/>
          <w:color w:val="auto"/>
        </w:rPr>
      </w:pPr>
    </w:p>
    <w:p>
      <w:pPr>
        <w:ind w:left="980" w:right="460" w:hanging="324"/>
        <w:spacing w:after="0" w:line="286"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Cactus Pipeline (Permian to Corpus Christi). </w:t>
      </w:r>
      <w:r>
        <w:rPr>
          <w:rFonts w:ascii="Arial" w:cs="Arial" w:eastAsia="Arial" w:hAnsi="Arial"/>
          <w:sz w:val="17"/>
          <w:szCs w:val="17"/>
          <w:color w:val="auto"/>
        </w:rPr>
        <w:t>We own and operate the Cactus Pipeline, which has a capacity of 390,000 barrels per day,</w:t>
      </w:r>
      <w:r>
        <w:rPr>
          <w:rFonts w:ascii="Arial" w:cs="Arial" w:eastAsia="Arial" w:hAnsi="Arial"/>
          <w:sz w:val="17"/>
          <w:szCs w:val="17"/>
          <w:i w:val="1"/>
          <w:iCs w:val="1"/>
          <w:color w:val="auto"/>
        </w:rPr>
        <w:t xml:space="preserve"> </w:t>
      </w:r>
      <w:r>
        <w:rPr>
          <w:rFonts w:ascii="Arial" w:cs="Arial" w:eastAsia="Arial" w:hAnsi="Arial"/>
          <w:sz w:val="17"/>
          <w:szCs w:val="17"/>
          <w:color w:val="auto"/>
        </w:rPr>
        <w:t>originates at McCamey, Texas and extends to Gardendale, Texas. Cactus Pipeline volumes are interconnected to the Corpus Christi, Texas market through a connection at Gardendale to our Eagle Ford joint venture pipeline system.</w:t>
      </w:r>
    </w:p>
    <w:p>
      <w:pPr>
        <w:spacing w:after="0" w:line="192" w:lineRule="exact"/>
        <w:rPr>
          <w:rFonts w:ascii="Arial" w:cs="Arial" w:eastAsia="Arial" w:hAnsi="Arial"/>
          <w:sz w:val="17"/>
          <w:szCs w:val="17"/>
          <w:color w:val="auto"/>
        </w:rPr>
      </w:pPr>
    </w:p>
    <w:p>
      <w:pPr>
        <w:ind w:left="980" w:right="120" w:hanging="324"/>
        <w:spacing w:after="0" w:line="312" w:lineRule="auto"/>
        <w:tabs>
          <w:tab w:leader="none" w:pos="975"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Cactus II Pipeline (Permian to Corpus Christi). </w:t>
      </w:r>
      <w:r>
        <w:rPr>
          <w:rFonts w:ascii="Arial" w:cs="Arial" w:eastAsia="Arial" w:hAnsi="Arial"/>
          <w:sz w:val="16"/>
          <w:szCs w:val="16"/>
          <w:color w:val="auto"/>
        </w:rPr>
        <w:t>We own a 65% interest in Cactus II Pipeline LLC, a joint venture that owns the Cactus II</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(“Cactus II”), which we operate and which was placed in service in August 2019. Cactus II is a Permian mainline system that extends directly to the Corpus Christi, Texas market, has a capacity of 670,000 barrels per day and is supported by long-term third-party commitments.</w:t>
      </w:r>
    </w:p>
    <w:p>
      <w:pPr>
        <w:spacing w:after="0" w:line="173" w:lineRule="exact"/>
        <w:rPr>
          <w:rFonts w:ascii="Arial" w:cs="Arial" w:eastAsia="Arial" w:hAnsi="Arial"/>
          <w:sz w:val="16"/>
          <w:szCs w:val="16"/>
          <w:i w:val="1"/>
          <w:iCs w:val="1"/>
          <w:color w:val="auto"/>
        </w:rPr>
      </w:pPr>
    </w:p>
    <w:p>
      <w:pPr>
        <w:ind w:left="980" w:right="20" w:hanging="324"/>
        <w:spacing w:after="0" w:line="279"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Wink to Webster Pipeline. </w:t>
      </w:r>
      <w:r>
        <w:rPr>
          <w:rFonts w:ascii="Arial" w:cs="Arial" w:eastAsia="Arial" w:hAnsi="Arial"/>
          <w:sz w:val="17"/>
          <w:szCs w:val="17"/>
          <w:color w:val="auto"/>
        </w:rPr>
        <w:t>In January 2019, we announced the formation of Wink to Webster Pipeline LLC (“W2W Pipeline”), a joint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with five other partners. We currently own a 16% interest in W2W Pipeline, which is developing a new pipeline system that will originate in the Permian Basin in West Texas and transport crude oil to the Texas Gulf Coast. The pipeline system will have origination points in Wink and Midland, Texas, and delivery to multiple locations in the Houston market, including Webster and Baytown, Texas, with</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connectivity to Texas City and Beaumont, Texas. The pipeline system will provide approximately 1.5 million barrels per day of crude oil and condensate capacity and is supported by long-term shipper commitments. Operations are targeted to commence in 2021. W2W Pipeline has entered into a UJI arrangement with a subsidiary of Enterprise Products Partners, L.P. (“Enterprise”) that has acquired 29% of the capacity of the pipeline segment from Midland to Webster, and W2W Pipeline now owns 71% of this segment of the pipeline.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South Texas/Eagle Ford Area</w:t>
      </w:r>
    </w:p>
    <w:p>
      <w:pPr>
        <w:spacing w:after="0" w:line="18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We own a 100% interest in and are the operator of gathering systems that feed into our Gardendale Station. Additionally, we own a 50% interest in Eagle Ford Pipeline LLC, a joint venture with a subsidiary of Enterprise. This joint venture owns a pipeline system, of which we serve as the operator, that has a total capacity of approximately 660,000 barrels per day and connects Permian and Eagle Ford area production to Corpus Christi, Texas refiners and terminals. Additionally, the joint venture system has connectivity to Houston, Texas via a connection with Enterprise’s pipeline at Lyssy, Texas.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Central</w:t>
      </w:r>
    </w:p>
    <w:p>
      <w:pPr>
        <w:spacing w:after="0" w:line="2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own and operate gathering and mainline pipelines that source crude oil from Western and Central Oklahoma and Southwest Kansas for transportation and delivery into our terminal facilities at Cushing, Oklahoma. In addition, we own and operate various pipeline systems that extend from our Cushing facility, or from other pipelines connected to our Cushing facility, to various demand locations. Below is a description of some of our most significant pipeline systems in the Central Region:</w:t>
      </w:r>
    </w:p>
    <w:p>
      <w:pPr>
        <w:spacing w:after="0" w:line="21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Diamond Pipeline (Cushing to Memphis). </w:t>
      </w:r>
      <w:r>
        <w:rPr>
          <w:rFonts w:ascii="Arial" w:cs="Arial" w:eastAsia="Arial" w:hAnsi="Arial"/>
          <w:sz w:val="17"/>
          <w:szCs w:val="17"/>
          <w:color w:val="auto"/>
        </w:rPr>
        <w:t>We own a 50% interest in Diamond Pipeline LLC, a joint venture with Valero Energy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(“Valero”). This joint venture owns, and we operate, the Diamond Pipeline, which extends from our Cushing Terminal to Valero’s refinery in Memphis, Tennessee. The Diamond Pipeline is underpinned by a long-term minimum volume commitment and currently has a total capacity of 200,000 barrels per day. Following the successful 2019 open season on the Capline Pipeline system (“Capline”), the joint venture partners sanctioned an expansion and modest extension of the Diamond Pipeline that will expand its capacity to approximately 420,000 barrels per day, connect it to Capline and facilitate the movement of volumes from Cushing, Oklahoma to St. James, Louisiana (see discussion in “Gulf Coast” below).</w:t>
      </w:r>
    </w:p>
    <w:p>
      <w:pPr>
        <w:spacing w:after="0" w:line="2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Red River Pipeline (Cushing to Longview)</w:t>
      </w:r>
      <w:r>
        <w:rPr>
          <w:rFonts w:ascii="Arial" w:cs="Arial" w:eastAsia="Arial" w:hAnsi="Arial"/>
          <w:sz w:val="17"/>
          <w:szCs w:val="17"/>
          <w:color w:val="auto"/>
        </w:rPr>
        <w:t>. The Red River Pipeline is an approximately 150,000 barrel per day capacity pipeline that extends from</w:t>
      </w:r>
      <w:r>
        <w:rPr>
          <w:rFonts w:ascii="Arial" w:cs="Arial" w:eastAsia="Arial" w:hAnsi="Arial"/>
          <w:sz w:val="17"/>
          <w:szCs w:val="17"/>
          <w:i w:val="1"/>
          <w:iCs w:val="1"/>
          <w:color w:val="auto"/>
        </w:rPr>
        <w:t xml:space="preserve"> </w:t>
      </w:r>
      <w:r>
        <w:rPr>
          <w:rFonts w:ascii="Arial" w:cs="Arial" w:eastAsia="Arial" w:hAnsi="Arial"/>
          <w:sz w:val="17"/>
          <w:szCs w:val="17"/>
          <w:color w:val="auto"/>
        </w:rPr>
        <w:t>our Cushing Terminal in Oklahoma to Longview, Texas, where it connects with various pipelines, including the Caddo Pipeline. The Red River Pipeline is supported by long-term shipper commitments and we serve as operator. In May 2019, we announced a new joint venture of the Red River Pipeline. Delek Logistics Partners, LP (“Delek”) purchased a 33% ownership interest in the new Red River Pipeline Company LLC (“Red River JV”) joint venture and we retained a 67% interest. In addition, we announced an expansion that will increase the total system capacity from approximately 150,000 barrels per day to approximately 235,000 barrels per day through the addition of pumping capacity and is expected to be completed during the second half of 2020. The expansion enables additional volume pull-through from Cushing, Oklahoma and the Permian to the U.S. Gulf Coast markets, providing additional supply optionality for shippers. In support of this expansion, Delek increased its long-term throughput and deficiency agreement on the Red River Pipeline system from an existing 35,000 barrels per day to 100,000 barrels per day. Prior to the completion of the expansion, Red River JV owns a 60% UJI in the segment of the pipeline extending from Cushing, Oklahoma to Hewitt, Oklahoma near Valero’s refinery in Ardmore, Oklahoma, with the remaining 40% held by a third party. After the expansion is completed, Red River JV will have an approximate 69% UJI in the pipeline segment from Cushing to Hewitt. Red River JV owns 100% of the segment of the pipeline extending from Hewitt to Longview.</w:t>
      </w:r>
    </w:p>
    <w:p>
      <w:pPr>
        <w:spacing w:after="0" w:line="20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Caddo Pipeline</w:t>
      </w:r>
      <w:r>
        <w:rPr>
          <w:rFonts w:ascii="Arial" w:cs="Arial" w:eastAsia="Arial" w:hAnsi="Arial"/>
          <w:sz w:val="17"/>
          <w:szCs w:val="17"/>
          <w:color w:val="auto"/>
        </w:rPr>
        <w:t>. We own a 50% interest in Caddo Pipeline LLC, a joint venture with Delek. The joint venture owns, and we operate, the Caddo</w:t>
      </w:r>
      <w:r>
        <w:rPr>
          <w:rFonts w:ascii="Arial" w:cs="Arial" w:eastAsia="Arial" w:hAnsi="Arial"/>
          <w:sz w:val="17"/>
          <w:szCs w:val="17"/>
          <w:i w:val="1"/>
          <w:iCs w:val="1"/>
          <w:color w:val="auto"/>
        </w:rPr>
        <w:t xml:space="preserve"> </w:t>
      </w:r>
      <w:r>
        <w:rPr>
          <w:rFonts w:ascii="Arial" w:cs="Arial" w:eastAsia="Arial" w:hAnsi="Arial"/>
          <w:sz w:val="17"/>
          <w:szCs w:val="17"/>
          <w:color w:val="auto"/>
        </w:rPr>
        <w:t>Pipeline, which is an approximately 80,000 barrel per day capacity pipeline that originates in Longview, Texas at the terminus of the Red River Pipeline and serves refineries in Shreveport, Louisiana and El Dorado, Arkansas. The Caddo Pipeline is underpinned by shipper commitments.</w:t>
      </w:r>
    </w:p>
    <w:p>
      <w:pPr>
        <w:spacing w:after="0" w:line="193"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i w:val="1"/>
          <w:iCs w:val="1"/>
          <w:color w:val="auto"/>
        </w:rPr>
        <w:t>STACK Pipeline</w:t>
      </w:r>
      <w:r>
        <w:rPr>
          <w:rFonts w:ascii="Arial" w:cs="Arial" w:eastAsia="Arial" w:hAnsi="Arial"/>
          <w:sz w:val="16"/>
          <w:szCs w:val="16"/>
          <w:color w:val="auto"/>
        </w:rPr>
        <w:t>. We own a 50% interest in STACK Pipeline LLC, a joint venture with Phillips 66 Partners, L.P. This joint venture owns the STACK</w:t>
      </w:r>
      <w:r>
        <w:rPr>
          <w:rFonts w:ascii="Arial" w:cs="Arial" w:eastAsia="Arial" w:hAnsi="Arial"/>
          <w:sz w:val="16"/>
          <w:szCs w:val="16"/>
          <w:i w:val="1"/>
          <w:iCs w:val="1"/>
          <w:color w:val="auto"/>
        </w:rPr>
        <w:t xml:space="preserve"> </w:t>
      </w:r>
      <w:r>
        <w:rPr>
          <w:rFonts w:ascii="Arial" w:cs="Arial" w:eastAsia="Arial" w:hAnsi="Arial"/>
          <w:sz w:val="16"/>
          <w:szCs w:val="16"/>
          <w:color w:val="auto"/>
        </w:rPr>
        <w:t>Pipeline, which serves producers in the STACK (Sooner Trend Anadarko Basin Canadian and Kingfisher Counties) resource play and delivers to Cushing, Oklahoma. We serve as operator of this joint-venture system that has a total capacity of 250,000 barrels per day and is supported by producer commitments.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 xml:space="preserve">Red Oak Pipeline. </w:t>
      </w:r>
      <w:r>
        <w:rPr>
          <w:rFonts w:ascii="Arial" w:cs="Arial" w:eastAsia="Arial" w:hAnsi="Arial"/>
          <w:sz w:val="16"/>
          <w:szCs w:val="16"/>
          <w:color w:val="auto"/>
        </w:rPr>
        <w:t>In June 2019, we announced the formation of Red Oak Pipeline LLC (“Red Oak”), a joint venture with a subsidiary of Phillips 66.</w:t>
      </w:r>
      <w:r>
        <w:rPr>
          <w:rFonts w:ascii="Arial" w:cs="Arial" w:eastAsia="Arial" w:hAnsi="Arial"/>
          <w:sz w:val="16"/>
          <w:szCs w:val="16"/>
          <w:i w:val="1"/>
          <w:iCs w:val="1"/>
          <w:color w:val="auto"/>
        </w:rPr>
        <w:t xml:space="preserve"> </w:t>
      </w:r>
      <w:r>
        <w:rPr>
          <w:rFonts w:ascii="Arial" w:cs="Arial" w:eastAsia="Arial" w:hAnsi="Arial"/>
          <w:sz w:val="16"/>
          <w:szCs w:val="16"/>
          <w:color w:val="auto"/>
        </w:rPr>
        <w:t>We own a 50% interest in Red Oak, which is currently developing a new pipeline that will provide crude oil transportation service from Cushing, Oklahoma, and the Permian Basin in West Texas to multiple destinations along the Texas Gulf Coast, including Corpus Christi, Ingleside, Houston and Beaumont, Texas. The pipeline system will provide approximately 1 million barrels per day of capacity and is supported by long-term shipper commitments. Initial service from Cushing to the Gulf Coast is targeted to commence in the first half of 2021, subject to receipt of applicable permits and regulatory approvals. In addition to contributing cash for construction of the Red Oak pipeline system, we have also entered into a pipeline capacity lease agreement with Red Oak whereby Red Oak has agreed to lease 260,000 barrels of capacity on our Sunrise II pipeline once the Red Oak pipeline system is operational. The capacity lease on Sunrise</w:t>
      </w:r>
    </w:p>
    <w:p>
      <w:pPr>
        <w:spacing w:after="0" w:line="3"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enable receipts from the Permian Basin by utilizing existing pipeline capacity.</w:t>
      </w:r>
    </w:p>
    <w:p>
      <w:pPr>
        <w:spacing w:after="0" w:line="2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Gulf Coast</w:t>
      </w:r>
    </w:p>
    <w:p>
      <w:pPr>
        <w:spacing w:after="0" w:line="306" w:lineRule="exact"/>
        <w:rPr>
          <w:sz w:val="20"/>
          <w:szCs w:val="20"/>
          <w:color w:val="auto"/>
        </w:rPr>
      </w:pPr>
    </w:p>
    <w:p>
      <w:pPr>
        <w:ind w:left="40" w:right="80" w:firstLine="648"/>
        <w:spacing w:after="0" w:line="272" w:lineRule="auto"/>
        <w:rPr>
          <w:sz w:val="20"/>
          <w:szCs w:val="20"/>
          <w:color w:val="auto"/>
        </w:rPr>
      </w:pPr>
      <w:r>
        <w:rPr>
          <w:rFonts w:ascii="Arial" w:cs="Arial" w:eastAsia="Arial" w:hAnsi="Arial"/>
          <w:sz w:val="17"/>
          <w:szCs w:val="17"/>
          <w:color w:val="auto"/>
        </w:rPr>
        <w:t>We own and/or operate pipelines in the Gulf Coast area with transportation and delivery into connecting carriers, terminal facilities and refineries, which include an interest in the Capline pipeline system. During the first quarter of 2019, the owners of the Capline pipeline system, which originates in St. James, Louisiana and terminates in Patoka, Illinois, contributed their undivided joint interests in the system to a newly formed entity, Capline Pipeline Company LLC (“Capline LLC”), in exchange for equity interests in such entity. After the contribution, Capline LLC owns 100% of the pipeline system. During the third quarter of 2019, the owners of Capline LLC sanctioned the reversal of the Capline pipeline system for southbound service and a connection to the Diamond Pipeline. Light crude oil service from the Memphis, Tennessee area to St. James, Louisiana is expected to begin in mid-2021 and heavy crude oil service from Patoka, Illinois to St. James, Louisiana is expected to begin in early 2022.</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Rocky Mountain</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own and operate pipelines that provide gathering services in the Bakken and the Powder River Basin. We own the Bakken North pipeline system that in 2019 was modified to accommodate bidirectional flow and can now move crude oil from the Bakken to the Enbridge mainline system at Regina, Saskatchewan or from the Enbridge mainline system to our terminal in Trenton, North Dakota. We own a UJI in a pipeline system that extends from the Canadian border to our terminal in Guernsey, Wyoming. This pipeline system receives crude oil from our Rangeland and Milk River Pipelines in Canada. In addition to these assets, our largest Rocky Mountain area systems include the following joint venture pipelines, both of which connect to our terminal in Cushing:</w:t>
      </w:r>
    </w:p>
    <w:p>
      <w:pPr>
        <w:spacing w:after="0" w:line="220" w:lineRule="exact"/>
        <w:rPr>
          <w:sz w:val="20"/>
          <w:szCs w:val="20"/>
          <w:color w:val="auto"/>
        </w:rPr>
      </w:pPr>
    </w:p>
    <w:p>
      <w:pPr>
        <w:ind w:right="80" w:firstLine="648"/>
        <w:spacing w:after="0" w:line="279" w:lineRule="auto"/>
        <w:rPr>
          <w:sz w:val="20"/>
          <w:szCs w:val="20"/>
          <w:color w:val="auto"/>
        </w:rPr>
      </w:pPr>
      <w:r>
        <w:rPr>
          <w:rFonts w:ascii="Arial" w:cs="Arial" w:eastAsia="Arial" w:hAnsi="Arial"/>
          <w:sz w:val="16"/>
          <w:szCs w:val="16"/>
          <w:i w:val="1"/>
          <w:iCs w:val="1"/>
          <w:color w:val="auto"/>
        </w:rPr>
        <w:t>Saddlehorn Pipeline</w:t>
      </w:r>
      <w:r>
        <w:rPr>
          <w:rFonts w:ascii="Arial" w:cs="Arial" w:eastAsia="Arial" w:hAnsi="Arial"/>
          <w:sz w:val="16"/>
          <w:szCs w:val="16"/>
          <w:color w:val="auto"/>
        </w:rPr>
        <w:t>. We own a 40% interest in Saddlehorn Pipeline LLC (“SP LLC”), which, through a UJI arrangement, owns 190,000 barrels per</w:t>
      </w:r>
      <w:r>
        <w:rPr>
          <w:rFonts w:ascii="Arial" w:cs="Arial" w:eastAsia="Arial" w:hAnsi="Arial"/>
          <w:sz w:val="16"/>
          <w:szCs w:val="16"/>
          <w:i w:val="1"/>
          <w:iCs w:val="1"/>
          <w:color w:val="auto"/>
        </w:rPr>
        <w:t xml:space="preserve"> </w:t>
      </w:r>
      <w:r>
        <w:rPr>
          <w:rFonts w:ascii="Arial" w:cs="Arial" w:eastAsia="Arial" w:hAnsi="Arial"/>
          <w:sz w:val="16"/>
          <w:szCs w:val="16"/>
          <w:color w:val="auto"/>
        </w:rPr>
        <w:t>day of capacity in the Saddlehorn Pipeline that extends from the Niobrara and DJ Basin to Cushing. Magellan serves as operator of the Saddlehorn Pipeline. The Saddlehorn Pipeline is supported by minimum volume commitments. In the third quarter of 2019, SP LLC announced a new Ft. Laramie origin on Saddlehorn Pipeline, along with a 100,000 barrel per day capacity expansion, which is expected to be available in late 2020 following the addition of incremental pumping and storage capabilities. In February 2020, we sold a 10% interest in SP LLC, and have retained a 30% interest.</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We own an approximate 36% interest in White Cliffs Pipeline LLC, which owns a pipeline system that consists of one crude</w:t>
      </w:r>
      <w:r>
        <w:rPr>
          <w:rFonts w:ascii="Arial" w:cs="Arial" w:eastAsia="Arial" w:hAnsi="Arial"/>
          <w:sz w:val="18"/>
          <w:szCs w:val="18"/>
          <w:i w:val="1"/>
          <w:iCs w:val="1"/>
          <w:color w:val="auto"/>
        </w:rPr>
        <w:t xml:space="preserve"> </w:t>
      </w:r>
      <w:r>
        <w:rPr>
          <w:rFonts w:ascii="Arial" w:cs="Arial" w:eastAsia="Arial" w:hAnsi="Arial"/>
          <w:sz w:val="18"/>
          <w:szCs w:val="18"/>
          <w:color w:val="auto"/>
        </w:rPr>
        <w:t>oil pipeline with approximately 100,000 barrels per day of capacity that extends from the DJ Basin to Cushing, Oklahoma and one NGL pipeline with approximately 90,000 barrels per day of capacity that extends from the DJ Basin to a tie-in location with the Southern Hills Pipeline in Oklahoma. A subsidiary of Energy Transfer LP serves as the operator of the pipelines. The NGL pipeline was converted from crude oil service during the fourth quarter of 2019 and is supported by long-term capacity lease and long-term throughput agreements.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Western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own and operate pipeline systems in our Western region including the following:</w:t>
      </w:r>
    </w:p>
    <w:p>
      <w:pPr>
        <w:spacing w:after="0" w:line="25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i w:val="1"/>
          <w:iCs w:val="1"/>
          <w:color w:val="auto"/>
        </w:rPr>
        <w:t xml:space="preserve">Gathering. </w:t>
      </w:r>
      <w:r>
        <w:rPr>
          <w:rFonts w:ascii="Arial" w:cs="Arial" w:eastAsia="Arial" w:hAnsi="Arial"/>
          <w:sz w:val="17"/>
          <w:szCs w:val="17"/>
          <w:color w:val="auto"/>
        </w:rPr>
        <w:t>We own and operate gathering pipelines with aggregate capacity of over 150,000 barrels per day that source crude oil from the San</w:t>
      </w:r>
      <w:r>
        <w:rPr>
          <w:rFonts w:ascii="Arial" w:cs="Arial" w:eastAsia="Arial" w:hAnsi="Arial"/>
          <w:sz w:val="17"/>
          <w:szCs w:val="17"/>
          <w:i w:val="1"/>
          <w:iCs w:val="1"/>
          <w:color w:val="auto"/>
        </w:rPr>
        <w:t xml:space="preserve"> </w:t>
      </w:r>
      <w:r>
        <w:rPr>
          <w:rFonts w:ascii="Arial" w:cs="Arial" w:eastAsia="Arial" w:hAnsi="Arial"/>
          <w:sz w:val="17"/>
          <w:szCs w:val="17"/>
          <w:color w:val="auto"/>
        </w:rPr>
        <w:t>Joaquin Valley in California and connect to our Line 63 and Line 2000 pipelines, as well as other third-party pipelines and terminals.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i w:val="1"/>
          <w:iCs w:val="1"/>
          <w:color w:val="auto"/>
        </w:rPr>
        <w:t xml:space="preserve">Line 63 and Line 2000. </w:t>
      </w:r>
      <w:r>
        <w:rPr>
          <w:rFonts w:ascii="Arial" w:cs="Arial" w:eastAsia="Arial" w:hAnsi="Arial"/>
          <w:sz w:val="18"/>
          <w:szCs w:val="18"/>
          <w:color w:val="auto"/>
        </w:rPr>
        <w:t>We own and operate the Line 63 and Line 2000 pipelines, which have approximately 60,000 barrels per day and 110,000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pipeline capacity, respectively, and transport crude oil from the San Joaquin Valley to refineries and terminal facilities in the Los Angeles Basin and in Bakersfield, California. Additionally, we have a distribution pipeline system in the Los Angeles Basin that connects our storage assets with all major refineries and third-party pipelines and marine terminals in the Los Angeles Basin.</w:t>
      </w:r>
    </w:p>
    <w:p>
      <w:pPr>
        <w:spacing w:after="0" w:line="21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 xml:space="preserve">All American Pipeline. </w:t>
      </w:r>
      <w:r>
        <w:rPr>
          <w:rFonts w:ascii="Arial" w:cs="Arial" w:eastAsia="Arial" w:hAnsi="Arial"/>
          <w:sz w:val="18"/>
          <w:szCs w:val="18"/>
          <w:color w:val="auto"/>
        </w:rPr>
        <w:t>We own the All American Pipeline, which historically received crude oil from offshore oil producers at Las Flores, California</w:t>
      </w:r>
      <w:r>
        <w:rPr>
          <w:rFonts w:ascii="Arial" w:cs="Arial" w:eastAsia="Arial" w:hAnsi="Arial"/>
          <w:sz w:val="18"/>
          <w:szCs w:val="18"/>
          <w:i w:val="1"/>
          <w:iCs w:val="1"/>
          <w:color w:val="auto"/>
        </w:rPr>
        <w:t xml:space="preserve"> </w:t>
      </w:r>
      <w:r>
        <w:rPr>
          <w:rFonts w:ascii="Arial" w:cs="Arial" w:eastAsia="Arial" w:hAnsi="Arial"/>
          <w:sz w:val="18"/>
          <w:szCs w:val="18"/>
          <w:color w:val="auto"/>
        </w:rPr>
        <w:t>and at Gaviota, California. The pipeline terminates at our Emidio Station. Between Gaviota and our Emidio Station, the All American Pipeline interconnects with our San Joaquin Valley Gathering System, Line 2000 and Line 63, as well as other third-party intrastate pipelines.</w:t>
      </w:r>
    </w:p>
    <w:p>
      <w:pPr>
        <w:spacing w:after="0" w:line="20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May 2015, we experienced a crude oil release on the segment of the All American Pipeline known as Line 901 that runs from Las Flores to Gaviota in Santa Barbara County, California. The segment of the pipeline upstream of our Pentland station has been shut down since this incident. We are currently evaluating a replacement of the pipeline, subject to receipt of shipper commitments and regulatory approvals. See Note 19 to our Consolidated Financial Statements for additional information regarding the Line 901 incident.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Canada</w:t>
      </w:r>
    </w:p>
    <w:p>
      <w:pPr>
        <w:spacing w:after="0" w:line="252" w:lineRule="exact"/>
        <w:rPr>
          <w:sz w:val="20"/>
          <w:szCs w:val="20"/>
          <w:color w:val="auto"/>
        </w:rPr>
      </w:pPr>
    </w:p>
    <w:p>
      <w:pPr>
        <w:ind w:right="40" w:firstLine="648"/>
        <w:spacing w:after="0"/>
        <w:rPr>
          <w:sz w:val="20"/>
          <w:szCs w:val="20"/>
          <w:color w:val="auto"/>
        </w:rPr>
      </w:pPr>
      <w:r>
        <w:rPr>
          <w:rFonts w:ascii="Arial" w:cs="Arial" w:eastAsia="Arial" w:hAnsi="Arial"/>
          <w:sz w:val="18"/>
          <w:szCs w:val="18"/>
          <w:i w:val="1"/>
          <w:iCs w:val="1"/>
          <w:color w:val="auto"/>
        </w:rPr>
        <w:t xml:space="preserve">Rainbow Pipeline. </w:t>
      </w:r>
      <w:r>
        <w:rPr>
          <w:rFonts w:ascii="Arial" w:cs="Arial" w:eastAsia="Arial" w:hAnsi="Arial"/>
          <w:sz w:val="18"/>
          <w:szCs w:val="18"/>
          <w:color w:val="auto"/>
        </w:rPr>
        <w:t>We own and operate the Rainbow Pipeline, which is an approximately 195,000 barrel per day capacity pipeline that extends from</w:t>
      </w:r>
      <w:r>
        <w:rPr>
          <w:rFonts w:ascii="Arial" w:cs="Arial" w:eastAsia="Arial" w:hAnsi="Arial"/>
          <w:sz w:val="18"/>
          <w:szCs w:val="18"/>
          <w:i w:val="1"/>
          <w:iCs w:val="1"/>
          <w:color w:val="auto"/>
        </w:rPr>
        <w:t xml:space="preserve"> </w:t>
      </w:r>
      <w:r>
        <w:rPr>
          <w:rFonts w:ascii="Arial" w:cs="Arial" w:eastAsia="Arial" w:hAnsi="Arial"/>
          <w:sz w:val="18"/>
          <w:szCs w:val="18"/>
          <w:color w:val="auto"/>
        </w:rPr>
        <w:t>Zama, Alberta to Edmonton, Alberta. The pipeline transports both blended heavy and light crude oil and includes gathering and diluent pipelines. Rainbow Pipeline offers delivery optionality at Edmonton, Alberta, where it can connect to Enbridge, Trans Mountain and Pembina pipelines as well as the Imperial Oil Limited Strathcona Refinery. In addition to our existing Nipisi and Kemp River Truck Terminals connected to the Rainbow Pipeline system, we are currently constructing a new 50,000 barrel per day crude oil terminal in Mitsue, Alberta, designed to provide pipeline takeaway capacity for growing production from the Clearwater play of the Marten Hills area.</w:t>
      </w:r>
    </w:p>
    <w:p>
      <w:pPr>
        <w:spacing w:after="0" w:line="217" w:lineRule="exact"/>
        <w:rPr>
          <w:sz w:val="20"/>
          <w:szCs w:val="20"/>
          <w:color w:val="auto"/>
        </w:rPr>
      </w:pPr>
    </w:p>
    <w:p>
      <w:pPr>
        <w:jc w:val="both"/>
        <w:ind w:right="160" w:firstLine="648"/>
        <w:spacing w:after="0" w:line="297" w:lineRule="auto"/>
        <w:rPr>
          <w:sz w:val="20"/>
          <w:szCs w:val="20"/>
          <w:color w:val="auto"/>
        </w:rPr>
      </w:pPr>
      <w:r>
        <w:rPr>
          <w:rFonts w:ascii="Arial" w:cs="Arial" w:eastAsia="Arial" w:hAnsi="Arial"/>
          <w:sz w:val="16"/>
          <w:szCs w:val="16"/>
          <w:i w:val="1"/>
          <w:iCs w:val="1"/>
          <w:color w:val="auto"/>
        </w:rPr>
        <w:t xml:space="preserve">Rangeland Pipeline. </w:t>
      </w:r>
      <w:r>
        <w:rPr>
          <w:rFonts w:ascii="Arial" w:cs="Arial" w:eastAsia="Arial" w:hAnsi="Arial"/>
          <w:sz w:val="16"/>
          <w:szCs w:val="16"/>
          <w:color w:val="auto"/>
        </w:rPr>
        <w:t>We own and operate the Rangeland Pipeline system, which has the capacity to transport approximately 85,000 barrels per day</w:t>
      </w:r>
      <w:r>
        <w:rPr>
          <w:rFonts w:ascii="Arial" w:cs="Arial" w:eastAsia="Arial" w:hAnsi="Arial"/>
          <w:sz w:val="16"/>
          <w:szCs w:val="16"/>
          <w:i w:val="1"/>
          <w:iCs w:val="1"/>
          <w:color w:val="auto"/>
        </w:rPr>
        <w:t xml:space="preserve"> </w:t>
      </w:r>
      <w:r>
        <w:rPr>
          <w:rFonts w:ascii="Arial" w:cs="Arial" w:eastAsia="Arial" w:hAnsi="Arial"/>
          <w:sz w:val="16"/>
          <w:szCs w:val="16"/>
          <w:color w:val="auto"/>
        </w:rPr>
        <w:t>of diluent, light sweet crude oil and light sour crude oil either north to Edmonton, Alberta or south to the U.S./Canadian border near Cutbank, Montana. The Rangeland Pipeline system consists of three main segments. The North Gathering system begins at Medicine River and Rimbey truck terminal, and ships to Sundre truck terminal. The South Sour mainline delivers sour from the Sundre truck terminal to Glacier Pipeline, and MAPL delivers sweet from Sundre to Edmonton. The Pipeline also offers delivery optionality at Edmonton, Alberta, where it can connect to Enbridge pipelines and the IOL Refinery.</w:t>
      </w:r>
    </w:p>
    <w:p>
      <w:pPr>
        <w:spacing w:after="0" w:line="185"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i w:val="1"/>
          <w:iCs w:val="1"/>
          <w:color w:val="auto"/>
        </w:rPr>
        <w:t>South Saskatchewan Pipeline</w:t>
      </w:r>
      <w:r>
        <w:rPr>
          <w:rFonts w:ascii="Arial" w:cs="Arial" w:eastAsia="Arial" w:hAnsi="Arial"/>
          <w:sz w:val="18"/>
          <w:szCs w:val="18"/>
          <w:color w:val="auto"/>
        </w:rPr>
        <w:t>. We own and operate the South Saskatchewan system, which has approximately 70,000 barrels per day of capacity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 heavy crude oil from the Cantuar, Dollard, Rapdan and Gull Lake gathering areas in southern Saskatchewan to the Enbridge mainline system at the Regina terminal. We are currently working on expanding the South Saskatchewan Pipeline, which will provide incremental takeaway capacity of approximately 7,000 barrels per day.</w:t>
      </w:r>
    </w:p>
    <w:p>
      <w:pPr>
        <w:spacing w:after="0" w:line="21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 xml:space="preserve">Manito and Cactus Lakes Pipelines. </w:t>
      </w:r>
      <w:r>
        <w:rPr>
          <w:rFonts w:ascii="Arial" w:cs="Arial" w:eastAsia="Arial" w:hAnsi="Arial"/>
          <w:sz w:val="18"/>
          <w:szCs w:val="18"/>
          <w:color w:val="auto"/>
        </w:rPr>
        <w:t>We own and operate the Manito and Cactus Lakes Pipelines, which deliver heavy crude oil produced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Lloydminster producing area of Alberta to our Kerrobert Terminal and our Kerrobert Rail Terminal. The Kerrobert Terminal is connected to both the Enbridge mainline system and our Kerrobert Rail Terminal. The Manito and Cactus Lakes pipelines include blended crude oil lines with capacity of approximately 108,000 barrels per day and parallel diluent lines.</w:t>
      </w:r>
    </w:p>
    <w:p>
      <w:pPr>
        <w:spacing w:after="0" w:line="214"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 xml:space="preserve">Milk River Pipeline. </w:t>
      </w:r>
      <w:r>
        <w:rPr>
          <w:rFonts w:ascii="Arial" w:cs="Arial" w:eastAsia="Arial" w:hAnsi="Arial"/>
          <w:sz w:val="16"/>
          <w:szCs w:val="16"/>
          <w:color w:val="auto"/>
        </w:rPr>
        <w:t>We own and operate Milk River Pipeline system, which has approximately 108,000 barrels per day of capacity to transport</w:t>
      </w:r>
      <w:r>
        <w:rPr>
          <w:rFonts w:ascii="Arial" w:cs="Arial" w:eastAsia="Arial" w:hAnsi="Arial"/>
          <w:sz w:val="16"/>
          <w:szCs w:val="16"/>
          <w:i w:val="1"/>
          <w:iCs w:val="1"/>
          <w:color w:val="auto"/>
        </w:rPr>
        <w:t xml:space="preserve"> </w:t>
      </w:r>
      <w:r>
        <w:rPr>
          <w:rFonts w:ascii="Arial" w:cs="Arial" w:eastAsia="Arial" w:hAnsi="Arial"/>
          <w:sz w:val="16"/>
          <w:szCs w:val="16"/>
          <w:color w:val="auto"/>
        </w:rPr>
        <w:t>heavy crude oil from Milk River, Alberta to the U.S./Canadian border west of Coutts, Alberta where it connects with the Front Range Pipeline.</w:t>
      </w:r>
    </w:p>
    <w:p>
      <w:pPr>
        <w:spacing w:after="0" w:line="151"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i w:val="1"/>
          <w:iCs w:val="1"/>
          <w:color w:val="auto"/>
        </w:rPr>
        <w:t xml:space="preserve">Wascana Pipeline. </w:t>
      </w:r>
      <w:r>
        <w:rPr>
          <w:rFonts w:ascii="Arial" w:cs="Arial" w:eastAsia="Arial" w:hAnsi="Arial"/>
          <w:sz w:val="18"/>
          <w:szCs w:val="18"/>
          <w:color w:val="auto"/>
        </w:rPr>
        <w:t>We own and operate the Wascana Pipeline, which has approximately 40,000 barrels per day of capacity to move sweet crude from</w:t>
      </w:r>
      <w:r>
        <w:rPr>
          <w:rFonts w:ascii="Arial" w:cs="Arial" w:eastAsia="Arial" w:hAnsi="Arial"/>
          <w:sz w:val="18"/>
          <w:szCs w:val="18"/>
          <w:i w:val="1"/>
          <w:iCs w:val="1"/>
          <w:color w:val="auto"/>
        </w:rPr>
        <w:t xml:space="preserve"> </w:t>
      </w:r>
      <w:r>
        <w:rPr>
          <w:rFonts w:ascii="Arial" w:cs="Arial" w:eastAsia="Arial" w:hAnsi="Arial"/>
          <w:sz w:val="18"/>
          <w:szCs w:val="18"/>
          <w:color w:val="auto"/>
        </w:rPr>
        <w:t>our Bakken North pipeline system to Enbridge’s mainline system at Regina, Saskatchewan. After the modifications done to the pipeline, the Wascana Pipeline is now bi-directional and able to deliver product from Regina, Saskatchewan to Trenton, North Dakota with a capacity of 15,000 barrels per day in North to South service.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Canadian NGL Pipelines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Co-Ed NGL Pipeline. </w:t>
      </w:r>
      <w:r>
        <w:rPr>
          <w:rFonts w:ascii="Arial" w:cs="Arial" w:eastAsia="Arial" w:hAnsi="Arial"/>
          <w:sz w:val="18"/>
          <w:szCs w:val="18"/>
          <w:color w:val="auto"/>
        </w:rPr>
        <w:t>We own and operate the Co-Ed NGL pipeline, which has approximately 70,000 barrels per day of capacity to transport NGL</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gathers from approximately 27 field gas processing plants located in Alberta, including all of the NGL produced at the Cochrane Straddle Plant for delivery to NGL facilities at Fort Saskatchewan. Co-Ed’s main volume capture regions are Southwest and Central Alberta, Cardium, Deep Basin, and Alberta Montney.</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PPTC Pipeline. </w:t>
      </w:r>
      <w:r>
        <w:rPr>
          <w:rFonts w:ascii="Arial" w:cs="Arial" w:eastAsia="Arial" w:hAnsi="Arial"/>
          <w:sz w:val="18"/>
          <w:szCs w:val="18"/>
          <w:color w:val="auto"/>
        </w:rPr>
        <w:t>We own and operate the Plains Petroleum Transmission Company Pipeline (the “PPTC Pipeline”), which has approximately 15,500</w:t>
      </w:r>
      <w:r>
        <w:rPr>
          <w:rFonts w:ascii="Arial" w:cs="Arial" w:eastAsia="Arial" w:hAnsi="Arial"/>
          <w:sz w:val="18"/>
          <w:szCs w:val="18"/>
          <w:i w:val="1"/>
          <w:iCs w:val="1"/>
          <w:color w:val="auto"/>
        </w:rPr>
        <w:t xml:space="preserve"> </w:t>
      </w:r>
      <w:r>
        <w:rPr>
          <w:rFonts w:ascii="Arial" w:cs="Arial" w:eastAsia="Arial" w:hAnsi="Arial"/>
          <w:sz w:val="18"/>
          <w:szCs w:val="18"/>
          <w:color w:val="auto"/>
        </w:rPr>
        <w:t>barrels per day of capacity to transport NGL from Empress, Alberta to the Fort Whyte Terminal in Winnipeg, Manitoba. The PPTC Pipeline also provides access to several truck terminals and rail loading facilities.</w:t>
      </w:r>
    </w:p>
    <w:p>
      <w:pPr>
        <w:spacing w:after="0" w:line="20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Eastern Delivery System. </w:t>
      </w:r>
      <w:r>
        <w:rPr>
          <w:rFonts w:ascii="Arial" w:cs="Arial" w:eastAsia="Arial" w:hAnsi="Arial"/>
          <w:sz w:val="18"/>
          <w:szCs w:val="18"/>
          <w:color w:val="auto"/>
        </w:rPr>
        <w:t>We own and operate the Eastern Delivery System, which has various segments that transport propane and butane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Sarnia, Ontario and Windsor, Ontario and from Sarnia, Ontario to St. Clair, Michigan; refinery grade butane between Windsor, Ontario and Woodhaven, Michigan; and syncrude from Sarnia, Ontario to local refineries. The Eastern Delivery System also receives ethane from the Kinder Morgan Utopia Pipeline at Windsor, Ontario for delivery to petrochemical facilities in the Sarnia, Ontario area, as well as our facility in Sarnia, Ontario. These pipelines have a combined capacity of approximately 132,000 barrels per day.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 Segment</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We generate revenue through a combination of month-to-month and multi-year agreements and processing arrangements.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generated in this segment include (i) storage and throughput fees at our crude and NGL storage terminals and natural gas storage facilities,</w:t>
      </w:r>
    </w:p>
    <w:p>
      <w:pPr>
        <w:spacing w:after="0" w:line="46" w:lineRule="exact"/>
        <w:rPr>
          <w:sz w:val="20"/>
          <w:szCs w:val="20"/>
          <w:color w:val="auto"/>
        </w:rPr>
      </w:pPr>
    </w:p>
    <w:p>
      <w:pPr>
        <w:ind w:right="180" w:firstLine="8"/>
        <w:spacing w:after="0" w:line="261"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from natural gas and condensate processing services and from NGL fractionation and isomerization services and (iii) loading and unloading fees at our rail terminals.</w:t>
      </w:r>
    </w:p>
    <w:p>
      <w:pPr>
        <w:spacing w:after="0" w:line="21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December 31, 2019, we owned, operated or employed a variety of long-term physical assets throughout the United States and Canada in this segment, including:</w:t>
      </w:r>
    </w:p>
    <w:p>
      <w:pPr>
        <w:spacing w:after="0" w:line="19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79 million barrels of crude oil storage capacity primarily at our terminalling and storage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34 million barrels of NGL storage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63 billion cubic feet (“Bcf”) of natural gas storage working gas capacity;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25 Bcf of owned base gas;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seven natural gas processing plants located throughout Canada and the Gulf Coast area of the United States;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condensate processing facility located in the Eagle Ford area of South Texas with an aggregate processing capacity of approximately 120,000 barrels per day;</w:t>
      </w:r>
    </w:p>
    <w:p>
      <w:pPr>
        <w:spacing w:after="0" w:line="62" w:lineRule="exact"/>
        <w:rPr>
          <w:rFonts w:ascii="Arial" w:cs="Arial" w:eastAsia="Arial" w:hAnsi="Arial"/>
          <w:sz w:val="18"/>
          <w:szCs w:val="18"/>
          <w:color w:val="auto"/>
        </w:rPr>
      </w:pPr>
    </w:p>
    <w:p>
      <w:pPr>
        <w:ind w:left="980" w:right="80" w:hanging="324"/>
        <w:spacing w:after="0" w:line="264"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eight fractionation plants located throughout Canada and the United States with an aggregate net processing capacity of approximately 211,500 barrels per day, and an isomerization and fractionation facility in California with an aggregate processing capacity of approximately 15,000 barrels per day;</w:t>
      </w:r>
    </w:p>
    <w:p>
      <w:pPr>
        <w:spacing w:after="0" w:line="73"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30 crude oil and NGL rail terminals located throughout the United States and Canada. See “Rail Facilities” below for an overview of various terminals and “Supply and Logistics” regarding our use of railcars;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six marine facilities in the United States;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430 miles of active pipelines that support our facilities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tabular presentation of our active Facilities segment storage and service assets in the United States and Canada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grouped by product and service type, with capacity and volume as indicated:</w:t>
      </w:r>
    </w:p>
    <w:p>
      <w:pPr>
        <w:sectPr>
          <w:pgSz w:w="11900" w:h="16838" w:orient="portrait"/>
          <w:cols w:equalWidth="0" w:num="1">
            <w:col w:w="11220"/>
          </w:cols>
          <w:pgMar w:left="240" w:top="125" w:right="439" w:bottom="1149" w:gutter="0" w:footer="0" w:header="0"/>
        </w:sect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Crude Oil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Cushing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St.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Patoka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Mobile and Ten 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Corpus Christi </w:t>
      </w:r>
      <w:r>
        <w:rPr>
          <w:rFonts w:ascii="Arial" w:cs="Arial" w:eastAsia="Arial" w:hAnsi="Arial"/>
          <w:sz w:val="23"/>
          <w:szCs w:val="23"/>
          <w:i w:val="1"/>
          <w:iCs w:val="1"/>
          <w:color w:val="auto"/>
          <w:vertAlign w:val="superscript"/>
        </w:rPr>
        <w:t>(1)</w:t>
      </w:r>
    </w:p>
    <w:p>
      <w:pPr>
        <w:ind w:left="20"/>
        <w:spacing w:after="0"/>
        <w:rPr>
          <w:sz w:val="20"/>
          <w:szCs w:val="20"/>
          <w:color w:val="auto"/>
        </w:rPr>
      </w:pPr>
      <w:r>
        <w:rPr>
          <w:rFonts w:ascii="Arial" w:cs="Arial" w:eastAsia="Arial" w:hAnsi="Arial"/>
          <w:sz w:val="18"/>
          <w:szCs w:val="18"/>
          <w:i w:val="1"/>
          <w:iCs w:val="1"/>
          <w:color w:val="auto"/>
        </w:rPr>
        <w:t>Permian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2058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23"/>
          <w:szCs w:val="23"/>
          <w:i w:val="1"/>
          <w:iCs w:val="1"/>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NGL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Fort Saskatchewan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Sarnia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Empress Area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0585" cy="1974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058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Natural Gas Storage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Salt Caverns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Total Gas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Natural Gas Processing Facilities </w:t>
            </w:r>
            <w:r>
              <w:rPr>
                <w:rFonts w:ascii="Arial" w:cs="Arial" w:eastAsia="Arial" w:hAnsi="Arial"/>
                <w:sz w:val="9"/>
                <w:szCs w:val="9"/>
                <w:b w:val="1"/>
                <w:bCs w:val="1"/>
                <w:color w:val="auto"/>
              </w:rPr>
              <w:t>(3)</w:t>
            </w:r>
          </w:p>
        </w:tc>
        <w:tc>
          <w:tcPr>
            <w:tcW w:w="100" w:type="dxa"/>
            <w:vAlign w:val="bottom"/>
            <w:vMerge w:val="restart"/>
          </w:tcPr>
          <w:p>
            <w:pPr>
              <w:spacing w:after="0"/>
              <w:rPr>
                <w:sz w:val="11"/>
                <w:szCs w:val="11"/>
                <w:color w:val="auto"/>
              </w:rPr>
            </w:pPr>
          </w:p>
        </w:tc>
        <w:tc>
          <w:tcPr>
            <w:tcW w:w="1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vMerge w:val="restart"/>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 xml:space="preserve">Spec Product </w:t>
            </w:r>
            <w:r>
              <w:rPr>
                <w:rFonts w:ascii="Arial" w:cs="Arial" w:eastAsia="Arial" w:hAnsi="Arial"/>
                <w:sz w:val="9"/>
                <w:szCs w:val="9"/>
                <w:b w:val="1"/>
                <w:bCs w:val="1"/>
                <w:color w:val="auto"/>
                <w:w w:val="91"/>
              </w:rPr>
              <w:t>(4)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(Bcf/d)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United States Gulf Coast Area</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Canada</w:t>
            </w:r>
          </w:p>
        </w:tc>
        <w:tc>
          <w:tcPr>
            <w:tcW w:w="1860" w:type="dxa"/>
            <w:vAlign w:val="bottom"/>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Condensate Stabilization Facility</w:t>
            </w: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20" w:type="dxa"/>
            <w:vAlign w:val="bottom"/>
            <w:gridSpan w:val="2"/>
            <w:vMerge w:val="continu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17"/>
        </w:trPr>
        <w:tc>
          <w:tcPr>
            <w:tcW w:w="6220" w:type="dxa"/>
            <w:vAlign w:val="bottom"/>
            <w:tcBorders>
              <w:bottom w:val="single" w:sz="8" w:color="auto"/>
            </w:tcBorders>
            <w:gridSpan w:val="2"/>
            <w:vMerge w:val="continue"/>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Gardendale</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1"/>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NGL Fractionation and Isomerization Facilities</w:t>
            </w:r>
          </w:p>
        </w:tc>
        <w:tc>
          <w:tcPr>
            <w:tcW w:w="100" w:type="dxa"/>
            <w:vAlign w:val="bottom"/>
            <w:vMerge w:val="restart"/>
          </w:tcPr>
          <w:p>
            <w:pPr>
              <w:spacing w:after="0"/>
              <w:rPr>
                <w:sz w:val="11"/>
                <w:szCs w:val="11"/>
                <w:color w:val="auto"/>
              </w:rPr>
            </w:pPr>
          </w:p>
        </w:tc>
        <w:tc>
          <w:tcPr>
            <w:tcW w:w="1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vMerge w:val="restart"/>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 xml:space="preserve">Spec Product </w:t>
            </w:r>
            <w:r>
              <w:rPr>
                <w:rFonts w:ascii="Arial" w:cs="Arial" w:eastAsia="Arial" w:hAnsi="Arial"/>
                <w:sz w:val="9"/>
                <w:szCs w:val="9"/>
                <w:b w:val="1"/>
                <w:bCs w:val="1"/>
                <w:color w:val="auto"/>
                <w:w w:val="91"/>
              </w:rPr>
              <w:t>(4)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Empress</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18,300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Fort Saskatchewan</w:t>
            </w:r>
          </w:p>
        </w:tc>
        <w:tc>
          <w:tcPr>
            <w:tcW w:w="1860" w:type="dxa"/>
            <w:vAlign w:val="bottom"/>
          </w:tcPr>
          <w:p>
            <w:pPr>
              <w:jc w:val="right"/>
              <w:spacing w:after="0"/>
              <w:rPr>
                <w:sz w:val="20"/>
                <w:szCs w:val="20"/>
                <w:color w:val="auto"/>
              </w:rPr>
            </w:pPr>
            <w:r>
              <w:rPr>
                <w:rFonts w:ascii="Arial" w:cs="Arial" w:eastAsia="Arial" w:hAnsi="Arial"/>
                <w:sz w:val="18"/>
                <w:szCs w:val="18"/>
                <w:color w:val="auto"/>
              </w:rPr>
              <w:t>21-100%</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Sarnia</w:t>
            </w:r>
          </w:p>
        </w:tc>
        <w:tc>
          <w:tcPr>
            <w:tcW w:w="1860" w:type="dxa"/>
            <w:vAlign w:val="bottom"/>
          </w:tcPr>
          <w:p>
            <w:pPr>
              <w:jc w:val="right"/>
              <w:ind w:right="155"/>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55,600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Shafter</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10,900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Other</w:t>
            </w:r>
          </w:p>
        </w:tc>
        <w:tc>
          <w:tcPr>
            <w:tcW w:w="1860" w:type="dxa"/>
            <w:vAlign w:val="bottom"/>
          </w:tcPr>
          <w:p>
            <w:pPr>
              <w:jc w:val="right"/>
              <w:spacing w:after="0"/>
              <w:rPr>
                <w:sz w:val="20"/>
                <w:szCs w:val="20"/>
                <w:color w:val="auto"/>
              </w:rPr>
            </w:pPr>
            <w:r>
              <w:rPr>
                <w:rFonts w:ascii="Arial" w:cs="Arial" w:eastAsia="Arial" w:hAnsi="Arial"/>
                <w:sz w:val="18"/>
                <w:szCs w:val="18"/>
                <w:color w:val="auto"/>
              </w:rPr>
              <w:t>82-100%</w:t>
            </w:r>
          </w:p>
        </w:tc>
        <w:tc>
          <w:tcPr>
            <w:tcW w:w="100" w:type="dxa"/>
            <w:vAlign w:val="bottom"/>
          </w:tcPr>
          <w:p>
            <w:pPr>
              <w:spacing w:after="0"/>
              <w:rPr>
                <w:sz w:val="23"/>
                <w:szCs w:val="23"/>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9,300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144,100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4"/>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Loading</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Rail Facilities</w:t>
            </w:r>
          </w:p>
        </w:tc>
        <w:tc>
          <w:tcPr>
            <w:tcW w:w="100" w:type="dxa"/>
            <w:vAlign w:val="bottom"/>
            <w:vMerge w:val="restart"/>
          </w:tcPr>
          <w:p>
            <w:pPr>
              <w:spacing w:after="0"/>
              <w:rPr>
                <w:sz w:val="12"/>
                <w:szCs w:val="12"/>
                <w:color w:val="auto"/>
              </w:rPr>
            </w:pPr>
          </w:p>
        </w:tc>
        <w:tc>
          <w:tcPr>
            <w:tcW w:w="18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Ownership Interest</w:t>
            </w:r>
          </w:p>
        </w:tc>
        <w:tc>
          <w:tcPr>
            <w:tcW w:w="100" w:type="dxa"/>
            <w:vAlign w:val="bottom"/>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Capacity</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(Bbls/d)</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i w:val="1"/>
                <w:iCs w:val="1"/>
                <w:color w:val="auto"/>
              </w:rPr>
              <w:t>Crude Oil Rail Facilities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1"/>
                <w:szCs w:val="21"/>
                <w:color w:val="auto"/>
              </w:rPr>
            </w:pPr>
          </w:p>
        </w:tc>
        <w:tc>
          <w:tcPr>
            <w:tcW w:w="1520" w:type="dxa"/>
            <w:vAlign w:val="bottom"/>
          </w:tcPr>
          <w:p>
            <w:pPr>
              <w:jc w:val="right"/>
              <w:ind w:right="59"/>
              <w:spacing w:after="0"/>
              <w:rPr>
                <w:sz w:val="20"/>
                <w:szCs w:val="20"/>
                <w:color w:val="auto"/>
              </w:rPr>
            </w:pPr>
            <w:r>
              <w:rPr>
                <w:rFonts w:ascii="Arial" w:cs="Arial" w:eastAsia="Arial" w:hAnsi="Arial"/>
                <w:sz w:val="18"/>
                <w:szCs w:val="18"/>
                <w:color w:val="auto"/>
              </w:rPr>
              <w:t>314,000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-3215005</wp:posOffset>
            </wp:positionV>
            <wp:extent cx="7220585" cy="1974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0585"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-3566795</wp:posOffset>
            </wp:positionV>
            <wp:extent cx="7220585"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-2538095</wp:posOffset>
            </wp:positionV>
            <wp:extent cx="7220585"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22058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-1105535</wp:posOffset>
            </wp:positionV>
            <wp:extent cx="72205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-1800225</wp:posOffset>
            </wp:positionV>
            <wp:extent cx="722058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058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2058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31750</wp:posOffset>
            </wp:positionV>
            <wp:extent cx="8921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31750</wp:posOffset>
            </wp:positionV>
            <wp:extent cx="892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57785</wp:posOffset>
            </wp:positionV>
            <wp:extent cx="8921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(MMBbls)</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57785</wp:posOffset>
            </wp:positionV>
            <wp:extent cx="8921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(Bcf)</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63</w:t>
      </w:r>
    </w:p>
    <w:p>
      <w:pPr>
        <w:spacing w:after="0" w:line="200" w:lineRule="exact"/>
        <w:rPr>
          <w:sz w:val="20"/>
          <w:szCs w:val="20"/>
          <w:color w:val="auto"/>
        </w:rPr>
      </w:pPr>
    </w:p>
    <w:p>
      <w:pPr>
        <w:spacing w:after="0" w:line="25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Gas</w:t>
      </w:r>
    </w:p>
    <w:p>
      <w:pPr>
        <w:ind w:left="40"/>
        <w:spacing w:after="0" w:line="226" w:lineRule="auto"/>
        <w:rPr>
          <w:sz w:val="20"/>
          <w:szCs w:val="20"/>
          <w:color w:val="auto"/>
        </w:rPr>
      </w:pPr>
      <w:r>
        <w:rPr>
          <w:rFonts w:ascii="Arial" w:cs="Arial" w:eastAsia="Arial" w:hAnsi="Arial"/>
          <w:sz w:val="14"/>
          <w:szCs w:val="14"/>
          <w:b w:val="1"/>
          <w:bCs w:val="1"/>
          <w:color w:val="auto"/>
        </w:rPr>
        <w:t>Processing</w:t>
      </w:r>
    </w:p>
    <w:p>
      <w:pPr>
        <w:ind w:left="80"/>
        <w:spacing w:after="0" w:line="222" w:lineRule="auto"/>
        <w:rPr>
          <w:sz w:val="20"/>
          <w:szCs w:val="20"/>
          <w:color w:val="auto"/>
        </w:rPr>
      </w:pPr>
      <w:r>
        <w:rPr>
          <w:rFonts w:ascii="Arial" w:cs="Arial" w:eastAsia="Arial" w:hAnsi="Arial"/>
          <w:sz w:val="14"/>
          <w:szCs w:val="14"/>
          <w:b w:val="1"/>
          <w:bCs w:val="1"/>
          <w:color w:val="auto"/>
        </w:rPr>
        <w:t>Capacity</w:t>
      </w:r>
    </w:p>
    <w:p>
      <w:pPr>
        <w:ind w:left="160"/>
        <w:spacing w:after="0"/>
        <w:rPr>
          <w:sz w:val="20"/>
          <w:szCs w:val="20"/>
          <w:color w:val="auto"/>
        </w:rPr>
      </w:pPr>
      <w:r>
        <w:rPr>
          <w:rFonts w:ascii="Arial" w:cs="Arial" w:eastAsia="Arial" w:hAnsi="Arial"/>
          <w:sz w:val="14"/>
          <w:szCs w:val="14"/>
          <w:b w:val="1"/>
          <w:bCs w:val="1"/>
          <w:color w:val="auto"/>
        </w:rPr>
        <w:t>(Bcf/d)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57785</wp:posOffset>
            </wp:positionV>
            <wp:extent cx="9950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Total Capacity</w:t>
      </w:r>
    </w:p>
    <w:p>
      <w:pPr>
        <w:spacing w:after="0" w:line="1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120,000</w:t>
      </w:r>
    </w:p>
    <w:p>
      <w:pPr>
        <w:spacing w:after="0" w:line="200" w:lineRule="exact"/>
        <w:rPr>
          <w:sz w:val="20"/>
          <w:szCs w:val="20"/>
          <w:color w:val="auto"/>
        </w:rPr>
      </w:pPr>
    </w:p>
    <w:p>
      <w:pPr>
        <w:spacing w:after="0" w:line="233"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Net</w:t>
      </w:r>
    </w:p>
    <w:p>
      <w:pPr>
        <w:jc w:val="center"/>
        <w:ind w:right="260"/>
        <w:spacing w:after="0" w:line="226" w:lineRule="auto"/>
        <w:rPr>
          <w:sz w:val="20"/>
          <w:szCs w:val="20"/>
          <w:color w:val="auto"/>
        </w:rPr>
      </w:pPr>
      <w:r>
        <w:rPr>
          <w:rFonts w:ascii="Arial" w:cs="Arial" w:eastAsia="Arial" w:hAnsi="Arial"/>
          <w:sz w:val="14"/>
          <w:szCs w:val="14"/>
          <w:b w:val="1"/>
          <w:bCs w:val="1"/>
          <w:color w:val="auto"/>
        </w:rPr>
        <w:t>Capacity</w:t>
      </w:r>
    </w:p>
    <w:p>
      <w:pPr>
        <w:spacing w:after="0" w:line="1"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28,300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68,100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31750</wp:posOffset>
            </wp:positionV>
            <wp:extent cx="9950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wp:posOffset>
            </wp:positionH>
            <wp:positionV relativeFrom="paragraph">
              <wp:posOffset>31750</wp:posOffset>
            </wp:positionV>
            <wp:extent cx="9950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-257810</wp:posOffset>
            </wp:positionH>
            <wp:positionV relativeFrom="paragraph">
              <wp:posOffset>57785</wp:posOffset>
            </wp:positionV>
            <wp:extent cx="9950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Unloading</w:t>
      </w:r>
    </w:p>
    <w:p>
      <w:pPr>
        <w:ind w:left="80"/>
        <w:spacing w:after="0" w:line="226" w:lineRule="auto"/>
        <w:rPr>
          <w:sz w:val="20"/>
          <w:szCs w:val="20"/>
          <w:color w:val="auto"/>
        </w:rPr>
      </w:pPr>
      <w:r>
        <w:rPr>
          <w:rFonts w:ascii="Arial" w:cs="Arial" w:eastAsia="Arial" w:hAnsi="Arial"/>
          <w:sz w:val="14"/>
          <w:szCs w:val="14"/>
          <w:b w:val="1"/>
          <w:bCs w:val="1"/>
          <w:color w:val="auto"/>
        </w:rPr>
        <w:t>Capacity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(Bbls/d)</w:t>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350,000</w:t>
      </w:r>
    </w:p>
    <w:p>
      <w:pPr>
        <w:spacing w:after="0" w:line="223" w:lineRule="exact"/>
        <w:rPr>
          <w:sz w:val="20"/>
          <w:szCs w:val="20"/>
          <w:color w:val="auto"/>
        </w:rPr>
      </w:pPr>
    </w:p>
    <w:p>
      <w:pPr>
        <w:sectPr>
          <w:pgSz w:w="11900" w:h="16838" w:orient="portrait"/>
          <w:cols w:equalWidth="0" w:num="2">
            <w:col w:w="9860" w:space="360"/>
            <w:col w:w="1000"/>
          </w:cols>
          <w:pgMar w:left="240" w:top="125" w:right="439" w:bottom="1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25" w:right="439" w:bottom="1149"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Ownership Interest</w:t>
            </w: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Number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640" w:type="dxa"/>
            <w:vAlign w:val="bottom"/>
            <w:gridSpan w:val="2"/>
          </w:tcPr>
          <w:p>
            <w:pPr>
              <w:ind w:left="420"/>
              <w:spacing w:after="0"/>
              <w:rPr>
                <w:sz w:val="20"/>
                <w:szCs w:val="20"/>
                <w:color w:val="auto"/>
              </w:rPr>
            </w:pPr>
            <w:r>
              <w:rPr>
                <w:rFonts w:ascii="Arial" w:cs="Arial" w:eastAsia="Arial" w:hAnsi="Arial"/>
                <w:sz w:val="14"/>
                <w:szCs w:val="14"/>
                <w:b w:val="1"/>
                <w:bCs w:val="1"/>
                <w:color w:val="auto"/>
              </w:rPr>
              <w:t>Rack Spots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Storage Spots</w:t>
            </w:r>
          </w:p>
        </w:tc>
        <w:tc>
          <w:tcPr>
            <w:tcW w:w="0" w:type="dxa"/>
            <w:vAlign w:val="bottom"/>
          </w:tcPr>
          <w:p>
            <w:pPr>
              <w:spacing w:after="0"/>
              <w:rPr>
                <w:sz w:val="1"/>
                <w:szCs w:val="1"/>
                <w:color w:val="auto"/>
              </w:rPr>
            </w:pPr>
          </w:p>
        </w:tc>
      </w:tr>
      <w:tr>
        <w:trPr>
          <w:trHeight w:val="27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 xml:space="preserve">NGL Rail Facilities </w:t>
            </w:r>
            <w:r>
              <w:rPr>
                <w:rFonts w:ascii="Arial" w:cs="Arial" w:eastAsia="Arial" w:hAnsi="Arial"/>
                <w:sz w:val="23"/>
                <w:szCs w:val="23"/>
                <w:i w:val="1"/>
                <w:iCs w:val="1"/>
                <w:color w:val="auto"/>
                <w:vertAlign w:val="superscript"/>
              </w:rPr>
              <w:t>(5)</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50-100%</w:t>
            </w:r>
          </w:p>
        </w:tc>
        <w:tc>
          <w:tcPr>
            <w:tcW w:w="100" w:type="dxa"/>
            <w:vAlign w:val="bottom"/>
            <w:tcBorders>
              <w:top w:val="single" w:sz="8" w:color="CCEEFF"/>
            </w:tcBorders>
            <w:shd w:val="clear" w:color="auto" w:fill="CCEEFF"/>
          </w:tcPr>
          <w:p>
            <w:pPr>
              <w:spacing w:after="0"/>
              <w:rPr>
                <w:sz w:val="23"/>
                <w:szCs w:val="23"/>
                <w:color w:val="auto"/>
              </w:rPr>
            </w:pPr>
          </w:p>
        </w:tc>
        <w:tc>
          <w:tcPr>
            <w:tcW w:w="15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345</w:t>
            </w: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own 50% of this storage capacity through our investment in Eagle Ford Terminals Corpus Christi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Amount includes approximately 2 million barrels of storage capacity associated with our crude oil rail terminal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While natural gas processing volumes and capacity amounts are presented, they currently are not a significant driver of our segment results.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Represents average volumes net to our share for the entire year.</w:t>
      </w:r>
    </w:p>
    <w:p>
      <w:pPr>
        <w:spacing w:after="0" w:line="117" w:lineRule="exact"/>
        <w:rPr>
          <w:sz w:val="20"/>
          <w:szCs w:val="20"/>
          <w:color w:val="auto"/>
        </w:rPr>
      </w:pPr>
    </w:p>
    <w:p>
      <w:pPr>
        <w:ind w:left="20" w:right="400" w:hanging="11"/>
        <w:spacing w:after="0" w:line="277" w:lineRule="auto"/>
        <w:rPr>
          <w:sz w:val="20"/>
          <w:szCs w:val="20"/>
          <w:color w:val="auto"/>
        </w:rPr>
      </w:pPr>
      <w:r>
        <w:rPr>
          <w:rFonts w:ascii="Arial" w:cs="Arial" w:eastAsia="Arial" w:hAnsi="Arial"/>
          <w:sz w:val="18"/>
          <w:szCs w:val="18"/>
          <w:color w:val="auto"/>
        </w:rPr>
        <w:t>Our NGL rail terminals are predominately utilized for internal purposes specifically for our supply and logistics activities. See our “Supply and Logistics Segment” discussion following this section for further discussion regarding the use of our rail terminals.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discussion contains a detailed description of our more significant Facilities segment assets.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Crude Oil Facilities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5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Cushing Terminal. </w:t>
      </w:r>
      <w:r>
        <w:rPr>
          <w:rFonts w:ascii="Arial" w:cs="Arial" w:eastAsia="Arial" w:hAnsi="Arial"/>
          <w:sz w:val="16"/>
          <w:szCs w:val="16"/>
          <w:color w:val="auto"/>
        </w:rPr>
        <w:t>We are the largest provider of crude oil terminalling services in Cushing, Oklahoma, which is one of the largest physical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hubs in the United States and is the delivery point for crude oil futures contracts traded on the NYMEX. Our Cushing Terminal has been designated by the NYMEX as an approved delivery location for crude oil delivered under the NYMEX light sweet crude oil futures contract. As the NYMEX delivery point and a cash market hub, the Cushing Interchange serves as a source of refinery feedstock for Midwest and certain Gulf Coast refiners.</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Cushing Terminal is designed to serve the operational needs of refiners, with an emphasis on ensuring operational reliability and flexibility. Accordingly, we have access to all major inbound and outbound pipelines in Cushing (23 direct pipeline connections) and our facility is designed to handle multiple grades of crude oil while minimizing the interface and enabling deliveries to connecting carriers at their maximum rate. Since 1999, we have completed multiple expansions that have increased the capacity of our Cushing Terminal.</w:t>
      </w:r>
    </w:p>
    <w:p>
      <w:pPr>
        <w:spacing w:after="0" w:line="21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St. James Terminal. </w:t>
      </w:r>
      <w:r>
        <w:rPr>
          <w:rFonts w:ascii="Arial" w:cs="Arial" w:eastAsia="Arial" w:hAnsi="Arial"/>
          <w:sz w:val="18"/>
          <w:szCs w:val="18"/>
          <w:color w:val="auto"/>
        </w:rPr>
        <w:t>The crude oil interchange at St. James, Louisiana is one of the most liquid crude oil interchanges in the United States. Our</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connected to major pipelines and other terminals and includes a manifold and header system that allows for receipts and deliveries with connecting pipelines at their maximum operating capacity. In addition, this facility includes a marine dock that is able to receive from, and deliver to, tankers and barges and is also connected to our rail unloading facility. See “Rail Facilities” below for further discussion.</w:t>
      </w:r>
    </w:p>
    <w:p>
      <w:pPr>
        <w:spacing w:after="0" w:line="21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Patoka Terminal. </w:t>
      </w:r>
      <w:r>
        <w:rPr>
          <w:rFonts w:ascii="Arial" w:cs="Arial" w:eastAsia="Arial" w:hAnsi="Arial"/>
          <w:sz w:val="18"/>
          <w:szCs w:val="18"/>
          <w:color w:val="auto"/>
        </w:rPr>
        <w:t>Our Patoka Terminal includes crude oil storage and an associated manifold and header system at the Patoka Interchange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Illinois. Our terminal has access to all major pipelines and terminals at the Patoka Interchange, a growing regional hub serving both northbound and southbound movements.</w:t>
      </w:r>
    </w:p>
    <w:p>
      <w:pPr>
        <w:spacing w:after="0" w:line="208"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i w:val="1"/>
          <w:iCs w:val="1"/>
          <w:color w:val="auto"/>
        </w:rPr>
        <w:t xml:space="preserve">Mobile and Ten Mile Terminal. </w:t>
      </w:r>
      <w:r>
        <w:rPr>
          <w:rFonts w:ascii="Arial" w:cs="Arial" w:eastAsia="Arial" w:hAnsi="Arial"/>
          <w:sz w:val="16"/>
          <w:szCs w:val="16"/>
          <w:color w:val="auto"/>
        </w:rPr>
        <w:t>We own a marine terminal in Mobile, Alabama (the “Mobile Terminal”) and a terminal at our nearby Ten Mile</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The facilities are pipeline connected. The Mobile Terminal is equipped with a ship/tanker dock, barge dock, truck unloading facilities and various third-party connections for crude oil movements to area refiners and our Ten Mile Facility is connected to our Gulf Coast area Pascagoula Pipeline.</w:t>
      </w:r>
    </w:p>
    <w:p>
      <w:pPr>
        <w:spacing w:after="0" w:line="17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Corpus Christi (Eagle Ford) Terminal. </w:t>
      </w:r>
      <w:r>
        <w:rPr>
          <w:rFonts w:ascii="Arial" w:cs="Arial" w:eastAsia="Arial" w:hAnsi="Arial"/>
          <w:sz w:val="18"/>
          <w:szCs w:val="18"/>
          <w:color w:val="auto"/>
        </w:rPr>
        <w:t>We own a 50% interest in Eagle Ford Terminals Corpus Christi LLC, a joint venture with a subsidiary of</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Eagle Ford Terminals owns a terminal in Corpus Christi, Texas that is capable of loading ocean going vessels with either crude oil or condensate. The facility has access to production from both the Eagle Ford and the Permian Basin through the Eagle Ford joint venture pipeline and was placed into service in the third quarter of 2019.</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Storage Facilities</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Fort Saskatchewan. </w:t>
      </w:r>
      <w:r>
        <w:rPr>
          <w:rFonts w:ascii="Arial" w:cs="Arial" w:eastAsia="Arial" w:hAnsi="Arial"/>
          <w:sz w:val="18"/>
          <w:szCs w:val="18"/>
          <w:color w:val="auto"/>
        </w:rPr>
        <w:t>The Fort Saskatchewan facility is located near Edmonton, Alberta in one of the key North American NGL hubs. The facility is a</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storage, fractionation and delivery facility for NGL and is connected to other major NGL plants and pipeline systems in the area. The facility’s primary assets include 30 storage caverns. The facility includes assets operated by us and assets operated by a third party. Our ownership in the various facility assets ranges from approximately 21% to 100%. See the section entitled “—NGL Fractionation and Isomerization Facilities” below for additional discussion of this facility.</w:t>
      </w:r>
    </w:p>
    <w:p>
      <w:pPr>
        <w:spacing w:after="0" w:line="2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Sarnia Area. </w:t>
      </w:r>
      <w:r>
        <w:rPr>
          <w:rFonts w:ascii="Arial" w:cs="Arial" w:eastAsia="Arial" w:hAnsi="Arial"/>
          <w:sz w:val="18"/>
          <w:szCs w:val="18"/>
          <w:color w:val="auto"/>
        </w:rPr>
        <w:t>Our Sarnia Area facilities in Southwestern Ontario consist of (i) our Sarnia facility, (ii) our Windsor storage terminal and (iii) our St.</w:t>
      </w:r>
      <w:r>
        <w:rPr>
          <w:rFonts w:ascii="Arial" w:cs="Arial" w:eastAsia="Arial" w:hAnsi="Arial"/>
          <w:sz w:val="18"/>
          <w:szCs w:val="18"/>
          <w:i w:val="1"/>
          <w:iCs w:val="1"/>
          <w:color w:val="auto"/>
        </w:rPr>
        <w:t xml:space="preserve"> </w:t>
      </w:r>
      <w:r>
        <w:rPr>
          <w:rFonts w:ascii="Arial" w:cs="Arial" w:eastAsia="Arial" w:hAnsi="Arial"/>
          <w:sz w:val="18"/>
          <w:szCs w:val="18"/>
          <w:color w:val="auto"/>
        </w:rPr>
        <w:t>Clair terminal. The Sarnia facility is a large NGL fractionation and storage facility located in the Sarnia Chemical Valley that contains multiple rail and truck loading spots. The Sarnia Area facilities are served by a network of 15 pipelines connected to various refineries, chemical plants and other pipeline systems in the area. This pipeline network also delivers product between our Sarnia facility and our Windsor storage terminal in addition to the delivery capability from our Sarnia facility to our St. Clair terminal.</w:t>
      </w:r>
    </w:p>
    <w:p>
      <w:pPr>
        <w:spacing w:after="0" w:line="215"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i w:val="1"/>
          <w:iCs w:val="1"/>
          <w:color w:val="auto"/>
        </w:rPr>
        <w:t xml:space="preserve">Empress Area. </w:t>
      </w:r>
      <w:r>
        <w:rPr>
          <w:rFonts w:ascii="Arial" w:cs="Arial" w:eastAsia="Arial" w:hAnsi="Arial"/>
          <w:sz w:val="18"/>
          <w:szCs w:val="18"/>
          <w:color w:val="auto"/>
        </w:rPr>
        <w:t>We own a network of seven NGL terminals (Fort Whyte, Moose Jaw, Rapid City, Stewart Valley, Dewdney, Empress and</w:t>
      </w:r>
      <w:r>
        <w:rPr>
          <w:rFonts w:ascii="Arial" w:cs="Arial" w:eastAsia="Arial" w:hAnsi="Arial"/>
          <w:sz w:val="18"/>
          <w:szCs w:val="18"/>
          <w:i w:val="1"/>
          <w:iCs w:val="1"/>
          <w:color w:val="auto"/>
        </w:rPr>
        <w:t xml:space="preserve"> </w:t>
      </w:r>
      <w:r>
        <w:rPr>
          <w:rFonts w:ascii="Arial" w:cs="Arial" w:eastAsia="Arial" w:hAnsi="Arial"/>
          <w:sz w:val="18"/>
          <w:szCs w:val="18"/>
          <w:color w:val="auto"/>
        </w:rPr>
        <w:t>Richardson). The facilities are complemented by various other NGL fractionation and extraction assets.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Storage Facilities</w:t>
      </w:r>
    </w:p>
    <w:p>
      <w:pPr>
        <w:spacing w:after="0" w:line="256"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own two U.S. Federal Energy Regulatory Commission (“FERC”) regulated natural gas storage facilities located on the Gulf Coast that are certificated for 112 Bcf of working gas capacity, and as of December 31, 2019, we had an aggregate commercial working gas capacity of approximately 63 Bcf in service. Our facilities have aggregate certificated peak daily injection and withdrawal rates of 3.6 Bcf and 5.6 Bcf, respectively.</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two natural gas storage facilities are strategically located within the Gulf Coast market and have a diverse group of customers, including liquefied natural gas (“LNG”) exporters, utilities, pipelines, producers, power generators and marketers whose storage needs vary from traditional seasonal storage services to hourly balancing. We are located near several major market hubs and our facilities have 15 physical interconnects with third-party interstate pipelines, intrastate pipelines and direct connect customers, serving markets in the Gulf Coast, Mid-Atlantic, Northeast, and Southeast regions of the United States.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Gas Processing Facilities</w:t>
      </w:r>
    </w:p>
    <w:p>
      <w:pPr>
        <w:spacing w:after="0" w:line="256"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We own and/or operate four straddle plants located in Western Canada. In addition to the processing capacity at our straddle plants, we have a long-term liquids supply contract relating to a third-party owned straddle plant with gross processing capacity of approximately 2.5 Bcf per day. We also own and operate three natural gas processing plants located in Louisiana and Alabama.</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NGL Fractionation and Isomerization Facilities</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Empress. </w:t>
      </w:r>
      <w:r>
        <w:rPr>
          <w:rFonts w:ascii="Arial" w:cs="Arial" w:eastAsia="Arial" w:hAnsi="Arial"/>
          <w:sz w:val="18"/>
          <w:szCs w:val="18"/>
          <w:color w:val="auto"/>
        </w:rPr>
        <w:t>We own the Empress fractionation facility, which is connected to and receives liquids from our Empress straddle plant. The facility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capable of producing spec NGL products and connects to our PPTC Pipeline network.</w:t>
      </w:r>
    </w:p>
    <w:p>
      <w:pPr>
        <w:spacing w:after="0" w:line="19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 xml:space="preserve">Fort Saskatchewan. </w:t>
      </w:r>
      <w:r>
        <w:rPr>
          <w:rFonts w:ascii="Arial" w:cs="Arial" w:eastAsia="Arial" w:hAnsi="Arial"/>
          <w:sz w:val="17"/>
          <w:szCs w:val="17"/>
          <w:color w:val="auto"/>
        </w:rPr>
        <w:t>Our Fort Saskatchewan fractionation facility has a design capacity of 85,000 barrels per day and produces spec propane, butane,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condensate and a propane and butane mix, which is sent to our Sarnia facility for further fractionation. Through our 21% ownership in the Keyera Fort Saskatchewan fractionation plant, we have additional fractionation capacity, net to our share, of approximately 17,300 barrels per day.</w:t>
      </w:r>
    </w:p>
    <w:p>
      <w:pPr>
        <w:spacing w:after="0" w:line="19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i w:val="1"/>
          <w:iCs w:val="1"/>
          <w:color w:val="auto"/>
        </w:rPr>
        <w:t xml:space="preserve">Sarnia. </w:t>
      </w:r>
      <w:r>
        <w:rPr>
          <w:rFonts w:ascii="Arial" w:cs="Arial" w:eastAsia="Arial" w:hAnsi="Arial"/>
          <w:sz w:val="18"/>
          <w:szCs w:val="18"/>
          <w:color w:val="auto"/>
        </w:rPr>
        <w:t>The Sarnia Fractionator is the largest fractionation plant in Eastern Canada and receives NGL feedstock from the Enbridge Pipeline and</w:t>
      </w:r>
      <w:r>
        <w:rPr>
          <w:rFonts w:ascii="Arial" w:cs="Arial" w:eastAsia="Arial" w:hAnsi="Arial"/>
          <w:sz w:val="18"/>
          <w:szCs w:val="18"/>
          <w:i w:val="1"/>
          <w:iCs w:val="1"/>
          <w:color w:val="auto"/>
        </w:rPr>
        <w:t xml:space="preserve"> </w:t>
      </w:r>
      <w:r>
        <w:rPr>
          <w:rFonts w:ascii="Arial" w:cs="Arial" w:eastAsia="Arial" w:hAnsi="Arial"/>
          <w:sz w:val="18"/>
          <w:szCs w:val="18"/>
          <w:color w:val="auto"/>
        </w:rPr>
        <w:t>from refineries, gas plants and chemical plants in the area. The fractionation unit produces specification propane, isobutane, normal butane and natural gasoline. Our ownership in the various processing units at the Sarnia Fractionator ranges from 62% to 84%.</w:t>
      </w:r>
    </w:p>
    <w:p>
      <w:pPr>
        <w:spacing w:after="0" w:line="20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Shafter. </w:t>
      </w:r>
      <w:r>
        <w:rPr>
          <w:rFonts w:ascii="Arial" w:cs="Arial" w:eastAsia="Arial" w:hAnsi="Arial"/>
          <w:sz w:val="18"/>
          <w:szCs w:val="18"/>
          <w:color w:val="auto"/>
        </w:rPr>
        <w:t>Our Shafter facility located near Bakersfield, California provides isomerization and fractionation services to producers and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primary assets consist of approximately 200,000 barrels of NGL storage and a processing facility with butane isomerization capacity of approximately 15,000 barrels per day including NGL fractionation capacity of approximately 12,000 barrels per day.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Condensate Processing Facility</w:t>
      </w:r>
    </w:p>
    <w:p>
      <w:pPr>
        <w:spacing w:after="0" w:line="25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Gardendale condensate processing facility located in La Salle County, Texas is designed to extract natural gas liquids from condensate. The facility is adjacent to our Gardendale terminal and rail facility and is connected to a third-party pipeline that delivers NGL to Mont Belvieu, Texas. The facility has a total processing capacity of 120,000 barrels per day and usable storage capacity of 160,000 barrels. Throughput at the Gardendale processing facility is supplied by long-term commitments from producers.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Rail Facilities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Loading Facilities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own crude oil and condensate rail loading facilities located at or near Carr, Colorado; Tampa, Colorado; Gardendale, Texas; McCamey, Texas; Manitou, North Dakota; and Kerrobert, Saskatchewan.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Crude Oil Rail Unloading Facilities</w:t>
      </w:r>
    </w:p>
    <w:p>
      <w:pPr>
        <w:spacing w:after="0" w:line="25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own three crude oil rail unloading facilities. Our St. James, Louisiana facility receives unit trains and has a capacity of 140,000 barrels per day. Our Yorktown, Virginia rail facility can receive unit trains and has an unload capacity of approximately 140,000 barrels per day. Our Bakersfield, California rail facility receives unit trains and has permitted capacity to unload 70,000 barrels per day.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NGL Rail Facilities</w:t>
      </w:r>
    </w:p>
    <w:p>
      <w:pPr>
        <w:spacing w:after="0" w:line="252"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We own 24 operational NGL rail facilities (including our Fort Saskatchewan rail facility, as well as facilities that can provide both crude oil and NGL service) strategically located near NGL storage, pipelines, gas production or propane distribution centers throughout the United States and Canada.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Logistics Segment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Supply and Logistics segment operations generally consist of the following merchant-related activities:</w:t>
      </w:r>
    </w:p>
    <w:p>
      <w:pPr>
        <w:spacing w:after="0" w:line="252"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purchase of U.S. and Canadian crude oil at the wellhead, and the bulk purchase of crude oil at pipeline, terminal and rail facilities;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storage of inventory during contango market conditions and the seasonal storage of NGL;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of NGL from producers, refiners, processors and other marketers;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extraction of NGL from gas processed at our facilities;</w:t>
      </w:r>
    </w:p>
    <w:p>
      <w:pPr>
        <w:spacing w:after="0" w:line="117"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resale or exchange of crude oil and NGL at various points along the distribution chain to refiners, operators of petrochemical facilities, exporters or other resellers; and</w:t>
      </w:r>
    </w:p>
    <w:p>
      <w:pPr>
        <w:spacing w:after="0" w:line="6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transportation of crude oil and NGL on trucks, barges, railcars, pipelines and vessels from various delivery points, market hub locations or directly to end users such as refineries, processors and fractionation facilities.</w:t>
      </w:r>
    </w:p>
    <w:p>
      <w:pPr>
        <w:spacing w:after="0" w:line="19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purchase and resale of crude oil and NGL results in us generating a margin, which is reduced by the transportation, facilities and other logistical costs associated with delivering the crude oil or NGL to market as well as related operating and general and administrative expenses. A portion of our results is impacted by overall market structure and the degree of market volatility, as well as variable operating expenses. Our activities are designed to limit downside exposure, while generating upside potential associated with opportunities inherent in volatile market conditions (including opportunities to benefit from fluctuating differentials and market structure). Opportunities to realize upside potential through our Supply and Logistics operations occur from time to time and are typically for short periods of time when there are local or regional infrastructure constraints. See “—Impact of Commodity Price Volatility and Dynamic Market Conditions on Our Business Model” below for further discussion.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to hedged working inventories associated with its merchant activities, as of December 31, 2019, our Supply and Logistics segment owned significant volumes of crude oil and NGL classified as long-term assets and linefill or minimum inventory requirements and employed a variety of owned or leased physical assets throughout the United States and Canada, including approximately:</w:t>
      </w:r>
    </w:p>
    <w:p>
      <w:pPr>
        <w:spacing w:after="0" w:line="20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16 million barrels of crude oil and NGL linefill in pipelines owned by 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4 million barrels of crude oil and NGL utilized as linefill in pipelines owned by third parties or otherwise required as long-term inventory;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760 trucks and 900 trailers;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8,000 crude oil and NGL railcars.</w:t>
      </w:r>
    </w:p>
    <w:p>
      <w:pPr>
        <w:spacing w:after="0" w:line="252"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In connection with its operations, our Supply and Logistics segment secures transportation and facilities services from our other two segments as well as third-party service providers under month-to-month and multi-year arrangements. Intersegment fees are based on posted tariff rates, rates similar to those charged to third parties or rates that we believe approximate market rates.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average daily volume of our supply and logistics activities for the year ended December 31,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580" w:type="dxa"/>
            <w:vAlign w:val="bottom"/>
          </w:tcPr>
          <w:p>
            <w:pPr>
              <w:jc w:val="right"/>
              <w:ind w:right="437"/>
              <w:spacing w:after="0"/>
              <w:rPr>
                <w:sz w:val="20"/>
                <w:szCs w:val="20"/>
                <w:color w:val="auto"/>
              </w:rPr>
            </w:pPr>
            <w:r>
              <w:rPr>
                <w:rFonts w:ascii="Arial" w:cs="Arial" w:eastAsia="Arial" w:hAnsi="Arial"/>
                <w:sz w:val="14"/>
                <w:szCs w:val="14"/>
                <w:b w:val="1"/>
                <w:bCs w:val="1"/>
                <w:color w:val="auto"/>
              </w:rPr>
              <w:t>Volumes</w:t>
            </w:r>
          </w:p>
        </w:tc>
      </w:tr>
      <w:tr>
        <w:trPr>
          <w:trHeight w:val="192"/>
        </w:trPr>
        <w:tc>
          <w:tcPr>
            <w:tcW w:w="98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(MBbls/d)</w:t>
            </w:r>
          </w:p>
        </w:tc>
      </w:tr>
      <w:tr>
        <w:trPr>
          <w:trHeight w:val="270"/>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lease gathering purchases </w:t>
            </w:r>
            <w:r>
              <w:rPr>
                <w:rFonts w:ascii="Arial" w:cs="Arial" w:eastAsia="Arial" w:hAnsi="Arial"/>
                <w:sz w:val="23"/>
                <w:szCs w:val="23"/>
                <w:color w:val="auto"/>
                <w:vertAlign w:val="superscript"/>
              </w:rPr>
              <w:t>(1)</w:t>
            </w:r>
          </w:p>
        </w:tc>
        <w:tc>
          <w:tcPr>
            <w:tcW w:w="15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1,162</w:t>
            </w:r>
          </w:p>
        </w:tc>
      </w:tr>
      <w:tr>
        <w:trPr>
          <w:trHeight w:val="243"/>
        </w:trPr>
        <w:tc>
          <w:tcPr>
            <w:tcW w:w="9820" w:type="dxa"/>
            <w:vAlign w:val="bottom"/>
          </w:tcPr>
          <w:p>
            <w:pPr>
              <w:ind w:left="20"/>
              <w:spacing w:after="0"/>
              <w:rPr>
                <w:sz w:val="20"/>
                <w:szCs w:val="20"/>
                <w:color w:val="auto"/>
              </w:rPr>
            </w:pPr>
            <w:r>
              <w:rPr>
                <w:rFonts w:ascii="Arial" w:cs="Arial" w:eastAsia="Arial" w:hAnsi="Arial"/>
                <w:sz w:val="18"/>
                <w:szCs w:val="18"/>
                <w:color w:val="auto"/>
              </w:rPr>
              <w:t>NGL sales</w:t>
            </w:r>
          </w:p>
        </w:tc>
        <w:tc>
          <w:tcPr>
            <w:tcW w:w="1580" w:type="dxa"/>
            <w:vAlign w:val="bottom"/>
          </w:tcPr>
          <w:p>
            <w:pPr>
              <w:jc w:val="right"/>
              <w:ind w:right="77"/>
              <w:spacing w:after="0"/>
              <w:rPr>
                <w:sz w:val="20"/>
                <w:szCs w:val="20"/>
                <w:color w:val="auto"/>
              </w:rPr>
            </w:pPr>
            <w:r>
              <w:rPr>
                <w:rFonts w:ascii="Arial" w:cs="Arial" w:eastAsia="Arial" w:hAnsi="Arial"/>
                <w:sz w:val="18"/>
                <w:szCs w:val="18"/>
                <w:color w:val="auto"/>
              </w:rPr>
              <w:t>207</w:t>
            </w:r>
          </w:p>
        </w:tc>
      </w:tr>
      <w:tr>
        <w:trPr>
          <w:trHeight w:val="27"/>
        </w:trPr>
        <w:tc>
          <w:tcPr>
            <w:tcW w:w="98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Supply and Logistics segment total volumes</w:t>
            </w:r>
          </w:p>
        </w:tc>
        <w:tc>
          <w:tcPr>
            <w:tcW w:w="15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1,369</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Of this amount, approximately 767 MBbls/d were purchased in the Permian Basin.</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 xml:space="preserve">Crude Oil and NGL Purchases. </w:t>
      </w:r>
      <w:r>
        <w:rPr>
          <w:rFonts w:ascii="Arial" w:cs="Arial" w:eastAsia="Arial" w:hAnsi="Arial"/>
          <w:sz w:val="18"/>
          <w:szCs w:val="18"/>
          <w:color w:val="auto"/>
        </w:rPr>
        <w:t>We purchase crude oil and NGL from multiple producers under contracts and believe we have established long-term, broad-based relationships with the crude oil and NGL producers in our areas of operations.</w:t>
      </w:r>
    </w:p>
    <w:p>
      <w:pPr>
        <w:spacing w:after="0" w:line="19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crude oil contracts generally range in term from thirty-day evergreen to five years, with the majority ranging from thirty days to one year and a limited number of contracts with remaining terms extending up to ten years. We utilize our truck fleet, railcars and pipelines as well as leased railcars, third-party pipelines, trucks and barges to transport crude oil to market. From time to time, we enter into various types of purchase and exchange transactions including fixed-price purchase contracts, collars, financial swaps and crude oil and NGL-related futures contracts as hedging devices.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purchase NGL from producers, refiners and other NGL marketing companies under contracts that typically have ranged from immediate delivery to one year in term. In the last few years, we have implemented an increasing number of contracts with longer terms to ensure capacity utilization and base-load expansion projects. We also acquire NGL from gas shippers by paying an extraction right to remove the liquids from the gas flowing through our straddle plants at Empress, Alberta. We utilize our trucking fleet and pipeline network, as well as leased railcars, third-party tank trucks and third-party pipelines to transport NGL.</w:t>
      </w:r>
    </w:p>
    <w:p>
      <w:pPr>
        <w:spacing w:after="0" w:line="215"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In addition to purchasing crude oil from producers, we purchase both domestic and foreign crude oil in bulk at major hub locations, rail and dock facilities. We also purchase NGL in bulk at major pipeline terminal points and storage facilities from major integrated oil companies, large independent producers or other NGL marketing companies or processors. Crude oil and NGL are purchased in bulk when we believe additional opportunities exist to realize margins further downstream in the crude oil or NGL distribution chain. The opportunities to earn additional margins vary over time with changing market conditions. Accordingly, the margins associated with our bulk purchases will fluctuate from period to period.</w:t>
      </w:r>
    </w:p>
    <w:p>
      <w:pPr>
        <w:spacing w:after="0" w:line="2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Crude Oil and NGL Sales. </w:t>
      </w:r>
      <w:r>
        <w:rPr>
          <w:rFonts w:ascii="Arial" w:cs="Arial" w:eastAsia="Arial" w:hAnsi="Arial"/>
          <w:sz w:val="18"/>
          <w:szCs w:val="18"/>
          <w:color w:val="auto"/>
        </w:rPr>
        <w:t>The activities involved in the supply, logistics and distribution of crude oil and NGL are complex and require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detailed knowledge of crude oil and NGL sources and end markets, as well as a familiarity with a number of factors including individual refinery demand for specific grades of crude oil, area market price structures, location of customers, various modes and availability of transportation facilities to deliver crude oil and NGL to our customers.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sell our crude oil to major integrated oil companies, independent refiners, exporters and other resellers in various types of sale and exchange transactions. Our crude oil sales contracts generally range in term from thirty-day evergreen to five years, with the majority ranging from thirty days to one year. We sell NGL primarily to propane and refined product retailers, petrochemical companies and refiners, and limited volumes to other marketers. The majority of our NGL contracts generally span a term of one year. For contracts greater than one year, pricing mechanisms are typically put in place to ensure any significant cost escalations are accounted for, which may include provisions for annual price negotiations designed to ensure both the buyer and seller remain at market-based pricing. We establish a margin for the crude oil and NGL we purchase by entering into physical sales contracts with third parties, or by entering into a future delivery obligation with respect to futures contracts on the NYMEX, ICE or over-the-counter exchanges. Through these transactions, we seek to maintain a position that is substantially balanced between purchases and sales and future delivery obligations. From time to time, we enter into various types of sale and exchange transactions, including fixed-price delivery contracts, collars, financial swaps and crude oil and NGL-related futures contracts as hedging devices.</w:t>
      </w:r>
    </w:p>
    <w:p>
      <w:pPr>
        <w:spacing w:after="0" w:line="20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Crude Oil and NGL Exchanges. </w:t>
      </w:r>
      <w:r>
        <w:rPr>
          <w:rFonts w:ascii="Arial" w:cs="Arial" w:eastAsia="Arial" w:hAnsi="Arial"/>
          <w:sz w:val="18"/>
          <w:szCs w:val="18"/>
          <w:color w:val="auto"/>
        </w:rPr>
        <w:t>We pursue exchange opportunities to enhance margins throughout the gathering and marketing process. When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arise to increase our margin or to acquire a grade, type or volume of crude oil or NGL that more closely matches our physical delivery requirement, location or the preferences of our customers, we exchange physical crude oil or NGL, as appropriate, with third parties. These exchanges are effected through contracts called exchange or buy/sell agreements. Through an exchange agreement, we agree to buy crude oil or NGL that differs in terms of geographic location, grade of crude oil or type of NGL, or physical delivery schedule from crude oil or NGL we have available for sale. Generally, we enter into exchanges to acquire crude oil or NGL at locations that are closer to our end markets, thereby reducing transportation costs and increasing our margin. We also exchange our crude oil to be physically delivered at a later date, if the exchange is expected to result in a higher margin net of storage costs, and we enter into exchanges based on the grade of crude oil, which includes such factors as sulfur content and specific gravity, in order to meet the quality specifications of our physical delivery contracts. See Note 2 to our Consolidated Financial Statements for further discussion of our accounting for exchange and buy/sell agreements.</w:t>
      </w:r>
    </w:p>
    <w:p>
      <w:pPr>
        <w:spacing w:after="0" w:line="22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Credit. </w:t>
      </w:r>
      <w:r>
        <w:rPr>
          <w:rFonts w:ascii="Arial" w:cs="Arial" w:eastAsia="Arial" w:hAnsi="Arial"/>
          <w:sz w:val="18"/>
          <w:szCs w:val="18"/>
          <w:color w:val="auto"/>
        </w:rPr>
        <w:t>Our merchant activities involve the purchase of crude oil and NGL for resale and require significant extensions of credit by our suppliers.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assure our ability to perform our obligations under the purchase agreements, various credit arrangements are negotiated with our suppliers. These arrangements include open lines of credit and, to a lesser extent, standby letters of credit issued under our hedged inventory facility or our senior unsecured revolving credit facility.</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When we sell crude oil and NGL, we must determine the amount, if any, of credit to be extended to any given customer. We manage our exposure to credit risk through credit analysis, credit approvals, credit limits, prepayment, letters of credit and monitoring procedures.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the majority of our net-cash arrangements.</w:t>
      </w:r>
    </w:p>
    <w:p>
      <w:pPr>
        <w:spacing w:after="0" w:line="21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Because our typical sales transactions can involve large volumes of crude oil, the risk of nonpayment and nonperformance by customers is a major consideration in our business. We believe our sales are made to creditworthy entities or entities with adequate credit support. Generally, sales of crude oil are settled within 30 days of the month of delivery, and pipeline, transportation and terminalling services settle within 30 days from the date we issue an invoice for the provision of services.</w:t>
      </w:r>
    </w:p>
    <w:p>
      <w:pPr>
        <w:spacing w:after="0" w:line="214"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We also have credit risk exposure related to our sales of NGL (principally propane); however, because our sales are typically in relatively small amounts to individual customers, we do not believe that these transactions pose a material concentration of credit risk. Typically, we enter into annual contracts to sell NGL on a forward basis, as well as to sell NGL on a current basis to local distributors and retailers. In certain cases our NGL customers prepay for their purchases, in amounts ranging up to 100% of their contracted amounts.</w:t>
      </w:r>
    </w:p>
    <w:p>
      <w:pPr>
        <w:spacing w:after="0" w:line="21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Certain activities in our Supply and Logistics segment are affected by seasonal aspects, primarily with respect to NGL supply and logistics activities, which are sensitive to weather-related demand, particularly during the approximate five-month peak heating season of November through March.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Dynamic Market Conditions on Our Business Model</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Through our three business segments, we are engaged in the transportation, storage, terminalling and marketing of crude oil, NGL and natural gas.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majority of our activities are focused on crude oil, which is the principal feedstock used by refineries in the production of transportation 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Crude oil, NGL and natural gas commodity prices have historically been very volatile. For example, since the mid-1980s, NYMEX West Texas Intermediate (“WTI”) crude oil benchmark prices have ranged from a low of approximately $10 per barrel during 1986 to a high of over $147 per barrel during 2008. During 2019, WTI crude oil prices traded within a range of approximately $46 to $66 per barrel. There has also been volatility within the propane and butane markets as seen through the North American benchmark price located at Mont Belvieu, Texas. Specifically, over the last ten years, propane prices have ranged from a low of 25% of the WTI benchmark price for crude oil in 2015 to a high of 83% of the WTI benchmark price for crude oil in 2011. During 2019, propane averaged 40% of WTI and on a daily basis traded within a range of 29% to 63% of WTI. During the same ten-year period, butane has seen a price range from a low of 34% of the WTI benchmark price for crude oil in 2019 to a high of 108% of the WTI benchmark price for crude oil in 2017. During 2019, butane averaged 48% of WTI and on a daily basis traded within a range of 34% to 72% of WTI.</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Absent extended periods of lower crude oil or NGL prices that are below production replacement costs or higher crude oil or NGL prices that have a significant adverse impact on consumption, demand for the services we provide in our fee-based Transportation and Facilities segments and our financial results from these activities have little correlation to absolute commodity prices. Relative contribution levels will vary from quarter-to-quarter due to seasonal and other similar factors, but we project that (absent material outperformance in our Supply and Logistics business) our fee-based Transportation and Facilities segments should comprise over 90% of our aggregate segment results.</w:t>
      </w:r>
    </w:p>
    <w:p>
      <w:pPr>
        <w:spacing w:after="0" w:line="20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Results from our supply and logistics activities depend on our ability to sell crude oil and NGL at prices in excess of our aggregate cost. Although segment results may be adversely affected during certain transitional periods as discussed further below, our crude oil and NGL supply, logistics and distribution operations are not directly affected by the absolute level of prices, but are affected by overall levels of supply and demand for crude oil and NGL and relative fluctuations in market-related indices.</w:t>
      </w:r>
    </w:p>
    <w:p>
      <w:pPr>
        <w:spacing w:after="0" w:line="214"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developing our business model and allocating our resources among our three segments, we attempt to anticipate the impacts of shifts between supply-driven markets and demand-driven markets, seasonality, cyclicality, regional surpluses and shortages, economic conditions and a number of other influences that can cause volatility and change market dynamics on a short, intermediate and long-term basis. While our objective is to position the Partnership such that our overall annual cash flow is not materially adversely affected by the absolute level of energy prices, market volatility associated with shifts between demand-driven markets and supply-driven markets or other similar dynamics has in the past, and may in the future present opportunities to realize incremental margins; however, when market conditions are more challenging (i.e., the supply and demand dynamics do not give rise to attractive differentials or spreads), our pipeline flows may be adversely impacted and/or our Supply and Logistics segment may not fully recover its costs on certain transactions.</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executing our business model, we employ a variety of financial risk management tools and techniques, predominantly in our Supply and Logistics segment. These are discussed in greater detail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order to hedge margins involving our physical assets and manage risks associated with our various commodity purchase and sale obligations and, in certain circumstances, to realize incremental margin during volatile market conditions, we use derivative instruments. We also use various derivative instruments to manage our exposure to interest rate risk and currency exchange rate risk. In analyzing our risk management activities, we draw a distinction between enterprise-level risks and trading-related risks. Enterprise-level risks are those that underlie our core businesses and may be managed based on management’s assessment of the cost or benefit of doing so. Conversely, trading-related risks (the risks involved in trading in the hopes of generating an increased return) are not inherent in our core business; rather, those risks arise as a result of engaging in trading activities. Our policy is to manage the enterprise-level risks inherent in our core businesses by using financial derivatives to protect our ability to generate cash flow and optimize asset profitability, rather than trying to profit from trading activity. Our commodity risk management policies and procedures are designed to monitor NYMEX, ICE and over-the-counter positions, as well as physical volumes, grades, locations, delivery schedules and storage capacity, to help ensure that our hedging activities address our risks. Our interest rate and currency exchange rate risk management policies and procedures are designed to monitor our derivative positions and ensure that those positions are consistent with our objectives and approved strategies. We have a risk management function that has direct responsibility and authority for our risk policies, related controls around commercial activities and procedures and certain other aspects of corporate risk management. Our risk management function also approves all new risk management strategies through a formal process. Our approved strategies are intended to mitigate and manage enterprise-level risks that are inherent in our core businesses.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policy is generally to structure our purchase and sales contracts so that price fluctuations do not materially affect our operating income, and not to acquire and hold physical inventory or derivatives for the purpose of speculating on outright commodity price changes. Although we seek to maintain a position that is substantially balanced within our supply and logistics activities, we purchase crude oil, NGL and natural gas from thousands of locations and may experience net unbalanced positions for short periods of time as a result of production, transportation and delivery variances as well as logistical issues associated with inclement weather conditions and other uncontrollable events that may occur. When unscheduled physical inventory builds or draws do occur, they are monitored constantly and managed to a balanced position over a reasonable period of time. This activity is monitored independently by our risk management function and must take place within predefined limits and authorizations.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Marathon Petroleum Corporation and its subsidiaries accounted for 12%, 14% and 19% of our revenues for the years ended December 31, 2019, 2018 and 2017, respectively. ExxonMobil Corporation and its subsidiaries accounted for 12%, 14% and 11% of our revenues for the years ended December 31, 2019, 2018 and 2017, respectively. Phillips 66 Company and its subsidiaries accounted for 11% of our revenues for each of the years ended December 31, 2019 and 2017. No other customers accounted for 10% or more of our revenues during any of the three years ended December 31, 2019.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 For a discussion of customers and industry concentration risk, see Note 16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Competition among pipelines is based primarily on transportation charges, access to producing areas and supply regions and demand for crude oil and NGL by end users. Although new pipeline projects represent a source of competition for our business, there are also existing third-party owned pipelines with excess capacity in the vicinity of our operations that expose us to significant competition based on the relatively low operating cost associated with moving an incremental barrel of crude oil or NGL through such unutilized capacity. In areas where additional infrastructure is being built or has been built to accommodate new or increased production or changing product flows, we face competition in providing the required infrastructure solutions as well as the risk that capacity in the area will be overbuilt for the foreseeable future. For example, over the last 18 months, several new pipeline projects for takeaway capacity from the Permian Basin, where we have significant operations, have been announced, are currently under construction or have been placed in service. Combined with current pipeline takeaway capacity, these pipeline projects have and will continue to result in excess Permian takeaway capacity relative to projected crude oil production volumes in the Permian Basin. In combination with incremental shipper commitments or dedications, the ratio of excess capacity to uncommitted barrels is expected to increase significantly, amplifying the competition for incremental barrels to fill available capacity on our assets and resulting in downward pressure on margins.</w:t>
      </w:r>
    </w:p>
    <w:p>
      <w:pPr>
        <w:spacing w:after="0" w:line="21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depending upon the specific movement, pipelines, which generally offer the lowest cost of transportation, may also face competition from other forms of transportation, such as truck, rail and barge. Although these alternative forms of transportation are typically higher cost, they can provide access to alternative markets at which a higher price may be realized for the commodity being transported, thereby overcoming the increased transportation cost.</w:t>
      </w:r>
    </w:p>
    <w:p>
      <w:pPr>
        <w:spacing w:after="0" w:line="21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also face competition with respect to our supply and logistics and facilities services. Our competitors include other crude oil and NGL pipeline and terminalling companies, other NGL processing and fractionation companies, the major integrated oil companies and their marketing affiliates, independent gatherers, private equity backed entities, banks that have established a trading platform, brokers and marketers of widely varying sizes, financial resources and experience. Some of these competitors have capital resources greater than ours. The addition of new pipelines supported by minimum volume commitments and/or acreage dedications could also amplify the level of competition for purchasing wellhead barrels, especially in the Permian Basin and thus impact our margins.</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With respect to our natural gas storage operations, the principal elements of competition are rates, terms of service, supply and market access and flexibility of service. An increase in competition in our markets could arise from new ventures or expanded operations from existing competitors. Our natural gas storage facilities compete with several other storage providers, including regional storage facilities and utilities. Certain pipeline companies have storage facilities connected to their systems that compete with some of our facilities.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assets, operations and business activities are subject to extensive legal requirements and regulations under the jurisdiction of numerous federal, state, provincial and local agencies. Many of these agencies are authorized by statute to issue, and have issued, requirements binding on the pipeline industry, related businesses and individual participants. The failure to comply with such legal requirements and regulations can result in substantial fines and penalties, expose us to civil and criminal claims, and cause us to incur significant costs and expenses. See Item 1A. “Risk Factors—Risks Related to PAA’s Business— PAA’s operations are also subject to laws and regulations relating to protection of the environment and wildlife, operational safety, climate change and related matters that may expose it to significant costs and liabilities. The current laws and regulations affecting our business are subject to change and in the future PAA may be subject to additional laws and regulations, which could adversely impact PAA’s business.” At any given time there may be proposals, provisional rulings or proceedings in legislation or under governmental agency or court review that could affect our business. The regulatory burden on our assets, operations and activities increases our cost of doing business and, consequently, affects our profitability. We can provide no assurance that the increased costs associated with any new or proposed laws, rules or regulations will not be material. We may at any time also be required to apply significant resources in responding to governmental requests for information and/or enforcement actions.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but not all, of the laws and regulations affecting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Regulation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involving the storage, treatment, processing and transportation of liquid and gaseous hydrocarbons, including crude oil, are subject to stringent federal, state, provincial and local laws and regulations governing the discharge of materials into the environment or otherwise relating to protection of the environment. As with the industry generally, compliance with these laws and regulations increases our overall cost of doing business, including our capital costs to construct, maintain and upgrade equipment and facilities as regulations are updated or new regulations are invoked. Failure to comply with these laws and regulations could result in the assessment of administrative, civil and criminal penalties, the imposition of investigatory and remedial liabilities and the issuance of injunctions or other orders that may subject us to additional operational constraints. Failure to comply with these laws and regulations could also result in negative public perception of our operations or the industry in general, which may adversely impact our ability to conduct our business. Environmental and safety laws and regulations are subject to changes that may result in more stringent requirements, and we cannot provide any assurance that compliance with current and future laws and regulations will not have a material effect on our results of operations or earnings. A discharge of hazardous liquids into the environment could, to the extent such event is not insured, subject us to substantial expense, including both the cost to comply with applicable laws and regulations and any claims made by third parties. The following is a summary of some of the environmental, health and safety laws and regulations to which our operations are subject.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 Safety/Integrity Management</w:t>
      </w:r>
    </w:p>
    <w:p>
      <w:pPr>
        <w:spacing w:after="0" w:line="2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A substantial portion of our petroleum pipelines and our storage tank facilities in the United States are subject to regulation by the Department of Transportation’s (“DOT”) Pipeline and Hazardous Materials Safety Administration (“PHMSA”) pursuant to the Hazardous Liquids Pipeline Safety Act of 1979, as amended (the “HLPSA”). The HLPSA imposes safety requirements on the design, installation, testing, construction, operation, replacement and management of pipeline and tank facilities. Federal regulations implementing the HLPSA require pipeline operators to adopt measures designed to reduce the environmental impact of oil discharges from onshore oil pipelines, including the maintenance of comprehensive spill response plans and the performance of extensive spill response training for pipeline personnel. These regulations also require pipeline operators to develop and maintain a written qualification program for individuals performing covered tasks on pipeline facilities. Comparable regulation exists in some states in which we conduct intrastate common carrier or private pipeline operations. Regulation in Canada is under the Canada Energy Regulator (“CER”), formerly the National Energy Board, and provincial agencies.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HLPSA was amended by the Pipeline Safety Improvement Act of 2002 and the Pipeline Inspection, Protection, Enforcement and Safety Act of 2006. These amendments have resulted in the adoption of rules by the DOT that require transportation pipeline operators to implement integrity management programs, including frequent inspections, correction of identified anomalies and other measures, to ensure pipeline safety in “high consequence areas” such as high population areas,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areas unusually sensitive to environmental damage, and commercially navigable waterways. In the United States, our costs associated with the inspection, testing and correction of identified anomalies were approximately $65 million in 2019. Based on currently available information, our preliminary estimate for 2020 is that we will incur approximately $58 million in expenditures associated with our required pipeline integrity management program. However, significant additional expenses could be incurred if new or more stringently interpreted pipeline safety requirements are implemented. In addition to required activities, our integrity management program includes several voluntary, multi-year initiatives designed to prevent incidents. Costs incurred in connection with these voluntary initiatives were approximately $42 million in 2019, and our preliminary estimate for 2020 is that we will incur approximately $38 million of such costs.</w:t>
      </w:r>
    </w:p>
    <w:p>
      <w:pPr>
        <w:spacing w:after="0" w:line="216"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PHMSA was reauthorized and the HLPSA was amended in 2011 and 2016. The regulatory changes precipitated by these actions have increased our cost to operate. For example, in October 2019, PHMSA published three final rules that create or expand reporting, inspection, maintenance and other pipeline safety obligations. We are in the process of assessing the impact of these rules on our future costs of operations and revenue from operations.</w:t>
      </w:r>
    </w:p>
    <w:p>
      <w:pPr>
        <w:spacing w:after="0" w:line="17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October 2015, the Governor of California signed the Oil Spill Response: Environmentally and Ecologically Sensitive Areas Bill (“AB-864”) which requires new and existing pipelines located near environmentally and ecologically sensitive areas connected to or located in the coastal zone to use best available technologies to reduce the amount of oil released in an oil spill to protect state waters and wildlife. Best available technology includes, but is not limited to, installation of leak detection technologies, automatic shutoff systems, or remote controlled sectionalized block valves, or any combination of these technologies based on a risk analysis conducted by the operator. The California Office of the State Fire Marshal is in the process of developing the regulations required by AB 864 and issued updated draft regulations in January 2019. The updated draft regulations (while not yet adopted) require that the risk analysis, plans for installation of best available technology and any exemption requests be submitted in 2020 and installation of best available technology, if required, be completed by July 2022. These deadlines could change depending upon the date the final regulations are adopted. Compliance with these new regulations will impact our pipeline operations in California and add to the cost to operate the pipelines subject to these rules.</w:t>
      </w:r>
    </w:p>
    <w:p>
      <w:pPr>
        <w:spacing w:after="0" w:line="19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DOT has issued guidelines with respect to securing regulated facilities against terrorist attack. We have instituted security measures and procedures in accordance with such guidelines to enhance the protection of certain of our facilities; however, we cannot provide any assurance that these security measures would fully protect our facilities from an attack.</w:t>
      </w:r>
    </w:p>
    <w:p>
      <w:pPr>
        <w:spacing w:after="0" w:line="20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DOT has generally adopted American Petroleum Institute Standard (“API”) 653 as the standard for the inspection, repair, alteration and reconstruction of steel aboveground petroleum storage tanks subject to DOT jurisdiction. API 653 requires regularly scheduled inspection and repair of tanks remaining in service. In the United States, our costs associated with this program were approximately $52 million in 2019. For 2020, we have budgeted approximately $57 million in connection with continued API 653 compliance activities and similar new EPA regulations for tanks not regulated by the DOT. Certain storage tanks may be taken out of service if we believe the cost of compliance will exceed the value of the storage tanks or replacement tankage may be constructed.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In Canada, the CER and provincial agencies regulate the safety and integrity management of pipelines and storage tanks used for hydrocarbon transmission. We have incurred and will continue to incur costs related to such regulatory requirements.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continue to implement Pipeline, Facility and Cavern Integrity Management Programs to comply with applicable regulatory requirements and assist in our efforts to mitigate risk. Costs incurred for such integrity management activities were approximately $66 million in 2019. We are increasing our integrity dig and pipeline replacement projects to ensure safe and reliable operations as we seek to expand volumes on certain of our systems. Our preliminary estimate for 2020 is that we will incur approximately $95 million of costs on such projects.</w:t>
      </w:r>
    </w:p>
    <w:p>
      <w:pPr>
        <w:spacing w:after="0" w:line="21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cannot predict the potential costs associated with additional, future regulation. Significant additional expenses could be incurred, and additional operational requirements and constraints could be imposed, if new or more stringently interpreted pipeline safety requirements are implemented.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9000"/>
        <w:spacing w:after="0"/>
        <w:rPr>
          <w:sz w:val="20"/>
          <w:szCs w:val="20"/>
          <w:color w:val="auto"/>
        </w:rPr>
      </w:pPr>
      <w:r>
        <w:rPr>
          <w:rFonts w:ascii="Arial" w:cs="Arial" w:eastAsia="Arial" w:hAnsi="Arial"/>
          <w:sz w:val="15"/>
          <w:szCs w:val="15"/>
          <w:b w:val="1"/>
          <w:bCs w:val="1"/>
          <w:i w:val="1"/>
          <w:iCs w:val="1"/>
          <w:color w:val="auto"/>
        </w:rPr>
        <w:t>Occupational Safety and Health</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the United States, we are subject to the requirements of the Occupational Safety and Health Act, as amended (“OSHA”) and comparable state statutes that regulate the protection of the health and safety of workers. In addition, the OSHA hazard communication standard requires that certain information be maintained about hazardous materials used or produced in operations and that this information be provided to employees, state and local government authorities and citizens. Certain of our facilities are subject to OSHA Process Safety Management (“PSM”) regulations, which are designed to prevent or minimize the consequences of catastrophic releases of toxic, reactive, flammable or explosive chemicals. These regulations apply to any process which involves a chemical at or above specified thresholds or any process that involves 10,000 pounds or more of a flammable liquid or gas in one location.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Similar regulatory requirements exist in Canada under the federal and provincial Occupational Health and Safety Acts, Regulations and Codes. The agencies with jurisdiction under these regulations are empowered to enforce them through inspection, audit, incident investigation or investigation of a public or employee complaint. In some jurisdictions, the agencies have been empowered to administer penalties for contraventions without the company first being prosecuted. Additionally, under the Criminal Code of Canada, organizations, corporations and individuals may be prosecuted criminally for violating the duty to protect employee and public safety.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Waste</w:t>
      </w:r>
    </w:p>
    <w:p>
      <w:pPr>
        <w:spacing w:after="0" w:line="25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We generate wastes, including hazardous wastes, which are subject to the requirements of the federal Resource Conservation and Recovery Act, as amended (“RCRA”), and analogous state and provincial laws. Many of the wastes that we generate are not subject to the most stringent requirements of RCRA because our operations generate primarily oil and gas wastes, which currently are excluded from consideration as RCRA hazardous wastes. It is possible, however, that in the future, the exclusion for oil and gas waste under RCRA may be revisited and our wastes subject to more rigorous and costly disposal requirements, resulting in additional capital expenditures or operating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Substances</w:t>
      </w:r>
    </w:p>
    <w:p>
      <w:pPr>
        <w:spacing w:after="0" w:line="25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federal Comprehensive Environmental Response, Compensation and Liability Act, as amended (“CERCLA”), also known as “Superfund,” and comparable state laws impose liability, without regard to fault or the legality of the original act, on certain classes of persons that contributed to the release of a “hazardous substance” into the environment. These persons include the owner or operator of the site or sites where the release occurred and companies that disposed of, or arranged for the disposal of, the hazardous substances found at the site. Such persons may be subject to strict, joint and several liability for the costs of cleaning up the hazardous substances that have been released into the environment, for damages to natural resources, and for the costs of certain health studies. It is not uncommon for neighboring landowners and other third parties to file claims for personal injury and property damage allegedly caused by hazardous substances or other pollutants released into the environment. In the course of our ordinary operations, we may generate waste that falls within CERCLA’s definition of a “hazardous substance.” Canadian federal and provincial laws also impose liabilities for releases of certain substances into the environment.</w:t>
      </w:r>
    </w:p>
    <w:p>
      <w:pPr>
        <w:spacing w:after="0" w:line="20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subject to the Environmental Protection Agency’s (“EPA”) Risk Management Plan regulations at certain facilities. These regulations are intended to work with OSHA’s PSM regulations to minimize the offsite consequences of catastrophic releases. The regulations require us to develop and implement a risk management program that includes a five-year accident history, an offsite consequence analysis process, a prevention program and an emergency response program. In January 2016, the EPA finalized revisions to the Risk Management Plan (“RMP”) rules, including requirements for the use of third-party compliance audits, root cause analyses for facilities that experience releases, process hazard analyses and enhanced information-sharing provisions, effective March 2017. In November 2019, the EPA finalized revisions to the RMP rules, removing requirements related to public disclosure, third-party audits and post-incident root cause analyses, among others. However, several environmental groups and trade unions have challenged the EPA’s revised rule. OSHA has announced that it is considering similar revisions to the PSM rule, but, to date, has not issued a Notice of Proposed Rulemaking. The potential for further revisions to either the RMP or PSM rule is uncertain at this time.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252"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We currently own or lease, and in the past have owned or leased, properties where potentially hazardous liquids, including hydrocarbons, are or have been handled. These properties may be subject to CERCLA, RCRA and state and Canadian federal and provincial laws and regulations. Under such laws and regulations, we could be required to remove or remediate potentially hazardous liquids or associated wastes (including wastes disposed of or released by prior owners or operators) and to clean up contaminated property (including contaminated groundwater).</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Assets we have acquired or will acquire in the future may have environmental remediation liabilities for which we are not indemnified. We have in the past experienced and in the future may experience releases of hydrocarbon products into the environment from our pipeline, rail, storage and other facility operations. We may also discover environmental impacts from past releases that were previously unidentified. The costs and liabilities associated with any such releases or environmental impacts could be significant and may not be covered by insurance; accordingly, such costs and liabilities could have a material adverse impact on our results of operations and/or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 Emissions</w:t>
      </w:r>
    </w:p>
    <w:p>
      <w:pPr>
        <w:spacing w:after="0" w:line="252"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United States operations are subject to the United States Clean Air Act (“Clean Air Act”), comparable state laws and associated federal, state and local regulations. Our Canadian operations are also subject to federal and provincial air emission regulations, which are discussed in subsequent sections.</w:t>
      </w:r>
    </w:p>
    <w:p>
      <w:pPr>
        <w:spacing w:after="0" w:line="151"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As a result of the changing air emission requirements in both Canada and the United States, we may be required to incur certain capital and operating expenditures in the next several years to install air pollution control equipment and otherwise comply with more stringent federal, state, provincial and regional air emissions control requirements when we attempt to obtain or maintain permits and approvals for sources of air emissions. We can provide no assurance that future air compliance obligations will not have a material adverse effect on our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Initiatives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EPA has adopted rules for reporting the emission of carbon dioxide, methane and other greenhouse gases (“GHG”) from certain sources. Fewer than ten of our facilities are presently subject to the federal GHG reporting requirements. These include facilities with combustion GHG emissions and potential fugitive emissions above the reporting thresholds. We import sufficient quantities of finished fuel products into the United States to be required to report that activity as well.</w:t>
      </w:r>
    </w:p>
    <w:p>
      <w:pPr>
        <w:spacing w:after="0" w:line="214"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In June 2016, the EPA finalized regulations affecting new, modified and reconstructed sources of air emissions in the oil and natural gas sector (NSPS Subpart OOOOa) that require significant reductions in fugitive methane emissions from certain upstream and midstream oil and gas facilities. These new rules also require operators to implement fugitive emission leak detection and repair requirements for compressor stations. However, the EPA has taken several steps to delay implementation of its methane rules, and the agency proposed a rulemaking in June 2017 to stay the requirements for a period of two years and revisit implementation of the methane rules in their entirety. In September 2019, the EPA proposed changes to NSPS Subpart OOOOa that, if finalized, would remove methane-specific requirements from the rule, and could remove the natural gas transmission and storage segment from the list of covered activities entirely. It is not known when these rule changes will be finalized, and legal challenges to any final rulemaking are expected. As a result of these developments, the final scope of methane regulatory requirements or the cost to comply with such requirements is uncertain at this time. Several states have either proposed or finalized similar regulations related to the reduction of methane emissions from the oil and natural gas sector.</w:t>
      </w:r>
    </w:p>
    <w:p>
      <w:pPr>
        <w:spacing w:after="0" w:line="19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California has implemented a GHG cap-and-trade program, authorized under Assembly Bill 32 (“AB32”). Since its start in 2014, California’s cap-and-trade program has only applied to large industrial facilities with carbon dioxide equivalent emissions over 25,000 metric tons. The California Air Resources Board has published a list of facilities that are subject to this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program. At this time, the list only includes one of our facilities, the Lone Star Gas Liquids facility in Shafter, California because it is a significant combustion and propane fractionation source. As a result, compliance instruments for GHG emissions have been purchased since 2013.</w:t>
      </w:r>
    </w:p>
    <w:p>
      <w:pPr>
        <w:spacing w:after="0" w:line="15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Effective January 1, 2015, the AB32 regulations also covered finished fuel providers and importers. California finished fuels providers (refiners and importers) are required to purchase GHG emission credits for finished fuel sold in or imported into California. Plains Marketing was included in this portion of the regulation due to propane imports and completed its first year of compliance in 2016. The compliance requirements of the GHG cap-and-trade program through 2020 are currently being phased in. Effective January 1, 2018, importers of finished fuels responsible for compliance costs associated with GHG has changed from the consignee to the importer on title of the product. Plains Midstream Canada is now included in this change to the rule due to its imports of propane into California and submitted its first compliance report in 2019.</w:t>
      </w:r>
    </w:p>
    <w:p>
      <w:pPr>
        <w:spacing w:after="0" w:line="20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Executive Order B-30-15 was signed by California’s Governor in mid-2015. This Executive Order requires a 40% reduction in GHG emissions from the 1990 baseline level by 2030. The current 2020 goals for GHG emissions reductions are at 15% below the 1990 baseline level. Compliance with this reduction requirement may necessitate the lowering of the threshold for industrial facilities required to participate in the GHG cap and trade program.</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While it is not possible at this time to predict how federal or state governments may choose to regulate GHG emissions, any new regulatory restrictions on GHG emissions could result in material increased compliance costs, additional operating restrictions and an increase in the cost of feedstock and products produced by our refinery customers.</w:t>
      </w:r>
    </w:p>
    <w:p>
      <w:pPr>
        <w:spacing w:after="0" w:line="208" w:lineRule="exact"/>
        <w:rPr>
          <w:sz w:val="20"/>
          <w:szCs w:val="20"/>
          <w:color w:val="auto"/>
        </w:rPr>
      </w:pPr>
    </w:p>
    <w:p>
      <w:pPr>
        <w:ind w:right="20" w:firstLine="648"/>
        <w:spacing w:after="0" w:line="262" w:lineRule="auto"/>
        <w:rPr>
          <w:sz w:val="20"/>
          <w:szCs w:val="20"/>
          <w:color w:val="auto"/>
        </w:rPr>
      </w:pPr>
      <w:r>
        <w:rPr>
          <w:rFonts w:ascii="Arial" w:cs="Arial" w:eastAsia="Arial" w:hAnsi="Arial"/>
          <w:sz w:val="17"/>
          <w:szCs w:val="17"/>
          <w:color w:val="auto"/>
        </w:rPr>
        <w:t>In December 2015, the Paris Agreement was signed at the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annual Conference of Parties to the United Nations Framework Convention on Climate Change (“UNFCCC”). The Paris Agreement, which came into effect in November 2016, requires signatory parties to develop and implement carbon emission reduction policies with a goal of limiting the rise in average global temperatures to 2°C or less. The United States and Canada are currently signatories to the Agreement; however, in June 2017, President Trump stated that the United States would withdraw from the Paris Agreement, but may enter into a future international agreement related to GHGs. In August 2017, the U.S. State Department officially informed the United Nations of the intent of the United States to withdraw from the Paris Agreement. The earliest possible effective date for withdrawal by the United States is November 2020. The United States’ adherence to the exit process is uncertain and/or the terms on which the United States may reenter the Paris Agreement or a separately negotiated agreement are unclear at this time. The Paris Agreement is likely to become a significant driver for future potential GHG reduction programs in participating countries. Notwithstanding potential risks related to climate change, the International Energy Agency estimates that global energy demand will continue to rise and will not peak until after 2040 and that oil and gas will continue to represent a substantial percentage of global energy use over that time. Finally, to the extent increasing concentrations of GHGs in the Earth’s atmosphere may produce climate changes that have significant physical effects, such as increased frequency and severity of storms, droughts, floods and other climatic events, such events could have a material adverse effect on our assets, particularly those located in coastal or flood prone areas.</w:t>
      </w:r>
    </w:p>
    <w:p>
      <w:pPr>
        <w:spacing w:after="0" w:line="21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Although it is not possible at this time to predict how legislation or new regulations that may be adopted to address GHG emissions would impact our business, any such future laws and regulations could result in increased compliance costs or additional operating restrictions, and could have a material adverse effect on our business, demand for our services, financial condition, results of operations and cash flows.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 xml:space="preserve">Federal Regulations. </w:t>
      </w:r>
      <w:r>
        <w:rPr>
          <w:rFonts w:ascii="Arial" w:cs="Arial" w:eastAsia="Arial" w:hAnsi="Arial"/>
          <w:sz w:val="16"/>
          <w:szCs w:val="16"/>
          <w:color w:val="auto"/>
        </w:rPr>
        <w:t>Large emitters of GHG have been required to report their emissions under the Canadian Greenhouse Gas Emissions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since 2004. Effective January 1, 2018, the Federal Department of Environment and Climate Change lowered the reporting threshold for all facilities from 50 thousand tonnes per year (“kt/y”) to 10 kt/y GHG emissions. This has resulted in one additional PMC facility (for a total of four locations) being currently required to prepare annual reports of their emissions. The associated costs with this new reporting requirement is not considered to be material.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December 2015, the UNFCCC ratified the Paris Agreement to accelerate climate change initiatives and to intensify the actions of member nations in the reduction of GHG emissions. This ratification also included requirements that all parties report on their emissions status and agreement for a review every five years to assess success among member nations in attaining objectives and targets under this agreement. The Government of Canada has implemented a pan-Canadian approach to pricing carbon pollution requiring all Canadian provinces and territories to have carbon pricing in place by 2018, which is now in effect. The provinces and territories were granted flexibility in deciding how they implement carbon pricing either by placing a direct price on carbon pollution or adopting a cap and trade system. The Provincial programs that fail to meet the Federal government’s requirements for their programs are required to adopt the Federal program. The Federal program includes two components: a direct price on carbon pollution (the Federal price on carbon pollution will start at $20/tonne in 2019 and rise by $10 a year to reach $50/tonne in 2022) and an output based pricing system (“OBPS”) designed to address competitiveness risk for large emitters.</w:t>
      </w:r>
    </w:p>
    <w:p>
      <w:pPr>
        <w:spacing w:after="0" w:line="20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April 2018, the Federal Department of Environment and Climate Change introduced regulations designed to reduce methane emissions by up to 45% by 2025 (from 2012 levels) from oil and natural gas facilities. The scope and requirements of the proposed rule are similar to the EPA methane rules described above. Effective June 2017, the Federal Department of Environment and Climate Change has introduced the Multi Sector Air Pollutants Regulations which set air pollution emission standards across Canada for several industrial sectors that utilize applicable equipment regulated under this program. The regulations establish specific limits to the amount of nitrogen oxides emitted from gas fueled boilers, heaters and stationary spark-ignition engines above a specified power rating. Based on these regulations, reporting obligations exist that are associated with seven facilities with equipment that meets specifications of the program. The implications of these regulations coming into effect are not believed to be material.</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Provincial Regulations</w:t>
      </w:r>
    </w:p>
    <w:p>
      <w:pPr>
        <w:spacing w:after="0" w:line="256"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Ontario</w:t>
      </w:r>
      <w:r>
        <w:rPr>
          <w:rFonts w:ascii="Arial" w:cs="Arial" w:eastAsia="Arial" w:hAnsi="Arial"/>
          <w:sz w:val="17"/>
          <w:szCs w:val="17"/>
          <w:color w:val="auto"/>
        </w:rPr>
        <w:t>. In February 2015, the Ontario Ministry of Environment and Climate Change issued a discussion paper that identified carbon pricing as a</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action necessary to reduce emissions of GHGs. In April 2015, the Ontario government announced it would be implementing a GHG cap and trade program, which would be implemented through the Western Climate Initiative (“WCI”), which included Quebec and California. Mandatory participants for the program were responsible for their emissions starting January 1, 2017. PMC’s facility at Sarnia was considered a mandatory participant in the program. In June 2018, the newly formed Ontario Provincial government repealed the provincial GHG cap and trade program with the passing of the Cap and Trade Cancellation Act. The lack of a provincial GHG program now subjects the province to the federal carbon pricing backstop program (OBPS) for large emitting facilities. According to the legislation, PMC’s facility at Sarnia is a mandatory participant under the OBPS. Compliance with the federal OBPS is not expected to have a material adverse effect on our operations.</w:t>
      </w:r>
    </w:p>
    <w:p>
      <w:pPr>
        <w:spacing w:after="0" w:line="206"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In July 2019, the Ontario government implemented the Emissions Performance Standards (“EPS”) regulation as an initial step to establishing a successor program to the repealed GHG cap and trade program. This program, when fully implemented would serve as a replacement for the federal OBPS. Efforts to comply with EPS requirements are not material at this time.</w:t>
      </w:r>
    </w:p>
    <w:p>
      <w:pPr>
        <w:spacing w:after="0" w:line="209"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In 2018, the Ontario government introduced an updated Sulphur Dioxide (“SO2”) standard which requires the reduction of SO2 from the current one hour average emission rate of 690 micrograms per cubic meter of air (“µg/m3”) to the new one hour standard of 100 µg/m3 by 2023 at industrial facilities. The introduction of this reduction measure requires evaluation of current emissions and may require equipment upgrades at our Sarnia facility. The evaluation process has not been concluded and the impact of the standard is still under review.</w:t>
      </w:r>
    </w:p>
    <w:p>
      <w:pPr>
        <w:spacing w:after="0" w:line="215" w:lineRule="exact"/>
        <w:rPr>
          <w:sz w:val="20"/>
          <w:szCs w:val="20"/>
          <w:color w:val="auto"/>
        </w:rPr>
      </w:pPr>
    </w:p>
    <w:p>
      <w:pPr>
        <w:ind w:right="60" w:firstLine="648"/>
        <w:spacing w:after="0" w:line="270" w:lineRule="auto"/>
        <w:rPr>
          <w:sz w:val="20"/>
          <w:szCs w:val="20"/>
          <w:color w:val="auto"/>
        </w:rPr>
      </w:pPr>
      <w:r>
        <w:rPr>
          <w:rFonts w:ascii="Arial" w:cs="Arial" w:eastAsia="Arial" w:hAnsi="Arial"/>
          <w:sz w:val="16"/>
          <w:szCs w:val="16"/>
          <w:i w:val="1"/>
          <w:iCs w:val="1"/>
          <w:color w:val="auto"/>
        </w:rPr>
        <w:t xml:space="preserve">Alberta. </w:t>
      </w:r>
      <w:r>
        <w:rPr>
          <w:rFonts w:ascii="Arial" w:cs="Arial" w:eastAsia="Arial" w:hAnsi="Arial"/>
          <w:sz w:val="16"/>
          <w:szCs w:val="16"/>
          <w:color w:val="auto"/>
        </w:rPr>
        <w:t>The Alberta Climate Change and Emissions Management Act provided a framework for managing GHG emissions with the intent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specified gas emissions to 50% of 1990 levels by December 31, 2020. The Specified Gas Emitters Regulation (“SGER”) was the initial program introduced which imposed GHG emissions limits on large emitters and required reductions in GHG emissions intensity. In January 2018, the SGER was replaced with the Carbon Competitive Incentive Regulation (“CCIR”) for compliance years 2018 and 2019. In January 2020, the Emissions Management and Climate Resilience Act replaces the Climate Change and Emissions Management Act and the CCIR will be replaced with the Technology Innovation and Emissions Reduction (“TIER”) regulation. Compliance options under the TIER are similar to those under the previous SGER and CCIR programs such that a</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GHG fund credit purchase will be required if reduction targets identified under the program are not attained. PMC’s Empress VI facility is a mandatory participant under the TIER. For economic reasons, Ft. Saskatchewan and six other PMC facilities have opted in to be a part of the TIER program for 2020. By opting in, the fuel consumption at these asset locations avoid being subject to the federal fuel charge.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43" w:lineRule="auto"/>
        <w:rPr>
          <w:sz w:val="20"/>
          <w:szCs w:val="20"/>
          <w:color w:val="auto"/>
        </w:rPr>
      </w:pPr>
      <w:r>
        <w:rPr>
          <w:rFonts w:ascii="Arial" w:cs="Arial" w:eastAsia="Arial" w:hAnsi="Arial"/>
          <w:sz w:val="18"/>
          <w:szCs w:val="18"/>
          <w:color w:val="auto"/>
        </w:rPr>
        <w:t>Alberta repealed the provincial “Climate Leadership Act” in May 2019 and removed its provincial carbon pricing program. The province is now subject to the federal carbon pricing program effective January 1, 2020. Assets within the TIER program are exempt from the federal carbon pricing program but other fuel consumption as part of operations is subject to the federal levies. The federal fuel charge cost increase has been captured as part of the annual budgeting cycle.</w:t>
      </w:r>
    </w:p>
    <w:p>
      <w:pPr>
        <w:spacing w:after="0" w:line="215" w:lineRule="exact"/>
        <w:rPr>
          <w:sz w:val="20"/>
          <w:szCs w:val="20"/>
          <w:color w:val="auto"/>
        </w:rPr>
      </w:pPr>
    </w:p>
    <w:p>
      <w:pPr>
        <w:jc w:val="both"/>
        <w:ind w:right="320" w:firstLine="648"/>
        <w:spacing w:after="0" w:line="248" w:lineRule="auto"/>
        <w:rPr>
          <w:sz w:val="20"/>
          <w:szCs w:val="20"/>
          <w:color w:val="auto"/>
        </w:rPr>
      </w:pPr>
      <w:r>
        <w:rPr>
          <w:rFonts w:ascii="Arial" w:cs="Arial" w:eastAsia="Arial" w:hAnsi="Arial"/>
          <w:sz w:val="18"/>
          <w:szCs w:val="18"/>
          <w:color w:val="auto"/>
        </w:rPr>
        <w:t>In association with the federal methane reduction targets, the Alberta Energy Regulator amended Directive 60 to outline reduction requirements. New reporting measures and requirements for fugitive emission surveys came into force in January 2020. Cost for reporting and completing surveys have been captured within the 2020 and beyond annual operational budgets.</w:t>
      </w:r>
    </w:p>
    <w:p>
      <w:pPr>
        <w:spacing w:after="0" w:line="209" w:lineRule="exact"/>
        <w:rPr>
          <w:sz w:val="20"/>
          <w:szCs w:val="20"/>
          <w:color w:val="auto"/>
        </w:rPr>
      </w:pPr>
    </w:p>
    <w:p>
      <w:pPr>
        <w:ind w:right="40" w:firstLine="648"/>
        <w:spacing w:after="0" w:line="241" w:lineRule="auto"/>
        <w:rPr>
          <w:sz w:val="20"/>
          <w:szCs w:val="20"/>
          <w:color w:val="auto"/>
        </w:rPr>
      </w:pPr>
      <w:r>
        <w:rPr>
          <w:rFonts w:ascii="Arial" w:cs="Arial" w:eastAsia="Arial" w:hAnsi="Arial"/>
          <w:sz w:val="18"/>
          <w:szCs w:val="18"/>
          <w:i w:val="1"/>
          <w:iCs w:val="1"/>
          <w:color w:val="auto"/>
        </w:rPr>
        <w:t>Other Canadian Jurisdictions</w:t>
      </w:r>
      <w:r>
        <w:rPr>
          <w:rFonts w:ascii="Arial" w:cs="Arial" w:eastAsia="Arial" w:hAnsi="Arial"/>
          <w:sz w:val="18"/>
          <w:szCs w:val="18"/>
          <w:color w:val="auto"/>
        </w:rPr>
        <w:t>. Nova Scotia and Quebec Cap and Trade programs cover propane supplied by PMC into the Nova Scotia and Quebec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PMC is required to purchase GHG emission credits and submit annual compliance reports under each province’s respective Cap and Trade program. Program compliance costs will be passed along to the purchaser. Effective April 1, 2019, the federal carbon pricing program came into effect for provinces that do not have a carbon pricing program in place. This includes Saskatchewan, Manitoba, Ontario and New Brunswick. Program compliance costs will be passed along to the purchaser.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w:t>
      </w:r>
    </w:p>
    <w:p>
      <w:pPr>
        <w:spacing w:after="0" w:line="252"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The U.S. Federal Water Pollution Control Act, as amended, also known as the Clean Water Act (“CWA”), and analogous state and Canadian federal and provincial laws impose restrictions and strict controls regarding the discharge of pollutants into navigable waters of the United States and Canada, as well as state and provincial waters. Federal, state and provincial regulatory agencies can impose administrative, civil and/or criminal penalties for non-compliance with discharge permits or other requirements of the CWA, and can also pursue injunctive relief to enforce compliance with the CWA and analogous laws.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U.S. Oil Pollution Act of 1990 (“OPA”) amended certain provisions of the CWA as they relate to the release of petroleum products into navigable waters. OPA subjects owners of facilities to strict, joint and potentially unlimited liability for containment and removal costs, natural resource damages and certain other consequences of an oil spill. State and Canadian federal and provincial laws also impose requirements relating to the prevention of oil releases and the remediation of areas.</w:t>
      </w:r>
    </w:p>
    <w:p>
      <w:pPr>
        <w:spacing w:after="0" w:line="21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addition, for over 35 years, the U.S. Army Corps of Engineers (the “Corps”) has authorized construction, maintenance and repair of pipelines under a streamlined nationwide permit program under the CWA known as Nationwide Permit 12 (“NWP”). The NWP program is supported by strong statutory and regulatory history and was originally approved by Congress in 1977. From time to time, environmental groups have challenged the NWP program; however, to date, federal courts have upheld the validity of NWP program under the CWA. We cannot predict whether future lawsuits will be filed to contest the validity of NWP; however, in the event that a court wholly or partially strikes down the NWP program, which we believe to be unlikely, we could face significant delays and financial costs when seeking project approvals from the Corps.</w:t>
      </w:r>
    </w:p>
    <w:p>
      <w:pPr>
        <w:spacing w:after="0" w:line="20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May 2015, the EPA published a final rule that attempted to clarify federal jurisdiction under the CWA over waters of the United States (“WOTUS”). This clarification greatly expanded the definition of WOTUS, thus increasing the jurisdiction of the Corps. Following the issuance of a presidential executive order to review the rule in January 2017, the EPA and the Corps proposed a rulemaking in June 2017 to repeal the May 2015 rule. The EPA and Corps also announced their intent to issue a new rule defining the CWA’s jurisdiction and finalized a stay delaying implementation of the rule for two years. Several states and environmental organizations announced their intent to challenge the stay and any attempt by the EPA and the Corps to rescind or revise the rule. On December 11, 2018, the EPA and the Corps released the pre-publication version of the Proposed 2018 Rule concerning the redefinition of WOTUS. The proposal narrowed the definition of the federal waters covered under the CWA’s key permitting programs such as Section 404 dredge and fill permits, Section 402 discharge permits, and Section 311 oil spill prevention plans. The Proposed Rule worked towards the administration’s larger goal of re-balancing the relationship between the federal government, tribal governments, and states by drawing boundaries between those waters subject to federal CWA requirements and those waters that states and tribal governments have flexibility to manage under their respective authorities. As written in the Proposed Rule, fewer waters would be federally regulated relative to the May 2015 rule, which would lessen CWA permitting burdens for oil and gas operations as well as reduce mitigation requirements.</w:t>
      </w:r>
    </w:p>
    <w:p>
      <w:pPr>
        <w:spacing w:after="0" w:line="20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January 23, 2020, the EPA and the Corps announced a pre-publication version of the 2020 Final Rule concerning the redefinition of WOTUS. The 2020 Final Rule provides the outer bounds of the federal waters covered under the CWA’s key permitting programs such as Section 404 dredge and fill permits, Section 402 discharge permits and Section 311 oil spill prevention plans. The Final Rule will take effect 60 days after being published in the Federal Register. In general, the 2020 Final Rule will result in fewer federally regulated waters under the CWA offering a streamlined list of only four clear categories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jurisdictional waters and 12 exclusions. A decrease in mitigation requirements is expected, with traditional wetland states (e.g., Louisiana) and states in the arid west (e.g., Texas) expected to be among the most affected by the new rule.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Endangered Species</w:t>
      </w:r>
    </w:p>
    <w:p>
      <w:pPr>
        <w:spacing w:after="0" w:line="252"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New projects may require approvals and environmental analysis under federal, state and provincial laws, including the National Environmental Policy Act and the Endangered Species Act in the United States and the Species at Risk Act in Canada. The resulting costs and liabilities associated with lengthy regulatory review and approval requirements could materially and negatively affect the viability of such projects.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Regulation</w:t>
      </w:r>
    </w:p>
    <w:p>
      <w:pPr>
        <w:spacing w:after="0" w:line="25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Our transportation activities are subject to regulation by multiple governmental agencies. Our historical operating costs reflect the recurring costs resulting from compliance with these regulations. The following is a summary of the types of transportation regulation that may impact our operations.</w:t>
      </w:r>
    </w:p>
    <w:p>
      <w:pPr>
        <w:spacing w:after="0" w:line="15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i w:val="1"/>
          <w:iCs w:val="1"/>
          <w:color w:val="auto"/>
        </w:rPr>
        <w:t xml:space="preserve">General Interstate Regulation in the United States. </w:t>
      </w:r>
      <w:r>
        <w:rPr>
          <w:rFonts w:ascii="Arial" w:cs="Arial" w:eastAsia="Arial" w:hAnsi="Arial"/>
          <w:sz w:val="18"/>
          <w:szCs w:val="18"/>
          <w:color w:val="auto"/>
        </w:rPr>
        <w:t>Our interstate common carrier liquids pipeline operations are subject to rate regulation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under the Interstate Commerce Act (“ICA”). The ICA requires that tariff rates for liquids pipelines, which include both crude oil pipelines and refined products pipelines, be just and reasonable and non-discriminatory.</w:t>
      </w:r>
    </w:p>
    <w:p>
      <w:pPr>
        <w:spacing w:after="0" w:line="20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State Regulation in the United States. </w:t>
      </w:r>
      <w:r>
        <w:rPr>
          <w:rFonts w:ascii="Arial" w:cs="Arial" w:eastAsia="Arial" w:hAnsi="Arial"/>
          <w:sz w:val="18"/>
          <w:szCs w:val="18"/>
          <w:color w:val="auto"/>
        </w:rPr>
        <w:t>Our intrastate liquids pipeline transportation activities are subject to various state laws and regulations,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orders of state regulatory bodies, including the Railroad Commission of Texas (“TRRC”) and the California Public Utility Commission (“CPUC”). The CPUC prohibits certain of our subsidiaries from acting as guarantors of our senior notes and credit facilities.</w:t>
      </w:r>
    </w:p>
    <w:p>
      <w:pPr>
        <w:spacing w:after="0" w:line="208"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i w:val="1"/>
          <w:iCs w:val="1"/>
          <w:color w:val="auto"/>
        </w:rPr>
        <w:t xml:space="preserve">U.S. Energy Policy Act of 1992 and Subsequent Developments. </w:t>
      </w:r>
      <w:r>
        <w:rPr>
          <w:rFonts w:ascii="Arial" w:cs="Arial" w:eastAsia="Arial" w:hAnsi="Arial"/>
          <w:sz w:val="16"/>
          <w:szCs w:val="16"/>
          <w:color w:val="auto"/>
        </w:rPr>
        <w:t>In October 1992, Congress passed the Energy Policy Act of 1992 (“EPAct”),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required the FERC to issue rules to establish a simplified and generally applicable ratemaking methodology for petroleum pipelines and to streamline procedures in petroleum pipeline proceedings. The FERC responded to this mandate by establishing a formulaic methodology for petroleum pipelines to change their rates within prescribed ceiling levels that are tied to an inflation index. The FERC reviews the formula every five years. Effective July 1, 2016, the annual index adjustment for the five year period ending June 30, 2021 will equal the producer price index for finished goods for the applicable year plus an adjustment factor of 1.23%. Pipelines may raise their rates to the rate ceiling level generated by application of the annual index adjustment factor each year; however, a shipper may challenge such increase if the increase in the pipeline’s rates is substantially in excess of the actual cost increases incurred by the pipeline during the relevant year. If the FERC’s annual index adjustment reduces the ceiling level such that it is lower than a pipeline’s filed rate, the pipeline must reduce its rate to conform with the lower ceiling. Indexing is the default methodology to change rates. The FERC, however, retained cost-of-service ratemaking, market-based rates and settlement rates as alternatives to the indexing approach that may be used in certain specified circumstances. Because the indexing methodology for the next five-year period is tied in part to an inflation index and is not based on our specific costs, the indexing methodology could hamper our ability to recover cost increases.</w:t>
      </w:r>
    </w:p>
    <w:p>
      <w:pPr>
        <w:spacing w:after="0" w:line="19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Under the EPAct, petroleum pipeline rates in effect for the 365-day period ending on the date of enactment of EPAct are deemed to be just and reasonable under the ICA if such rates had not been subject to complaint, protest or investigation during such 365-day period. Generally, complaints against such “grandfathered” rates may only be pursued if the complainant can show that a substantial change has occurred since the enactment of EPAct in either the economic circumstances of the oil pipeline or in the nature of the services provided that were a basis for the rate. EPAct places no such limit on challenges to a provision of an oil pipeline tariff rate or rules as unduly discriminatory or preferential.</w:t>
      </w:r>
    </w:p>
    <w:p>
      <w:pPr>
        <w:spacing w:after="0" w:line="20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Pipeline Rate Regulation in the United States</w:t>
      </w:r>
      <w:r>
        <w:rPr>
          <w:rFonts w:ascii="Arial" w:cs="Arial" w:eastAsia="Arial" w:hAnsi="Arial"/>
          <w:sz w:val="18"/>
          <w:szCs w:val="18"/>
          <w:color w:val="auto"/>
        </w:rPr>
        <w:t>. The FERC historically has not investigated rates of liquids pipelines on its own initiative when those</w:t>
      </w:r>
      <w:r>
        <w:rPr>
          <w:rFonts w:ascii="Arial" w:cs="Arial" w:eastAsia="Arial" w:hAnsi="Arial"/>
          <w:sz w:val="18"/>
          <w:szCs w:val="18"/>
          <w:i w:val="1"/>
          <w:iCs w:val="1"/>
          <w:color w:val="auto"/>
        </w:rPr>
        <w:t xml:space="preserve"> </w:t>
      </w:r>
      <w:r>
        <w:rPr>
          <w:rFonts w:ascii="Arial" w:cs="Arial" w:eastAsia="Arial" w:hAnsi="Arial"/>
          <w:sz w:val="18"/>
          <w:szCs w:val="18"/>
          <w:color w:val="auto"/>
        </w:rPr>
        <w:t>rates have not been the subject of a protest or complaint by a shipper. The majority of our Transportation segment profit in the United States is produced by rates that are either grandfathered or set by agreement with one or more shippers. FERC issued an Advance Notice of Proposed Rulemaking on October 20, 2016 that addressed issues related to FERC’s indexing methodology and liquids pipeline reporting practices. If implemented, the proposals in this rulemaking could affect the profitability of certain liquids pipelines. On December 15, 2016, FERC issued a Notice of Inquiry regarding certain matters related to FERC’s income tax allowance policy. In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that it will incorporate the effects of the revised policy statement in its next review of the oil pipeline index level, which will take effect in July 2021. See Item 1A. “Risk Factors—Risks Related to PAA’s Business—PAA’s assets are subject to federal, state and provincial regulation. Rate regulation or a successful challenge to the rates PAA charges on its U.S. and Canadian pipeline systems may reduce the amount of cash it generates.” for additional discussion on how our rates could be impacted by this policy change.</w:t>
      </w:r>
    </w:p>
    <w:p>
      <w:pPr>
        <w:spacing w:after="0" w:line="214"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i w:val="1"/>
          <w:iCs w:val="1"/>
          <w:color w:val="auto"/>
        </w:rPr>
        <w:t xml:space="preserve">Canadian Regulation. </w:t>
      </w:r>
      <w:r>
        <w:rPr>
          <w:rFonts w:ascii="Arial" w:cs="Arial" w:eastAsia="Arial" w:hAnsi="Arial"/>
          <w:sz w:val="16"/>
          <w:szCs w:val="16"/>
          <w:color w:val="auto"/>
        </w:rPr>
        <w:t>Our Canadian pipeline assets are subject to regulation by the CER and by provincial authorities. With respect to 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over which it has jurisdiction, the relevant regulatory authority has the power, upon application by a third party, to determine the rates we are allowed to charge for transportation on, and set other terms of access to, such pipeline. In such circumstances, if the relevant regulatory authority determines that the applicable terms and conditions of service are not just and reasonable, the regulatory authority can impose conditions it considers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Trucking Regulation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United States</w:t>
      </w:r>
    </w:p>
    <w:p>
      <w:pPr>
        <w:spacing w:after="0" w:line="25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operate a fleet of trucks to transport crude oil and oilfield materials as a private, contract and common carrier. We are licensed to perform both intrastate and interstate motor carrier services. As a motor carrier, we are subject to certain safety regulations issued by the DOT. The trucking regulations cover, among other things: (i) driver operations, (ii) log book maintenance, (iii) truck manifest preparations, (iv) safety placard placement on the trucks and trailer vehicles, (v) drug and alcohol testing and (vi) operation and equipment safety. We are also subject to OSHA with respect to our U.S. trucking operations.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Canada</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Our trucking assets in Canada are subject to regulation by both federal and provincial transportation agencies in the provinces in which they are operated. These regulatory agencies do not set freight rates, but do establish and administer rules and regulations relating to other matters including equipment, facility inspection, reporting and safety. We are licensed to operate both intra- and inter-provincially under the direction of the National Safety Code (“NSC”) that is administered by Transport Canada. Our for-hire service is primarily the transportation of crude oil, condensates and NGL. We are required under the NSC to, among other things, monitor: (i) driver operations, (ii) log book maintenance, (iii) truck manifest preparations, (iv) safety placard placement on the trucks and trailers, (v) operation and equipment safety and (vi) many other aspects of trucking operations. We are also subject to Occupational Health and Safety regulations with respect to our Canadian trucking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 Regulation</w:t>
      </w:r>
    </w:p>
    <w:p>
      <w:pPr>
        <w:spacing w:after="0" w:line="252"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own and operate a number of railcar loading and unloading facilities in the United States and Canada. In connection with these rail terminals, we own and lease a significant number of railcars. Our railcar operations are subject to the regulatory jurisdiction of the Federal Railroad Administration of the DOT, the OSHA, as well as other federal and state regulatory agencies and Canadian regulatory agencies for operations in Canada.</w:t>
      </w:r>
    </w:p>
    <w:p>
      <w:pPr>
        <w:spacing w:after="0" w:line="17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Railcar accidents involving trains carrying crude oil from North Dakota’s Bakken shale formation have led to increased regulatory scrutiny. PHMSA issued a safety advisory warning that Bakken crude may be more flammable than other grades of crude oil and reinforcing the requirement to properly test, characterize, classify, and, where appropriate, sufficiently degasify hazardous materials prior to and during transportation. PHMSA also initiated “Operation Classification,” a compliance initiative involving unannounced inspections and testing of crude oil samples to verify that offerors of the materials have properly classified, described and labeled the hazardous materials before transportation. In December 2015, Congress passed the Fixing America’s Surface Transportation (“FAST”) Act which was subsequently signed by the President. This legislation clarified the parameters around the timeline and requirements for railcars hauling crude oil in the United States. We believe our railcar fleet is in compliance in all material respects with current standards for crude oil moved by rail.</w:t>
      </w:r>
    </w:p>
    <w:p>
      <w:pPr>
        <w:spacing w:after="0" w:line="21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December 2014, the North Dakota Industrial Commission adopted new standards to improve the safety of Bakken crude oil for transport. The new standard, Commission Order 25417, was effective April 1, 2015, and requires operators/producers to condition Bakken crude oil to certain vapor pressure limits. Under the order, all Bakken crude oil produced in North Dakota will be conditioned with no exceptions. The order requires operators/producers to separate light hydrocarbons from all Bakken crude oil to be transported and prohibits the blending of light hydrocarbons back into oil supplies prior to shipment. We are not directly responsible for the conditioning or stabilization of Bakken crude oil; however, under the order, it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is our responsibility to notify the State of North Dakota upon discovering that Bakken crude oil received at our rail facility exceeds the permitted vapor pressure limits.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 Border Regulation</w:t>
      </w:r>
    </w:p>
    <w:p>
      <w:pPr>
        <w:spacing w:after="0" w:line="25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a result of our cross border activities, including transportation and importation of crude oil, NGL and natural gas between the United States and Canada, we are subject to a variety of legal requirements pertaining to such activities including presidential permit requirements, export/import license requirements, tariffs, Canadian and U.S. customs and taxes and requirements relating to toxic substances. U.S. legal requirements relating to these activities include regulations adopted pursuant to the Short Supply Controls of the Export Administration Act (“EAA”), the North American Free Trade Agreement (“NAFTA”) and the Toxic Substances Control Act (“TSCA”), as well as presidential permit requirements of the U.S. Department of State. In addition, the importation and exportation of natural gas from and to the United States and Canada is subject to regulation by U.S. Customs and Border Protection, U.S. Department of Energy and the CER. Violations of these licensing, tariff and tax reporting requirements or failure to provide certifications relating to toxic substances could result in the imposition of significant administrative, civil and criminal penalties. Furthermore, the failure to comply with U.S. federal, state and local tax requirements, as well as Canadian federal and provincial tax requirements, could lead to the imposition of additional taxes, interest and penalties.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Anti-Manipulation Regulation</w:t>
      </w:r>
    </w:p>
    <w:p>
      <w:pPr>
        <w:spacing w:after="0" w:line="25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2009, the Federal Trade Commission (“FTC”) issued regulations pursuant to the Energy Independence and Security Act of 2007, intended to prohibit market manipulation in the petroleum industry. Violators of the regulations face civil penalties of up to approximately $1.2 million per violation per day (adjusted annually for inflation). In July 2010, Congress passed the Dodd-Frank Act, which incorporated an expansion of the authority of the Commodity Futures Trading Commission (“CFTC”) to prohibit market manipulation in the markets regulated by the CFTC. This authority, with respect to crude oil swaps and futures contracts, is similar to the anti-manipulation authority granted to the FTC with respect to crude oil purchases and sales. In July 2011, the CFTC issued final rules to implement their new anti-manipulation authority. The rules subject violators to a civil penalty of up to the greater of approximately $1.1 million (adjusted annually for inflation) or triple the monetary gain to the person for each violation.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 Storage Regulation</w:t>
      </w:r>
    </w:p>
    <w:p>
      <w:pPr>
        <w:spacing w:after="0" w:line="252"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auto"/>
        </w:rPr>
        <w:t>Our natural gas storage operations are subject to regulatory oversight by numerous federal, state and local regulatory agencies, many of which are authorized by statute to issue, and have issued, rules and regulations binding on the natural gas storage and pipeline industry, related businesses and market participants. The failure to comply with such laws and regulations can result in substantial penalties and fines.</w:t>
      </w:r>
    </w:p>
    <w:p>
      <w:pPr>
        <w:spacing w:after="0" w:line="19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is a summary of the kinds of regulation that may impact our natural gas storage operations. However, our unitholders should not rely on such discussion as an exhaustive review of all regulatory considerations affecting our natural gas storage operations.</w:t>
      </w:r>
    </w:p>
    <w:p>
      <w:pPr>
        <w:spacing w:after="0" w:line="19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natural gas storage facilities provide natural gas storage services in interstate commerce and are subject to comprehensive regulation by the FERC under the Natural Gas Act of 1938 (“NGA”). Pursuant to the NGA and FERC regulations, storage providers are prohibited from making or granting any undue preference or advantage to any person or subjecting any person to any undue prejudice or disadvantage or from maintaining any unreasonable difference in rates, charges, service, facilities, or in any other respect. The terms and conditions for services provided by our facilities are set forth in natural gas tariffs on file with the FERC. We have been granted market-based rate authorization for the services that our facilities provide. Market-based rate authority allows us to negotiate rates with individual customers based on market demand.</w:t>
      </w:r>
    </w:p>
    <w:p>
      <w:pPr>
        <w:spacing w:after="0" w:line="20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FERC also has authority over the siting, construction, and operation of United States pipeline transportation and storage facilities and related facilities used in the transportation, storage and sale for resale of natural gas in interstate commerce, including the extension, enlargement or abandonment of such facilities. The FERC’s authority extends to maintenance of accounts and records, terms and conditions of service, acquisition and disposition of facilities, initiation and discontinuation of services, imposition of creditworthiness and credit support requirements applicable to customers and relationships among pipelines and storage companies and certain affiliates. Our natural gas storage entities are required by the FERC to post certain information daily regarding customer activity, capacity and volumes on their respective websites. Additionally, the FERC has jurisdiction to impose rules and regulations applicable to all natural gas market participants to ensure market transparency. FERC regulations require that buyers and sellers of more than a de minimis volume of natural gas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report annual numbers and volumes of relevant transactions to the FERC. Our natural gas storage facilities are subject to these annual reporting requirements.</w:t>
      </w:r>
    </w:p>
    <w:p>
      <w:pPr>
        <w:spacing w:after="0" w:line="2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Energy Policy Act of 2005 (“EPAct 2005”) and related regulations, it is unlawful in connection with the purchase or sale of natural gas or transportation services subject to FERC jurisdiction to use or employ any device, scheme or artifice to defraud; to make any untrue statement of material fact or omit to make any such statement necessary to make the statements made not misleading; or to engage in any act or practice that operates as a fraud or deceit upon any person. EPAct 2005 gives the FERC civil penalty authority to impose penalties for certain violations of up to approximately $1.2 million per day for each violation (adjusted annually for inflation). FERC also has the authority to order disgorgement of profits from transactions deemed to violate the NGA and the EPAct 2005.</w:t>
      </w:r>
    </w:p>
    <w:p>
      <w:pPr>
        <w:spacing w:after="0" w:line="22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January 2020, PHMSA finalized a rule regarding the safety of underground natural gas storage facilities, which was published in the Federal Register on February 12, 2020. This rule maintains several elements from the earlier interim rule, incorporating API Recommended Practices 1170 and 1171 in PHMSA regulations; revises the definition of underground natural gas storage facility; and clarifies certain reporting and notification criteria. We do not anticipate that compliance with the final rule will have a significant adverse effect on our operations.</w:t>
      </w:r>
    </w:p>
    <w:p>
      <w:pPr>
        <w:spacing w:after="0" w:line="19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natural gas industry historically has been heavily regulated. New rules, orders, regulations or laws may be passed or implemented that impose additional costs, burdens or restrictions on us. We cannot give any assurance regarding the likelihood of such future rules, orders, regulations or laws or the effect they could have on our business, financial condition, and results of operations or ability to make distributions to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Hazards and Insurance</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182"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Since the terrorist attacks of September 11, 2001, the United States Government has issued numerous warnings that energy assets, including our nation’s pipeline infrastructure, may be future targets of terrorist organizations. These developments expose our operations and assets to increased risks. We have instituted security measures and procedures in conformity with DOT or the Transportation Safety Administration guidance. We will institute, as appropriate, additional security measures or procedures indicated by the DOT or the Transportation Safety Administration. However, there can be no assurance that these or any other security measures would protect our facilities from an attack. Any future terrorist attacks on our facilities, those of our customers and, in some cases, those of our competitors, could have a material adverse effect on our business, whether insured or not.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to Properties and Rights-of-Way</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real property holdings generally consist of: (i) parcels of land that we own in fee, (ii) surface leases and underground storage leases and</w:t>
      </w:r>
    </w:p>
    <w:p>
      <w:pPr>
        <w:spacing w:after="0" w:line="23" w:lineRule="exact"/>
        <w:rPr>
          <w:sz w:val="20"/>
          <w:szCs w:val="20"/>
          <w:color w:val="auto"/>
        </w:rPr>
      </w:pPr>
    </w:p>
    <w:p>
      <w:pPr>
        <w:ind w:right="240" w:firstLine="8"/>
        <w:spacing w:after="0" w:line="255"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easements, rights-of-way, permits, crossing agreements or licenses from landowners or governmental authorities permitting the use of certain lands for our operations. In all material respects, we believe we have satisfactory title or the right to use the sites upon which our significant facilities are located, subject to customary liens,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restrictions or encumbrances. Except for challenges that we do not regard as material relative to our overall operations, we believe that we have satisfactory rights pursuant to all of our material leases, easements, rights-of-way, permits and licenses. Some of our real property rights (mainly for pipelines) may be subject to termination under agreements that provide for one or more of: periodic payments, term periods, renewal rights, abandonment of use, revocation by the licensor or grantor and possible relocation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256" w:lineRule="exact"/>
        <w:rPr>
          <w:sz w:val="20"/>
          <w:szCs w:val="20"/>
          <w:color w:val="auto"/>
        </w:rPr>
      </w:pPr>
    </w:p>
    <w:p>
      <w:pPr>
        <w:jc w:val="both"/>
        <w:ind w:right="640" w:firstLine="648"/>
        <w:spacing w:after="0" w:line="264" w:lineRule="auto"/>
        <w:rPr>
          <w:sz w:val="20"/>
          <w:szCs w:val="20"/>
          <w:color w:val="auto"/>
        </w:rPr>
      </w:pPr>
      <w:r>
        <w:rPr>
          <w:rFonts w:ascii="Arial" w:cs="Arial" w:eastAsia="Arial" w:hAnsi="Arial"/>
          <w:sz w:val="18"/>
          <w:szCs w:val="18"/>
          <w:color w:val="auto"/>
        </w:rPr>
        <w:t>To carry out our operations, through GP LLC or its affiliates, we employed approximately 5,000 employees at December 31, 2019. Of these employees, 175 are covered by five separate collective agreements, three of which are currently being negotiated, and the remaining two are open for renegotiation in 2023 and 2024. We consider employee relations to be good.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Tax Considerations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following is a summary of material U.S. federal income tax consequences and tax considerations related to the purchase, ownership and disposition of our Class A shares by a taxpayer that holds our Class A shares as a “capital asset” (generally property held for investment). This summary is based on the provisions of the Internal Revenue Code of 1986, as amended (the “Code”), U.S. Treasury regulations,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22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This summary does not address all aspects of U.S. federal income taxation or the tax considerations arising under the laws of any non-U.S., state, or local jurisdiction, or under U.S. federal estate and gift tax laws. In addition, this summary does not address tax considerations applicable to investors that may be subject to special treatment under the U.S. federal income tax laws. The tax consequences of ownership of Class A shares depends in part on the owner’s individual tax circumstances. It is the responsibility of each shareholder, either individually or through a tax advisor, to investigate the legal and tax consequences, under the laws of pertinent U.S. federal, states and localities, as well as Canada and the Canadian provinces, of the shareholder’s investment in us. Further, it is the responsibility of each shareholder to file all U.S. federal, Canadian, state, provincial and local tax returns that may be required of the shareholder. Also see Item 1A. “Risk Factors—Tax Risks.”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Status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U.S. Holders</w:t>
      </w:r>
    </w:p>
    <w:p>
      <w:pPr>
        <w:spacing w:after="0" w:line="25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7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980" w:right="42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980" w:right="20" w:hanging="324"/>
        <w:spacing w:after="0" w:line="264"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w:t>
      </w:r>
      <w:r>
        <w:rPr>
          <w:rFonts w:ascii="Arial" w:cs="Arial" w:eastAsia="Arial" w:hAnsi="Arial"/>
          <w:sz w:val="17"/>
          <w:szCs w:val="17"/>
          <w:i w:val="1"/>
          <w:iCs w:val="1"/>
          <w:color w:val="auto"/>
        </w:rPr>
        <w:t>—</w:t>
      </w:r>
      <w:r>
        <w:rPr>
          <w:rFonts w:ascii="Arial" w:cs="Arial" w:eastAsia="Arial" w:hAnsi="Arial"/>
          <w:sz w:val="17"/>
          <w:szCs w:val="17"/>
          <w:color w:val="auto"/>
        </w:rPr>
        <w:t>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20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w:t>
      </w:r>
    </w:p>
    <w:p>
      <w:pPr>
        <w:spacing w:after="0" w:line="2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As a result of the basis adjustments described above, we may not have sufficient earnings and profits for distributions on our Class A shares to qualify as dividends for U.S. federal income tax purposes. If a distribution on our Class A shares fails to qualify as a dividend for U.S. federal income tax purposes, such distribution will be treated first as a tax-free return of capital to the extent of the U.S. holder’s adjusted tax basis in our Class A shares and thereafter as capital gain from the sale or exchange of our Class A shares. As a result, U.S. corporate holders will be unable to utilize the corporate dividends-received deduction with respect to such distribution.</w:t>
      </w:r>
    </w:p>
    <w:p>
      <w:pPr>
        <w:spacing w:after="0" w:line="21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Investors in our Class A shares are encouraged to consult their tax advisors as to the tax consequences of receiving distributions on our Class A shares that do not qualify as dividends for U.S. federal income tax purposes, including, in the case of corporate investors, the inability to claim the corporate dividends received deduction with respect to such distributions.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56"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our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5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20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Consequences to Non-U.S. Holders</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Distributions with respect to our Class A shares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Disposition of Class A Shares.” Subject to the withholding requirements under FATCA (as defined below) and with respect to effectively connected dividends, each of which is discussed below, any distribution made to a non-U.S. holder on our Class A shares generally will be subject to U.S. withholding tax at a rate of 30% of the gross amount of the distribution unless an applicable income tax treaty provides for a lower rate.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specified by an applicable income tax treaty for distributions from a USRPHC) may be withheld from distributions received by non-U.S. holders that exceed our current and accumulated earnings and profits. To receive the benefit of a reduced treaty rate, a non-U.S. holder must provide the applicable withholding agent with an IRS Form W-8BEN or IRS Form W-8BEN-E (or other applicable or successor form) certifying qualification for the reduced rate.</w:t>
      </w:r>
    </w:p>
    <w:p>
      <w:pPr>
        <w:spacing w:after="0" w:line="21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9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Distributions treated as dividends that are paid to a non-U.S. holder and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w:t>
      </w:r>
      <w:r>
        <w:rPr>
          <w:rFonts w:ascii="Arial" w:cs="Arial" w:eastAsia="Arial" w:hAnsi="Arial"/>
          <w:sz w:val="16"/>
          <w:szCs w:val="16"/>
          <w:color w:val="auto"/>
        </w:rPr>
        <w:t>Backup Withholding and Information Reporting,” a non-U.S. holder generally will not be subject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or withholding tax on any gain realized upon the sale or other disposition of our Class A shares unless:</w:t>
      </w:r>
    </w:p>
    <w:p>
      <w:pPr>
        <w:spacing w:after="0" w:line="238" w:lineRule="exact"/>
        <w:rPr>
          <w:sz w:val="20"/>
          <w:szCs w:val="20"/>
          <w:color w:val="auto"/>
        </w:rPr>
      </w:pPr>
    </w:p>
    <w:p>
      <w:pPr>
        <w:ind w:left="980" w:right="4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97" w:lineRule="exact"/>
        <w:rPr>
          <w:rFonts w:ascii="Arial" w:cs="Arial" w:eastAsia="Arial" w:hAnsi="Arial"/>
          <w:sz w:val="18"/>
          <w:szCs w:val="18"/>
          <w:color w:val="auto"/>
        </w:rPr>
      </w:pPr>
    </w:p>
    <w:p>
      <w:pPr>
        <w:ind w:left="980" w:hanging="324"/>
        <w:spacing w:after="0" w:line="308" w:lineRule="auto"/>
        <w:tabs>
          <w:tab w:leader="none" w:pos="975"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73" w:lineRule="exact"/>
        <w:rPr>
          <w:rFonts w:ascii="Arial" w:cs="Arial" w:eastAsia="Arial" w:hAnsi="Arial"/>
          <w:sz w:val="17"/>
          <w:szCs w:val="17"/>
          <w:color w:val="auto"/>
        </w:rPr>
      </w:pPr>
    </w:p>
    <w:p>
      <w:pPr>
        <w:ind w:left="980" w:right="260" w:hanging="324"/>
        <w:spacing w:after="0" w:line="342"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 and as a result such gain is treated as effectively connected with a trade or business conducted by the non-U.S. holder in the United States.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w:t>
      </w:r>
    </w:p>
    <w:p>
      <w:pPr>
        <w:spacing w:after="0" w:line="19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85" w:lineRule="exact"/>
        <w:rPr>
          <w:sz w:val="20"/>
          <w:szCs w:val="20"/>
          <w:color w:val="auto"/>
        </w:rPr>
      </w:pPr>
    </w:p>
    <w:p>
      <w:pPr>
        <w:ind w:right="140" w:firstLine="729"/>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Class A shares, more than 5% of our Class A shares will be treated as disposing of a United States real property interest and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treated as disposing of a United States real property interest and would be subject to U.S. federal income tax on a taxable disposition of our Class A shares (as described in the preceding paragraph), and a 15% withholding tax would apply to the gross proceeds from such disposition.</w:t>
      </w:r>
    </w:p>
    <w:p>
      <w:pPr>
        <w:spacing w:after="0" w:line="196" w:lineRule="exact"/>
        <w:rPr>
          <w:sz w:val="20"/>
          <w:szCs w:val="20"/>
          <w:color w:val="auto"/>
        </w:rPr>
      </w:pPr>
    </w:p>
    <w:p>
      <w:pPr>
        <w:ind w:right="260" w:firstLine="729"/>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dividends paid to a non-U.S. holder must be reported annually to the IRS and to each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21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Class A shares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21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 under FATCA</w:t>
      </w:r>
    </w:p>
    <w:p>
      <w:pPr>
        <w:spacing w:after="0" w:line="252"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Class A shares if paid to a “foreign financial institution” or a “non-financial foreign entity” (each as defined in the Code) (including, in some cases, when such foreign financial institution or non-financial foreign entity is acting as an intermediary), unless</w:t>
      </w:r>
    </w:p>
    <w:p>
      <w:pPr>
        <w:ind w:right="80" w:firstLine="8"/>
        <w:spacing w:after="0" w:line="281" w:lineRule="auto"/>
        <w:tabs>
          <w:tab w:leader="none" w:pos="2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3" w:lineRule="exact"/>
        <w:rPr>
          <w:rFonts w:ascii="Arial" w:cs="Arial" w:eastAsia="Arial" w:hAnsi="Arial"/>
          <w:sz w:val="16"/>
          <w:szCs w:val="16"/>
          <w:color w:val="auto"/>
        </w:rPr>
      </w:pPr>
    </w:p>
    <w:p>
      <w:pPr>
        <w:ind w:right="220" w:firstLine="8"/>
        <w:spacing w:after="0" w:line="295" w:lineRule="auto"/>
        <w:tabs>
          <w:tab w:leader="none" w:pos="31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Class A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7"/>
          <w:szCs w:val="17"/>
          <w:color w:val="auto"/>
        </w:rPr>
        <w:t xml:space="preserve">We make available, free of charge on our Internet website at </w:t>
      </w:r>
      <w:r>
        <w:rPr>
          <w:rFonts w:ascii="Arial" w:cs="Arial" w:eastAsia="Arial" w:hAnsi="Arial"/>
          <w:sz w:val="17"/>
          <w:szCs w:val="17"/>
          <w:i w:val="1"/>
          <w:iCs w:val="1"/>
          <w:color w:val="auto"/>
        </w:rPr>
        <w:t>ir.pagp.com</w:t>
      </w:r>
      <w:r>
        <w:rPr>
          <w:rFonts w:ascii="Arial" w:cs="Arial" w:eastAsia="Arial" w:hAnsi="Arial"/>
          <w:sz w:val="17"/>
          <w:szCs w:val="17"/>
          <w:color w:val="auto"/>
        </w:rPr>
        <w:t xml:space="preserve">, our annual report on Form 10-K, quarterly reports on Form 10-Q, current reports on Form 8-K, and amendments to those reports filed or furnished pursuant to Section 13(a) or 15(d) of the Securities Exchange Act of 1934 as soon as reasonably practicable after we electronically file the material with, or furnish it to, the Securities and Exchange Commission (“SEC”). The SEC maintains an Internet site that contains reports, proxy and information statements, and other information regarding issuers that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Our website includes a significant amount of information about us, including financial and other information that could be deemed</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to investors. Investors and others are encouraged to review such information. The information posted on our website is not incorporated by reference into this Annual Report on Form 10-K or any of our other filings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an Investment in Us</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cash flow will be entirely dependent upon the ability of PAA to make cash distributions to AAP, and the ability of AAP to make cash distributions to us.</w:t>
      </w:r>
    </w:p>
    <w:p>
      <w:pPr>
        <w:spacing w:after="0" w:line="19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source of our earnings and cash flow currently consists exclusively of cash distributions from AAP, which currently consist exclusively of cash distributions from PAA. The amount of cash that PAA will be able to distribute to its partners, including AAP, each quarter principally depends upon the amount of cash it generates from its business. For a description of certain factors that can cause fluctuations in the amount of cash that PAA generates from its business, please read “—Risks Related to PAA’s Business” and “Management’s Discussion and Analysis of Financial Condition and Results of Operations.” PAA may not have sufficient available cash each quarter to continue paying distributions at its current level or at all. If PAA reduces its per unit distribution, either because of reduced operating cash flow, higher expenses, capital requirements or otherwise, we will have less cash available for distribution and would likely be required to reduce our per share distribution. The amount of cash PAA has available for distribution depends primarily upon PAA’s cash flow, including cash flow from the release of financial reserves as well as borrowings, and is not solely a function of profitability, which will be affected by non-cash items. As a result, PAA may make cash distributions during periods when it records losses and may not make cash distributions during periods when it records profits.</w:t>
      </w:r>
    </w:p>
    <w:p>
      <w:pPr>
        <w:spacing w:after="0" w:line="2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Furthermore, AAP’s ability to distribute cash to us and our ability to distribute cash received from AAP to our Class A shareholders is limited by a number of factors, including:</w:t>
      </w:r>
    </w:p>
    <w:p>
      <w:pPr>
        <w:spacing w:after="0" w:line="62"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payment of any income taxes;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distributions contained in PAA’s credit facilities and any future debt agreements entered into by AAP, PAA or us; and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40" w:hanging="324"/>
        <w:spacing w:after="0" w:line="342" w:lineRule="auto"/>
        <w:tabs>
          <w:tab w:leader="none" w:pos="9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reserves our general partner establishes for the proper conduct of our business, to comply with applicable law or any agreement binding on us or our subsidiaries (exclusive of PAA and its subsidiaries), which reserves are not subject to a limit pursuant to our partnership agreement.</w:t>
      </w:r>
    </w:p>
    <w:p>
      <w:pPr>
        <w:spacing w:after="0" w:line="15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 material increase in amounts paid or reserved with respect to any of these factors could restrict our ability to pay quarterly distributions to our Class A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distributions AAP is entitled to receive may fluctuate, which may reduce cash distributions to our Class A shareholders.</w:t>
      </w:r>
    </w:p>
    <w:p>
      <w:pPr>
        <w:spacing w:after="0" w:line="25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December 31, 2019, we directly and indirectly owned an approximate 73% limited partner interest in AAP, which owned approximately 249.6 million PAA common units. All of the cash flow we receive from AAP is derived from its ownership of these PAA common units. Because distributions on PAA common units are dependent on the amount of cash PAA generates, distributions may fluctuate based on PAA’s performance. The actual amount of cash that is available to be distributed each quarter will depend on numerous factors, some of which are beyond our control and the control of PAA. Cash distributions are dependent primarily on cash flow, including cash flow from financial reserves and working capital borrowings, and not solely on profitability, which is affected by non-cash items. Therefore, PAA’s cash distributions might be made during periods when PAA records losses and might not be made during periods when PAA record profits.</w:t>
      </w:r>
    </w:p>
    <w:p>
      <w:pPr>
        <w:spacing w:after="0" w:line="2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distributions on our Class A shares are not paid with respect to any fiscal quarter, our Class A shareholders will not be entitled to receive that quarter’s payments in the future.</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distributions to our Class A shareholders are not cumulative. Consequently, if distributions on our Class A shares are not paid with respect to any fiscal quarter, our Class A shareholders will not be entitled to receive that quarter’s payments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amount of cash that we and PAA distribute each quarter may limit our ability to grow.</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Because we distribute all of our available cash, our growth may not be as fast as the growth of businesses that reinvest their available cash to expand ongoing operations. In fact, because currently our cash flow is generated solely from distributions we receive from AAP, which are derived from AAP’s partnership interests in PAA, our growth will initially be completely dependent upon PAA. The amount of distributions received by AAP is based on PAA’s per unit distribution paid on each PAA common unit and the number of PAA common units that AAP owns. If we issue additional Class A shares or we were to incur debt or are required to pay taxes, the payment of distributions on those additional Class A shares, or interest on such debt or payment of such taxes could increase the risk that we will be unable to maintain or increase our cash distribution levels.</w:t>
      </w: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Restrictions in PAA’s credit facilities could limit AAP’s ability to make distributions to us, thereby limiting our ability to make distributions to our Class A shareholders.</w:t>
      </w:r>
    </w:p>
    <w:p>
      <w:pPr>
        <w:spacing w:after="0" w:line="19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PAA’s credit facilities contain various operating and financial restrictions and covenants. PAA’s ability to comply with these restrictions and covenants may be affected by events beyond its control, including prevailing economic, financial and industry conditions. If PAA is unable to comply with these restrictions and covenants, any indebtedness under these credit facilities may become immediately due and payable and PAA’s lenders’ commitment to make further loans under these credit facilities may terminate. PAA might not have, or be able to obtain, sufficient funds to make these accelerated payments.</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more information regarding PAA’s credit facilities, please read “Management’s Discussion and Analysis of Financial Condition and Results of Operations—Liquidity and Capital Resources.” For information regarding risks related to PAA’s credit facilities, please see “—Risks Related to PAA’s Business—The terms of PAA’s indebtedness may limit its ability to borrow additional funds or capitalize on business opportunities. In addition, PAA’s future debt level may limit its future financial and operating flexibility.”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Class B shareholders own a significant number of shares, which may make the removal of our general partner difficult.</w:t>
      </w:r>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 xml:space="preserve">Our shareholders have only limited voting rights on matters affecting our business and, therefore, limited ability to influence management’s decisions regarding our business. If our Class A shareholders are dissatisfied with the performance of our general partner, they may be unable to remove our general partner. Our general partner may only be removed by vote of the holders of at least 66 </w:t>
      </w:r>
      <w:r>
        <w:rPr>
          <w:rFonts w:ascii="Arial" w:cs="Arial" w:eastAsia="Arial" w:hAnsi="Arial"/>
          <w:sz w:val="11"/>
          <w:szCs w:val="11"/>
          <w:color w:val="auto"/>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our outstanding shares (including both Class A and Class B shares). At December 31, 2019, the Legacy Owners owned approximately 27% of our outstanding Class A and Class B shares. This ownership level may make it difficult for our Class A shareholders to remove our general partner without the support of the Legacy Owners.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a result of these provisions, the price at which our shares trade may be lower because of the absence or reduction of a takeover premium in the trading price.</w:t>
      </w:r>
    </w:p>
    <w:p>
      <w:pPr>
        <w:spacing w:after="0" w:line="19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general partner may cause us to issue additional Class A shares or other equity securities, including equity securities that are senior to our Class A shares, or cause AAP to issue additional securities, in each case without shareholder approval, which may adversely affect our shareholders.</w:t>
      </w:r>
    </w:p>
    <w:p>
      <w:pPr>
        <w:spacing w:after="0" w:line="12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general partner may cause us to issue an unlimited number of additional Class A shares or other equity securities of equal rank with the Class A shares, or cause AAP to issue additional securities, in each case without shareholder approval. In addition, we may issue an unlimited number of shares that are senior to our Class A shares in right of distribution, liquidation and voting. Except for Class A shares issued in connection with the exercise of an Exchange Right, which will result in the cancellation of an equivalent number of Class B shares and therefore have no effect on the total number of outstanding shares, the issuance of additional Class A shares or our other equity securities of equal or senior rank, or the issuance by AAP of additional securities, will have the following effects:</w:t>
      </w:r>
    </w:p>
    <w:p>
      <w:pPr>
        <w:spacing w:after="0" w:line="8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shareholder’s proportionate ownership interest in us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Class A share may decrease;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Class A share may be diminished;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price of the Class A shares may decline.</w:t>
      </w:r>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PAA’s unitholders remove PAA GP, AAP may be required to sell or exchange its indirect general partner interest and we would lose the ability to manage and control PAA.</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We currently manage our investment in PAA through our membership interest in GP LLC, the general partner of AAP. PAA’s partnership agreement, however, gives unitholders of PAA the right to remove PAA GP upon the affirmative vote of holders of 66 </w:t>
      </w:r>
      <w:r>
        <w:rPr>
          <w:rFonts w:ascii="Arial" w:cs="Arial" w:eastAsia="Arial" w:hAnsi="Arial"/>
          <w:sz w:val="11"/>
          <w:szCs w:val="11"/>
          <w:color w:val="auto"/>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PAA’s outstanding units. If PAA GP withdraws as general partner in compliance with PAA’s partnership agreement or is removed as general partner of PAA where cause (as defined in PAA’s partnership agreement) does not exist and a successor general partner is elected in accordance with PAA’s partnership agreement, AAP will receive cash in exchange for its general partner interest. If PAA GP withdraws in circumstances other than those described in the preceding sentence and a successor general partner is elected in accordance with PAA’s partnership agreement, the successor general partner will purchase the general partner interest for its fair market value. If PAA GP’s interests are not purchased in accordance with the foregoing theory, they would be converted into common units based on an independent valuation. In each case, PAA GP would also lose its ability to manage PAA.</w:t>
      </w:r>
    </w:p>
    <w:p>
      <w:pPr>
        <w:spacing w:after="0" w:line="206"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addition, if PAA GP is removed as general partner of PAA, we would face an increased risk of being deemed an investment company. Please read “—If in the future we cease to manage and control PAA, we may be deemed to be an investment company under the Investment Company Act of 1940.”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may not have limited liability if a court finds that shareholder action constitutes control of our business.</w:t>
      </w:r>
    </w:p>
    <w:p>
      <w:pPr>
        <w:spacing w:after="0" w:line="25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Under Delaware law, our shareholders could be held liable for our obligations to the same extent as a general partner if a court determined that the right or the exercise of the right by our shareholders as a group to remove or replace our general partner, to approve some amendments to the partnership agreement or to take other action under our partnership agreement constituted participation in the “control” of our business. Additionally, the limitations on the liability of holders of limited partner interests for the liabilities of a limited partnership have not been clearly established in many jurisdictions.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Furthermore, Section 17-607 of the Delaware Revised Uniform Limited Partnership Act provides that, under some circumstances, a shareholder may be liable to us for the amount of a distribution for a period of three years from the date of the distribution.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in the future we cease to manage and control PAA, we may be deemed to be an investment company under the Investment Company Act of 1940.</w:t>
      </w:r>
    </w:p>
    <w:p>
      <w:pPr>
        <w:spacing w:after="0" w:line="27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If we cease to indirectly manage and control PAA and are deemed to be an investment company under the Investment Company Act of 1940, we would either have to register as an investment company under the Investment Company Act of 1940, obtain exemptive relief from the SEC or modify our organizational structure or our contractual rights to fall outside the definition of an investment company. Registering as an investment company could, among other things, materially limit our ability to engage in transactions with affiliates, including the purchase and sale of certain securities or other property to or from our affiliates, restrict the ability of PAA and us to borrow funds or engage in other transactions involving leverage, require us to add additional directors who are independent of us and our affiliates, and adversely affect the price of our Class A shares.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rights of shareholders owning 20% or more of our shares.</w:t>
      </w:r>
    </w:p>
    <w:p>
      <w:pPr>
        <w:spacing w:after="0" w:line="252"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shareholders’ voting rights are restricted by the provision in our partnership agreement generally providing that any shares held by a person or group that owns 20% or more of any class of shares then outstanding, other than our general partner, the Legacy Owners (or certain transferees in private, non-exchange transactions), their respective affiliates and persons who acquired such shares with the prior approval of our general partner’s board of directors, cannot be voted on any matter, except that such shares constituting up to 19.9% of the total shares outstanding may be voted in the election of directors. In addition, our partnership agreement contains provisions limiting the ability of our shareholders to call meetings or to acquire information about our operations, as well as other provisions limiting our shareholders’ ability to influence the manner or direction of our management. As a result, the price at which our Class A shares will trade may be lower because of the absence or reduction of a takeover premium in the trading price.</w:t>
      </w:r>
    </w:p>
    <w:p>
      <w:pPr>
        <w:spacing w:after="0" w:line="1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PAA’s general partner, which is owned by AAP, is not fully reimbursed or indemnified for obligations and liabilities it incurs in managing the business and affairs of PAA, its value, and, therefore, the value of our Class A shares, could decline.</w:t>
      </w:r>
    </w:p>
    <w:p>
      <w:pPr>
        <w:spacing w:after="0" w:line="19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AAP, GP LLC and their affiliates may make expenditures on behalf of PAA for which PAA GP will seek reimbursement from PAA. Under Delaware partnership law, PAA GP has unlimited liability for the obligations of PAA, such as its debts and environmental liabilities, except for those contractual obligations of PAA that are expressly made without recourse to the general partner. To the extent PAA GP incurs obligations on behalf of PAA, it is entitled to be reimbursed or indemnified by PAA. If PAA is unable or unwilling to reimburse or indemnify PAA GP, PAA GP may be required to satisfy those liabilities or obligations, which would reduce AAP’s cash flows to us.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shares may be volatile, and holders of our Class A shares could lose a significant portion of their investments.</w:t>
      </w:r>
    </w:p>
    <w:p>
      <w:pPr>
        <w:spacing w:after="0" w:line="26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market price of our Class A shares could be volatile, and our shareholders may not be able to resell their Class A shares at or above the price at which they purchased such Class A shares due to fluctuations in the market price of the Class A shares, including changes in price caused by factors unrelated to our operating performance or prospects or the operating performance or prospects of PAA. The following factors, among others, could affect our Class A share price:</w:t>
      </w:r>
    </w:p>
    <w:p>
      <w:pPr>
        <w:spacing w:after="0" w:line="79"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PAA’s operating and financial performance and prospects and the trading price of its common units;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PAA’s quarterly distributions and our quarterly distributions;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quarterly variations in the rate of growth of our financial indicators, such as distributable cash flow per Class A share, net income and revenues;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revenue or earnings and distribution estimates or publication of research reports by analysts;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by the press or investment community;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Class A shares by our shareholders;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by the Legacy Owners of their exchange rights with respect to any retained AAP units;</w:t>
      </w:r>
    </w:p>
    <w:p>
      <w:pPr>
        <w:spacing w:after="0" w:line="11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PAA or its competitors of significant contracts, acquisitions, strategic partnerships, joint ventures, securities offerings or capital commitments;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including conditions in financial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changes in tax laws or regulations;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related to PAA’s performance;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described in these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interest rates may cause the market price of our shares to decline.</w:t>
      </w:r>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Like all equity investments, an investment in our Class A shares is subject to certain risks. In exchange for accepting these risks, investors may expect to receive a higher rate of return than would otherwise be obtainable from lower-risk investments. Accordingly, as interest rates rise, the ability of investors to obtain higher risk-adjusted rates of return by purchasing government-backed debt securities may cause a corresponding decline in demand for riskier investments generally, including yield-based equity investments such as publicly traded limited partnership interests. Reduced demand for our Class A shares resulting from investors seeking other more favorable investment opportunities may cause the trading price of our Class A shares to decline.</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Future sales of our Class A shares in the public market could reduce our Class A share price, and any additional capital raised by us through the sale of equity or convertible securities may have a dilutive effect on our shareholders.</w:t>
      </w:r>
    </w:p>
    <w:p>
      <w:pPr>
        <w:spacing w:after="0" w:line="19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Subject to certain limitations and exceptions, holders of AAP units may exchange their AAP units (together with a corresponding number of Class B shares) for Class A shares (on a one-for-one basis, subject to customary conversion rate adjustments for equity splits and reclassification and other similar transactions) and then sell those Class A shares. We may also issue additional Class A shares or convertible securities in subsequent public or private offerings.</w:t>
      </w:r>
    </w:p>
    <w:p>
      <w:pPr>
        <w:spacing w:after="0" w:line="21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cannot predict the size of future issuances of our Class A shares or securities convertible into Class A shares or the effect, if any, that future issuances and sales of our Class A shares will have on the market price of our Class A shares. Sales of substantial amounts of our Class A shares (including shares issued in connection with an acquisition), or the perception that such sales could occur, may adversely affect prevailing market prices of our Class A shares.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hold a significant portion of the combined voting power of our Class A and Class B shares.</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At December 31, 2019, through their ownership of Class B shares, the Legacy Owners held approximately 27% of the combined voting power of our Class A and Class B shares. The Legacy Owners are entitled to act separately in their own respective interests with respect to their partnership interests in us, and collectively they currently have the ability to influence (i) the outcome of all matters requiring shareholder approval, including certain mergers and other material transactions and (ii) a change in the composition of our board of directors or a change in control of our company that could deprive our shareholders of an opportunity to receive a premium for their Class A shares as part of a sale of our company. So long as the Legacy Owners continue to own a significant amount of our outstanding shares, even if such amount is less than 50%, they will continue to be able to strongly influence all matters requiring shareholder approval, regardless of whether or not other shareholders believe that such matters are in their own best interests.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valuation allowance on our deferred tax asset could reduce our earnings.</w:t>
      </w:r>
    </w:p>
    <w:p>
      <w:pPr>
        <w:spacing w:after="0" w:line="25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of December 31, 2019, we have a gross deferred tax asset of approximately $1.4 billion. GAAP requires that a valuation allowance must be established for deferred tax assets when it is more likely than not that they will not be realized. We believe that the deferred tax asset we recorded through 2019 will be realized and that a valuation allowance is not required. However, if we were to determine that a valuation allowance was appropriate for our deferred tax asset, we would be required to take an immediate charge to earnings with a corresponding reduction of partners’ capital and increase in balance sheet leverage as measured by debt-to-total capitalization. In light of the Tax Cuts and Jobs Act of 2017, a valuation allowance will not be required for any U.S. federal deferred tax asset created after 2017.</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New York Stock Exchange (“NYSE”) does not require a limited partnership like us to comply with certain of its corporate governance requirements.</w:t>
      </w:r>
    </w:p>
    <w:p>
      <w:pPr>
        <w:spacing w:after="0" w:line="2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Because we are a limited partnership, the NYSE does not require our general partner to have a majority of independent directors on its board of directors or to establish a compensation committee or a nominating and corporate governance committee. Accordingly, our shareholders do not have the same protections afforded to certain corporations that are subject to all of the NYSE corporate governance requirements. In addition, as a limited partnership we are not required to seek shareholder approval for issuances of Class A shares, including issuances in excess of 20% of our outstanding equity securities, or for issuances of equity to certain affiliates.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as a result of our ownership of our and PAA’s general partner.</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Under Delaware law, a general partner of a limited partnership is generally liable for the debts and liabilities of the partnership for which it serves as general partner, subject to the terms of any indemnification agreements contained in the partnership agreement and except to the extent the partnership’s contracts are non-recourse to the general partner. As a result of our structure, we indirectly own and control the general partner of PAA and own a portion of our general partner’s membership interests. Our percentage ownership of our general partner is expected to increase over time as the Legacy Owners exercise their exchange rights. To the extent the indemnification provisions in the applicable partnership agreement or non-recourse provisions in our contracts are not sufficient to protect us from such liability, we may in the future incur liabilities as a result of our ownership of these general partner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existing organizational structure and the relationships among us, PAA, our respective general partners, the Legacy Owners and affiliated entities present the potential for conflicts of interest. Moreover, additional conflicts of interest may arise in the future among us and the entities affiliated with any general partner or similar interests we acquire or among PAA and such entities.</w:t>
      </w:r>
    </w:p>
    <w:p>
      <w:pPr>
        <w:spacing w:after="0" w:line="20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Conflicts of interest may arise as a result of our organizational structure and the relationships among us, PAA, our respective general partners, the Legacy Owners and affiliated entities.</w:t>
      </w:r>
    </w:p>
    <w:p>
      <w:pPr>
        <w:spacing w:after="0" w:line="19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partnership agreement defines the duties of our general partner (and, by extension, its officers and directors). Our general partner’s board of directors or its conflicts committee will have authority on our behalf to resolve any conflict involving us and they have broad latitude to consider the interests of all parties to the conflict.</w:t>
      </w:r>
    </w:p>
    <w:p>
      <w:pPr>
        <w:spacing w:after="0" w:line="20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Conflicts of interest may arise between us and our shareholders, on the one hand, and our general partner and its owners and affiliated entities, on the other hand, or between us and our shareholders, on the one hand, and PAA and its unitholders, on the other hand. The resolution of these conflicts may not always be in our best interest or that of our shareholders.</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partnership agreement defines our general partner’s duties to us and contains provisions that reduce the remedies available to our shareholders for actions that might otherwise be challenged as breaches of fiduciary or other duties under state law.</w:t>
      </w:r>
    </w:p>
    <w:p>
      <w:pPr>
        <w:spacing w:after="0" w:line="19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partnership agreement contains provisions that substantially reduce the standards to which our general partner would otherwise be held by state fiduciary duty law. For example, our partnership agreement:</w:t>
      </w:r>
    </w:p>
    <w:p>
      <w:pPr>
        <w:spacing w:after="0" w:line="62" w:lineRule="exact"/>
        <w:rPr>
          <w:sz w:val="20"/>
          <w:szCs w:val="20"/>
          <w:color w:val="auto"/>
        </w:rPr>
      </w:pPr>
    </w:p>
    <w:p>
      <w:pPr>
        <w:ind w:left="980" w:right="140" w:hanging="324"/>
        <w:spacing w:after="0" w:line="297" w:lineRule="auto"/>
        <w:tabs>
          <w:tab w:leader="none" w:pos="97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permits our general partner to make a number of decisions in its individual capacity, as opposed to in its capacity as our general partner. This entitles our general partner to consider only the interests and factors that it desires, and it has no duty or obligation to give any consideration to any interest of, or factors affecting, us, the Legacy Owners, our affiliates or any limited partner. Examples include its right to vote membership interests in our general partner held by us, the exercise of its limited call right, its rights to transfer or vote any shares it may own, and its determination whether or not to consent to any merger or consolidation of our partnership or amendment to our partnership agreement;</w:t>
      </w:r>
    </w:p>
    <w:p>
      <w:pPr>
        <w:spacing w:after="0" w:line="50" w:lineRule="exact"/>
        <w:rPr>
          <w:rFonts w:ascii="Arial" w:cs="Arial" w:eastAsia="Arial" w:hAnsi="Arial"/>
          <w:sz w:val="16"/>
          <w:szCs w:val="16"/>
          <w:color w:val="auto"/>
        </w:rPr>
      </w:pPr>
    </w:p>
    <w:p>
      <w:pPr>
        <w:ind w:left="980" w:hanging="324"/>
        <w:spacing w:after="0" w:line="264" w:lineRule="auto"/>
        <w:tabs>
          <w:tab w:leader="none" w:pos="9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generally provides that our general partner will not have any liability to us or our shareholders for decisions made in its capacity as a general partner so long as it acted in good faith which, pursuant to our partnership agreement, requires a subjective belief that the determination, or other action or anticipated result thereof is in, or not opposed to, our best interests;</w:t>
      </w:r>
    </w:p>
    <w:p>
      <w:pPr>
        <w:spacing w:after="0" w:line="73" w:lineRule="exact"/>
        <w:rPr>
          <w:rFonts w:ascii="Arial" w:cs="Arial" w:eastAsia="Arial" w:hAnsi="Arial"/>
          <w:sz w:val="18"/>
          <w:szCs w:val="18"/>
          <w:color w:val="auto"/>
        </w:rPr>
      </w:pPr>
    </w:p>
    <w:p>
      <w:pPr>
        <w:ind w:left="980" w:right="120" w:hanging="324"/>
        <w:spacing w:after="0" w:line="286"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generally provides that any resolution or course of action adopted by our general partner and its affiliates in respect of a conflict of interest will be permitted and deemed approved by all of our partners, and will not constitute a breach of our partnership agreement or any duty stated or implied by law or equity if the resolution or course of action in respect of such conflict of interest is:</w:t>
      </w:r>
    </w:p>
    <w:p>
      <w:pPr>
        <w:spacing w:after="0" w:line="57" w:lineRule="exact"/>
        <w:rPr>
          <w:rFonts w:ascii="Arial" w:cs="Arial" w:eastAsia="Arial" w:hAnsi="Arial"/>
          <w:sz w:val="17"/>
          <w:szCs w:val="17"/>
          <w:color w:val="auto"/>
        </w:rPr>
      </w:pPr>
    </w:p>
    <w:p>
      <w:pPr>
        <w:ind w:left="1620" w:right="100" w:hanging="315"/>
        <w:spacing w:after="0" w:line="308" w:lineRule="auto"/>
        <w:tabs>
          <w:tab w:leader="none" w:pos="1616" w:val="left"/>
        </w:tabs>
        <w:numPr>
          <w:ilvl w:val="1"/>
          <w:numId w:val="38"/>
        </w:numPr>
        <w:rPr>
          <w:rFonts w:ascii="Arial" w:cs="Arial" w:eastAsia="Arial" w:hAnsi="Arial"/>
          <w:sz w:val="17"/>
          <w:szCs w:val="17"/>
          <w:color w:val="auto"/>
        </w:rPr>
      </w:pPr>
      <w:r>
        <w:rPr>
          <w:rFonts w:ascii="Arial" w:cs="Arial" w:eastAsia="Arial" w:hAnsi="Arial"/>
          <w:sz w:val="17"/>
          <w:szCs w:val="17"/>
          <w:color w:val="auto"/>
        </w:rPr>
        <w:t>approved by a majority of the members of our general partner’s conflicts committee after due inquiry, based on a subjective belief that the course of action or determination that is the subject of such approval is fair and reasonable to us;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20" w:right="420" w:hanging="315"/>
        <w:spacing w:after="0" w:line="308" w:lineRule="auto"/>
        <w:tabs>
          <w:tab w:leader="none" w:pos="1616" w:val="left"/>
        </w:tabs>
        <w:numPr>
          <w:ilvl w:val="1"/>
          <w:numId w:val="39"/>
        </w:numPr>
        <w:rPr>
          <w:rFonts w:ascii="Arial" w:cs="Arial" w:eastAsia="Arial" w:hAnsi="Arial"/>
          <w:sz w:val="17"/>
          <w:szCs w:val="17"/>
          <w:color w:val="auto"/>
        </w:rPr>
      </w:pPr>
      <w:r>
        <w:rPr>
          <w:rFonts w:ascii="Arial" w:cs="Arial" w:eastAsia="Arial" w:hAnsi="Arial"/>
          <w:sz w:val="17"/>
          <w:szCs w:val="17"/>
          <w:color w:val="auto"/>
        </w:rPr>
        <w:t>approved by majority vote of our Class A shares and Class B shares (excluding Class C shares and excluding shares owned by our general partner and its affiliates, but including shares owned by the Legacy Owners) voting together as a single class;</w:t>
      </w:r>
    </w:p>
    <w:p>
      <w:pPr>
        <w:spacing w:after="0" w:line="38" w:lineRule="exact"/>
        <w:rPr>
          <w:rFonts w:ascii="Arial" w:cs="Arial" w:eastAsia="Arial" w:hAnsi="Arial"/>
          <w:sz w:val="17"/>
          <w:szCs w:val="17"/>
          <w:color w:val="auto"/>
        </w:rPr>
      </w:pPr>
    </w:p>
    <w:p>
      <w:pPr>
        <w:ind w:left="1620" w:right="200" w:hanging="315"/>
        <w:spacing w:after="0" w:line="277" w:lineRule="auto"/>
        <w:tabs>
          <w:tab w:leader="none" w:pos="16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on terms no less favorable to us than those generally being provided to or available from unrelated third parties; or</w:t>
      </w:r>
    </w:p>
    <w:p>
      <w:pPr>
        <w:spacing w:after="0" w:line="62" w:lineRule="exact"/>
        <w:rPr>
          <w:rFonts w:ascii="Arial" w:cs="Arial" w:eastAsia="Arial" w:hAnsi="Arial"/>
          <w:sz w:val="18"/>
          <w:szCs w:val="18"/>
          <w:color w:val="auto"/>
        </w:rPr>
      </w:pPr>
    </w:p>
    <w:p>
      <w:pPr>
        <w:ind w:left="1620" w:right="180" w:hanging="315"/>
        <w:spacing w:after="0" w:line="264" w:lineRule="auto"/>
        <w:tabs>
          <w:tab w:leader="none" w:pos="1661"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determined by our general partner (after due inquiry) to be fair and reasonable to us, which determination may be made taking into account the circumstances and the relationships among the parties involved (including our short-term or long-term interests and other arrangements or relationships that could be considered favorable or advantageous to us).</w:t>
      </w:r>
    </w:p>
    <w:p>
      <w:pPr>
        <w:spacing w:after="0" w:line="73" w:lineRule="exact"/>
        <w:rPr>
          <w:rFonts w:ascii="Arial" w:cs="Arial" w:eastAsia="Arial" w:hAnsi="Arial"/>
          <w:sz w:val="18"/>
          <w:szCs w:val="18"/>
          <w:color w:val="auto"/>
        </w:rPr>
      </w:pPr>
    </w:p>
    <w:p>
      <w:pPr>
        <w:ind w:left="980" w:hanging="324"/>
        <w:spacing w:after="0" w:line="273" w:lineRule="auto"/>
        <w:tabs>
          <w:tab w:leader="none" w:pos="9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provides that, to the fullest extent permitted by law, in connection with any action or inaction of, or determination made by, our general partner or the conflicts committee of our general partner’s board of directors with respect to any matter relating to us, it shall be presumed that our general partner or the conflicts committee of our general partner’s board of directors acted in a manner that satisfied the contractual standards set forth in our partnership agreement, and in any proceeding brought by any limited partner or by or on behalf of such limited partner or any other limited partner or our partnership challenging any such action or inaction of, or determination made by, our general partner, the person bringing or prosecuting such proceeding shall have the burden of overcoming such presumption; and</w:t>
      </w:r>
    </w:p>
    <w:p>
      <w:pPr>
        <w:spacing w:after="0" w:line="70" w:lineRule="exact"/>
        <w:rPr>
          <w:rFonts w:ascii="Arial" w:cs="Arial" w:eastAsia="Arial" w:hAnsi="Arial"/>
          <w:sz w:val="17"/>
          <w:szCs w:val="17"/>
          <w:color w:val="auto"/>
        </w:rPr>
      </w:pPr>
    </w:p>
    <w:p>
      <w:pPr>
        <w:ind w:left="980" w:right="20" w:hanging="324"/>
        <w:spacing w:after="0" w:line="259"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provides that our general partner and its officers and directors will not be liable for monetary damages to us, our limited partners or assignees for any acts or omissions unless there has been a final and non-appealable judgment entered by a court of competent jurisdiction determining that our general partner or those other persons acted in bad faith or engaged in fraud or willful misconduct or, in the case of a criminal matter, acted with knowledge that such person’s conduct was criminal.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Legacy Owners may have interests that conflict with holders of our Class A shares.</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At December 31, 2019, the Legacy Owners owned approximately 27% of our outstanding Class A and Class B shares and approximately 27% of the AAP units. As a result, the Legacy Owners may have conflicting interests with holders of Class A shares. For example, the Legacy Owners may have different tax positions from us which could influence their decisions regarding whether and when to cause us to dispose of assets.</w:t>
      </w:r>
    </w:p>
    <w:p>
      <w:pPr>
        <w:spacing w:after="0" w:line="193"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Furthermore, conflicts of interest could arise in the future between us, on the one hand, and the Legacy Owners, on the other hand, concerning among other things, potential competitive business activities or business opportunities. These conflicts of interest may not be resolved in our favor.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presented with business opportunities, PAA has the first right to pursue such opportunities.</w:t>
      </w:r>
    </w:p>
    <w:p>
      <w:pPr>
        <w:spacing w:after="0" w:line="252"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Pursuant to the administrative agreement, we have agreed to certain business opportunity arrangements to address potential conflicts with respect to business opportunities that may arise among us, our general partner, PAA, PAA GP, AAP and GP LLC. If a business opportunity is presented to us, our general partner, PAA, PAA GP, AAP or GP LLC, then PAA will have the first right to pursue such business opportunity. We have the right to pursue and/or participate in such business opportunity if invited to do so by PAA, or if PAA abandons the business opportunity and GP LLC so notifies our general partner. Accordingly, the terms of the administrative agreement limit our ability to pursue business opportunities.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partner’s affiliates and the Legacy Owners may compete with us.</w:t>
      </w:r>
    </w:p>
    <w:p>
      <w:pPr>
        <w:spacing w:after="0" w:line="25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Our partnership agreement provides that our general partner will be restricted from engaging in any business activities other than acting as our general partner and those activities incidental to its ownership of interests in us. The restrictions contained in our general partner’s limited liability company agreement are subject to a number of exceptions. Affiliates of our general partner and the Legacy Owners will not be prohibited from engaging in other businesses or activities that might be in direct competition with us except to the extent they compete using our confidential information.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our shareholders to sell their Class A shares at an undesirable time or price.</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are owned by our general partner, the Legacy Owners (or certain transferees in private, non-exchange transactions) or their respective affiliates, our general partner will have the right (which it may assign to any of its affiliates, the Legacy Owners or us),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certain transferees in private, non-exchange transactions) or their respective affiliates for such shares during the 90 day period preceding the date such notice is first mailed. As a result, holders of our Class A shares may be required to sell such Class A shares at an undesirable time or price and may not receive any return of or on their investment. Class A shareholders may also incur a tax liability upon a sale of their Class A shares. At December 31, 2019, the Legacy Owners owned approximately 27% of the Class A shares and Class B shares on a combined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PAA’s Business</w:t>
      </w:r>
    </w:p>
    <w:p>
      <w:pPr>
        <w:spacing w:after="0" w:line="256"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PAA’s profitability depends on the volume of crude oil, natural gas and NGL shipped, processed, purchased, stored, fractionated and/or gathered at or through the use of its facilities, which can be negatively impacted by a variety of factors outside of its control.</w:t>
      </w:r>
    </w:p>
    <w:p>
      <w:pPr>
        <w:spacing w:after="0" w:line="174"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PAA’s profitability could be materially impacted by a decline in the volume of crude oil, natural gas and NGL transported, gathered, stored or processed at or through its facilities. A material decrease in crude oil or natural gas production or crude oil refining, as a result of depressed commodity prices, natural decline rates attributable to crude oil and natural gas reservoirs, a decrease in exploration and development activities, supply disruptions, economic conditions, reduced demand, governmental or regulatory action or otherwise, could result in a decline in the volume of crude oil, natural gas or NGL handled by PAA’s facilities.</w:t>
      </w:r>
    </w:p>
    <w:p>
      <w:pPr>
        <w:spacing w:after="0" w:line="21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Drilling activity, crude oil production and benchmark crude oil prices can fluctuate significantly over time. If producers reduce drilling activity in response to future declines in benchmark crude oil prices, reduced capital market access, increased capital raising costs for producers or adverse governmental or regulatory action, it could adversely impact production. In turn, such developments could lead to reduced throughput on PAA’s pipelines and at PAA’s other facilities, which, depending on the level of production declines, could have a material adverse effect on PAA’s business.</w:t>
      </w:r>
    </w:p>
    <w:p>
      <w:pPr>
        <w:spacing w:after="0" w:line="19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Also, except with respect to some of our recently constructed pipeline assets, third-party shippers generally do not have long-term contractual commitments to ship crude oil on PAA’s pipelines. A decision by a shipper to substantially reduce or cease to ship volumes of crude oil on PAA’s pipelines could cause a significant decline in its revenues.</w:t>
      </w:r>
    </w:p>
    <w:p>
      <w:pPr>
        <w:spacing w:after="0" w:line="208"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To maintain the volumes of crude oil PAA purchases in connection with its operations, PAA must continue to contract for new supplies of crude oil to offset volumes lost because of reduced drilling activity by producers, natural declines in crude oil production from depleting wells or volumes lost to competitors. If production declines, competitors with under-utilized assets could impair PAA’s ability to secure additional supplies of crude oil.</w:t>
      </w:r>
    </w:p>
    <w:p>
      <w:pPr>
        <w:spacing w:after="0" w:line="1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PAA’s profitability can be negatively affected by a variety of factors stemming from competition in its industry, including risks associated with the general capacity overbuild of midstream energy infrastructure in some of the areas where it operates.</w:t>
      </w:r>
    </w:p>
    <w:p>
      <w:pPr>
        <w:spacing w:after="0" w:line="19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faces competition in all aspects of its business and can give no assurances that it will be able to compete effectively against its competitors. In general, competition comes from a wide variety of participants in a wide variety of contexts, including new entrants and existing participants and in connection with day-to-day business, expansion capital projects, acquisitions and joint venture activities. Some of PAA’s competitors have capital resources many times greater than PAA’s or control greater supplies of crude oil, natural gas or NGL.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60" w:firstLine="648"/>
        <w:spacing w:after="0" w:line="291" w:lineRule="auto"/>
        <w:rPr>
          <w:sz w:val="20"/>
          <w:szCs w:val="20"/>
          <w:color w:val="auto"/>
        </w:rPr>
      </w:pPr>
      <w:r>
        <w:rPr>
          <w:rFonts w:ascii="Arial" w:cs="Arial" w:eastAsia="Arial" w:hAnsi="Arial"/>
          <w:sz w:val="16"/>
          <w:szCs w:val="16"/>
          <w:color w:val="auto"/>
        </w:rPr>
        <w:t>A significant driver of competition in some of the markets where PAA operates (including, for example, the Eagle Ford, Permian Basin, and Rockies/Bakken areas) stems from the rapid development of new midstream energy infrastructure capacity that was driven by the combination of</w:t>
      </w:r>
    </w:p>
    <w:p>
      <w:pPr>
        <w:ind w:firstLine="8"/>
        <w:spacing w:after="0" w:line="267" w:lineRule="auto"/>
        <w:tabs>
          <w:tab w:leader="none" w:pos="2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significant increases in oil and gas production and development in the applicable production areas, both actual and anticipated, (ii) relatively low barriers to entry and (iii) generally widespread access to relatively low cost capital. While this environment presented opportunities for PAA, many of these areas have become, or in the future may become, overbuilt, resulting in an excess of midstream energy infrastructure capacity. For example, several new pipeline projects have been placed in service or are currently under construction, and such projects have resulted in, and may contribute to future, excess takeaway capacity in certain areas where PAA operates. In addition, as an established participant in some markets, PAA also faces competition from aggressive new entrants to the market who are willing to provide services at a lower rate of return in order to establish relationships and gain a foothold in the market. In addition, PAA’s Supply and Logistics segment is a customer of its Transportation and Facilities segments (See Note 21 to our Consolidated Financial Statements for a discussion of operating segments). Competition that impacts PAA’s Supply and Logistics activities could result in a reduction in the use of its Transportation and Facilities assets by its Supply and Logistics segment. All of these competitive effects put downward pressure on PAA’s throughput and margins and, together with other adverse competitive effects, could have a significant adverse impact on PAA’s financial position, cash flows and ability to pay or increase distributions to its unitholders.</w:t>
      </w:r>
    </w:p>
    <w:p>
      <w:pPr>
        <w:spacing w:after="0" w:line="21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With respect to PAA’s crude oil activities, its competitors include other crude oil pipelines, the major integrated oil companies, their marketing affiliates, refiners, private equity-backed entities, and independent gatherers, brokers and marketers of widely varying sizes, financial resources and experience. PAA competes against these companies on the basis of many factors, including geographic proximity to production areas, market access, rates, terms of service, connection costs and other factors.</w:t>
      </w:r>
    </w:p>
    <w:p>
      <w:pPr>
        <w:spacing w:after="0" w:line="214" w:lineRule="exact"/>
        <w:rPr>
          <w:sz w:val="20"/>
          <w:szCs w:val="20"/>
          <w:color w:val="auto"/>
        </w:rPr>
      </w:pPr>
    </w:p>
    <w:p>
      <w:pPr>
        <w:ind w:right="140" w:firstLine="608"/>
        <w:spacing w:after="0" w:line="286" w:lineRule="auto"/>
        <w:rPr>
          <w:sz w:val="20"/>
          <w:szCs w:val="20"/>
          <w:color w:val="auto"/>
        </w:rPr>
      </w:pPr>
      <w:r>
        <w:rPr>
          <w:rFonts w:ascii="Arial" w:cs="Arial" w:eastAsia="Arial" w:hAnsi="Arial"/>
          <w:sz w:val="17"/>
          <w:szCs w:val="17"/>
          <w:color w:val="auto"/>
        </w:rPr>
        <w:t>With respect to PAA’s natural gas storage operations, the principal elements of competition are rates, terms of service, supply and market access and flexibility of service. PAA’s natural gas storage facilities compete with several other storage providers, including regional storage facilities and utilities. Certain pipeline companies have existing storage facilities connected to their systems that compete with some of PAA’s facilities.</w:t>
      </w:r>
    </w:p>
    <w:p>
      <w:pPr>
        <w:spacing w:after="0" w:line="19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With regard to PAA’s NGL operations, it competes with large oil, natural gas and natural gas liquids companies that may, relative to PAA, have greater financial resources and access to supplies of natural gas and NGL. The principal elements of competition are rates, processing fees, geographic proximity to the natural gas or NGL mix, available processing and fractionation capacity, transportation alternatives and their associated costs, and access to end-user markets.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supply and demand, which can be caused by a variety of factors outside of PAA’s control, can negatively affect its operating results.</w:t>
      </w:r>
    </w:p>
    <w:p>
      <w:pPr>
        <w:spacing w:after="0" w:line="27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Supply and demand for crude oil and other hydrocarbon products PAA handles is dependent upon a variety of factors, including price, current and future economic conditions, fuel conservation measures, alternative fuel adoption, governmental regulation, including climate change regulations, and technological advances in fuel economy and energy generation devices. For example, the adoption of legislation or regulatory programs to reduce emissions of greenhouse gases could increase the cost of consuming crude oil and other hydrocarbon products, thereby causing a reduction in the demand for such products. Given that crude oil and petroleum products are global commodities, demand can also be significantly influenced by developments in other countries and markets, particularly in key consumption markets like China. For example, the recent coronavirus outbreak in China resulted in a meaningful drop in the demand for crude oil and petroleum products. Ultimately, this can lead to a reduction in demand for the services PAA provides. Demand also depends on the ability and willingness of shippers having access to PAA’s transportation assets to satisfy their demand by deliveries through those assets. The supply of crude oil depends on a variety of global political and economic factors, including the reliance of foreign governments on petroleum revenues. Excess global supply of crude oil may negatively impact PAA’s operating results by decreasing the price of crude oil and making production and transportation less profitable in areas PAA services.</w:t>
      </w:r>
    </w:p>
    <w:p>
      <w:pPr>
        <w:spacing w:after="0" w:line="2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Fluctuations in demand for crude oil, such as those caused by refinery downtime or shutdowns, can have a negative effect on PAA’s operating results. Specifically, reduced demand in an area serviced by PAA’s transportation systems will negatively affect the throughput on such systems. Although the negative impact may be mitigated or overcome by PAA’s ability to capture differentials created by demand fluctuations, this ability is dependent on location and grade of crude oil, and thus is unpredictable.</w:t>
      </w:r>
    </w:p>
    <w:p>
      <w:pPr>
        <w:spacing w:after="0" w:line="21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Fluctuations in demand for NGL products, whether because of general or industry specific economic conditions, new government regulations, global competition, reduced demand by consumers for products made with NGL products, increased competition from petroleum-based feedstocks due to pricing differences, mild winter weather for some NGL products,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particularly propane, or other reasons, could result in a decline in the volume of NGL products PAA handles or a reduction of the fees it charges for its services. Also, increased supply of NGL products could reduce the value of NGL PAA handles and reduce the margins realized by it.</w:t>
      </w:r>
    </w:p>
    <w:p>
      <w:pPr>
        <w:spacing w:after="0" w:line="17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NGL and products produced from NGL also compete with products from global markets. Any reduced demand or increased supply for ethane, propane, normal butane, iso-butane or natural gasoline in the markets PAA accesses for any of the reasons stated above could adversely affect demand for the services PAA provides as well as NGL prices, which could negatively impact its operating results.</w:t>
      </w:r>
    </w:p>
    <w:p>
      <w:pPr>
        <w:spacing w:after="0" w:line="208" w:lineRule="exact"/>
        <w:rPr>
          <w:sz w:val="20"/>
          <w:szCs w:val="20"/>
          <w:color w:val="auto"/>
        </w:rPr>
      </w:pPr>
    </w:p>
    <w:p>
      <w:pPr>
        <w:ind w:right="260"/>
        <w:spacing w:after="0" w:line="340" w:lineRule="auto"/>
        <w:rPr>
          <w:sz w:val="20"/>
          <w:szCs w:val="20"/>
          <w:color w:val="auto"/>
        </w:rPr>
      </w:pPr>
      <w:r>
        <w:rPr>
          <w:rFonts w:ascii="Arial" w:cs="Arial" w:eastAsia="Arial" w:hAnsi="Arial"/>
          <w:sz w:val="15"/>
          <w:szCs w:val="15"/>
          <w:b w:val="1"/>
          <w:bCs w:val="1"/>
          <w:i w:val="1"/>
          <w:iCs w:val="1"/>
          <w:color w:val="auto"/>
        </w:rPr>
        <w:t>A natural disaster, catastrophe, terrorist attack (including eco-terrorist attacks), process safety failure or other event, including pipeline or facility accidents and cyber or other attacks on PAA’s electronic and computer systems, could interrupt its operations and/or result in severe personal injury, property damage and environmental damage, which could have a material adverse effect on its financial position, results of operations and cash flows.</w:t>
      </w:r>
    </w:p>
    <w:p>
      <w:pPr>
        <w:spacing w:after="0" w:line="15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Some of PAA’s operations involve risks of personal injury, property damage and environmental damage that could curtail its operations and otherwise materially adversely affect its cash flow. Virtually all of PAA’s operations are exposed to potential natural disasters or other natural events, including hurricanes, tornadoes, storms, floods, earthquakes, shifting soil and/or landslides. The location of some of PAA’s assets and its customers’ assets in the U.S. Gulf Coast region makes them particularly vulnerable to hurricane or tropical storm risk. PAA’s facilities and operations are also vulnerable to accidents caused by process safety failures, equipment failures or human error. In addition, since the September 11, 2001 terrorist attacks, the U.S. government has issued warnings that energy assets, specifically the nation’s pipeline infrastructure, may be future targets of terrorist organizations. Terrorists may target PAA’s physical facilities and hackers may attack its electronic and computer systems.</w:t>
      </w:r>
    </w:p>
    <w:p>
      <w:pPr>
        <w:spacing w:after="0" w:line="20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If one or more of PAA’s pipelines or other facilities, including electronic and computer systems, or any facilities or businesses that deliver products, supplies or services to PAA or that it relies on in order to operate its business, are damaged by severe weather or any other disaster, accident, catastrophe, terrorist attack or event, its operations could be significantly interrupted. These interruptions could involve significant damage or injury to people, property or the environment, and repairs could take from a week or less for minor incidents to six months or more for major interruptions. Any such event that interrupts the revenues generated by its operations, or which causes PAA to make significant expenditures not covered by insurance, could reduce its cash available for paying distributions to its partners and, accordingly, adversely affect its financial condition and the market price of its securities.</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PAA may also suffer damage (including reputational damage) as a result of a disaster, accident, catastrophe, terrorist attack or other such event. The occurrence of such an event, or a series of such events, especially if one or more of them occurs in a highly populated or sensitive area, could negatively impact public perception of PAA’s operations and/or make it more difficult for PAA to obtain the approvals, permits, licenses or real property interests PAA needs in order to operate its assets or complete planned growth projects.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PAA’s information and operations, and expose it to liability, which would cause its business and reputation to suffer.</w:t>
      </w:r>
    </w:p>
    <w:p>
      <w:pPr>
        <w:spacing w:after="0" w:line="19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PAA is reliant on the continuous and uninterrupted operation of its information technology systems. User access of PAA’s sites and information technology systems are critical elements to its operations, as is cloud security and protection against cyber security incidents. In the ordinary course of its business, PAA collects and stores sensitive data in its data centers and on its networks, including intellectual property, proprietary business information, information regarding its customers, suppliers, royalty owners and business partners, and personally identifiable information of its employees. The secure processing, maintenance and transmission of this information is critical to PAA’s operations and business strategy. Despite PAA’s security measures, its information technology and infrastructure may be vulnerable to attacks by hackers or breached due to employee error, malfeasance or other disruptions. Any such breach could compromise PAA’s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PAA’s operations, damage to its reputation, and loss of confidence in its services, which could adversely affect its business.</w:t>
      </w:r>
    </w:p>
    <w:p>
      <w:pPr>
        <w:spacing w:after="0" w:line="205"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PAA’s information technology infrastructure is critical to the efficient operation of its business and essential to its ability to perform day-to-day operations. Potential risks to PAA’s IT systems include unauthorized attempts to extract business sensitive, confidential or personal information, denial of access extortion, corruption of information or disruption of business processes, or by inadvertent or intentional actions by PAA’s employees or vendors. Breaches in PAA’s information technology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infrastructure or physical facilities, or other disruptions, could result in damage to its assets, safety incidents, damage to the environment, remediation costs, potential liability, regulatory enforcement, violation of privacy or securities laws and regulations or the loss of contracts, any of which could have a material adverse effect on its operations, financial position and results of operations.</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PAA self-insures and thus does not carry insurance specifically for cybersecurity events; however, certain of PAA’s insurance policies may allow for coverage of associated damages resulting from such events. If PAA were to incur a significant liability for which it was not fully insured, or if PAA incurred costs in excess of reserves established for uninsured or self-insured risks, it could have a material adverse effect on PAA’s financial position, results of operations and cash flows.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PAA may face opposition to the development or operation of its pipelines and facilities from various groups and PAA’s business may be subject to societal and political pressures.</w:t>
      </w:r>
    </w:p>
    <w:p>
      <w:pPr>
        <w:spacing w:after="0" w:line="19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PAA may face opposition to the development or operation of its pipelines and facilities from environmental groups, landowners, tribal groups, local groups and other advocates. Such opposition could take many forms, including organized protests, attempts to block or sabotage PAA’s operations, intervention in regulatory or administrative proceedings involving its assets, or lawsuits or other actions designed to prevent, disrupt or delay the development or operation of PAA’s assets and business. For example, repairing PAA’s pipelines often involves securing consent from individual landowners to access their property; one or more landowners may resist PAA’s efforts to make needed repairs, which could lead to an interruption in the operation of the affected pipeline or other facility for a period of time that is significantly longer than would have otherwise been the case. In addition, acts of sabotage or eco-terrorism could cause significant damage or injury to people, property or the environment or lead to extended interruptions of PAA’s operations. Any such event that interrupts the revenues generated by PAA’s operations, or which causes PAA to make significant expenditures not covered by insurance, could reduce PAA’s cash available for paying distributions to its partners and, accordingly, adversely affect PAA’s financial condition and the market price of its securities.</w:t>
      </w:r>
    </w:p>
    <w:p>
      <w:pPr>
        <w:spacing w:after="0" w:line="22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PAA’s business plans are based upon the assumption that societal sentiment will continue to enable, and existing regulations will stay intact, for the future development, transportation and use of carbon-based fuels. Policy decisions relating to the production, refining, transportation and marketing of carbon-based fuels are subject to political pressures, the media’s negative portrayal of the industry in which PAA operates and the influence and protests of environmental and other special interest groups. Such negative sentiment regarding the fossil fuel industry could influence consumer preferences and government or regulatory actions, which could, in turn, have an adverse impact on PAA’s business.</w:t>
      </w:r>
    </w:p>
    <w:p>
      <w:pPr>
        <w:spacing w:after="0" w:line="20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Recently, activists concerned about the potential effects of climate change have directed their attention towards sources of funding for fossil-fuel energy companies, which has resulted in certain financial institutions, funds and other sources of capital restricting or eliminating their investment in energy-related activities. Ultimately, this could make it more difficult to secure funding for exploration and production activities or energy infrastructure related projects, and consequently could both indirectly affect demand for PAA’s services and directly affect PAA’s ability to fund construction or other capital projects.</w:t>
      </w:r>
    </w:p>
    <w:p>
      <w:pPr>
        <w:spacing w:after="0" w:line="21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results of PAA’s Supply and Logistics segment are influenced by the overall forward market for crude oil and NGL, and certain market structures, the absence of pricing volatility and other market factors may adversely impact its results.</w:t>
      </w:r>
    </w:p>
    <w:p>
      <w:pPr>
        <w:spacing w:after="0" w:line="19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Results from PAA’s Supply and Logistics segment are dependent on a variety of factors affecting the markets for crude oil and NGL, including regional and international supply and demand imbalances, takeaway availability and constraints, transportation costs and the overall forward market for crude oil. Periods when differentials are wide or when there is volatility in the forward market structure are generally more favorable for PAA’s Supply and Logistics segment. During periods where the infrastructure is over-built and/or there is a lack of volatility in the pricing structure PAA’s results may be negatively impacted. Depending on the overall duration of these transition periods, how PAA has allocated its assets to particular strategies and the time length of its crude oil purchase and sale contracts and storage agreements, these periods may have either an adverse or beneficial effect on PAA’s aggregate segment results. In the past, the results from PAA’s Supply and Logistics segment have varied significantly based on market conditions and this segment may continue to experience highly variable results as a result of future changes to the markets for crude oil and NGL.</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 may not be able to fully implement or realize expected returns or other anticipated benefits associated with planned growth projects.</w:t>
      </w:r>
    </w:p>
    <w:p>
      <w:pPr>
        <w:spacing w:after="0" w:line="26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PAA has a number of organic growth projects that involve the construction of new midstream energy infrastructure assets or the expansion or modification of existing assets. Many of these projects involve numerous regulatory, environmental, commercial, economic, weather-related, political and legal uncertainties that are beyond its control, including the following: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80" w:hanging="324"/>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these projects are undertaken, required approvals, permits and licenses may not be obtained, may be delayed, may be obtained with conditions that materially alter the expected return associated with the underlying projects or may be granted and then subsequently withdrawn;</w:t>
      </w:r>
    </w:p>
    <w:p>
      <w:pPr>
        <w:spacing w:after="0" w:line="15" w:lineRule="exact"/>
        <w:rPr>
          <w:rFonts w:ascii="Arial" w:cs="Arial" w:eastAsia="Arial" w:hAnsi="Arial"/>
          <w:sz w:val="16"/>
          <w:szCs w:val="16"/>
          <w:color w:val="auto"/>
        </w:rPr>
      </w:pPr>
    </w:p>
    <w:p>
      <w:pPr>
        <w:ind w:left="980" w:right="24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PAA may face opposition to its planned growth projects from environmental groups, landowners, local groups and other advocates, including lawsuits or other actions designed to disrupt or delay PAA’s planned projects;</w:t>
      </w:r>
    </w:p>
    <w:p>
      <w:pPr>
        <w:spacing w:after="0" w:line="62"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PAA may not be able to obtain, or PAA may be significantly delayed in obtaining, all of the rights of way or other real property interests it needs to complete such projects, or the costs PAA incurs in order to obtain such rights of way or other interests may be greater than PAA anticipated;</w:t>
      </w:r>
    </w:p>
    <w:p>
      <w:pPr>
        <w:spacing w:after="0" w:line="15" w:lineRule="exact"/>
        <w:rPr>
          <w:rFonts w:ascii="Arial" w:cs="Arial" w:eastAsia="Arial" w:hAnsi="Arial"/>
          <w:sz w:val="16"/>
          <w:szCs w:val="16"/>
          <w:color w:val="auto"/>
        </w:rPr>
      </w:pPr>
    </w:p>
    <w:p>
      <w:pPr>
        <w:ind w:left="980" w:right="40" w:hanging="324"/>
        <w:spacing w:after="0" w:line="286"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Despite the fact that PAA will expend significant amounts of capital during the construction phase of these projects, revenues associated with these organic growth projects will not materialize until the projects have been completed and placed into commercial service, and the amount of revenue generated from these projects could be significantly lower than anticipated for a variety of reasons;</w:t>
      </w:r>
    </w:p>
    <w:p>
      <w:pPr>
        <w:spacing w:after="0" w:line="57"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PAA may construct pipelines, facilities or other assets in anticipation of market demand that dissipates or market growth that never materializes;</w:t>
      </w:r>
    </w:p>
    <w:p>
      <w:pPr>
        <w:spacing w:after="0" w:line="140" w:lineRule="exact"/>
        <w:rPr>
          <w:rFonts w:ascii="Arial" w:cs="Arial" w:eastAsia="Arial" w:hAnsi="Arial"/>
          <w:sz w:val="16"/>
          <w:szCs w:val="16"/>
          <w:color w:val="auto"/>
        </w:rPr>
      </w:pPr>
    </w:p>
    <w:p>
      <w:pPr>
        <w:ind w:left="980" w:right="20" w:hanging="324"/>
        <w:spacing w:after="0" w:line="259"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Due to unavailability or costs of materials, supplies, power, labor or equipment, including increased costs associated with any import duties or requirements to source certain supplies or materials from U.S. suppliers or manufacturers, the cost of completing these projects could turn out to be significantly higher than PAA budgeted and the time it takes to complete construction of these projects and place them into commercial service could be significantly longer than planned; and</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completion or success of PAA’s projects may depend on the completion or success of third-party facilities over which PAA have no control.</w:t>
      </w:r>
    </w:p>
    <w:p>
      <w:pPr>
        <w:spacing w:after="0" w:line="27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a result of these uncertainties, the anticipated benefits associated with PAA’s capital projects may not be achieved or could be delayed. In turn, this could negatively impact PAA’s cash flow and its ability to make or increase cash distributions to its partners.</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Loss of PAA’s investment grade credit rating or the ability to receive open credit could negatively affect its borrowing costs, ability to purchase crude oil, NGL and natural gas supplies or to capitalize on market opportunities.</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PAA’s business is dependent on its ability to maintain an attractive credit rating and continue to receive open credit from its suppliers and trade counterparties. PAA’s senior unsecured debt is currently rated as “investment grade” by Standard &amp; Poor’s and Fitch Ratings Inc. In August 2017, Moody’s Investors Service downgraded its rating of PAA’s senior unsecured debt to a level below investment grade. A further downgrade by Standard &amp; Poor’s or Fitch Ratings, Inc. to a level below PAA’s current ratings levels assigned by such rating agencies could increase its borrowing costs, reduce its borrowing capacity and cause its counterparties to reduce the amount of open credit we receive from them. This could negatively impact PAA’s ability to capitalize on market opportunities. For example, PAA’s ability to utilize its crude oil storage capacity for merchant activities to capture contango market opportunities is dependent upon having adequate credit facilities, both in terms of the total amount of credit facilities and the cost of such credit facilities, which enables PAA to finance the storage of the crude oil from the time it completes the purchase of the crude oil until the time it completes the sale of the crude oil. Loss of PAA’s remaining investment grade credit ratings could also adversely impact its cash flows, its ability to make distributions at its current levels and the value of its outstanding equity and debt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joint ventures involve risks that may adversely affect PAA’s business.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acquisition involves potential risks, including:</w:t>
      </w:r>
    </w:p>
    <w:p>
      <w:pPr>
        <w:spacing w:after="0" w:line="117"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from the acquired businesses or assets that is below the forecasts PAA used in evaluating the acquisition;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significant increase in PAA’s indebtedness and working capital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timely and effectively integrate the operations of recently acquired businesses or assets;</w:t>
      </w:r>
    </w:p>
    <w:p>
      <w:pPr>
        <w:spacing w:after="0" w:line="117" w:lineRule="exact"/>
        <w:rPr>
          <w:rFonts w:ascii="Arial" w:cs="Arial" w:eastAsia="Arial" w:hAnsi="Arial"/>
          <w:sz w:val="18"/>
          <w:szCs w:val="18"/>
          <w:color w:val="auto"/>
        </w:rPr>
      </w:pPr>
    </w:p>
    <w:p>
      <w:pPr>
        <w:ind w:left="980" w:right="340" w:hanging="324"/>
        <w:spacing w:after="0" w:line="264"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incurrence of substantial unforeseen environmental and other liabilities arising out of the acquired businesses or assets for which PAA is either not fully insured or indemnified, including liabilities arising from the operation of the acquired businesses or assets prior to PAA’s acquisition;</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associated with operating in lines of business that are distinct and separate from PAA’s historical operations;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customer or key employee loss from the acquired businesses;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of these factors could adversely affect PAA’s ability to achieve anticipated levels of cash flows from its acquisitions, realize other anticipated benefits and its ability to pay distributions to its partners or meet its debt service requirements.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PAA’s ability to execute its growth strategy is in part dependent on its ability to raise capital through strategic divestitures or sales of interests to</w:t>
      </w:r>
    </w:p>
    <w:p>
      <w:pPr>
        <w:spacing w:after="0" w:line="7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strategic partners. If PAA is unable to successfully complete planned divestitures, PAA may be unable to fund its capital needs or it may have to raise additional funding in the capital markets. In addition, in connection with its divestitures, PAA may agree to retain responsibility for certain liabilities that relate to PAA’s period of ownership, which could adversely impact its future financial performance.</w:t>
      </w:r>
    </w:p>
    <w:p>
      <w:pPr>
        <w:spacing w:after="0" w:line="2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PAA is also involved in many strategic joint ventures and other joint ownership arrangements. PAA may not always be in complete alignment with its joint venture or joint owner counterparties; PAA may have differing strategic or commercial objectives or PAA may disagree on governance matters with respect to the joint venture entity or the jointly owned assets. When PAA enters into joint ventures or joint ownership arrangements it may be subject to the risk that its counterparties do not fund their obligations. In some joint ventures and joint ownership arrangements PAA may not be responsible for construction or operation of such projects and will rely on its joint venture or joint owner counterparties for such services. Joint ventures and joint ownership arrangements may also require PAA to expend additional internal resources that could otherwise be directed to other projects. If PAA is unable to successfully execute and manage its existing and proposed joint venture and joint owner projects, it could adversely impact PAA’s financial and operating results.</w:t>
      </w:r>
    </w:p>
    <w:p>
      <w:pPr>
        <w:spacing w:after="0" w:line="1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implementation of PAA’s strategy requires access to new capital. Tightened capital markets or other factors that increase its cost of capital could impair its ability to grow.</w:t>
      </w:r>
    </w:p>
    <w:p>
      <w:pPr>
        <w:spacing w:after="0" w:line="19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PAA continuously considers potential acquisitions and opportunities for expansion capital projects. Acquisition transactions can be effected quickly, may occur at any time and may be significant in size relative to its existing assets and operations. PAA’s ability to fund its capital projects and make acquisitions depends on whether it can access the necessary financing to fund these activities. Any limitations on its access to capital or increase in the cost of that capital could significantly impair the implementation of its strategy. PAA’s ability to maintain its targeted credit profile, including maintaining its credit ratings, could affect PAA’s cost of capital as well as its ability to execute its strategy. In addition, a variety of factors beyond its control could impact the availability or cost of capital, including domestic or international economic conditions, increases in key benchmark interest rates and/or credit spreads, the adoption of new or amended banking or capital market laws or regulations, the re-pricing of market risks and volatility in capital and financial markets.</w:t>
      </w:r>
    </w:p>
    <w:p>
      <w:pPr>
        <w:spacing w:after="0" w:line="194"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Due to these factors, PAA cannot be certain that funding for its capital needs will be available from bank credit arrangements, capital markets or other sources on acceptable terms. If funding is not available when needed, or is available only on unfavorable terms, PAA may be unable to implement its development plans, enhance its existing business, complete acquisitions and construction projects, take advantage of business opportunities or respond to competitive pressures, any of which could have a material adverse effect on its revenues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PAA is exposed to the credit risk of its customers and other counterparties it transacts within the ordinary course of its business activities.</w:t>
      </w:r>
    </w:p>
    <w:p>
      <w:pPr>
        <w:spacing w:after="0" w:line="26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Risks of nonpayment and nonperformance by customers or other counterparties are a significant consideration in PAA’s business. Although PAA has credit risk management policies and procedures that are designed to mitigate and limit its exposure in this area, there can be no assurance that PAA has adequately assessed and managed the creditworthiness of its existing or future counterparties or that there will not be an unanticipated deterioration in their creditworthiness or unexpected instances of nonpayment or nonperformance, all of which could have an adverse impact on PAA’s cash flow and its ability to pay or increase its cash distributions to its partners.</w:t>
      </w:r>
    </w:p>
    <w:p>
      <w:pPr>
        <w:spacing w:after="0" w:line="21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PAA has a number of minimum volume commitment contracts that support pipelines in its Transportation segment. In addition, certain of the pipelines in which PAA owns a joint venture interest have minimum volume commitment contracts. Pursuant to such contracts, shippers are obligated to pay for a minimum volume of transportation service regardless of whether such volume is actually shipped (typically referred to as a deficiency payment), subject to the receipt of credits that typically expire if not used by a certain date. While such contracts provide greater revenue certainty, if the applicable shipper fails to transport the minimum required volume and is required to make a deficiency payment, under applicable accounting rules, the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revenue associated with such deficiency payment may not be recognized until the applicable transportation credit has expired or has been used. Deferred revenue associated with non-performance by shippers under minimum volume contracts could be significant and could adversely affect PAA’s profitability and earnings.</w:t>
      </w:r>
    </w:p>
    <w:p>
      <w:pPr>
        <w:spacing w:after="0" w:line="2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addition, in those cases in which PAA provides division order services for crude oil purchased at the wellhead, it may be responsible for distribution of proceeds to all parties. In other cases, PAA pays all of or a portion of the production proceeds to an operator who distributes these proceeds to the various interest owners. These arrangements expose PAA to operator credit risk, and there can be no assurance that PAA will not experience losses in dealings with such operators and other parties.</w:t>
      </w:r>
    </w:p>
    <w:p>
      <w:pPr>
        <w:spacing w:after="0" w:line="21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Further, to the extent one or more of PAA’s major customers experiences financial distress or commences bankruptcy proceedings, contracts with such customers (including contracts that are supported by acreage dedications) may be subject to renegotiation or rejection under applicable provisions of the United States Bankruptcy Code. Any such renegotiation or rejection could have an adverse effect on PAA’s revenue and cash flows and its ability to make cash distributions to its unitholders.</w:t>
      </w:r>
    </w:p>
    <w:p>
      <w:pPr>
        <w:spacing w:after="0" w:line="21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231F20"/>
        </w:rPr>
        <w:t>PAA has also undertaken numerous projects that require cooperation with and performance by joint venture co-owners. In addition, in connection with various acquisition, divestiture, joint venture and other transactions, PAA often receives indemnifications from various parties for certain risks or liabilities. Nonperformance by any of these parties could result in increased costs or other adverse consequences that could decrease PAA’s earnings and returns.</w:t>
      </w:r>
    </w:p>
    <w:p>
      <w:pPr>
        <w:spacing w:after="0" w:line="214"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7"/>
          <w:szCs w:val="17"/>
          <w:color w:val="231F20"/>
        </w:rPr>
        <w:t>PAA also relies to a significant degree on the banks that lend to it under its revolving credit facility for financial liquidity, and any failure of those banks to perform on their obligations to PAA could significantly impair its liquidity. Furthermore, nonpayment by the counterparties to PAA’s interest rate, commodity and/or foreign currency derivatives could expose it to additional interest rate, commodity price and/or foreign currency risk.</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PAA’s risk policies cannot eliminate all risks. In addition, any non-compliance with its risk policies could result in significant financial losses.</w:t>
      </w:r>
    </w:p>
    <w:p>
      <w:pPr>
        <w:spacing w:after="0" w:line="27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Generally, it is PAA’s policy to establish a margin for crude oil or other products it purchases by selling such products for physical delivery to third-party users, or by entering into a future delivery obligation under derivative contracts. Through these transactions, PAA seeks to maintain a position that is substantially balanced between purchases on the one hand, and sales or future delivery obligations on the other hand. PAA’s policy is not to acquire and hold physical inventory or derivative products for the purpose of speculating on commodity price changes. These policies and practices cannot, however, eliminate all risks. For example, any event that disrupts PAA’s anticipated physical supply of crude oil or other products could expose it to risk of loss resulting from price changes. PAA is also exposed to basis risk when crude oil or other products are purchased against one pricing index and sold against a different index. Moreover, PAA is exposed to some risks that are not hedged, including risks on certain of its inventory, such as linefill, which must be maintained in order to transport crude oil on its pipelines. In an effort to maintain a balanced position, specifically authorized personnel can purchase or sell crude oil, refined products and NGL, up to predefined limits and authorizations. Although this activity is monitored independently by PAA’s risk management function, it exposes PAA to commodity price risks within these limits.</w:t>
      </w:r>
    </w:p>
    <w:p>
      <w:pPr>
        <w:spacing w:after="0" w:line="20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In addition, PAA’s operations involve the risk of non-compliance with its risk policies. PAA has taken steps within its organization to implement processes and procedures designed to detect unauthorized trading; however, PAA can provide no assurance that these steps will detect and prevent all violations of its risk policies and procedures, particularly if deception, collusion or other intentional misconduct is involved.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PAA’s operations are also subject to laws and regulations relating to protection of the environment and wildlife, operational safety, climate change and related matters that may expose it to significant costs and liabilities. The current laws and regulations affecting our business are subject to change and in the future PAA may be subject to additional laws and regulations, which could adversely impact PAA’s business.</w:t>
      </w:r>
    </w:p>
    <w:p>
      <w:pPr>
        <w:spacing w:after="0" w:line="17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PAA’s operations involving the storage, treatment, processing, and transportation of liquid hydrocarbons, including crude oil, NGL and refined products, as well as PAA’s operations involving the storage of natural gas, are subject to stringent federal, state, and local laws and regulations governing the discharge of materials into the environment. PAA’s operations are also subject to laws and regulations relating to protection of the environment and wildlife, operational safety, climate change and related matters. Compliance with all of these laws and regulations increases its overall cost of doing business, including its capital costs to construct, maintain and upgrade equipment and facilities. Also, new or additional regulations, new interpretations of existing requirements or changes in PAA’s operations could trigger new permitting requirements applicable to its operations, which could result in increased costs or delays of, or denial of rights to conduct, PAA’s development programs. The failure to comply with any such laws and regulations could result in the assessment of administrative, civil, and criminal penalties, the imposition of investigatory and remedial liabilities, the issuance of injunctions that may subject PAA to additional operational requirements and constraints, or claims of damages to property or persons resulting from its operations. In addition, criminal violations of certain environmental laws, or in some cases even the allegation of criminal violations, may result in the temporary suspension or outright debarment from participating in government contracts. The laws and regulations applicable to PAA’s operations are subject to change and interpretation by the relevant governmental agency, including the possibility that exemptions it currently qualifies for may be modified or changed in ways that require PAA to incur significant additional compliance costs. PAA’s business and operations may also become subject to additional laws or regulations. Any new laws or regulations, or changes to or interpretations of existing laws or regulations, adverse to PAA could have a material adverse effect on its operations, revenues, expenses and profitability.</w:t>
      </w:r>
    </w:p>
    <w:p>
      <w:pPr>
        <w:spacing w:after="0" w:line="21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PAA has a history of incremental additions to the miles of pipelines it owns, both through acquisitions and expansion capital projects. PAA has also increased its terminal and storage capacity and operate several facilities on or near navigable waters and domestic water supplies. Although PAA has implemented programs intended to maintain the integrity of its assets (discussed below), as it acquires additional assets it is at risk for an increase in the number of releases of liquid hydrocarbons into the environment. These releases expose PAA to potentially substantial expense, including clean-up and remediation costs, fines and penalties, and third party claims for personal injury or property damage related to past or future releases. Some of these expenses could increase by amounts disproportionately higher than the relative increase in pipeline mileage and the increase in revenues associated therewith. PAA’s refined products terminal assets are also subject to significant compliance costs and liabilities. In addition, because of the increased volatility of refined products and their tendency to migrate farther and faster than crude oil when released, releases of refined products into the environment can have a more significant impact than crude oil and require significantly higher expenditures to respond and remediate. The incurrence of such expenses not covered by insurance, indemnity or reserves could materially adversely affect PAA’s results of operations.</w:t>
      </w:r>
    </w:p>
    <w:p>
      <w:pPr>
        <w:spacing w:after="0" w:line="20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7"/>
          <w:szCs w:val="17"/>
          <w:color w:val="auto"/>
        </w:rPr>
        <w:t>PAA currently devotes substantial resources to comply with DOT-mandated pipeline integrity rules. The DOT regulations include requirements for the establishment of pipeline integrity management programs and for protection of “high consequence areas” where a pipeline leak or rupture could produce significant adverse consequences. Pipeline safety regulations are revised frequently. For example, in October 2019, PHMSA published three final rules that create or expand reporting, inspection, maintenance, and other pipeline safety obligations. PAA is in the process of assessing the impact of these rules on its future costs of operations and revenue from operations. PHMSA is working on two additional rules related to gas pipeline safety that are expected to modify pipeline repair criteria and extend regulatory safety requirements to certain gathering lines in rural areas. These additional rulemakings are expected to be effective by mid-2020. The adoption of new regulations requiring more comprehensive or stringent safety standards could require PAA to install new or modified safety controls, pursue new capital projects, or conduct maintenance programs on an accelerated basis, all of which could require PAA to incur increased operational costs that could be significant.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Although PAA continues to focus on pipeline and facility integrity management as a primary operational emphasis, doing so requires substantial time and resources and cannot eliminate all risk of releases. PAA has an internal review process pursuant to which it examines various aspects of its pipeline and gathering systems that are not currently subject to the DOT pipeline integrity management mandate. The purpose of this process is to review the surrounding environment, condition and operating history of these pipeline and gathering assets to determine if such assets warrant additional investment or replacement. Accordingly, in addition to potential cost increases related to unanticipated regulatory changes or injunctive remedies resulting from regulatory agency enforcement actions, PAA may elect (as a result of its own internal initiatives) to spend substantial sums to enhance the integrity of and upgrade its pipeline systems to maintain environmental compliance and, in some cases, PAA may take pipelines out of service if it believes the cost of upgrades will exceed the value of the pipelines. PAA cannot provide any assurance as to the ultimate amount or timing of future pipeline integrity expenditures but any such expenditures could be significant. See “Environmental — General” in Note 19 to our Consolidated Financial Statements. In addition, despite PAA’s pipeline and facility integrity management efforts, it can provide no assurance that its pipelines and facilities will not experience leaks or releases or that PAA will be able to fully comply with all of the federal, state and local laws and regulations applicable to the operation of PAA’s pipelines or facilities; any such leaks or releases could be material and could have a significant adverse impact on PAA’s reputation, financial position, cash flows and ability to pay or increase distributions to its unitholders.</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PAA’s assets are subject to federal, state and provincial regulation. Rate regulation or a successful challenge to the rates PAA charges on its U.S. and Canadian pipeline systems may reduce the amount of cash it generates.</w:t>
      </w:r>
    </w:p>
    <w:p>
      <w:pPr>
        <w:spacing w:after="0" w:line="197"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PAA’s U.S. interstate common carrier liquids pipelines are subject to regulation by the FERC under the ICA. The ICA requires that tariff rates and terms and conditions of service for liquids pipelines be just and reasonable and non-discriminatory. PAA is also subject to the Pipeline Safety Regulations of the DOT. PAA’s intrastate pipeline transportation activities are subject to various state laws and regulations as well as orders of regulatory bodies.</w:t>
      </w:r>
    </w:p>
    <w:p>
      <w:pPr>
        <w:spacing w:after="0" w:line="17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For PAA’s U.S. interstate common carrier liquids pipelines subject to FERC regulation under the ICA, shippers may protest its pipeline tariff filings or file complaints against its existing rates or complaints alleging that we are engaging in discriminating behavior. The FERC can also investigate on its own initiative. Under certain circumstances, the FERC could limit PAA’s ability to set rates based on its costs, or could order PAA to reduce its rates and could require the payment of reparations to complaining shippers for up to two years prior to the complaint. Natural gas storage facilities are subject to regulation by the FERC, the DOT, and certain state agencies.</w:t>
      </w:r>
    </w:p>
    <w:p>
      <w:pPr>
        <w:spacing w:after="0" w:line="21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March 2018, FERC issued a revised policy statement (subsequently modified in a final rule issued in July 2018) in which it held that it will no longer permit an income tax allowance to be included in cost-of-service rates for interstate pipelines structured as master limited partnerships. The FERC also indicated that it will incorporate the effects of the revised policy statement in its next review of the oil pipeline index level, which will take effect in July 2021. PAA does not have cost-of-service rates that would be impacted by this policy change; PAA’s FERC regulated tariffs are either grandfathered or based on negotiated rates. However, depending on how the FERC incorporates its most recent tax policy statement into its next index review, the policy could potentially have a negative impact on the FERC adder to the PPI-FG Index, which in turn could have a negative effect on PAA’s ability to increase its index-based rates. The policy could impact future (i.e., July 2021 and later) tariff escalations on PAA’s FERC regulated pipelines, as well as some of PAA’s state-regulated pipelines that have negotiated rates with escalations tied to the FERC Index.</w:t>
      </w:r>
    </w:p>
    <w:p>
      <w:pPr>
        <w:spacing w:after="0" w:line="20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PAA routinely monitors the public filings and proceedings of other parties with the FERC and other regulatory agencies in an effort to identify issues that could potentially impact its business. Under certain circumstances PAA may choose to intervene in such third-party proceedings in order to express its support for, or its opposition to, various issues raised by the parties to such proceedings. For example, if PAA believes that a petition filed with, or order issued by, the FERC is improper, overbroad other otherwise flawed, PAA may attempt to intervene in such proceedings for the purpose of protesting such petition or order and requesting appropriate action such as a clarification, rehearing or other remedy. Despite such efforts, PAA can provide no assurance that the FERC and other agencies that regulate its business will not issue future orders or declarations that increase its costs or otherwise adversely affect its operations.</w:t>
      </w:r>
    </w:p>
    <w:p>
      <w:pPr>
        <w:spacing w:after="0" w:line="21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FERC issued a Notice of Inquiry on April 19, 2018 (Certificate Policy Statement NOI), thereby initiating a review of its policies on certification of natural gas pipelines and storage facilities, including an examination of its long-standing Policy Statement on Certification of New Interstate Natural Gas Pipeline Facilities, issued in 1999, that is used to determine whether to grant certificates for new pipeline and storage projects and expansions. Comments on the Certificate Policy Statement NOI were due on July 25, 2018, and PAA is unable to predict what, if any, changes may be proposed as a result of the NOI that will affect PAA’s natural gas storage business or when such proposals, if any, might become effective.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PAA’s Canadian pipelines are subject to regulation by the CER and by provincial authorities. Under the Canadian Energy Regulator Act, the CER could investigate the tariff rates or the terms and conditions of service relating to a jurisdictional pipeline on its own initiative, upon the filing of a toll or tariff application, or upon the filing of a written complaint. If the CER found the rates or terms of service relating to such pipeline to be unjust or unreasonable or unjustly discriminatory, the CER could require PAA to change its rates, provide access to other shippers, or change its terms of service. A provincial authority could, on the application of a shipper or other interested party, investigate the tariff rates or PAA’s terms and conditions of service relating to its provincially-regulated proprietary pipelines. If it found PAA’s rates or terms of service to be contrary to statutory requirements, it could impose conditions it considers appropriate. A provincial authority could declare a pipeline to be a common carrier pipeline, and require PAA to change its rates, provide access to other shippers, or otherwise alter its terms of service. Any reduction in PAA’s tariff rates would result in lower revenue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PAA’s operations cross the U.S./Canada border and are subject to cross-border regulation.</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PAA’s cross border activities subject it to regulatory matters, including import and export licenses, tariffs, Canadian and U.S. customs and tax issues and toxic substance certifications. Such regulations include the Short Supply Controls of the EAA, the NAFTA and the TSCA. Violations of these licensing, tariff and tax reporting requirements could result in the imposition of significant administrative, civil and criminal penalties.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purchases and sales of crude oil, natural gas and NGL, and hedging activities, expose it to potential regulatory risks.</w:t>
      </w:r>
    </w:p>
    <w:p>
      <w:pPr>
        <w:spacing w:after="0" w:line="252" w:lineRule="exact"/>
        <w:rPr>
          <w:sz w:val="20"/>
          <w:szCs w:val="20"/>
          <w:color w:val="auto"/>
        </w:rPr>
      </w:pPr>
    </w:p>
    <w:p>
      <w:pPr>
        <w:ind w:right="280" w:firstLine="648"/>
        <w:spacing w:after="0" w:line="290" w:lineRule="auto"/>
        <w:rPr>
          <w:sz w:val="20"/>
          <w:szCs w:val="20"/>
          <w:color w:val="auto"/>
        </w:rPr>
      </w:pPr>
      <w:r>
        <w:rPr>
          <w:rFonts w:ascii="Arial" w:cs="Arial" w:eastAsia="Arial" w:hAnsi="Arial"/>
          <w:sz w:val="16"/>
          <w:szCs w:val="16"/>
          <w:color w:val="auto"/>
        </w:rPr>
        <w:t>The FTC, the FERC and the CFTC hold statutory authority to monitor certain segments of the physical and futures energy commodities markets. These agencies have imposed broad regulations prohibiting fraud and manipulation of such markets. With regard to PAA’s physical purchases and sales of crude oil, natural gas or NGL and any related hedging activities that it undertakes, PAA is required to observe the market-related regulations enforced by these agencies, which hold substantial enforcement authority. PAA’s purchases and sales may also be subject to certain reporting and other requirements. Additionally, to the extent that PAA enters into transportation contracts with common carrier pipelines that are subject to FERC regulation, it is subject to FERC requirements related to the use of such capacity. Any failure on PAA’s part to comply with the regulations and policies of the FERC, the FTC or the CFTC could result in the imposition of civil and criminal penalties. Failure to comply with such regulations, as interpreted and enforced, could have a material adverse effect on PAA’s business, results of operations, financial condition and its ability to make cash distributions to its unitholders.</w:t>
      </w:r>
    </w:p>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The enactment and implementation of derivatives legislation could have an adverse impact on PAA’s ability to use derivative instruments to reduce the effect of commodity price, interest rate and other risks associated with its business and increase the working capital requirement to conduct these hedging activities</w:t>
      </w:r>
      <w:r>
        <w:rPr>
          <w:rFonts w:ascii="Arial" w:cs="Arial" w:eastAsia="Arial" w:hAnsi="Arial"/>
          <w:sz w:val="18"/>
          <w:szCs w:val="18"/>
          <w:i w:val="1"/>
          <w:iCs w:val="1"/>
          <w:color w:val="auto"/>
        </w:rPr>
        <w:t>.</w:t>
      </w:r>
    </w:p>
    <w:p>
      <w:pPr>
        <w:spacing w:after="0" w:line="20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Dodd-Frank Wall Street Reform and Consumer Protection Act (the “Dodd-Frank Act”), enacted on July 21, 2010, established federal oversight and regulation of derivative markets and entities, such as PAA, that participate in those markets. The Dodd-Frank Act requires the CFTC and the SEC to promulgate rules and regulations implementing the Dodd-Frank Act. Although the CFTC has finalized certain regulations, others remain to be finalized or implemented and it is not possible at this time to predict when this will be accomplished.</w:t>
      </w:r>
    </w:p>
    <w:p>
      <w:pPr>
        <w:spacing w:after="0" w:line="214" w:lineRule="exact"/>
        <w:rPr>
          <w:sz w:val="20"/>
          <w:szCs w:val="20"/>
          <w:color w:val="auto"/>
        </w:rPr>
      </w:pPr>
    </w:p>
    <w:p>
      <w:pPr>
        <w:ind w:right="240" w:firstLine="648"/>
        <w:spacing w:after="0" w:line="248" w:lineRule="auto"/>
        <w:rPr>
          <w:sz w:val="20"/>
          <w:szCs w:val="20"/>
          <w:color w:val="auto"/>
        </w:rPr>
      </w:pPr>
      <w:r>
        <w:rPr>
          <w:rFonts w:ascii="Arial" w:cs="Arial" w:eastAsia="Arial" w:hAnsi="Arial"/>
          <w:sz w:val="18"/>
          <w:szCs w:val="18"/>
          <w:color w:val="auto"/>
        </w:rPr>
        <w:t>In January 2020, the CFTC proposed new rules that would place limits on positions in certain core futures and equivalent swaps contracts for, or linked to, certain physical commodities, subject to exceptions for certain bona fide hedging transactions. As these new position limit rules are not yet final, the impact of those provisions on PAA is uncertain at this time.</w:t>
      </w:r>
    </w:p>
    <w:p>
      <w:pPr>
        <w:spacing w:after="0" w:line="20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CFTC has designated certain interest rate swaps and credit default swaps for mandatory clearing, and the associated rules require PAA, in connection with covered derivative activities, to comply with clearing and trade-execution requirements or take steps to qualify for an exemption from such requirements. PAA does not utilize credit default swaps and PAA qualifies for, and expects to continue to qualify for, the end-user exception from the mandatory clearing requirements for swaps entered into to hedge its interest rate risks. Should the CFTC designate commodity derivatives for mandatory clearing, PAA would expect to qualify for an end-user exception from the mandatory clearing requirements for swaps entered into to hedge its commodity price risk. However, the majority of PAA’s financial derivative transactions used for hedging commodity price risks are currently executed and cleared over exchanges that require the posting of margin or letters of credit based on initial and variation margin requirements. Pursuant to the Dodd Frank Act, however, the CFTC or federal banking regulators may require the posting of collateral with respect to uncleared interest rate and commodity derivative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Certain banking regulators and the CFTC have adopted final rules establishing minimum margin requirements for uncleared swaps. Although PAA qualifies for the end-user exception from margin requirements for swaps entered into to hedge commercial risks, if any of PAA’s swaps do not qualify for the commercial end-user exception, or if PAA is otherwise required to post additional cash margin or collateral it could reduce PAA’s ability to execute hedges necessary to reduce commodity price exposures and protect cash flows. Posting of additional cash margin or collateral could affect PAA’s liquidity (defined as unrestricted cash on hand plus available capacity under its credit facilities) and reduce PAA’s ability to use cash for capital expenditures or other partnership purposes.</w:t>
      </w:r>
    </w:p>
    <w:p>
      <w:pPr>
        <w:spacing w:after="0" w:line="22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Even if PAA itself is not required to post additional cash margin or collateral for its derivative contracts, the banks and other derivatives dealers who are PAA’s contractual counterparties will be required to comply with other new requirements under the Dodd-Frank Act and related rules. The costs of such compliance may be passed on to customers such as PAA, thus decreasing the benefits to PAA of hedging transactions or reducing its profitability. In addition, implementation of the Dodd-Frank Act and related rules and regulations could reduce the overall liquidity and depth of the markets for financial and other derivatives PAA utilizes in connection with its business, which could expose PAA to additional risks or limit the opportunities PAA is able to capture by limiting the extent to which PAA is able to execute its hedging strategies.</w:t>
      </w:r>
    </w:p>
    <w:p>
      <w:pPr>
        <w:spacing w:after="0" w:line="205"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Finally, the Dodd-Frank Act was intended, in part, to reduce the volatility of oil and gas prices, which some legislators attributed to speculative trading in derivatives and commodity instruments related to oil and gas. PAA’s financial results could be adversely affected if a consequence of the Dodd-Frank Act and implementing regulations is lower commodity prices.</w:t>
      </w:r>
    </w:p>
    <w:p>
      <w:pPr>
        <w:spacing w:after="0" w:line="20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full impact of the Dodd-Frank Act and related regulatory requirements upon PAA’s business will not be known until the regulations are implemented and the market for derivatives contracts has adjusted. The Dodd-Frank Act and any new regulations could significantly increase the cost of derivative contracts, materially alter the terms of derivative contracts, reduce the availability of derivatives to protect against risks PAA encounters, reduce PAA’s ability to monetize or restructure its existing derivative contracts. If PAA reduces its use of derivatives as a result of the Dodd-Frank Act and regulations implementing the Dodd-Frank Act, PAA’s results of operations may become more volatile and its cash flows may be less predictable. Any of these consequences could have a material adverse effect on PAA, its financial condition and its results of operations.</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Legislation and regulatory initiatives relating to hydraulic fracturing or other drilling activities could reduce domestic production of crude oil and natural gas.</w:t>
      </w:r>
    </w:p>
    <w:p>
      <w:pPr>
        <w:spacing w:after="0" w:line="19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Hydraulic fracturing is an important and common practice that is used to stimulate production of hydrocarbons from unconventional geological formations. Recent advances in hydraulic fracturing techniques have resulted in significant increases in crude oil and natural gas production in many basins in the United States and Canada. The process involves the injection of water, sand and chemicals under pressure into the formation to fracture the surrounding rock and stimulate production, and it is typically regulated by state and provincial oil and gas commissions. PAA does not perform hydraulic fracturing, but many of the producers using its pipelines do. Hydraulic fracturing has been subject to increased scrutiny and there have been a variety of legislative and regulatory proposals to prohibit, restrict, or more closely regulate various forms of hydraulic fracturing. Any legislation or regulatory initiatives that curtail hydraulic fracturing or otherwise limit producers’ ability to drill or complete wells could reduce the production of crude oil and natural gas in the United States or Canada, and could thereby reduce demand for PAA’s transportation, terminalling and storage services as well as its supply and logistics services.</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Climate change laws and regulations restricting emissions of greenhouse gases could result in increased operating costs and reduced demand for crude oil and natural gas, while potential physical effects of climate change could disrupt crude oil production and cause PAA to incur significant costs in preparing for or responding to those effects.</w:t>
      </w:r>
    </w:p>
    <w:p>
      <w:pPr>
        <w:spacing w:after="0" w:line="20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response to findings that emissions of GHGs present an endangerment to public health and the environment, the EPA has adopted regulations under existing provisions of the federal Clean Air Act to reduce GHG emissions. For example, in June 2016, the EPA finalized new regulations, known as Subpart OOOOa, that set emissions standards for methane and volatile organic compounds from new and modified oil and natural gas production and natural gas processing and transmission facilities. However, there have been attempts to modify these regulations, and litigation concerning the regulations is ongoing.</w:t>
      </w:r>
    </w:p>
    <w:p>
      <w:pPr>
        <w:spacing w:after="0" w:line="21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While Congress has from time to time considered legislation to reduce emissions of GHGs, no significant legislation to reduce GHG emissions has been adopted at the federal level. In the absence of federal climate legislation, a number of state and regional GHG restrictions have emerged. Analogous regulations are or may be implemented in Canada. Any future laws and regulations that limit emissions of GHGs could adversely affect demand for oil and natural gas that operators, some of whom are PAA’s customers, produce and could thereby reduce demand for PAA’s midstream services.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Moreover, activists concerned about the potential effects of climate change have directed their attention at sources of funding for fossil-fuel energy companies, which has resulted in certain sources of capital restricting or eliminating their investment in oil and natural gas activities. Additionally, activist shareholders have introduced proposals that may seek to force companies to adopt aggressive emission reduction targets or restrict more carbon-intensive activities. Separately, activists may also pursue other means of curtailing oil and gas operations, such as through litigation. While PAA cannot predict the outcomes of such activities, they could make it more difficult for operators to engage in exploration and production activities, ultimately reducing demand for PAA’s services. Finally, many scientists have concluded that increasing concentrations of GHGs in the Earth’s atmosphere may produce significant physical effects, such as increased frequency and severity of storms, droughts, floods and other climatic events; if any such effects were to occur, they have the potential to cause physical damage to PAA’s assets and thus could have an adverse effect on its financial condition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may in the future encounter increased costs related to, and lack of availability of, insurance.</w:t>
      </w:r>
    </w:p>
    <w:p>
      <w:pPr>
        <w:spacing w:after="0" w:line="25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Over the last several years, as the scale and scope of PAA’s business activities has expanded, the breadth and depth of available insurance markets has contracted. As a result of these factors and other market conditions, as well as the fact that PAA has experienced several incidents over the last several years, premiums and deductibles for certain insurance policies have increased substantially. Accordingly, PAA can give no assurance that it will be able to maintain adequate insurance in the future at rates or on other terms PAA considers commercially reasonable. In addition, although PAA believes that it currently maintains adequate insurance coverage, insurance will not cover many types of interruptions or events that might occur and will not cover all risks associated with its operations. In addition, the proceeds of any such insurance may not be paid in a timely manner and may be insufficient if such an event were to occur. The occurrence of a significant event, the consequences of which are either not covered by insurance or not fully insured, or a significant delay in the payment of a major insurance claim, could materially and adversely affect PAA’s financial position, results of operations and cash flows.</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terms of PAA’s indebtedness may limit its ability to borrow additional funds or capitalize on business opportunities. In addition, PAA’s future debt level may limit its future financial and operating flexibility.</w:t>
      </w:r>
    </w:p>
    <w:p>
      <w:pPr>
        <w:spacing w:after="0" w:line="19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As of December 31, 2019, the face value of PAA’s consolidated debt outstanding was approximately $9.75 billion, consisting of approximately $9.2 billion face value of long-term debt (including senior notes, term loan borrowings and finance lease obligations) and approximately $0.5 billion of short-term borrowings. As of December 31, 2019, PAA had approximately $2.5 billion of liquidity available, including cash and cash equivalents and available borrowing capacity under its senior unsecured revolving credit facility and its senior secured hedged inventory facility, subject to continued covenant compliance. Lower Adjusted EBITDA could increase PAA’s leverage ratios and effectively reduce its ability to incur additional indebtedness.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 of PAA’s current or future indebtedness could have significant effects on its operations, including, among other things:</w:t>
      </w:r>
    </w:p>
    <w:p>
      <w:pPr>
        <w:spacing w:after="0" w:line="117" w:lineRule="exact"/>
        <w:rPr>
          <w:sz w:val="20"/>
          <w:szCs w:val="20"/>
          <w:color w:val="auto"/>
        </w:rPr>
      </w:pPr>
    </w:p>
    <w:p>
      <w:pPr>
        <w:ind w:left="980" w:right="14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significant portion of PAA’s cash flow will be dedicated to the payment of principal and interest on its indebtedness and may not be available for other purposes, including the payment of distributions on its units and capital expenditures;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credit rating agencies may view PAA’s debt level negatively;</w:t>
      </w:r>
    </w:p>
    <w:p>
      <w:pPr>
        <w:spacing w:after="0" w:line="117"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covenants contained in PAA’s existing debt arrangements will require it to continue to meet financial tests that may adversely affect its flexibility in planning for and reacting to changes in its business;</w:t>
      </w:r>
    </w:p>
    <w:p>
      <w:pPr>
        <w:spacing w:after="0" w:line="62" w:lineRule="exact"/>
        <w:rPr>
          <w:rFonts w:ascii="Arial" w:cs="Arial" w:eastAsia="Arial" w:hAnsi="Arial"/>
          <w:sz w:val="18"/>
          <w:szCs w:val="18"/>
          <w:color w:val="auto"/>
        </w:rPr>
      </w:pPr>
    </w:p>
    <w:p>
      <w:pPr>
        <w:ind w:left="980" w:right="400" w:hanging="324"/>
        <w:spacing w:after="0" w:line="277" w:lineRule="auto"/>
        <w:tabs>
          <w:tab w:leader="none" w:pos="9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PAA’s ability to obtain additional financing for working capital, capital expenditures, acquisitions and general partnership purposes may be limited;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PAA may be at a competitive disadvantage relative to similar companies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PAA may be more vulnerable to adverse economic and industry conditions as a result of its significant debt level.</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PAA’s credit agreements prohibit distributions on, or purchases or redemptions of, units if any default or event of default is continuing. In addition, the agreements contain various covenants limiting PAA’s ability to, among other things, incur indebtedness if certain financial ratios are not maintained, grant liens, engage in transactions with affiliates, enter into sale-leaseback transactions, and sell substantially all of its assets or enter into a merger or consolidation. PAA’s credit facilities treat a change of control as an event of default and also requires PAA to maintain a certain debt coverage ratio. PAA’s senior notes do not restrict distributions to unitholders, but a default under its credit agreements will be treated as a default under the senior notes. Please read Item 7. “Management’s Discussion and Analysis of Financial Condition and Results of Operations—Liquidity and Capital Resources—Credit Agreements, Commercial Paper Program and Indentures.”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PAA’s ability to access capital markets to raise capital on favorable terms will be affected by its debt level, its operating and financial performance, the amount of its current maturities and debt maturing in the next several years, and by prevailing market conditions. Moreover, if the rating agencies were to downgrade PAA’s credit ratings, then it could experience an increase in its borrowing costs, face difficulty accessing capital markets or incurring additional indebtedness, be unable to receive open credit from its suppliers and trade counterparties, be unable to benefit from swings in market prices and shifts in market structure during periods of volatility in the crude oil market or suffer a reduction in the market price of its common units. If PAA is unable to access the capital markets on favorable terms at the time a debt obligation becomes due in the future, it might be forced to refinance some of its debt obligations through bank credit, as opposed to long-term public debt securities or equity securities, or sell assets. The price and terms upon which PAA might receive such extensions or additional bank credit, if at all, could be more onerous than those contained in existing debt agreements. Any such arrangements could, in turn, increase the risk that PAA’s leverage may adversely affect its future financial and operating flexibility and thereby impact its ability to pay cash distributions at expected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Increases in interest rates could adversely affect PAA’s business and the trading price of its units.</w:t>
      </w:r>
    </w:p>
    <w:p>
      <w:pPr>
        <w:spacing w:after="0" w:line="25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As of December 31, 2019, the face value of PAA’s consolidated debt was approximately $9.75 billion, of which approximately $9.1 billion was at fixed interest rates and approximately $0.6 billion was at variable interest rates. PAA is exposed to market risk due to the short-term nature of its commercial paper borrowings and the floating interest rates on its credit facilities. PAA’s results of operations, cash flows and financial position could be adversely affected by significant increases in interest rates above current levels. Additionally, increases in interest rates could adversely affect PAA’s Supply and Logistics segment results by increasing interest costs associated with the storage of hedged crude oil and NGL inventory. Further, the trading price of PAA’s common units may be sensitive to changes in interest rates and any rise in interest rates could adversely impact such trading price.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currency exchange rates could adversely affect PAA’s operating results.</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Because PAA is a U.S. dollar reporting company and also conducts operations in Canada, it is exposed to currency fluctuations and exchange rate risks that may adversely affect the U.S. dollar value of its earnings, cash flow and partners’ capital under applicable accounting rules. For example, as the U.S. dollar appreciates against the Canadian dollar, the U.S. dollar value of PAA’s Canadian dollar denominated earnings is reduced for U.S. reporting purposes.</w:t>
      </w:r>
    </w:p>
    <w:p>
      <w:pPr>
        <w:spacing w:after="0" w:line="21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PAA’s business requires the retention and recruitment of a skilled workforce, and difficulties recruiting and retaining its workforce could result in a failure to implement PAA’s business plans.</w:t>
      </w:r>
    </w:p>
    <w:p>
      <w:pPr>
        <w:spacing w:after="0" w:line="19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PAA’s operations and management require the retention and recruitment of a skilled workforce, including engineers, technical personnel and other professionals. PAA and its affiliates compete with other companies in the energy industry for this skilled workforce. If PAA is unable to (i) retain current employees; and/or (ii) recruit new employees of comparable knowledge and experience, PAA’s business could be negatively impacted. In addition, PAA could experience increased costs to retain and recruit these professionals.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long-term assets could reduce PAA’s earnings.</w:t>
      </w:r>
    </w:p>
    <w:p>
      <w:pPr>
        <w:spacing w:after="0" w:line="25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At December 31, 2019, PAA had approximately $15.4 billion of net property and equipment, $981 million of linefill and base gas, $2.5 billion of goodwill, $3.7 billion of investments accounted for under the equity method of accounting and $707 million of net intangible assets capitalized on its balance sheet. GAAP requires an assessment for impairment on an annual basis or in certain circumstances, including when there is an indication that the carrying value of property and equipment may not be recoverable or a determination that it is more likely than not that a reporting unit’s carrying value is in excess of the reporting unit’s fair value. If PAA was to determine that any of its property and equipment, linefill and base gas, goodwill, intangibles or equity method investments was impaired, it could be required to take an immediate charge to earnings, which could adversely impact its operating results, with a corresponding reduction of partners’ capital and increase in balance sheet leverage as measured by debt-to-total capitalization. See Note 6 to our Consolidated Financial Statements for additional information regarding impairments.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 and marine transportation of crude oil have inherent operating risks.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PAA’s supply and logistics operations include purchasing crude oil that is carried on railcars, tankers or barges. Such cargos are at risk of being damaged or lost because of events such as derailment, marine disaster, inclement weather, mechanical failures, grounding or collision, fire, explosion, environmental accidents, piracy, terrorism and political instability. Such occurrences could result in death or injury to persons, loss of property or environmental damage, delays in the delivery of cargo, loss of revenues, termination of contracts, governmental fines, penalties or restrictions on conducting business, higher insurance rates and damage to PAA’s reputation and customer relationships generally. Although certain of these risks may be covered under PAA’s insurance program, any of these circumstances or events could increase its costs or lower its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is dependent on the use or availability of third-party assets for certain of its operations.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of PAA’s business activities require the use or availability of third-party assets over which it may have little or no control. If at any time the availability of these assets is limited or denied, and if access to alternative assets cannot be arranged, it could have an adverse effect on PAA’s business, results of operations and cash flow.</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Non-utilization of certain assets could significantly reduce PAA’s profitability due to fixed costs incurred to obtain the right to use such assets.</w:t>
      </w:r>
    </w:p>
    <w:p>
      <w:pPr>
        <w:spacing w:after="0" w:line="2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From time to time in connection with its business, PAA may lease or otherwise secure the right to use certain assets (such as railcars, trucks, barges, ships, pipeline capacity, storage capacity and other similar assets) with the expectation that the revenues it generates through the use of such assets will be greater than the fixed costs it incurs pursuant to the applicable leases or other arrangements. However, when such assets are not utilized or are under-utilized, PAA’s profitability could be negatively impacted because the revenues it earns are either non-existent or reduced, but it remains obligated to continue paying any applicable fixed charges, in addition to the potential of incurring other costs attributable to the non-utilization of such assets. Non-utilization of assets PAA leases or otherwise secures the right to use in connection with its business could have a significant negative impact on PAA’s profitability and cash flows.</w:t>
      </w:r>
    </w:p>
    <w:p>
      <w:pPr>
        <w:spacing w:after="0" w:line="2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Many of PAA’s assets have been in service for many years and require significant expenditures to maintain them. As a result, its maintenance or repair costs may increase in the future.</w:t>
      </w:r>
    </w:p>
    <w:p>
      <w:pPr>
        <w:spacing w:after="0" w:line="19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PAA’s pipelines, terminals, storage and processing and fractionation assets are generally long-lived assets, and many of them have been in service for many years. The age and condition of its assets could result in increased maintenance or repair expenditures in the future. Any significant increase in these expenditures could adversely affect PAA’s results of operations, financial position or cash flows, as well as its ability to make cash distributions to our unitholders.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does not own all of the land on which its pipelines and facilities are located, which could result in disruptions to its operations.</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PAA does not own all of the land on which its pipelines and facilities have been constructed, and therefore are potentially subject to more onerous terms and/or increased costs to retain necessary land use if PAA does not have valid rights-of-way or if such rights-of-way lapse or terminate. In some instances, PAA obtains the rights to construct and operate its pipelines on land owned by third parties and governmental agencies for a specific period of time. Following a decision issued in May 2017 by the Tenth Circuit Court of Appeals, tribal ownership of even a very small fractional interest in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potential impediment for pipeline operations. In September 2018, the Fourth Circuit Court of Appeals reversed a decision of the United States Forest Service (“USFS”) issuing a permit for the construction of a pipeline and granting a right of way across the Appalachian Trail, ruling that the USFS lacked statutory authority. This decision may make it more difficult to obtain permits and rights of way on certain federal lands and may be used as precedent to challenge existing and future permits and rights of way. PAA cannot guarantee that it will always be able to renew existing rights-of-way or obtain new rights-of-way on favorable terms or without experiencing significant delays and costs. Any loss of rights with respect to real property, through PAA’s inability to renew right-of-way contracts or otherwise, could have a material adverse effect on its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For various operating and commercial reasons, PAA may not be able to perform all of its obligations under its contracts, which could lead to increased costs and negatively impact its financial results.</w:t>
      </w:r>
    </w:p>
    <w:p>
      <w:pPr>
        <w:spacing w:after="0" w:line="19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Various operational and commercial factors could result in an inability on PAA’s part to satisfy its contractual commitments and obligations. For example, in connection with the provision of firm storage services and hub services to its natural gas storage customers, PAA enters into contracts that obligate PAA to honor its customers’ requests to inject gas into its storage facilities, withdraw gas from its facilities and wheel gas through its facilities, in each case subject to volume, timing and other limitations set forth in such contracts. The following factors could adversely impact PAA’s ability to perform its obligations under these contracts:</w:t>
      </w:r>
    </w:p>
    <w:p>
      <w:pPr>
        <w:spacing w:after="0" w:line="80" w:lineRule="exact"/>
        <w:rPr>
          <w:sz w:val="20"/>
          <w:szCs w:val="20"/>
          <w:color w:val="auto"/>
        </w:rPr>
      </w:pPr>
    </w:p>
    <w:p>
      <w:pPr>
        <w:ind w:left="980" w:right="66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failure on the part of PAA’s storage facilities to perform as it expects them to, whether due to malfunction of equipment or facilities or realization of other operational risks;</w:t>
      </w:r>
    </w:p>
    <w:p>
      <w:pPr>
        <w:spacing w:after="0" w:line="62"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operating pressure of PAA’s storage facilities (affected in varying degree, depending on the type of storage cavern, by total volume of working and base gas, and temperature);</w:t>
      </w:r>
    </w:p>
    <w:p>
      <w:pPr>
        <w:spacing w:after="0" w:line="62" w:lineRule="exact"/>
        <w:rPr>
          <w:rFonts w:ascii="Arial" w:cs="Arial" w:eastAsia="Arial" w:hAnsi="Arial"/>
          <w:sz w:val="18"/>
          <w:szCs w:val="18"/>
          <w:color w:val="auto"/>
        </w:rPr>
      </w:pPr>
    </w:p>
    <w:p>
      <w:pPr>
        <w:ind w:left="980" w:hanging="324"/>
        <w:spacing w:after="0" w:line="288" w:lineRule="auto"/>
        <w:tabs>
          <w:tab w:leader="none" w:pos="975"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variety of commercial decisions PAA makes from time to time in connection with the management and operation of its storage facilities. Examples include, without limitation, decisions with respect to matters such as (i) the aggregate amount of commitments PAA is willing to make with respect to wheeling, injection, and withdrawal services, which could exceed PAA’s capabilities at any given time for various reasons,</w:t>
      </w:r>
    </w:p>
    <w:p>
      <w:pPr>
        <w:ind w:left="980" w:right="20"/>
        <w:spacing w:after="0" w:line="252" w:lineRule="auto"/>
        <w:rPr>
          <w:rFonts w:ascii="Arial" w:cs="Arial" w:eastAsia="Arial" w:hAnsi="Arial"/>
          <w:sz w:val="16"/>
          <w:szCs w:val="16"/>
          <w:color w:val="auto"/>
        </w:rPr>
      </w:pPr>
      <w:r>
        <w:rPr>
          <w:rFonts w:ascii="Arial" w:cs="Arial" w:eastAsia="Arial" w:hAnsi="Arial"/>
          <w:sz w:val="18"/>
          <w:szCs w:val="18"/>
          <w:color w:val="auto"/>
        </w:rPr>
        <w:t>(ii) the timing of scheduled and unplanned maintenance or repairs, which can impact equipment availability and capacity, (iii) the schedule for and rate at which PAA conducts opportunistic leaching activities at its facilities in connection with the expansion of existing salt caverns, which can impact the amount of storage capacity PAA has available to satisfy its customers’ requests, (iv) the timing and aggregate volume of any base gas park and/or loan transactions PAA consummates, which can directly affect the operating pressure of PAA’s storage facilities and (v) the amount of compression capacity and other gas handling equipment that PAA installs at its facilities to support gas wheeling, injection and withdrawal activities; and</w:t>
      </w:r>
    </w:p>
    <w:p>
      <w:pPr>
        <w:spacing w:after="0" w:line="86" w:lineRule="exact"/>
        <w:rPr>
          <w:rFonts w:ascii="Arial" w:cs="Arial" w:eastAsia="Arial" w:hAnsi="Arial"/>
          <w:sz w:val="16"/>
          <w:szCs w:val="16"/>
          <w:color w:val="auto"/>
        </w:rPr>
      </w:pPr>
    </w:p>
    <w:p>
      <w:pPr>
        <w:ind w:left="980" w:right="54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operating conditions due to hurricanes, extreme weather events or conditions, and operational problems or issues with third-party pipelines, storage or production facilities.</w:t>
      </w:r>
    </w:p>
    <w:p>
      <w:pPr>
        <w:spacing w:after="0" w:line="19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Although PAA manages and monitors all of these various factors in connection with the ongoing operation of its natural gas storage facilities with the goal of performing all of its contractual commitments and obligations and optimizing its revenue, one or more of the above factors may adversely impact PAA’s ability to satisfy its injection, withdrawal or wheeling obligations under its storage contracts. In such event, PAA may be liable to its customers for losses or damages they suffer and/or PAA may need to incur costs or expenses in order to permit it to satisfy its obligations.</w:t>
      </w:r>
    </w:p>
    <w:p>
      <w:pPr>
        <w:spacing w:after="0" w:line="19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If PAA fails to obtain materials in the quantity and the quality it needs, and at commercially acceptable prices, whether due to tariffs, quotas or other factors, PAA’s results of operations, financial condition and cash flows could be materially and adversely affected.</w:t>
      </w:r>
    </w:p>
    <w:p>
      <w:pPr>
        <w:spacing w:after="0" w:line="14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PAA’s business requires access to steel and other materials to construct and maintain new and existing pipelines and facilities. If PAA experiences a shortage in the supply of these materials or is unable to source sufficient quantities of high quality materials at acceptable prices and in a timely manner, it could materially and adversely affect PAA’s ability to construct new infrastructure and maintain its existing assets.</w:t>
      </w:r>
    </w:p>
    <w:p>
      <w:pPr>
        <w:spacing w:after="0" w:line="193"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 addition, some of the materials used in PAA’s business are imported. Existing and future import duties and quotas could materially increase PAA’s costs of procuring imported or domestic steel and/or create shortages or difficulties in procuring sufficient quantities of steel meeting PAA’s required technical specifications. A material increase in PAA’s costs of construction and maintenance or any significant delays in its ability to complete its infrastructure projects could have a material adverse effect on PAA’s financial position, results of operations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reimbursements due to PAA’s general partner may be substantial and will reduce PAA’s cash available for distribution to its unitholders.</w:t>
      </w:r>
    </w:p>
    <w:p>
      <w:pPr>
        <w:spacing w:after="0" w:line="27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Prior to making any distribution on its common units, PAA will reimburse its general partner and its affiliates, including officers and directors of its general partner, for all expenses incurred on PAA’s behalf. In addition, PAA is required to pay all direct and indirect expenses of the Plains Entities, other than income taxes of any of the PAGP Entities. The reimbursement of expenses and the payment of fees and expenses could adversely affect PAA’s ability to make distributions. PAA’s general partner has sole discretion to determine the amount of these expenses. In addition, PAA’s general partner and its affiliates may provide PAA with services for which PAA will be charged reasonable fees as determined by its general partner.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are not guaranteed and may fluctuate with PAA’s performance and the establishment of financial reserves.</w:t>
      </w:r>
    </w:p>
    <w:p>
      <w:pPr>
        <w:spacing w:after="0" w:line="252" w:lineRule="exact"/>
        <w:rPr>
          <w:sz w:val="20"/>
          <w:szCs w:val="20"/>
          <w:color w:val="auto"/>
        </w:rPr>
      </w:pPr>
    </w:p>
    <w:p>
      <w:pPr>
        <w:ind w:right="260" w:firstLine="648"/>
        <w:spacing w:after="0" w:line="271" w:lineRule="auto"/>
        <w:rPr>
          <w:sz w:val="20"/>
          <w:szCs w:val="20"/>
          <w:color w:val="auto"/>
        </w:rPr>
      </w:pPr>
      <w:r>
        <w:rPr>
          <w:rFonts w:ascii="Arial" w:cs="Arial" w:eastAsia="Arial" w:hAnsi="Arial"/>
          <w:sz w:val="17"/>
          <w:szCs w:val="17"/>
          <w:color w:val="auto"/>
        </w:rPr>
        <w:t>Because distributions on PAA’s common units are dependent on the amount of cash it generates, distributions may fluctuate based on PAA’s performance, which will result in fluctuations in the amount of distributions ultimately received by AAP. The actual amount of cash that is available to be distributed each quarter will depend on numerous factors, some of which are beyond PAA’s control and the control of PAA’s general partner. Cash distributions are dependent primarily on cash flow, levels of financial reserves and working capital borrowings, and not solely on profitability, which is affected by non-cash items. PAA’s levels of financial reserves are established by its general partner and include reserves for the proper conduct of PAA’s business (including future capital expenditures and anticipated credit needs), compliance with law or contractual obligations and funding of future distributions to its Series A and Series B preferred unitholders. Therefore, cash distributions might be made during periods when PAA records losses and might not be made during periods when it records profits.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PAA’s preferred units have rights, preferences and privileges that are not held by, and are preferential to the rights of, holders of PAA’s common units.</w:t>
      </w:r>
    </w:p>
    <w:p>
      <w:pPr>
        <w:spacing w:after="0" w:line="2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PAA’s Series A preferred units and PAA’s Series B preferred units (together, “PAA’s preferred units”) rank senior to all of PAA’s other classes or series of equity securities with respect to distribution rights and rights upon liquidation. These preferences could adversely affect the market price for PAA’s common units, or could make it more difficult for PAA to sell its common units in the future.</w:t>
      </w:r>
    </w:p>
    <w:p>
      <w:pPr>
        <w:spacing w:after="0" w:line="20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addition, distributions on PAA’s preferred units accrue and are cumulative, at the rate of 8% per annum with respect to PAA’s Series A preferred units and 6.125% with respect to PAA’s Series B preferred units on the original issue price. PAA’s Series A preferred units are convertible into PAA common units by the holders of such units or by PAA in certain circumstances. PAA’s Series B preferred units are not convertible into PAA common units, but are redeemable by PAA in certain circumstances. PAA’s obligation to pay distributions on PAA’s preferred units, or on the PAA common units issued following the conversion of PAA’s Series A preferred units, could impact its liquidity and reduce the amount of cash flow available for working capital, capital expenditures, growth opportunities, acquisitions, and other general partnership purposes. PAA’s obligations to the holders of PAA’s preferred units could also limit its ability to obtain additional financing or increase its borrowing costs, which could have an adverse effect on PAA’s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As our only cash-generating assets consist of our partnership interest in AAP and its related direct and indirect interests in PAA, our tax risks are primarily derivative of the tax risks associated with an investment in PAA.</w:t>
      </w:r>
    </w:p>
    <w:p>
      <w:pPr>
        <w:spacing w:after="0" w:line="197"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The tax treatment of PAA depends on its status as a partnership for U.S. federal income tax purposes, as well as it not being subject to a material amount of additional entity-level taxation by individual states. If the Internal Revenue Service (“IRS”) were to treat PAA as a corporation for federal income tax purposes or if PAA becomes subject to additional amounts of entity-level taxation for state or foreign tax purposes, it would reduce the amount of cash available for distribution to us and increase the portion of our distributions treated as taxable dividends.</w:t>
      </w:r>
    </w:p>
    <w:p>
      <w:pPr>
        <w:spacing w:after="0" w:line="18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At December 31, 2019, we owned an approximate 73% limited partner interest in AAP, which directly owned a limited partner interest in PAA through its ownership of approximately 249.6 million PAA common units (approximately 31% of PAA’s total Series A preferred units and common units). Accordingly, the value of our indirect investment in PAA, as well as the anticipated after-tax economic benefit of an investment in our Class A shares, depends largely on PAA being treated as a partnership for federal income tax purposes, which requires that 90% or more of PAA’s gross income for every taxable year consist of qualifying income, as defined in Section 7704 of the Internal Revenue Code of 1986, as amended (the “Code”). Based on PAA’s current operations, and current Treasury Regulations, PAA believes that it is treated as a partnership rather than a corporation for such purposes; however, a change in PAA’s business could cause it to be treated as a corporation for federal income tax purposes.</w:t>
      </w:r>
    </w:p>
    <w:p>
      <w:pPr>
        <w:spacing w:after="0" w:line="20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Current law may change, causing PAA to be treated as a corporation for federal income tax purposes or otherwise subjecting PAA to additional entity-level taxation. In addition, several states have been evaluating ways to subject partnerships to entity-level taxation through the imposition of state income, franchise and other forms of taxation. Imposition of any new or increased federal or state taxes on PAA may result in a decrease in the amount of distributions AAP receives from PAA and our resulting cash flows could be reduced substantially, which would adversely affect our ability to pay distributions to our shareholders.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PAA were treated as a corporation for federal income tax purposes, it would pay federal income tax on its taxable income at the corporate tax rate and would likely pay state income taxes at varying rates. Distributions to PAA’s partners, including AAP, would generally be taxed again as corporate distributions, and no income, gains, losses or deductions would flow through to PAA’s partners. Because a tax would be imposed upon PAA as a corporation, its cash available for distribution would be substantially reduced. Therefore, treatment of PAA as a corporation would result in a material reduction in the anticipated cash flow and after-tax return to us, likely causing a substantial reduction in the value of our Class A shares.</w:t>
      </w:r>
    </w:p>
    <w:p>
      <w:pPr>
        <w:spacing w:after="0" w:line="2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Moreover, if PAA were treated as a corporation we would not be entitled to the deductions associated with our initial acquisition of interests in AAP or subsequent exchanges of retained AAP interests and Class B shares for our Class A shares. As a result, if PAA were treated as a corporation, (i) our liability for taxes would likely be higher, further reducing our cash available for distribution, and (ii) a greater portion of the cash we are able to distribute will be treated as a taxable dividend.</w:t>
      </w: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The tax treatment of publicly traded partnerships or an investment in PAA units could be subject to potential legislative, judicial or administrative changes or differing interpretations, possibly applied on a retroactive basis.</w:t>
      </w:r>
    </w:p>
    <w:p>
      <w:pPr>
        <w:spacing w:after="0" w:line="197"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The present U.S. federal income tax treatment of publicly traded partnerships, including PAA, or an investment in PAA common units may be modified by administrative, legislative or judicial changes or differing interpretations at any time. From time to time, members of Congress have proposed and considered substantive changes to the existing U.S. federal income tax laws that would affect publicly traded partnerships, including a prior legislative proposal that would have eliminated the qualifying income exception to the treatment of all publicly-traded partnerships as corporations upon which PAA relies for its treatment as a partnership for U.S. federal income tax purposes. For example, the “Clean Energy for America Act,” which is similar to legislation that was commonly proposed during the Obama Administration, was introduced in the Senate on May 2, 2019. If enacted, this proposal would, among other things, repeal the qualifying income exception within Section 7704(d)(1)(E) of the Code upon which PAA relies for its status as a partnership for U.S. federal income tax purposes.</w:t>
      </w:r>
    </w:p>
    <w:p>
      <w:pPr>
        <w:spacing w:after="0" w:line="222"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 traded partnerships. There can be no assurance that there will not be further changes to U.S. federal income tax laws or the Treasury Department’s interpretation of the qualifying income rules in a manner that could impact PAA’s ability to qualify as a partnership in the future.</w:t>
      </w:r>
    </w:p>
    <w:p>
      <w:pPr>
        <w:spacing w:after="0" w:line="20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Any modification to the U.S. federal income tax laws and interpretations thereof may or may not be retroactively applied and could make it more difficult or impossible for PAA to meet the exception for certain publicly traded partnerships to be treated as partnerships for U.S. federal income tax purposes. We are unable to predict whether any changes or other proposals will ultimately be enacted. Any future legislative changes could negatively impact the value of our indirect investment in PAA.</w:t>
      </w:r>
    </w:p>
    <w:p>
      <w:pPr>
        <w:spacing w:after="0" w:line="214"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b w:val="1"/>
          <w:bCs w:val="1"/>
          <w:i w:val="1"/>
          <w:iCs w:val="1"/>
          <w:color w:val="auto"/>
        </w:rPr>
        <w:t>If the IRS makes audit adjustments to PAA’s income tax returns for tax years beginning after December 31, 2017, it (and some states) may assess and collect any taxes (including any applicable penalties and interest) resulting from such audit adjustments directly from PAA, in which case PAA’s cash distribution to AAP and our cash available for distribution to our shareholders might be substantially reduced.</w:t>
      </w:r>
    </w:p>
    <w:p>
      <w:pPr>
        <w:spacing w:after="0" w:line="17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PAA’s income tax returns, it (and some states) may assess and collect any taxes (including any applicable penalties and interest) resulting from such audit adjustments directly from PAA. To the extent possible under these rules, PAA’s general partner may elect to either pay the taxes (including any applicable penalties and interest) directly to the IRS or, if PAA is eligible, issue a revised information statement to each unitholder and former unitholder with respect to an audited and adjusted return. Although PAA’s general partner may elect to have PAA’s unitholders and former unitholders take such audit adjustment into account and pay any resulting taxes (including applicable penalties or interest) in accordance with their interests in PAA during the tax year under audit, there can be no assurance that such election will be practical, permissible or effective in all circumstances. As a result, PAA’s current unitholders, including us through AAP, may bear some or all of the tax liability resulting from such audit adjustment, even if such unitholders did not own units in PAA during the tax year under audit. If, as a result of any such audit adjustment, PAA or AAP is required to make payments of taxes, penalties and interest, then the amount of distributions we receive from AAP could be substantially reduced, which would adversely affect our ability to pay distributions to our shareholders. These rules are not applicable for tax years beginning on or prior to December 31, 2017.</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Taxable gain or loss on the sale of our Class A shares could be more or less than expected.</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holder sells our Class A shares, the holder will recognize gain or loss equal to the difference between the amount realized and the holder’s tax basis in those Class A shares. To the extent that the amount of our distributions exceeds our current and accumulated earnings and profits, the distributions will be treated as a tax free return of capital and will reduce a holder’s tax basis in the Class A shares. We did not have any earnings and profits in 2019 and we do not expect to have any earnings and profits for an extended period of time. Because our distributions in excess of our earnings and profits decrease a holder’s tax basis in Class A shares, such excess distributions will result in a corresponding increase in the amount of gain, or a corresponding decrease in the amount of loss, recognized by the holder upon the sale of the Class A shares.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tax treatment may change, which could affect the value of our Class A shares or reduce our cash available for distribution.</w:t>
      </w:r>
    </w:p>
    <w:p>
      <w:pPr>
        <w:spacing w:after="0" w:line="26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expectation that tax deductions associated with our initial and subsequent acquisitions of interests in AAP (as a result of the exercise by Legacy Owners of their exchange rights) will offset all of our current taxable income for an extended period of time, and thus result in our distributions not constituting taxable dividends for an extended period of time, is based on current law with respect to the amortization of basis adjustments associated with our acquisition of interests in AAP. Changes in federal income tax law relating to such tax treatment could result in (i) our being subject to additional taxation at the entity level with the result that we would have less cash available for distribution, and (ii) a greater portion of our distributions being treated as taxable dividends. Moreover, we are subject to tax in numerous jurisdictions. Changes in current law in these jurisdictions, particularly relating to the treatment of deductions attributable to acquisitions of interests in AAP, could result in our being subject to additional taxation at the entity level with the result that we would have less cash available for distribution.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our Class A share price could adversely affect our amount of cash available for distribution.</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Changes in certain market conditions may cause our Class A share price to decrease. If our Legacy Owners exchange their retained interests in AAP and Class B shares in us for our Class A shares at a point in time when our Class A share price is below the price at which Class A shares were sold in our initial public offering or in any subsequent exchange, the ratio of our income tax deductions to gross income would decline. This decline could result in our being subject to tax sooner than expected, our tax liability being greater than expected, or a greater portion of our distributions being treated as taxable dividends.</w:t>
      </w:r>
    </w:p>
    <w:p>
      <w:pPr>
        <w:spacing w:after="0" w:line="21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The IRS Forms 1099-DIV that our shareholders receive from their brokers may over-report dividend income with respect to our shares for U.S. federal income tax purposes, which may result in a shareholder’s overpayment of tax. In addition, failure to report dividend income in a manner consistent with the IRS Forms 1099-DIV may cause the IRS to assert audit adjustments to a shareholder’s U.S. federal income tax return. For non-U.S. holders of our shares, brokers or other withholding agents may overwithhold taxes from dividends paid, in which case a shareholder generally would have to timely file a U.S. tax return or an appropriate claim for refund in order to claim a refund of the overwithheld taxes.</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Distributions we pay with respect to our shares will constitute “dividends” for U.S. federal income tax purposes only to the extent of our current and accumulated earnings and profits. Distributions we pay in excess of our earnings and profits will not be treated as “dividends” for U.S. federal income tax purposes; instead, they will be treated first as a tax-free return of capital to the extent of a shareholder’s tax basis in their shares and then as capital gain realized on the sale or exchange of such shares. We may be unable to timely determine the portion of our distributions that is a “dividend” for U.S. federal income tax purposes, which may result in a shareholder’s overpayment of tax with respect to distribution amounts that should have been classified as a tax-free return of capital. In such a case, a shareholder generally would have to timely file an amended U.S. tax return or an appropriate claim for refund in order to obtain a refund of the overpaid tax.</w:t>
      </w:r>
    </w:p>
    <w:p>
      <w:pPr>
        <w:spacing w:after="0" w:line="216"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For a U.S. holder of our shares, the IRS Forms 1099-DIV may not be consistent with our determination of the amount that constitutes a “dividend” for U.S. federal income tax purposes or a shareholder may receive a corrected IRS Form 1099-DIV (and may therefore need to file an amended federal, state or local income tax return). We will attempt to timely notify our shareholders of available information to assist with income tax reporting (such as posting the correct information on our website). However, the information that we provide to our shareholders may be inconsistent with the amounts reported by a broker on IRS Form 1099-DIV, and the IRS may disagree with any such information and may make audit adjustments to a shareholder’s tax return.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a non-U.S. holder of our shares, “dividends” for U.S. federal income tax purposes will be subject to withholding of U.S. federal income tax at a 30% rate (or such lower rate as specified by an applicable income tax treaty) unless the dividends are effectively connected with conduct of a U.S. trade or business. In the event that we are unable to timely determine the portion of our distributions that is a “dividend” for U.S. federal income tax purposes, or a shareholder’s broker or withholding agent chooses to withhold taxes from distributions in a manner inconsistent with our determination of the amount that constitutes a “dividend” for such purposes, a shareholder’s broker or other withholding agent may overwithhold taxes from distributions paid. In such a case, a shareholder generally would have to timely file a U.S. tax return or an appropriate claim for refund in order to obtain a refund of the overwithheld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information required by this item is included in Note 19 to our Consolidated Financial Statements, and is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4"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Shares, Related Shareholder Matters and Issuer Purchases of Equity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Holders and Distributions</w:t>
      </w:r>
    </w:p>
    <w:p>
      <w:pPr>
        <w:spacing w:after="0" w:line="256"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Our Class A shares are listed and traded on the New York Stock Exchange under the symbol “PAGP.” As of February 12, 2020, there were 182,138,592 Class A shares outstanding and approximately 37,000 record holders and beneficial owners (held in street name).</w:t>
      </w:r>
    </w:p>
    <w:p>
      <w:pPr>
        <w:spacing w:after="0" w:line="174"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following table presents cash distributions per Class A share pertaining to the quarter presented, which were declared and paid in the following calendar quarter (see the “Cash Distribution Policy” section below for a discussion of our policy regarding distribution payments):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First Quarter</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Second Quarter</w:t>
            </w:r>
          </w:p>
        </w:tc>
        <w:tc>
          <w:tcPr>
            <w:tcW w:w="26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16"/>
                <w:szCs w:val="16"/>
                <w:color w:val="auto"/>
              </w:rPr>
            </w:pPr>
          </w:p>
        </w:tc>
        <w:tc>
          <w:tcPr>
            <w:tcW w:w="1440" w:type="dxa"/>
            <w:vAlign w:val="bottom"/>
          </w:tcPr>
          <w:p>
            <w:pPr>
              <w:jc w:val="right"/>
              <w:ind w:right="256"/>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4300" w:type="dxa"/>
            <w:vAlign w:val="bottom"/>
            <w:tcBorders>
              <w:top w:val="single" w:sz="8" w:color="CCEEFF"/>
              <w:bottom w:val="single" w:sz="8" w:color="CCEEFF"/>
            </w:tcBorders>
            <w:shd w:val="clear" w:color="auto" w:fill="CCEEFF"/>
          </w:tcPr>
          <w:p>
            <w:pPr>
              <w:jc w:val="right"/>
              <w:ind w:right="383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0.36</w:t>
            </w:r>
          </w:p>
        </w:tc>
      </w:tr>
      <w:tr>
        <w:trPr>
          <w:trHeight w:val="243"/>
        </w:trPr>
        <w:tc>
          <w:tcPr>
            <w:tcW w:w="4300" w:type="dxa"/>
            <w:vAlign w:val="bottom"/>
          </w:tcPr>
          <w:p>
            <w:pPr>
              <w:jc w:val="right"/>
              <w:ind w:right="38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6"/>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56"/>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6"/>
              <w:spacing w:after="0"/>
              <w:rPr>
                <w:sz w:val="20"/>
                <w:szCs w:val="20"/>
                <w:color w:val="auto"/>
              </w:rPr>
            </w:pPr>
            <w:r>
              <w:rPr>
                <w:rFonts w:ascii="Arial" w:cs="Arial" w:eastAsia="Arial" w:hAnsi="Arial"/>
                <w:sz w:val="18"/>
                <w:szCs w:val="18"/>
                <w:color w:val="auto"/>
              </w:rPr>
              <w:t>0.30</w:t>
            </w:r>
          </w:p>
        </w:tc>
      </w:tr>
    </w:tbl>
    <w:p>
      <w:pPr>
        <w:spacing w:after="0" w:line="36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Our Class A shares are also used as a form of compensation to our directors. See Note 18 to our Consolidated Financial Statements for additional information regarding our equity-indexed compensation plans.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B shares and Class C shares are not listed or traded on any stock exchange.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following graph compares the total unitholder return performance of our Class A shares with the performance of: (i) the Standard &amp; Poor’s 500 Stock Index (“S&amp;P 500”) and (ii) the Alerian MLP Index. The Alerian MLP Index is a composite of the most prominent energy master limited partnerships that provides investors with a comprehensive benchmark for this asset class. The graph assumes that $100 was invested in our Class A shares and each comparison index beginning on December 31, 2014 and that all distributions were reinvested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135255</wp:posOffset>
            </wp:positionV>
            <wp:extent cx="5848985" cy="2915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4898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12/31/2019</w:t>
            </w: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PAGP</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37.87</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101.38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138.29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4"/>
              <w:spacing w:after="0"/>
              <w:rPr>
                <w:sz w:val="20"/>
                <w:szCs w:val="20"/>
                <w:color w:val="auto"/>
              </w:rPr>
            </w:pPr>
            <w:r>
              <w:rPr>
                <w:rFonts w:ascii="Arial" w:cs="Arial" w:eastAsia="Arial" w:hAnsi="Arial"/>
                <w:sz w:val="18"/>
                <w:szCs w:val="18"/>
                <w:color w:val="auto"/>
              </w:rPr>
              <w:t>132.23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173.86</w:t>
            </w:r>
          </w:p>
        </w:tc>
      </w:tr>
      <w:tr>
        <w:trPr>
          <w:trHeight w:val="27"/>
        </w:trPr>
        <w:tc>
          <w:tcPr>
            <w:tcW w:w="3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Alerian MLP Index</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67.41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79.75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74.55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69.57</w:t>
            </w:r>
          </w:p>
        </w:tc>
      </w:tr>
      <w:tr>
        <w:trPr>
          <w:trHeight w:val="27"/>
        </w:trPr>
        <w:tc>
          <w:tcPr>
            <w:tcW w:w="3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This information shall not be deemed to be “soliciting material” or to be “filed” with the Commission or subject to Regulation 14A or 14C under the Exchange Act, other than as provided in Item 201(e) of Regulation S-K, or to the liabilities of Section 18 of the Exchange Act, and shall not be deemed to be incorporated by reference into any filing under the Securities Act of 1933, as amended, or the Exchange Act, except to the extent that we specifically request that such information be treated as soliciting material or specifically incorporate it by reference into a filing under the Securities Act or the Exchange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connection with our IPO and related transactions,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December 31, 2019, certain Legacy Owners or their permitted transferees exercised the Exchange Right, which resulted in the issuance of 132,583 Class A shares. The issuance of Class A shares in connection with the exercise of the Exchange Rights was exempt from the registration requirements of the Securities Act of 1933, as amended, pursuant to Section 4(a)(2) thereof.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256"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partnership agreement requires that, within 55 days following the end of each quarter, we distribute all of our available cash to Class A shareholders of record on the applicable record date. 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131"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spacing w:after="0" w:line="117"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us in the future; or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our partnership agreement.</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52"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December 31, 2019, we directly and indirectly owned approximately 182.1 million AAP units, which represented an approximate 73% limited partner interest in AAP. AAP currently receives all of its cash flows from its ownership of PAA common units. Therefore, our cash flow and resulting ability to make distributions will be completely dependent upon the ability of PAA to make distributions to AAP in respect of the common units AAP owns. As of December 31, 2019, AAP owned approximately 249.6 million PAA common units. The actual amount of cash that PAA, and correspondingly AAP, will have available for distribution will primarily depend on the amount of cash PAA generates from its operations. Also, under the terms of the agreements governing PAA’s debt, PAA is prohibited from declaring or paying any distribution to unitholders if a default or event of default (as defined in such agreements) exists. No such default has occurred. See Item 7. “Management’s Discussion and Analysis of Financial Condition and Results of Operations—Liquidity and Capital Resources—Credit Agreements, Commercial Paper Program and Indentures.”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historical financial information below was derived from our audited Consolidated Financial Statements as of December 31, 2019, 2018, 2017, 2016 and 2015 and for the years then ended.</w:t>
      </w:r>
    </w:p>
    <w:p>
      <w:pPr>
        <w:spacing w:after="0" w:line="197"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selected financial data should be read in conjunction with Item 7. “Management’s Discussion and Analysis of Financial Condition and Results of Operations,” and the Consolidated Financial Statements, including the notes thereto, in Item 8. “Financial Statements and Supplementary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3"/>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8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8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1"/>
              </w:rPr>
              <w:t>(in millions, except per share data and volumes)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33,669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34,055</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26,223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20,182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23,152</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21"/>
                <w:szCs w:val="2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Net income/(loss)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2,107</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809</w:t>
            </w:r>
          </w:p>
        </w:tc>
        <w:tc>
          <w:tcPr>
            <w:tcW w:w="60" w:type="dxa"/>
            <w:vAlign w:val="bottom"/>
          </w:tcPr>
          <w:p>
            <w:pPr>
              <w:spacing w:after="0"/>
              <w:rPr>
                <w:sz w:val="23"/>
                <w:szCs w:val="23"/>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income/(loss) attributable to PAGP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3"/>
                <w:szCs w:val="23"/>
                <w:color w:val="auto"/>
              </w:rPr>
            </w:pPr>
          </w:p>
        </w:tc>
      </w:tr>
      <w:tr>
        <w:trPr>
          <w:trHeight w:val="257"/>
        </w:trPr>
        <w:tc>
          <w:tcPr>
            <w:tcW w:w="4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Basic net income/(loss) per Class A share </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2.12</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0.94</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3"/>
                <w:szCs w:val="23"/>
                <w:color w:val="auto"/>
              </w:rPr>
            </w:pPr>
          </w:p>
        </w:tc>
      </w:tr>
      <w:tr>
        <w:trPr>
          <w:trHeight w:val="27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Diluted net income/(loss) per Class A share </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23"/>
                <w:szCs w:val="23"/>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Declared distributions per Class A share </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1.20</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3"/>
                <w:szCs w:val="23"/>
                <w:color w:val="auto"/>
              </w:rPr>
            </w:pPr>
          </w:p>
        </w:tc>
      </w:tr>
      <w:tr>
        <w:trPr>
          <w:trHeight w:val="257"/>
        </w:trPr>
        <w:tc>
          <w:tcPr>
            <w:tcW w:w="4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end of period):</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14,105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13,493</w:t>
            </w:r>
          </w:p>
        </w:tc>
        <w:tc>
          <w:tcPr>
            <w:tcW w:w="60" w:type="dxa"/>
            <w:vAlign w:val="bottom"/>
          </w:tcPr>
          <w:p>
            <w:pPr>
              <w:spacing w:after="0"/>
              <w:rPr>
                <w:sz w:val="21"/>
                <w:szCs w:val="2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3"/>
                <w:szCs w:val="23"/>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29,969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26,830</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26,753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26,103</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24,142</w:t>
            </w:r>
          </w:p>
        </w:tc>
        <w:tc>
          <w:tcPr>
            <w:tcW w:w="60" w:type="dxa"/>
            <w:vAlign w:val="bottom"/>
          </w:tcPr>
          <w:p>
            <w:pPr>
              <w:spacing w:after="0"/>
              <w:rPr>
                <w:sz w:val="23"/>
                <w:szCs w:val="23"/>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9,183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10,932</w:t>
            </w:r>
          </w:p>
        </w:tc>
        <w:tc>
          <w:tcPr>
            <w:tcW w:w="60" w:type="dxa"/>
            <w:vAlign w:val="bottom"/>
          </w:tcPr>
          <w:p>
            <w:pPr>
              <w:spacing w:after="0"/>
              <w:rPr>
                <w:sz w:val="21"/>
                <w:szCs w:val="21"/>
                <w:color w:val="auto"/>
              </w:rPr>
            </w:pP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23"/>
                <w:szCs w:val="23"/>
                <w:color w:val="auto"/>
                <w:vertAlign w:val="superscript"/>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9,920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11,931</w:t>
            </w:r>
          </w:p>
        </w:tc>
        <w:tc>
          <w:tcPr>
            <w:tcW w:w="60" w:type="dxa"/>
            <w:vAlign w:val="bottom"/>
          </w:tcPr>
          <w:p>
            <w:pPr>
              <w:spacing w:after="0"/>
              <w:rPr>
                <w:sz w:val="21"/>
                <w:szCs w:val="2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Partners’ capital: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Partners’ capital (excluding Noncontrolling interests)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1,762</w:t>
            </w:r>
          </w:p>
        </w:tc>
        <w:tc>
          <w:tcPr>
            <w:tcW w:w="60" w:type="dxa"/>
            <w:vAlign w:val="bottom"/>
          </w:tcPr>
          <w:p>
            <w:pPr>
              <w:spacing w:after="0"/>
              <w:rPr>
                <w:sz w:val="21"/>
                <w:szCs w:val="21"/>
                <w:color w:val="auto"/>
              </w:rPr>
            </w:pP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11,473</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10,663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8,970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7,472</w:t>
            </w:r>
          </w:p>
        </w:tc>
        <w:tc>
          <w:tcPr>
            <w:tcW w:w="60" w:type="dxa"/>
            <w:vAlign w:val="bottom"/>
          </w:tcPr>
          <w:p>
            <w:pPr>
              <w:spacing w:after="0"/>
              <w:rPr>
                <w:sz w:val="21"/>
                <w:szCs w:val="2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9,234</w:t>
            </w:r>
          </w:p>
        </w:tc>
        <w:tc>
          <w:tcPr>
            <w:tcW w:w="60" w:type="dxa"/>
            <w:vAlign w:val="bottom"/>
          </w:tcPr>
          <w:p>
            <w:pPr>
              <w:spacing w:after="0"/>
              <w:rPr>
                <w:sz w:val="21"/>
                <w:szCs w:val="21"/>
                <w:color w:val="auto"/>
              </w:rPr>
            </w:pPr>
          </w:p>
        </w:tc>
      </w:tr>
      <w:tr>
        <w:trPr>
          <w:trHeight w:val="257"/>
        </w:trPr>
        <w:tc>
          <w:tcPr>
            <w:tcW w:w="4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2,604</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2,496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1,347</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w:t>
            </w:r>
          </w:p>
        </w:tc>
        <w:tc>
          <w:tcPr>
            <w:tcW w:w="60" w:type="dxa"/>
            <w:vAlign w:val="bottom"/>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Net cash provided by/(used in) financing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(1,753)</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Acquisition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Expansion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21"/>
                <w:szCs w:val="21"/>
                <w:color w:val="auto"/>
              </w:rPr>
            </w:pPr>
          </w:p>
        </w:tc>
      </w:tr>
      <w:tr>
        <w:trPr>
          <w:trHeight w:val="243"/>
        </w:trPr>
        <w:tc>
          <w:tcPr>
            <w:tcW w:w="4840" w:type="dxa"/>
            <w:vAlign w:val="bottom"/>
          </w:tcPr>
          <w:p>
            <w:pPr>
              <w:ind w:left="140"/>
              <w:spacing w:after="0"/>
              <w:rPr>
                <w:sz w:val="20"/>
                <w:szCs w:val="20"/>
                <w:color w:val="auto"/>
              </w:rPr>
            </w:pPr>
            <w:r>
              <w:rPr>
                <w:rFonts w:ascii="Arial" w:cs="Arial" w:eastAsia="Arial" w:hAnsi="Arial"/>
                <w:sz w:val="18"/>
                <w:szCs w:val="18"/>
                <w:color w:val="auto"/>
              </w:rPr>
              <w:t>Maintenance capital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21"/>
                <w:szCs w:val="21"/>
                <w:color w:val="auto"/>
              </w:rPr>
            </w:pPr>
          </w:p>
        </w:tc>
      </w:tr>
      <w:tr>
        <w:trPr>
          <w:trHeight w:val="905"/>
        </w:trPr>
        <w:tc>
          <w:tcPr>
            <w:tcW w:w="4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7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440" w:type="dxa"/>
            <w:vAlign w:val="bottom"/>
            <w:gridSpan w:val="3"/>
          </w:tcPr>
          <w:p>
            <w:pPr>
              <w:jc w:val="right"/>
              <w:ind w:right="37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1200" w:type="dxa"/>
            <w:vAlign w:val="bottom"/>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Volumes </w:t>
            </w:r>
            <w:r>
              <w:rPr>
                <w:rFonts w:ascii="Arial" w:cs="Arial" w:eastAsia="Arial" w:hAnsi="Arial"/>
                <w:sz w:val="23"/>
                <w:szCs w:val="23"/>
                <w:b w:val="1"/>
                <w:bCs w:val="1"/>
                <w:color w:val="auto"/>
                <w:vertAlign w:val="superscript"/>
              </w:rPr>
              <w:t>(4) (5)</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9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Transportation segment (average daily volumes in thousands of</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barrels per day):</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140"/>
              <w:spacing w:after="0"/>
              <w:rPr>
                <w:sz w:val="20"/>
                <w:szCs w:val="20"/>
                <w:color w:val="auto"/>
              </w:rPr>
            </w:pPr>
            <w:r>
              <w:rPr>
                <w:rFonts w:ascii="Arial" w:cs="Arial" w:eastAsia="Arial" w:hAnsi="Arial"/>
                <w:sz w:val="18"/>
                <w:szCs w:val="18"/>
                <w:color w:val="auto"/>
              </w:rPr>
              <w:t>Tariff activities</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5,791</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5,083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4,340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Trucking</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4920" w:type="dxa"/>
            <w:vAlign w:val="bottom"/>
          </w:tcPr>
          <w:p>
            <w:pPr>
              <w:ind w:left="220"/>
              <w:spacing w:after="0"/>
              <w:rPr>
                <w:sz w:val="20"/>
                <w:szCs w:val="20"/>
                <w:color w:val="auto"/>
              </w:rPr>
            </w:pPr>
            <w:r>
              <w:rPr>
                <w:rFonts w:ascii="Arial" w:cs="Arial" w:eastAsia="Arial" w:hAnsi="Arial"/>
                <w:sz w:val="18"/>
                <w:szCs w:val="18"/>
                <w:color w:val="auto"/>
              </w:rPr>
              <w:t>Transportation segment total volumes</w:t>
            </w: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5,889</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4,637</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Facilities segment: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20" w:type="dxa"/>
            <w:vAlign w:val="bottom"/>
            <w:shd w:val="clear" w:color="auto" w:fill="CCEEFF"/>
          </w:tcPr>
          <w:p>
            <w:pPr>
              <w:ind w:left="140"/>
              <w:spacing w:after="0" w:line="193" w:lineRule="exact"/>
              <w:rPr>
                <w:sz w:val="20"/>
                <w:szCs w:val="20"/>
                <w:color w:val="auto"/>
              </w:rPr>
            </w:pPr>
            <w:r>
              <w:rPr>
                <w:rFonts w:ascii="Arial" w:cs="Arial" w:eastAsia="Arial" w:hAnsi="Arial"/>
                <w:sz w:val="18"/>
                <w:szCs w:val="18"/>
                <w:color w:val="auto"/>
                <w:w w:val="93"/>
              </w:rPr>
              <w:t>Liquids storage (average monthly capacity in millions of barrels)</w:t>
            </w:r>
          </w:p>
        </w:tc>
        <w:tc>
          <w:tcPr>
            <w:tcW w:w="1200" w:type="dxa"/>
            <w:vAlign w:val="bottom"/>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109</w:t>
            </w:r>
          </w:p>
        </w:tc>
        <w:tc>
          <w:tcPr>
            <w:tcW w:w="1440" w:type="dxa"/>
            <w:vAlign w:val="bottom"/>
            <w:gridSpan w:val="3"/>
            <w:shd w:val="clear" w:color="auto" w:fill="CCEEFF"/>
          </w:tcPr>
          <w:p>
            <w:pPr>
              <w:jc w:val="right"/>
              <w:ind w:right="70"/>
              <w:spacing w:after="0" w:line="193"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72"/>
              <w:spacing w:after="0" w:line="19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43"/>
        </w:trPr>
        <w:tc>
          <w:tcPr>
            <w:tcW w:w="4920" w:type="dxa"/>
            <w:vAlign w:val="bottom"/>
            <w:tcBorders>
              <w:bottom w:val="single" w:sz="8" w:color="CCEEFF"/>
            </w:tcBorders>
            <w:shd w:val="clear" w:color="auto" w:fill="CCEEFF"/>
          </w:tcPr>
          <w:p>
            <w:pPr>
              <w:ind w:left="480"/>
              <w:spacing w:after="0" w:line="118" w:lineRule="exact"/>
              <w:rPr>
                <w:sz w:val="20"/>
                <w:szCs w:val="20"/>
                <w:color w:val="auto"/>
              </w:rPr>
            </w:pPr>
            <w:r>
              <w:rPr>
                <w:rFonts w:ascii="Arial" w:cs="Arial" w:eastAsia="Arial" w:hAnsi="Arial"/>
                <w:sz w:val="12"/>
                <w:szCs w:val="12"/>
                <w:color w:val="auto"/>
              </w:rPr>
              <w:t>(6)</w:t>
            </w: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140"/>
              <w:spacing w:after="0" w:line="163" w:lineRule="exact"/>
              <w:rPr>
                <w:sz w:val="20"/>
                <w:szCs w:val="20"/>
                <w:color w:val="auto"/>
              </w:rPr>
            </w:pPr>
            <w:r>
              <w:rPr>
                <w:rFonts w:ascii="Arial" w:cs="Arial" w:eastAsia="Arial" w:hAnsi="Arial"/>
                <w:sz w:val="18"/>
                <w:szCs w:val="18"/>
                <w:color w:val="auto"/>
              </w:rPr>
              <w:t>Natural gas storage (average monthly working capacity in</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144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0"/>
                <w:szCs w:val="10"/>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3"/>
        </w:trPr>
        <w:tc>
          <w:tcPr>
            <w:tcW w:w="4920" w:type="dxa"/>
            <w:vAlign w:val="bottom"/>
          </w:tcPr>
          <w:p>
            <w:pPr>
              <w:ind w:left="480"/>
              <w:spacing w:after="0" w:line="202" w:lineRule="exact"/>
              <w:rPr>
                <w:sz w:val="20"/>
                <w:szCs w:val="20"/>
                <w:color w:val="auto"/>
              </w:rPr>
            </w:pPr>
            <w:r>
              <w:rPr>
                <w:rFonts w:ascii="Arial" w:cs="Arial" w:eastAsia="Arial" w:hAnsi="Arial"/>
                <w:sz w:val="18"/>
                <w:szCs w:val="18"/>
                <w:color w:val="auto"/>
              </w:rPr>
              <w:t>billions of cubic feet)</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ind w:left="140"/>
              <w:spacing w:after="0" w:line="142" w:lineRule="exact"/>
              <w:rPr>
                <w:sz w:val="20"/>
                <w:szCs w:val="20"/>
                <w:color w:val="auto"/>
              </w:rPr>
            </w:pPr>
            <w:r>
              <w:rPr>
                <w:rFonts w:ascii="Arial" w:cs="Arial" w:eastAsia="Arial" w:hAnsi="Arial"/>
                <w:sz w:val="16"/>
                <w:szCs w:val="16"/>
                <w:color w:val="auto"/>
              </w:rPr>
              <w:t>NGL fractionation (average volumes in thousands of barrels per</w:t>
            </w: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40" w:type="dxa"/>
            <w:vAlign w:val="bottom"/>
            <w:gridSpan w:val="3"/>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day)</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4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w w:val="95"/>
              </w:rPr>
              <w:t>Facilities segment total volumes (average monthly volumes in</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144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0"/>
                <w:szCs w:val="10"/>
                <w:color w:val="auto"/>
              </w:rPr>
            </w:pPr>
          </w:p>
        </w:tc>
        <w:tc>
          <w:tcPr>
            <w:tcW w:w="1200" w:type="dxa"/>
            <w:vAlign w:val="bottom"/>
            <w:vMerge w:val="restart"/>
          </w:tcPr>
          <w:p>
            <w:pPr>
              <w:jc w:val="right"/>
              <w:ind w:right="7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3"/>
        </w:trPr>
        <w:tc>
          <w:tcPr>
            <w:tcW w:w="4920" w:type="dxa"/>
            <w:vAlign w:val="bottom"/>
          </w:tcPr>
          <w:p>
            <w:pPr>
              <w:ind w:left="560"/>
              <w:spacing w:after="0" w:line="202" w:lineRule="exact"/>
              <w:rPr>
                <w:sz w:val="20"/>
                <w:szCs w:val="20"/>
                <w:color w:val="auto"/>
              </w:rPr>
            </w:pPr>
            <w:r>
              <w:rPr>
                <w:rFonts w:ascii="Arial" w:cs="Arial" w:eastAsia="Arial" w:hAnsi="Arial"/>
                <w:sz w:val="18"/>
                <w:szCs w:val="18"/>
                <w:color w:val="auto"/>
              </w:rPr>
              <w:t>millions of barrels)</w:t>
            </w: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Arial" w:cs="Arial" w:eastAsia="Arial" w:hAnsi="Arial"/>
                <w:sz w:val="18"/>
                <w:szCs w:val="18"/>
                <w:color w:val="auto"/>
                <w:w w:val="90"/>
              </w:rPr>
              <w:t>Supply and Logistics segment (average daily volumes in thousands</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Arial" w:cs="Arial" w:eastAsia="Arial" w:hAnsi="Arial"/>
                <w:sz w:val="18"/>
                <w:szCs w:val="18"/>
                <w:color w:val="auto"/>
              </w:rPr>
              <w:t>of barrels per day):</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Crude oil lease gathering purchases</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3"/>
        </w:trPr>
        <w:tc>
          <w:tcPr>
            <w:tcW w:w="4920" w:type="dxa"/>
            <w:vAlign w:val="bottom"/>
          </w:tcPr>
          <w:p>
            <w:pPr>
              <w:ind w:left="140"/>
              <w:spacing w:after="0"/>
              <w:rPr>
                <w:sz w:val="20"/>
                <w:szCs w:val="20"/>
                <w:color w:val="auto"/>
              </w:rPr>
            </w:pPr>
            <w:r>
              <w:rPr>
                <w:rFonts w:ascii="Arial" w:cs="Arial" w:eastAsia="Arial" w:hAnsi="Arial"/>
                <w:sz w:val="18"/>
                <w:szCs w:val="18"/>
                <w:color w:val="auto"/>
              </w:rPr>
              <w:t>NGL sales</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255</w:t>
            </w:r>
          </w:p>
        </w:tc>
        <w:tc>
          <w:tcPr>
            <w:tcW w:w="1440" w:type="dxa"/>
            <w:vAlign w:val="bottom"/>
            <w:gridSpan w:val="3"/>
          </w:tcPr>
          <w:p>
            <w:pPr>
              <w:jc w:val="right"/>
              <w:ind w:right="7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Supply and Logistics segment total volumes</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44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80" w:hanging="11"/>
        <w:spacing w:after="0" w:line="264" w:lineRule="auto"/>
        <w:rPr>
          <w:sz w:val="20"/>
          <w:szCs w:val="20"/>
          <w:color w:val="auto"/>
        </w:rPr>
      </w:pPr>
      <w:r>
        <w:rPr>
          <w:rFonts w:ascii="Arial" w:cs="Arial" w:eastAsia="Arial" w:hAnsi="Arial"/>
          <w:sz w:val="18"/>
          <w:szCs w:val="18"/>
          <w:color w:val="auto"/>
        </w:rPr>
        <w:t>During the year ended December 31, 2017, we recorded approximately $823 million related to the re-measurement of our existing deferred tax asset as a result of the reduction in our effective tax rate from the change in corporate federal income tax rate from 35% to 21%. See Note 15 to our Consolidated Financial Statements for additional information.</w:t>
      </w:r>
    </w:p>
    <w:p>
      <w:pPr>
        <w:spacing w:after="0" w:line="73" w:lineRule="exact"/>
        <w:rPr>
          <w:sz w:val="20"/>
          <w:szCs w:val="20"/>
          <w:color w:val="auto"/>
        </w:rPr>
      </w:pPr>
    </w:p>
    <w:p>
      <w:pPr>
        <w:ind w:left="20" w:hanging="11"/>
        <w:spacing w:after="0" w:line="277" w:lineRule="auto"/>
        <w:rPr>
          <w:sz w:val="20"/>
          <w:szCs w:val="20"/>
          <w:color w:val="auto"/>
        </w:rPr>
      </w:pPr>
      <w:r>
        <w:rPr>
          <w:rFonts w:ascii="Arial" w:cs="Arial" w:eastAsia="Arial" w:hAnsi="Arial"/>
          <w:sz w:val="18"/>
          <w:szCs w:val="18"/>
          <w:color w:val="auto"/>
        </w:rPr>
        <w:t>Represents cash distributions declared and paid per share during the year presented. See Note 12 to our Consolidated Financial Statements for further discussion regarding our distributions.</w:t>
      </w:r>
    </w:p>
    <w:p>
      <w:pPr>
        <w:spacing w:after="0" w:line="62" w:lineRule="exact"/>
        <w:rPr>
          <w:sz w:val="20"/>
          <w:szCs w:val="20"/>
          <w:color w:val="auto"/>
        </w:rPr>
      </w:pPr>
    </w:p>
    <w:p>
      <w:pPr>
        <w:ind w:left="20" w:right="280" w:hanging="11"/>
        <w:spacing w:after="0" w:line="264" w:lineRule="auto"/>
        <w:rPr>
          <w:sz w:val="20"/>
          <w:szCs w:val="20"/>
          <w:color w:val="auto"/>
        </w:rPr>
      </w:pPr>
      <w:r>
        <w:rPr>
          <w:rFonts w:ascii="Arial" w:cs="Arial" w:eastAsia="Arial" w:hAnsi="Arial"/>
          <w:sz w:val="18"/>
          <w:szCs w:val="18"/>
          <w:color w:val="auto"/>
        </w:rPr>
        <w:t xml:space="preserve">On January 1, 2019, we adopted Accounting Standards Update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using the optional transitional method. Prior period amounts have not been adjusted and continue to be reported in accordance with our historic accounting under Accounting Standards Codification Topic 840.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Average volumes are calculated as the total volumes (attributable to our interest) for the year divided by the number of days or months in the year.</w:t>
      </w:r>
    </w:p>
    <w:p>
      <w:pPr>
        <w:spacing w:after="0" w:line="140" w:lineRule="exact"/>
        <w:rPr>
          <w:sz w:val="20"/>
          <w:szCs w:val="20"/>
          <w:color w:val="auto"/>
        </w:rPr>
      </w:pPr>
    </w:p>
    <w:p>
      <w:pPr>
        <w:ind w:left="20" w:right="200" w:hanging="11"/>
        <w:spacing w:after="0" w:line="259" w:lineRule="auto"/>
        <w:rPr>
          <w:sz w:val="20"/>
          <w:szCs w:val="20"/>
          <w:color w:val="auto"/>
        </w:rPr>
      </w:pPr>
      <w:r>
        <w:rPr>
          <w:rFonts w:ascii="Arial" w:cs="Arial" w:eastAsia="Arial" w:hAnsi="Arial"/>
          <w:sz w:val="18"/>
          <w:szCs w:val="18"/>
          <w:color w:val="auto"/>
        </w:rPr>
        <w:t>Facilities segment total volumes is calculated as the sum of: (i) liquids storage capacity; (ii) natural gas storage working capacity divided by 6 to account for the 6:1 thousand cubic feet (“mcf”) of natural gas to crude British thermal unit (“Btu”) equivalent ratio and further divided by 1,000 to convert to monthly volumes in millions; and (iii) NGL fractionation volumes multiplied by the number of days in the year and divided by the number of months in the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following discussion is intended to provide investors with an understanding of our financial condition and results of our operations and should be read in conjunction with our historical Consolidated Financial Statements and accompanying notes. Unless the context otherwise requires, references to “we,” “us,” “our,” and “PAGP” are intended to mean the business and operations of PAGP and its consolidated subsidiaries.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36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Outlook</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a Delaware limited partnership formed in 2013 that has elected to be taxed as a corporation for United States federal income tax purposes. As of December 31, 2019, our sole cash-generating assets consisted of (i) a 100% managing member interest in GP LLC, an entity that has also elected to be taxed as a corporation for United States federal income tax purposes and (ii) an approximate 73% limited partner interest in AAP through our direct ownership of approximately 181.1 million AAP units and indirect ownership of approximately 1.0 million AAP units through GP LLC. GP LLC is a Delaware limited liability company that also holds the non-economic general partner interest in AAP. AAP is a Delaware limited partnership that, as of December 31, 2019, directly owned a limited partner interest in PAA through its ownership of approximately 249.6 million PAA common units (approximately 31% of PAA Common Unit Equivalents). AAP is the sole member of PAA GP, a Delaware limited liability company that directly holds the non-economic general partner interest in PAA.</w:t>
      </w:r>
    </w:p>
    <w:p>
      <w:pPr>
        <w:spacing w:after="0" w:line="21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PAA owns and operates midstream energy infrastructure and provides logistics services primarily for crude oil, NGL and natural gas. PAA owns an extensive network of pipeline transportation, terminalling, storage, and gathering assets in key crude oil and NGL producing basins and transportation corridors and at major market hubs in the United States and Canada.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income for the year ended December 31, 2019 of $2.062 billion was relatively flat compared to net income of $2.107 billion recognized for the year ended December 31, 2018. The significant items impacting income for the comparative period included:</w:t>
      </w:r>
    </w:p>
    <w:p>
      <w:pPr>
        <w:spacing w:after="0" w:line="197" w:lineRule="exact"/>
        <w:rPr>
          <w:sz w:val="20"/>
          <w:szCs w:val="20"/>
          <w:color w:val="auto"/>
        </w:rPr>
      </w:pPr>
    </w:p>
    <w:p>
      <w:pPr>
        <w:ind w:left="980" w:right="36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Favorable results from our Supply and Logistics segment due to the realization of favorable crude oil differentials, primarily in the Permian Basin and Canada, and higher NGL margins;</w:t>
      </w:r>
    </w:p>
    <w:p>
      <w:pPr>
        <w:spacing w:after="0" w:line="19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Favorable results from our Transportation segment, primarily from our pipelines in the Permian Basin region, driven by higher volumes from increased production and our recently completed capital expansion projects;</w:t>
      </w:r>
    </w:p>
    <w:p>
      <w:pPr>
        <w:spacing w:after="0" w:line="197" w:lineRule="exact"/>
        <w:rPr>
          <w:rFonts w:ascii="Arial" w:cs="Arial" w:eastAsia="Arial" w:hAnsi="Arial"/>
          <w:sz w:val="18"/>
          <w:szCs w:val="18"/>
          <w:color w:val="auto"/>
        </w:rPr>
      </w:pPr>
    </w:p>
    <w:p>
      <w:pPr>
        <w:ind w:left="980" w:right="2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in income tax expense primarily due to lower year-over-year income as impacted by fluctuations in the derivative mark-to-market valuations in our Canadian operations;</w:t>
      </w:r>
    </w:p>
    <w:p>
      <w:pPr>
        <w:spacing w:after="0" w:line="197"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non-cash gain of $269 million recognized during the 2019 period related to a fair value adjustment resulting from the accounting for the contribution of our undivided joint interest in the Capline pipeline system for an</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180"/>
        <w:spacing w:after="0" w:line="277" w:lineRule="auto"/>
        <w:rPr>
          <w:sz w:val="20"/>
          <w:szCs w:val="20"/>
          <w:color w:val="auto"/>
        </w:rPr>
      </w:pPr>
      <w:r>
        <w:rPr>
          <w:rFonts w:ascii="Arial" w:cs="Arial" w:eastAsia="Arial" w:hAnsi="Arial"/>
          <w:sz w:val="18"/>
          <w:szCs w:val="18"/>
          <w:color w:val="auto"/>
        </w:rPr>
        <w:t>equity interest in Capline Pipeline Company LLC compared to a gain of $200 million recognized in 2018 related to the sale of a portion of our interest in BridgeTex Pipeline Company LLC;</w:t>
      </w:r>
    </w:p>
    <w:p>
      <w:pPr>
        <w:spacing w:after="0" w:line="197" w:lineRule="exact"/>
        <w:rPr>
          <w:sz w:val="20"/>
          <w:szCs w:val="20"/>
          <w:color w:val="auto"/>
        </w:rPr>
      </w:pPr>
    </w:p>
    <w:p>
      <w:pPr>
        <w:ind w:left="980" w:right="64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unfavorable impact of the mark-to-market of certain derivative instruments, resulting from gains recognized during the 2018 period compared to losses recognized in the 2019 period;</w:t>
      </w:r>
    </w:p>
    <w:p>
      <w:pPr>
        <w:spacing w:after="0" w:line="19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unfavorable impact of a net loss on asset sales and asset impairments of $28 million in 2019 compared to a net gain of $114 million in 2018; and</w:t>
      </w:r>
    </w:p>
    <w:p>
      <w:pPr>
        <w:spacing w:after="0" w:line="19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depreciation and amortization expense in 2019 primarily due to the additional depreciation expense associated with the completion of various capital expansion projects.</w:t>
      </w:r>
    </w:p>
    <w:p>
      <w:pPr>
        <w:spacing w:after="0" w:line="197"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See further discussion of our operating results in the “—Results of Operations—Analysis of Operating Segments” and “—Other Income and Expenses” sections below. See the “Outlook—Market Overview and Outlook” section below for a discussion of the market and our current outlook.</w:t>
      </w:r>
    </w:p>
    <w:p>
      <w:pPr>
        <w:spacing w:after="0" w:line="15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invested approximately $1.3 billion in expansion capital during 2019, primarily related to projects under development in the Permian Basin. See the “—Acquisitions, Capital Projects and Divestitures” section below for additional information.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paid approximately $1.2 billion of cash distributions to our Class A Shareholders and noncontrolling interests during 2019.</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PAA Leverage Reduction Plan Completion and Financial Policy Update</w:t>
      </w:r>
    </w:p>
    <w:p>
      <w:pPr>
        <w:spacing w:after="0" w:line="256"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August 2017, PAA announced that it was implementing an action plan to strengthen its balance sheet, reduce leverage, enhance its distribution coverage, minimize new issuances of common equity and position PAA for future distribution growth. The action plan (“PAA Leverage Reduction Plan”), which was endorsed by our Board, included PAA’s intent to achieve certain objectives. During 2017 and 2018, PAA made meaningful progress in executing the PAA Leverage Reduction Plan and in April 2019, PAA announced its achievement of the remaining objectives. Concurrent with the completion of the PAA Leverage Reduction Plan, PAA completed a review of its approach to its capital allocation process, targeted leverage metrics and distribution management policies. As part of the April 2019 announcement, PAA provided several updates regarding its financial policy, including the following actions:</w:t>
      </w:r>
    </w:p>
    <w:p>
      <w:pPr>
        <w:spacing w:after="0" w:line="19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Lowering PAA’s targeted long-term debt to Adjusted EBITDA leverage ratio by 0.5x to a range of 3.0x to 3.5x;</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Establishing a long-term sustainable minimum annual PAA distribution coverage level of 130% underpinned by predominantly fee-based cash flows; and</w:t>
      </w:r>
    </w:p>
    <w:p>
      <w:pPr>
        <w:spacing w:after="0" w:line="19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PAA’s adoption of an annual cycle for setting the common unit distribution level and intention to increase common unit distributions in the future contingent on achieving and maintaining targeted leverage and coverage ratios and subject to an annual review process.</w:t>
      </w:r>
    </w:p>
    <w:p>
      <w:pPr>
        <w:spacing w:after="0" w:line="17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These actions reflect PAA’s dedication to optimizing sustainable unitholder value while also preserving and enhancing PAA’s financial flexibility, further reducing leverage and improving its credit profile, with an objective of achieving mid-BBB equivalent credit ratings over time. Consistent with those objectives, PAA announced that it intends to continue to focus on activities to enhance investment returns and reinforce capital discipline through asset optimization, joint ventures, potential divestitures and similar arrangements.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Capital Projects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Projects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completed a number of acquisitions and capital projects in 2019, 2018 and 2017 that have impacted our results of operations. The following table summarizes our expenditures for acquisition capital, expansion capital and maintenance capital for such periods (in millions):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Acquisition capital </w:t>
            </w:r>
            <w:r>
              <w:rPr>
                <w:rFonts w:ascii="Arial" w:cs="Arial" w:eastAsia="Arial" w:hAnsi="Arial"/>
                <w:sz w:val="23"/>
                <w:szCs w:val="23"/>
                <w:color w:val="auto"/>
                <w:vertAlign w:val="superscript"/>
              </w:rPr>
              <w:t>(1) (2)</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1,323</w:t>
            </w:r>
          </w:p>
        </w:tc>
      </w:tr>
      <w:tr>
        <w:trPr>
          <w:trHeight w:val="270"/>
        </w:trPr>
        <w:tc>
          <w:tcPr>
            <w:tcW w:w="6600" w:type="dxa"/>
            <w:vAlign w:val="bottom"/>
          </w:tcPr>
          <w:p>
            <w:pPr>
              <w:ind w:left="20"/>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23"/>
                <w:szCs w:val="23"/>
                <w:color w:val="auto"/>
                <w:vertAlign w:val="superscript"/>
              </w:rPr>
              <w:t>(1) (3)</w:t>
            </w:r>
          </w:p>
        </w:tc>
        <w:tc>
          <w:tcPr>
            <w:tcW w:w="880" w:type="dxa"/>
            <w:vAlign w:val="bottom"/>
          </w:tcPr>
          <w:p>
            <w:pPr>
              <w:spacing w:after="0"/>
              <w:rPr>
                <w:sz w:val="23"/>
                <w:szCs w:val="23"/>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1,340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1,135</w:t>
            </w:r>
          </w:p>
        </w:tc>
      </w:t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23"/>
                <w:szCs w:val="23"/>
                <w:color w:val="auto"/>
                <w:vertAlign w:val="superscript"/>
              </w:rPr>
              <w:t>(3)</w:t>
            </w:r>
          </w:p>
        </w:tc>
        <w:tc>
          <w:tcPr>
            <w:tcW w:w="8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247</w:t>
            </w:r>
          </w:p>
        </w:tc>
      </w:tr>
      <w:tr>
        <w:trPr>
          <w:trHeight w:val="237"/>
        </w:trPr>
        <w:tc>
          <w:tcPr>
            <w:tcW w:w="6600" w:type="dxa"/>
            <w:vAlign w:val="bottom"/>
          </w:tcPr>
          <w:p>
            <w:pPr>
              <w:spacing w:after="0"/>
              <w:rPr>
                <w:sz w:val="20"/>
                <w:szCs w:val="20"/>
                <w:color w:val="auto"/>
              </w:rPr>
            </w:pP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1,677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2,705</w:t>
            </w:r>
          </w:p>
        </w:tc>
      </w:tr>
      <w:tr>
        <w:trPr>
          <w:trHeight w:val="27"/>
        </w:trPr>
        <w:tc>
          <w:tcPr>
            <w:tcW w:w="6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hanging="11"/>
        <w:spacing w:after="0" w:line="264" w:lineRule="auto"/>
        <w:rPr>
          <w:sz w:val="20"/>
          <w:szCs w:val="20"/>
          <w:color w:val="auto"/>
        </w:rPr>
      </w:pPr>
      <w:r>
        <w:rPr>
          <w:rFonts w:ascii="Arial" w:cs="Arial" w:eastAsia="Arial" w:hAnsi="Arial"/>
          <w:sz w:val="18"/>
          <w:szCs w:val="18"/>
          <w:color w:val="auto"/>
        </w:rPr>
        <w:t>Acquisitions of initial investments or additional interests in unconsolidated entities are included in “Acquisition capital.” Subsequent contributions to unconsolidated entities related to expansion projects of such entities are recognized in “Expansion capital.” We account for our investments in such entities under the equity method of accounting.</w:t>
      </w:r>
    </w:p>
    <w:p>
      <w:pPr>
        <w:spacing w:after="0" w:line="73" w:lineRule="exact"/>
        <w:rPr>
          <w:sz w:val="20"/>
          <w:szCs w:val="20"/>
          <w:color w:val="auto"/>
        </w:rPr>
      </w:pPr>
    </w:p>
    <w:p>
      <w:pPr>
        <w:ind w:right="20" w:hanging="11"/>
        <w:spacing w:after="0" w:line="277" w:lineRule="auto"/>
        <w:rPr>
          <w:sz w:val="20"/>
          <w:szCs w:val="20"/>
          <w:color w:val="auto"/>
        </w:rPr>
      </w:pPr>
      <w:r>
        <w:rPr>
          <w:rFonts w:ascii="Arial" w:cs="Arial" w:eastAsia="Arial" w:hAnsi="Arial"/>
          <w:sz w:val="18"/>
          <w:szCs w:val="18"/>
          <w:color w:val="auto"/>
        </w:rPr>
        <w:t>Acquisition capital for 2017 primarily includes the Alpha Crude Connector Gathering System acquisition completed in February 2017. See Note 7 to our Consolidated Financial Statements for additional information on acquisitions.</w:t>
      </w:r>
    </w:p>
    <w:p>
      <w:pPr>
        <w:spacing w:after="0" w:line="62" w:lineRule="exact"/>
        <w:rPr>
          <w:sz w:val="20"/>
          <w:szCs w:val="20"/>
          <w:color w:val="auto"/>
        </w:rPr>
      </w:pPr>
    </w:p>
    <w:p>
      <w:pPr>
        <w:jc w:val="both"/>
        <w:ind w:right="440" w:hanging="11"/>
        <w:spacing w:after="0" w:line="264" w:lineRule="auto"/>
        <w:rPr>
          <w:sz w:val="20"/>
          <w:szCs w:val="20"/>
          <w:color w:val="auto"/>
        </w:rPr>
      </w:pPr>
      <w:r>
        <w:rPr>
          <w:rFonts w:ascii="Arial" w:cs="Arial" w:eastAsia="Arial" w:hAnsi="Arial"/>
          <w:sz w:val="18"/>
          <w:szCs w:val="18"/>
          <w:color w:val="auto"/>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Expansion Capital Projects</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2019 projects primarily included the construction and expansion of pipeline systems and storage and terminal facilities. The following table summarizes our 2019, 2018 and 2017 projects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7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Complementary Permian Basin Projects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671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217</w:t>
            </w:r>
          </w:p>
        </w:tc>
      </w:tr>
      <w:tr>
        <w:trPr>
          <w:trHeight w:val="27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 xml:space="preserve">Permian Basin Takeaway Pipeline Projects </w:t>
            </w:r>
            <w:r>
              <w:rPr>
                <w:rFonts w:ascii="Arial" w:cs="Arial" w:eastAsia="Arial" w:hAnsi="Arial"/>
                <w:sz w:val="23"/>
                <w:szCs w:val="23"/>
                <w:color w:val="auto"/>
                <w:vertAlign w:val="superscript"/>
              </w:rPr>
              <w:t>(1) (2)</w:t>
            </w:r>
          </w:p>
        </w:tc>
        <w:tc>
          <w:tcPr>
            <w:tcW w:w="30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59</w:t>
            </w:r>
          </w:p>
        </w:tc>
      </w:tr>
      <w:tr>
        <w:trPr>
          <w:trHeight w:val="27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Long-Haul Pipeline Projects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r>
      <w:tr>
        <w:trPr>
          <w:trHeight w:val="27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 xml:space="preserve">Selected Facilities Projects </w:t>
            </w:r>
            <w:r>
              <w:rPr>
                <w:rFonts w:ascii="Arial" w:cs="Arial" w:eastAsia="Arial" w:hAnsi="Arial"/>
                <w:sz w:val="23"/>
                <w:szCs w:val="23"/>
                <w:color w:val="auto"/>
                <w:vertAlign w:val="superscript"/>
              </w:rPr>
              <w:t>(1) (3)</w:t>
            </w:r>
          </w:p>
        </w:tc>
        <w:tc>
          <w:tcPr>
            <w:tcW w:w="30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134</w:t>
            </w:r>
          </w:p>
        </w:tc>
      </w:tr>
      <w:tr>
        <w:trPr>
          <w:trHeight w:val="250"/>
        </w:trPr>
        <w:tc>
          <w:tcPr>
            <w:tcW w:w="7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Diamond Pipeline</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318</w:t>
            </w:r>
          </w:p>
        </w:tc>
      </w:tr>
      <w:tr>
        <w:trPr>
          <w:trHeight w:val="243"/>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Other Projects</w:t>
            </w:r>
          </w:p>
        </w:tc>
        <w:tc>
          <w:tcPr>
            <w:tcW w:w="30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392</w:t>
            </w:r>
          </w:p>
        </w:tc>
      </w:tr>
      <w:tr>
        <w:trPr>
          <w:trHeight w:val="27"/>
        </w:trPr>
        <w:tc>
          <w:tcPr>
            <w:tcW w:w="7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9"/>
        </w:trPr>
        <w:tc>
          <w:tcPr>
            <w:tcW w:w="7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240" w:hanging="11"/>
        <w:spacing w:after="0" w:line="277" w:lineRule="auto"/>
        <w:rPr>
          <w:sz w:val="20"/>
          <w:szCs w:val="20"/>
          <w:color w:val="auto"/>
        </w:rPr>
      </w:pPr>
      <w:r>
        <w:rPr>
          <w:rFonts w:ascii="Arial" w:cs="Arial" w:eastAsia="Arial" w:hAnsi="Arial"/>
          <w:sz w:val="18"/>
          <w:szCs w:val="18"/>
          <w:color w:val="auto"/>
        </w:rPr>
        <w:t>These projects will continue into 2020. See “—Liquidity and Capital Resources—Acquisitions, Investments, Expansion Capital Expenditures and Divestitures —2020 Capital Projects.”</w:t>
      </w:r>
    </w:p>
    <w:p>
      <w:pPr>
        <w:spacing w:after="0" w:line="62" w:lineRule="exact"/>
        <w:rPr>
          <w:sz w:val="20"/>
          <w:szCs w:val="20"/>
          <w:color w:val="auto"/>
        </w:rPr>
      </w:pPr>
    </w:p>
    <w:p>
      <w:pPr>
        <w:ind w:left="20" w:right="180" w:hanging="11"/>
        <w:spacing w:after="0" w:line="277" w:lineRule="auto"/>
        <w:rPr>
          <w:sz w:val="20"/>
          <w:szCs w:val="20"/>
          <w:color w:val="auto"/>
        </w:rPr>
      </w:pPr>
      <w:r>
        <w:rPr>
          <w:rFonts w:ascii="Arial" w:cs="Arial" w:eastAsia="Arial" w:hAnsi="Arial"/>
          <w:sz w:val="18"/>
          <w:szCs w:val="18"/>
          <w:color w:val="auto"/>
        </w:rPr>
        <w:t>Represents pipeline projects with takeaway capacity out of the Permian Basin, including (i) our 65% interest in the Cactus II Pipeline, (ii) our 16% interest in Wink to Webster Pipeline and (iii) our Sunrise expansion.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Includes projects at our St. James, Fort Saskatchewan and Cushing terminals.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expansion capital programs consist of investments in midstream infrastructure projects that build upon our core assets and operations. For the years presented, substantially all of the expansion capital was invested in our fee-based Transportation and Facilities segments. The majority of this expansion capital consists of highly-contracted projects that complement our broader system capabilities and support the long-term needs of the upstream and downstream sectors of the industry value chain.</w:t>
      </w:r>
    </w:p>
    <w:p>
      <w:pPr>
        <w:spacing w:after="0" w:line="21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We currently expect to spend approximately $1.4 billion for expansion capital in 2020. See “—Liquidity and Capital Resources—Acquisitions, Investments, Expansion Capital Expenditures and Divestitures —2020 Capital Projects” and “Outlook—Market Overview and Outlook”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We continually evaluate potential sales of non-core assets and/or sales of partial interests in assets to strategic joint venture partners. The following table summarizes the proceeds received for sales of such assets, which were previously reported in our Transportation and Facilities segments, during the years ended December 31, 2019, 2018 and 2017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70"/>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Proceeds from divestitures </w:t>
            </w:r>
            <w:r>
              <w:rPr>
                <w:rFonts w:ascii="Arial" w:cs="Arial" w:eastAsia="Arial" w:hAnsi="Arial"/>
                <w:sz w:val="23"/>
                <w:szCs w:val="23"/>
                <w:color w:val="auto"/>
                <w:vertAlign w:val="superscript"/>
              </w:rPr>
              <w:t>(1)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00" w:hanging="652"/>
        <w:spacing w:after="0" w:line="227" w:lineRule="auto"/>
        <w:tabs>
          <w:tab w:leader="none" w:pos="648" w:val="left"/>
        </w:tabs>
        <w:numPr>
          <w:ilvl w:val="0"/>
          <w:numId w:val="51"/>
        </w:numPr>
        <w:rPr>
          <w:rFonts w:ascii="Arial" w:cs="Arial" w:eastAsia="Arial" w:hAnsi="Arial"/>
          <w:sz w:val="23"/>
          <w:szCs w:val="23"/>
          <w:color w:val="auto"/>
          <w:vertAlign w:val="superscript"/>
        </w:rPr>
      </w:pPr>
      <w:r>
        <w:rPr>
          <w:rFonts w:ascii="Arial" w:cs="Arial" w:eastAsia="Arial" w:hAnsi="Arial"/>
          <w:sz w:val="18"/>
          <w:szCs w:val="18"/>
          <w:color w:val="auto"/>
        </w:rPr>
        <w:t>Includes proceeds from our formation of Red River Pipeline Company LLC in May 2019. See Note 12 to our Consolidated Financial Statements for additional information.</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Proceeds from asset sales were used to fund our expansion capital program and reduce debt levels. See “—Liquidity and Capital Resources” for additional discussion of our divestiture activities.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preparation of financial statements in conformity with GAAP and rules and regulations of the SEC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Although we believe these estimates are reasonable, actual results could differ from these estimates. On a regular basis, we evaluate our assumptions, judgments and estimates. We also discuss our critical accounting policies and estimates with the Audit Committee of the Board of Directors.</w:t>
      </w:r>
    </w:p>
    <w:p>
      <w:pPr>
        <w:spacing w:after="0" w:line="20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believe that the assumptions, judgments and estimates involved in the accounting for our (i) estimated fair value of assets and liabilities acquired and identification of associated goodwill and intangible assets, (ii) impairment assessments of goodwill and intangible assets, (iii) fair value of derivatives,</w:t>
      </w:r>
    </w:p>
    <w:p>
      <w:pPr>
        <w:ind w:right="60" w:firstLine="8"/>
        <w:spacing w:after="0" w:line="271" w:lineRule="auto"/>
        <w:tabs>
          <w:tab w:leader="none" w:pos="305" w:val="left"/>
        </w:tabs>
        <w:numPr>
          <w:ilvl w:val="0"/>
          <w:numId w:val="52"/>
        </w:numPr>
        <w:rPr>
          <w:rFonts w:ascii="Arial" w:cs="Arial" w:eastAsia="Arial" w:hAnsi="Arial"/>
          <w:sz w:val="17"/>
          <w:szCs w:val="17"/>
          <w:color w:val="auto"/>
        </w:rPr>
      </w:pPr>
      <w:r>
        <w:rPr>
          <w:rFonts w:ascii="Arial" w:cs="Arial" w:eastAsia="Arial" w:hAnsi="Arial"/>
          <w:sz w:val="17"/>
          <w:szCs w:val="17"/>
          <w:color w:val="auto"/>
        </w:rPr>
        <w:t>accruals and contingent liabilities, (v) equity-indexed compensation plan accruals, (vi) property and equipment, depreciation and amortization expense, asset retirement obligations and impairments, (vii) allowance for doubtful accounts and (viii) inventory valuations have the greatest potential impact on our Consolidated Financial Statements. These areas are key components of our results of operations and are based on complex rules which require us to make judgments and estimates. Therefore, we consider these to be our critical accounting policies and estimates, which are discussed further as follows. For further information on all of our significant accounting policies, see Note 2 to our Consolidated Financial Statements.</w:t>
      </w:r>
    </w:p>
    <w:p>
      <w:pPr>
        <w:spacing w:after="0" w:line="206"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 xml:space="preserve">Fair Value of Assets and Liabilities Acquired and Identification of Associated Goodwill and Intangible Assets. </w:t>
      </w:r>
      <w:r>
        <w:rPr>
          <w:rFonts w:ascii="Arial" w:cs="Arial" w:eastAsia="Arial" w:hAnsi="Arial"/>
          <w:sz w:val="17"/>
          <w:szCs w:val="17"/>
          <w:color w:val="auto"/>
        </w:rPr>
        <w:t>In accordance with FASB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business combinations, with each acquisition, we allocate the cost of the acquired entity to the assets and liabilities assumed based on their estimated fair values at the date of acquisition. If the initial accounting for the business combination is incomplete when the combination occurs, an estimate will be recorded. We also expense the transaction costs as incurred in connection with each acquisition, except for acquisitions of equity method investments. In addition, we are required to recognize intangible assets separately from goodwill.</w:t>
      </w:r>
    </w:p>
    <w:p>
      <w:pPr>
        <w:spacing w:after="0" w:line="20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Determining the fair value of assets and liabilities acquired, as well as intangible assets that relate to such items as customer relationships, acreage dedications and other contracts, involves professional judgment and is ultimately based on acquisition models and management’s assessment of the value of the assets acquired and, to the extent available, third party assessments.</w:t>
      </w:r>
    </w:p>
    <w:p>
      <w:pPr>
        <w:spacing w:after="0" w:line="208"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Impairment Assessments of Goodwill and Intangible Assets. </w:t>
      </w:r>
      <w:r>
        <w:rPr>
          <w:rFonts w:ascii="Arial" w:cs="Arial" w:eastAsia="Arial" w:hAnsi="Arial"/>
          <w:sz w:val="18"/>
          <w:szCs w:val="18"/>
          <w:color w:val="auto"/>
        </w:rPr>
        <w:t>Goodwill and intangible assets with indefinite lives are not amortized but are instead</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assessed for impairment. See Note 8 to our Consolidated Financial Statements for further discussion of goodwill. Intangible assets with finite lives are amortized over their estimated useful life as determined by management.</w:t>
      </w:r>
    </w:p>
    <w:p>
      <w:pPr>
        <w:spacing w:after="0" w:line="20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Impairment testing entails estimating future net cash flows relating to the business, based on management’s estimate of future revenues, future cash flows and market conditions including pricing, demand, competition, operating costs and other factors. Uncertainties associated with these estimates include changes in production decline rates, production interruptions, fluctuations in refinery capacity or product slates, economic obsolescence factors in the area and potential future sources of cash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flow. In addition, changes in our weighted average cost of capital from our estimates could have a significant impact on fair value. We cannot provide assurance that actual amounts will not vary significantly from estimated amounts. Resolutions of these uncertainties have resulted, and in the future may result, in impairments that impact our results of operations and financial condition.</w:t>
      </w:r>
    </w:p>
    <w:p>
      <w:pPr>
        <w:spacing w:after="0" w:line="20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i w:val="1"/>
          <w:iCs w:val="1"/>
          <w:color w:val="auto"/>
        </w:rPr>
        <w:t xml:space="preserve">Fair Value of Derivatives. </w:t>
      </w:r>
      <w:r>
        <w:rPr>
          <w:rFonts w:ascii="Arial" w:cs="Arial" w:eastAsia="Arial" w:hAnsi="Arial"/>
          <w:sz w:val="17"/>
          <w:szCs w:val="17"/>
          <w:color w:val="auto"/>
        </w:rPr>
        <w:t>The fair value of a derivative at a particular period end does not reflect the end results of a particular transaction, and will</w:t>
      </w:r>
      <w:r>
        <w:rPr>
          <w:rFonts w:ascii="Arial" w:cs="Arial" w:eastAsia="Arial" w:hAnsi="Arial"/>
          <w:sz w:val="17"/>
          <w:szCs w:val="17"/>
          <w:i w:val="1"/>
          <w:iCs w:val="1"/>
          <w:color w:val="auto"/>
        </w:rPr>
        <w:t xml:space="preserve"> </w:t>
      </w:r>
      <w:r>
        <w:rPr>
          <w:rFonts w:ascii="Arial" w:cs="Arial" w:eastAsia="Arial" w:hAnsi="Arial"/>
          <w:sz w:val="17"/>
          <w:szCs w:val="17"/>
          <w:color w:val="auto"/>
        </w:rPr>
        <w:t>most likely not reflect the gain or loss at the conclusion of a transaction. We reflect estimates for these items based on our internal records and information from third parties. We have commodity derivatives, interest rate derivatives and foreign currency derivatives that are accounted for as assets and liabilities at fair value on our Consolidated Balance Sheets. The valuations of our derivatives that are exchange traded are based on market prices on the applicable exchange on the last day of the period. For our derivatives that are not exchange traded, the estimates we use are based on indicative broker quotations or an internal valuation model. Our valuation models utilize market observable inputs such as price, volatility, correlation and other factors and may not be reflective of the price at which they can be settled due to the lack of a liquid market. Less than 1% of total annual revenues are based on estimates derived from internal valuation models.</w:t>
      </w:r>
    </w:p>
    <w:p>
      <w:pPr>
        <w:spacing w:after="0" w:line="20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also have embedded derivatives that are recorded at fair value on our Consolidated Balance Sheets. These embedded derivatives are valued using models that contain inputs, some of which involve management judgment.</w:t>
      </w:r>
    </w:p>
    <w:p>
      <w:pPr>
        <w:spacing w:after="0" w:line="197"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Although the resolution of the uncertainties involved in these estimates has not historically had a material impact on our results of operations or financial condition, we cannot provide assurance that actual amounts will not vary significantly from estimated amounts. See Item 7A. Quantitative and Qualitative Disclosures About Market Risk and Note 13 to our Consolidated Financial Statements for a discussion regarding our derivatives and risk management activities.</w:t>
      </w:r>
    </w:p>
    <w:p>
      <w:pPr>
        <w:spacing w:after="0" w:line="21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Accruals and Contingent Liabilities. </w:t>
      </w:r>
      <w:r>
        <w:rPr>
          <w:rFonts w:ascii="Arial" w:cs="Arial" w:eastAsia="Arial" w:hAnsi="Arial"/>
          <w:sz w:val="16"/>
          <w:szCs w:val="16"/>
          <w:color w:val="auto"/>
        </w:rPr>
        <w:t>We record accruals or liabilities for, among other things, environmental remediation, natural resource damage</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governmental fines and penalties, potential legal claims and fees for legal services associated with loss contingencies, and bonuses. Accruals are made when our assessment indicates that it is probable that a liability has occurred and the amount of liability can be reasonably estimated. Our estimates are based on all known facts at the time and our assessment of the ultimate outcome. Among the many uncertainties that impact our estimates are the necessary regulatory approvals for, and potential modification of, our environmental remediation plans, the limited amount of data available upon initial assessment of the impact of soil or water contamination, changes in costs associated with environmental remediation services and equipment, the duration of the natural resource damage assessment and the ultimate amount of damages determined, the determination and calculation of fines and penalties, the possibility of existing legal claims giving rise to additional claims and the nature, extent and cost of legal services that will be required in connection with lawsuits, claims and other matters. Our estimates for contingent liability accruals are increased or decreased as additional information is obtained or resolution is achieved. A hypothetical variance of 5% in our aggregate estimate for the accruals and contingent liabilities discussed above would have an impact on earnings of up to approximately $14 million. Although the resolution of these uncertainties has not historically had a material impact on our results of operations or financial condition, we cannot provide assurance that actual amounts will not vary significantly from estimated amounts.</w:t>
      </w:r>
    </w:p>
    <w:p>
      <w:pPr>
        <w:spacing w:after="0" w:line="19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 xml:space="preserve">Equity-Indexed Compensation Plan Accruals. </w:t>
      </w:r>
      <w:r>
        <w:rPr>
          <w:rFonts w:ascii="Arial" w:cs="Arial" w:eastAsia="Arial" w:hAnsi="Arial"/>
          <w:sz w:val="18"/>
          <w:szCs w:val="18"/>
          <w:color w:val="auto"/>
        </w:rPr>
        <w:t>We accrue compensation expense (referred to herein as equity-indexed compensation expense) for</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equity-indexed compensation awards. Under GAAP, we are required to estimate the fair value of our outstanding equity-indexed compensation awards and recognize that fair value as compensation expense over the service period. For equity-indexed compensation awards that contain a performance condition, the fair value of the award is recognized as equity-indexed compensation expense only if the attainment of the performance condition is considered probable. Uncertainties involved in this estimate include future levels of four quarter trailing distributable cash flow (“DCF”) per PAA common unit (or in some instances, per PAA common unit and common equivalent unit) and whether or not a performance condition will be attained. In addition, the PAA common unit price at the end of each period (and at the time of vesting) will impact the amount of compensation expense recorded in each period for certain awards. We cannot provide assurance that the actual fair value of our equity-indexed compensation awards will not vary significantly from estimated amounts.</w:t>
      </w:r>
    </w:p>
    <w:p>
      <w:pPr>
        <w:spacing w:after="0" w:line="224"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recognized equity-indexed compensation expense of $35 million, $79 million and $41 million in 2019, 2018 and 2017, respectively, related to awards granted under our various equity-indexed compensation plans. A hypothetical variance of 5% in our aggregate estimate for the equity-indexed compensation expense would have an impact on our total costs and expenses of less than 1%. See Note 18 to our Consolidated Financial Statements for a discussion regarding our equity-indexed compensation plans.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i w:val="1"/>
          <w:iCs w:val="1"/>
          <w:color w:val="auto"/>
        </w:rPr>
        <w:t xml:space="preserve">Property and Equipment, Depreciation and Amortization Expense, Asset Retirement Obligations and Impairments. </w:t>
      </w:r>
      <w:r>
        <w:rPr>
          <w:rFonts w:ascii="Arial" w:cs="Arial" w:eastAsia="Arial" w:hAnsi="Arial"/>
          <w:sz w:val="16"/>
          <w:szCs w:val="16"/>
          <w:color w:val="auto"/>
        </w:rPr>
        <w:t>We compute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using the straight-line method based on estimated useful lives. These estimates are based on various factors including condition, manufacturing specifications, technological advances and historical data concerning useful lives of similar assets. Uncertainties that impact these estimates include changes in laws and regulations relating to restoration and abandonment requirements, economic conditions and supply and demand in the area. When assets are put into service, we make estimates with respect to useful lives and salvage values that we believe are reasonable. However, subsequent events could cause us to change our estimates, thus impacting the future calculation of depreciation and amortization.</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record retirement obligations associated with tangible long-lived assets based on estimates related to the costs associated with cleaning, purging and, in some cases, completely removing the assets and returning the land to its original state. In addition, our estimates include a determination of the settlement date or dates for the potential obligation, which may or may not be determinable. Uncertainties that impact these estimates include the costs associated with these activities and the timing of incurring such costs.</w:t>
      </w:r>
    </w:p>
    <w:p>
      <w:pPr>
        <w:spacing w:after="0" w:line="21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periodically evaluate property and equipment for impairment when events or circumstances indicate that the carrying value of these assets may not be recoverable. Any evaluation is highly dependent on the underlying assumptions of related cash flows. We consider the fair value estimate used to calculate impairment of property and equipment a critical accounting estimate. In determining the existence of an impairment of carrying value, we make a number of subjective assumptions as to:</w:t>
      </w:r>
    </w:p>
    <w:p>
      <w:pPr>
        <w:spacing w:after="0" w:line="214"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there is an event or circumstance that may be indicative of an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19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A change in our outlook or use could result in impairments that may be material to our results of operations or financial condition. See the “— Outlook— Market Overview and Outlook” section below and Note 6 to our Consolidated Financial Statements for additional information.</w:t>
      </w:r>
    </w:p>
    <w:p>
      <w:pPr>
        <w:spacing w:after="0" w:line="17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We perform credit evaluations of our customers and grant credit based on past payment history,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anticipated industry conditions. Customer payments are regularly monitored and a provision for doubtful accounts is established based on specific situations and overall industry conditions. Our history of bad debt losses has been minimal (less than $2 million in the aggregate over the years ended December 31, 2019, 2018 and 2017) and generally limited to specific customer circumstances; however, credit risks can change suddenly and without notice. See Note 2 to our Consolidated Financial Statements for additional discussion.</w:t>
      </w:r>
    </w:p>
    <w:p>
      <w:pPr>
        <w:spacing w:after="0" w:line="21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Inventory Valuations. </w:t>
      </w:r>
      <w:r>
        <w:rPr>
          <w:rFonts w:ascii="Arial" w:cs="Arial" w:eastAsia="Arial" w:hAnsi="Arial"/>
          <w:sz w:val="18"/>
          <w:szCs w:val="18"/>
          <w:color w:val="auto"/>
        </w:rPr>
        <w:t>Inventory, including long-term inventory, primarily consists of crude oil and NGL and is valued at the lower of cost or net</w:t>
      </w:r>
      <w:r>
        <w:rPr>
          <w:rFonts w:ascii="Arial" w:cs="Arial" w:eastAsia="Arial" w:hAnsi="Arial"/>
          <w:sz w:val="18"/>
          <w:szCs w:val="18"/>
          <w:i w:val="1"/>
          <w:iCs w:val="1"/>
          <w:color w:val="auto"/>
        </w:rPr>
        <w:t xml:space="preserve"> </w:t>
      </w:r>
      <w:r>
        <w:rPr>
          <w:rFonts w:ascii="Arial" w:cs="Arial" w:eastAsia="Arial" w:hAnsi="Arial"/>
          <w:sz w:val="18"/>
          <w:szCs w:val="18"/>
          <w:color w:val="auto"/>
        </w:rPr>
        <w:t>realizable value, with cost determined using an average cost method within specific inventory pools. At the end of each reporting period, we assess the carrying value of our inventory and use estimates and judgment when making any adjustments necessary to reduce the carrying value to net realizable value. Among the uncertainties that impact our estimates are the applicable quality and location differentials to include in our net realizable value analysis. Additionally, we estimate the upcoming liquidation timing of the inventory. Changes in assumptions made as to the timing of a sale can materially impact net realizable value. During the years ended December 31, 2019, 2018 and 2017, we recorded charges of $11 million, $8 million and $35 million, respectively, related to the valuation adjustment of our crude oil inventory due to declines in prices. See Note 5 to our Consolidated Financial Statements for further discussion regarding inventory.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See Note 2 to our Consolidated Financial Statements for information regarding the effect of recent accounting pronouncements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5" w:name="page86"/>
    <w:bookmarkEnd w:id="85"/>
    <w:p>
      <w:pPr>
        <w:ind w:left="8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80" w:right="20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(in millions, except per share amounts):</w:t>
      </w:r>
    </w:p>
    <w:tbl>
      <w:tblPr>
        <w:tblLayout w:type="fixed"/>
        <w:tblInd w:w="8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4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Transportation Segment Adjusted EBITDA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1,287</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 xml:space="preserve">Facilities Segment Adjusted EBITDA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734</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Supply and Logistics Segment Adjusted</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60</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unconsolidated entities</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3760" w:type="dxa"/>
            <w:vAlign w:val="bottom"/>
          </w:tcPr>
          <w:p>
            <w:pPr>
              <w:ind w:left="340"/>
              <w:spacing w:after="0"/>
              <w:rPr>
                <w:sz w:val="20"/>
                <w:szCs w:val="20"/>
                <w:color w:val="auto"/>
              </w:rPr>
            </w:pPr>
            <w:r>
              <w:rPr>
                <w:rFonts w:ascii="Arial" w:cs="Arial" w:eastAsia="Arial" w:hAnsi="Arial"/>
                <w:sz w:val="18"/>
                <w:szCs w:val="18"/>
                <w:color w:val="auto"/>
              </w:rPr>
              <w:t>Selected items impacting comparability -</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40"/>
              <w:spacing w:after="0"/>
              <w:rPr>
                <w:sz w:val="20"/>
                <w:szCs w:val="20"/>
                <w:color w:val="auto"/>
              </w:rPr>
            </w:pPr>
            <w:r>
              <w:rPr>
                <w:rFonts w:ascii="Arial" w:cs="Arial" w:eastAsia="Arial" w:hAnsi="Arial"/>
                <w:sz w:val="18"/>
                <w:szCs w:val="18"/>
                <w:color w:val="auto"/>
              </w:rPr>
              <w:t>Segment Adjusted EBITDA</w:t>
            </w: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Unallocated general and administrative expenses</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(519)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net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(125)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220" w:type="dxa"/>
            <w:vAlign w:val="bottom"/>
          </w:tcPr>
          <w:p>
            <w:pPr>
              <w:spacing w:after="0"/>
              <w:rPr>
                <w:sz w:val="23"/>
                <w:szCs w:val="23"/>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22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760" w:type="dxa"/>
            <w:vAlign w:val="bottom"/>
          </w:tcPr>
          <w:p>
            <w:pPr>
              <w:ind w:left="20"/>
              <w:spacing w:after="0"/>
              <w:rPr>
                <w:sz w:val="20"/>
                <w:szCs w:val="20"/>
                <w:color w:val="auto"/>
              </w:rPr>
            </w:pPr>
            <w:r>
              <w:rPr>
                <w:rFonts w:ascii="Arial" w:cs="Arial" w:eastAsia="Arial" w:hAnsi="Arial"/>
                <w:sz w:val="18"/>
                <w:szCs w:val="18"/>
                <w:color w:val="auto"/>
              </w:rPr>
              <w:t>Net income/(loss)</w:t>
            </w: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(1,083)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(157) %</w:t>
            </w:r>
          </w:p>
        </w:tc>
        <w:tc>
          <w:tcPr>
            <w:tcW w:w="0" w:type="dxa"/>
            <w:vAlign w:val="bottom"/>
          </w:tcPr>
          <w:p>
            <w:pPr>
              <w:spacing w:after="0"/>
              <w:rPr>
                <w:sz w:val="1"/>
                <w:szCs w:val="1"/>
                <w:color w:val="auto"/>
              </w:rPr>
            </w:pPr>
          </w:p>
        </w:tc>
      </w:tr>
      <w:tr>
        <w:trPr>
          <w:trHeight w:val="264"/>
        </w:trPr>
        <w:tc>
          <w:tcPr>
            <w:tcW w:w="3760" w:type="dxa"/>
            <w:vAlign w:val="bottom"/>
          </w:tcPr>
          <w:p>
            <w:pPr>
              <w:ind w:left="20"/>
              <w:spacing w:after="0"/>
              <w:rPr>
                <w:sz w:val="20"/>
                <w:szCs w:val="20"/>
                <w:color w:val="auto"/>
              </w:rPr>
            </w:pPr>
            <w:r>
              <w:rPr>
                <w:rFonts w:ascii="Arial" w:cs="Arial" w:eastAsia="Arial" w:hAnsi="Arial"/>
                <w:sz w:val="18"/>
                <w:szCs w:val="18"/>
                <w:color w:val="auto"/>
              </w:rPr>
              <w:t>Net income/(loss) attributable to PAGP</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(731)</w:t>
            </w:r>
          </w:p>
        </w:tc>
        <w:tc>
          <w:tcPr>
            <w:tcW w:w="14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60" w:type="dxa"/>
            <w:vAlign w:val="bottom"/>
          </w:tcPr>
          <w:p>
            <w:pPr>
              <w:ind w:left="20"/>
              <w:spacing w:after="0"/>
              <w:rPr>
                <w:sz w:val="20"/>
                <w:szCs w:val="20"/>
                <w:color w:val="auto"/>
              </w:rPr>
            </w:pPr>
            <w:r>
              <w:rPr>
                <w:rFonts w:ascii="Arial" w:cs="Arial" w:eastAsia="Arial" w:hAnsi="Arial"/>
                <w:sz w:val="18"/>
                <w:szCs w:val="18"/>
                <w:color w:val="auto"/>
              </w:rPr>
              <w:t>Basic net income/(loss) per Class A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income/(loss) per Class A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6"/>
        </w:trPr>
        <w:tc>
          <w:tcPr>
            <w:tcW w:w="3760" w:type="dxa"/>
            <w:vAlign w:val="bottom"/>
          </w:tcPr>
          <w:p>
            <w:pPr>
              <w:ind w:left="20"/>
              <w:spacing w:after="0" w:line="176" w:lineRule="exact"/>
              <w:rPr>
                <w:sz w:val="20"/>
                <w:szCs w:val="20"/>
                <w:color w:val="auto"/>
              </w:rPr>
            </w:pPr>
            <w:r>
              <w:rPr>
                <w:rFonts w:ascii="Arial" w:cs="Arial" w:eastAsia="Arial" w:hAnsi="Arial"/>
                <w:sz w:val="18"/>
                <w:szCs w:val="18"/>
                <w:color w:val="auto"/>
              </w:rPr>
              <w:t>Basic weighted average Class A shares</w:t>
            </w:r>
          </w:p>
        </w:tc>
        <w:tc>
          <w:tcPr>
            <w:tcW w:w="220" w:type="dxa"/>
            <w:vAlign w:val="bottom"/>
          </w:tcPr>
          <w:p>
            <w:pPr>
              <w:spacing w:after="0"/>
              <w:rPr>
                <w:sz w:val="15"/>
                <w:szCs w:val="15"/>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7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ind w:right="71"/>
              <w:spacing w:after="0"/>
              <w:rPr>
                <w:sz w:val="20"/>
                <w:szCs w:val="20"/>
                <w:color w:val="auto"/>
              </w:rPr>
            </w:pPr>
            <w:r>
              <w:rPr>
                <w:rFonts w:ascii="Arial" w:cs="Arial" w:eastAsia="Arial" w:hAnsi="Arial"/>
                <w:sz w:val="18"/>
                <w:szCs w:val="18"/>
                <w:color w:val="auto"/>
              </w:rPr>
              <w:t>145</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weighted average Class A shares</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274320</wp:posOffset>
            </wp:positionV>
            <wp:extent cx="23241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117" w:lineRule="exact"/>
        <w:rPr>
          <w:sz w:val="20"/>
          <w:szCs w:val="20"/>
          <w:color w:val="auto"/>
        </w:rPr>
      </w:pPr>
    </w:p>
    <w:p>
      <w:pPr>
        <w:ind w:left="740" w:right="340" w:hanging="733"/>
        <w:spacing w:after="0" w:line="238" w:lineRule="auto"/>
        <w:tabs>
          <w:tab w:leader="none" w:pos="728" w:val="left"/>
        </w:tabs>
        <w:numPr>
          <w:ilvl w:val="0"/>
          <w:numId w:val="54"/>
        </w:numPr>
        <w:rPr>
          <w:rFonts w:ascii="Arial" w:cs="Arial" w:eastAsia="Arial" w:hAnsi="Arial"/>
          <w:sz w:val="23"/>
          <w:szCs w:val="23"/>
          <w:color w:val="auto"/>
          <w:vertAlign w:val="superscript"/>
        </w:rPr>
      </w:pPr>
      <w:r>
        <w:rPr>
          <w:rFonts w:ascii="Arial" w:cs="Arial" w:eastAsia="Arial" w:hAnsi="Arial"/>
          <w:sz w:val="18"/>
          <w:szCs w:val="18"/>
          <w:color w:val="auto"/>
        </w:rPr>
        <w:t>Segment Adjusted EBITDA is the measure of segment performance that is utilized by our Chief Operating Decision Maker (“CODM”) to assess performance and allocate resources among our operating segments. This measure is adjusted for certain items, including those that our CODM believes impact comparability of results across periods. See Note 21 to our Consolidated Financial Statements for additional discussion of such adjustments.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80"/>
          </w:cols>
          <w:pgMar w:left="160" w:top="125" w:right="2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supplement our financial information presented in accordance with GAAP, management uses additional measures known as “non-GAAP financial measures” in its evaluation of past performance and prospects for the future. The primary additional measure used by management is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w:t>
      </w:r>
    </w:p>
    <w:p>
      <w:pPr>
        <w:spacing w:after="0" w:line="20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Management believes that the presentation of such additional financial measure provides useful information to investors regarding our performance and results of operations because this measure, when used to supplement related GAAP financial measures, (i) provide additional information about our core operating performance, (ii) provide investors with the same financial analytical framework upon which management bases financial, operational, compensation and planning/budgeting decisions and (iii) present measurements that investors, rating agencies and debt holders have indicated are useful in assessing us and our results of operations. This non-GAAP measure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This measure may further be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9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spacing w:after="0" w:line="214"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definition and calculation of certain non-GAAP financial measures may not be comparable to similarly-titled measures of other companies. Adjusted EBITDA is reconciled to Net Income, the most directly comparable measure as reported in accordance with GAAP, and should be viewed in addition to, and not in lieu of, our Consolidated Financial Statements and accompanying notes.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reconciliation of our non-GAAP financial performance measure from Net Income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2019-2018</w:t>
            </w: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2018-2017</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Add/(Subtract):</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937</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320" w:type="dxa"/>
            <w:vAlign w:val="bottom"/>
          </w:tcPr>
          <w:p>
            <w:pPr>
              <w:ind w:left="120"/>
              <w:spacing w:after="0"/>
              <w:rPr>
                <w:sz w:val="20"/>
                <w:szCs w:val="20"/>
                <w:color w:val="auto"/>
              </w:rPr>
            </w:pPr>
            <w:r>
              <w:rPr>
                <w:rFonts w:ascii="Arial" w:cs="Arial" w:eastAsia="Arial" w:hAnsi="Arial"/>
                <w:sz w:val="18"/>
                <w:szCs w:val="18"/>
                <w:color w:val="auto"/>
                <w:w w:val="91"/>
              </w:rPr>
              <w:t>(Gains)/losses on asset sales and asset impairments, net</w:t>
            </w:r>
          </w:p>
        </w:tc>
        <w:tc>
          <w:tcPr>
            <w:tcW w:w="200" w:type="dxa"/>
            <w:vAlign w:val="bottom"/>
          </w:tcPr>
          <w:p>
            <w:pPr>
              <w:spacing w:after="0"/>
              <w:rPr>
                <w:sz w:val="21"/>
                <w:szCs w:val="21"/>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109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1"/>
              </w:rPr>
              <w:t>(205)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Gain on investment in unconsolidated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140"/>
              <w:spacing w:after="0" w:line="176" w:lineRule="exact"/>
              <w:rPr>
                <w:sz w:val="20"/>
                <w:szCs w:val="20"/>
                <w:color w:val="auto"/>
              </w:rPr>
            </w:pPr>
            <w:r>
              <w:rPr>
                <w:rFonts w:ascii="Arial" w:cs="Arial" w:eastAsia="Arial" w:hAnsi="Arial"/>
                <w:sz w:val="18"/>
                <w:szCs w:val="18"/>
                <w:color w:val="auto"/>
              </w:rPr>
              <w:t>Depreciation and amortization of unconsolidated</w:t>
            </w:r>
          </w:p>
        </w:tc>
        <w:tc>
          <w:tcPr>
            <w:tcW w:w="200" w:type="dxa"/>
            <w:vAlign w:val="bottom"/>
          </w:tcPr>
          <w:p>
            <w:pPr>
              <w:spacing w:after="0"/>
              <w:rPr>
                <w:sz w:val="15"/>
                <w:szCs w:val="15"/>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45</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w w:val="99"/>
              </w:rPr>
              <w:t>24</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entities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Selected Items Impacting Comparability:</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80"/>
              <w:spacing w:after="0" w:line="176" w:lineRule="exact"/>
              <w:rPr>
                <w:sz w:val="20"/>
                <w:szCs w:val="20"/>
                <w:color w:val="auto"/>
              </w:rPr>
            </w:pPr>
            <w:r>
              <w:rPr>
                <w:rFonts w:ascii="Arial" w:cs="Arial" w:eastAsia="Arial" w:hAnsi="Arial"/>
                <w:sz w:val="18"/>
                <w:szCs w:val="18"/>
                <w:color w:val="auto"/>
              </w:rPr>
              <w:t>(Gains)/losses from derivative activities net of</w:t>
            </w:r>
          </w:p>
        </w:tc>
        <w:tc>
          <w:tcPr>
            <w:tcW w:w="200" w:type="dxa"/>
            <w:vAlign w:val="bottom"/>
          </w:tcPr>
          <w:p>
            <w:pPr>
              <w:spacing w:after="0"/>
              <w:rPr>
                <w:sz w:val="15"/>
                <w:szCs w:val="15"/>
                <w:color w:val="auto"/>
              </w:rPr>
            </w:pPr>
          </w:p>
        </w:tc>
        <w:tc>
          <w:tcPr>
            <w:tcW w:w="680" w:type="dxa"/>
            <w:vAlign w:val="bottom"/>
            <w:vMerge w:val="restart"/>
          </w:tcPr>
          <w:p>
            <w:pPr>
              <w:jc w:val="right"/>
              <w:ind w:right="7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jc w:val="right"/>
              <w:ind w:right="11"/>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480"/>
              <w:spacing w:after="0" w:line="230" w:lineRule="exact"/>
              <w:rPr>
                <w:sz w:val="20"/>
                <w:szCs w:val="20"/>
                <w:color w:val="auto"/>
              </w:rPr>
            </w:pPr>
            <w:r>
              <w:rPr>
                <w:rFonts w:ascii="Arial" w:cs="Arial" w:eastAsia="Arial" w:hAnsi="Arial"/>
                <w:sz w:val="18"/>
                <w:szCs w:val="18"/>
                <w:color w:val="auto"/>
              </w:rPr>
              <w:t xml:space="preserve">inventory valuation adjustments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80"/>
              <w:spacing w:after="0" w:line="176" w:lineRule="exact"/>
              <w:rPr>
                <w:sz w:val="20"/>
                <w:szCs w:val="20"/>
                <w:color w:val="auto"/>
              </w:rPr>
            </w:pPr>
            <w:r>
              <w:rPr>
                <w:rFonts w:ascii="Arial" w:cs="Arial" w:eastAsia="Arial" w:hAnsi="Arial"/>
                <w:sz w:val="18"/>
                <w:szCs w:val="18"/>
                <w:color w:val="auto"/>
              </w:rPr>
              <w:t>Deficiencies under minimum volume</w:t>
            </w:r>
          </w:p>
        </w:tc>
        <w:tc>
          <w:tcPr>
            <w:tcW w:w="200" w:type="dxa"/>
            <w:vAlign w:val="bottom"/>
          </w:tcPr>
          <w:p>
            <w:pPr>
              <w:spacing w:after="0"/>
              <w:rPr>
                <w:sz w:val="15"/>
                <w:szCs w:val="15"/>
                <w:color w:val="auto"/>
              </w:rPr>
            </w:pPr>
          </w:p>
        </w:tc>
        <w:tc>
          <w:tcPr>
            <w:tcW w:w="680" w:type="dxa"/>
            <w:vAlign w:val="bottom"/>
            <w:vMerge w:val="restart"/>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vMerge w:val="restart"/>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480"/>
              <w:spacing w:after="0" w:line="230" w:lineRule="exact"/>
              <w:rPr>
                <w:sz w:val="20"/>
                <w:szCs w:val="20"/>
                <w:color w:val="auto"/>
              </w:rPr>
            </w:pPr>
            <w:r>
              <w:rPr>
                <w:rFonts w:ascii="Arial" w:cs="Arial" w:eastAsia="Arial" w:hAnsi="Arial"/>
                <w:sz w:val="18"/>
                <w:szCs w:val="18"/>
                <w:color w:val="auto"/>
              </w:rPr>
              <w:t xml:space="preserve">commitments, net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(5)</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480"/>
              <w:spacing w:after="0"/>
              <w:rPr>
                <w:sz w:val="20"/>
                <w:szCs w:val="20"/>
                <w:color w:val="auto"/>
              </w:rPr>
            </w:pPr>
            <w:r>
              <w:rPr>
                <w:rFonts w:ascii="Arial" w:cs="Arial" w:eastAsia="Arial" w:hAnsi="Arial"/>
                <w:sz w:val="18"/>
                <w:szCs w:val="18"/>
                <w:color w:val="auto"/>
                <w:w w:val="97"/>
              </w:rPr>
              <w:t xml:space="preserve">Net (gain)/loss on foreign currency revaluation </w:t>
            </w:r>
            <w:r>
              <w:rPr>
                <w:rFonts w:ascii="Arial" w:cs="Arial" w:eastAsia="Arial" w:hAnsi="Arial"/>
                <w:sz w:val="23"/>
                <w:szCs w:val="23"/>
                <w:color w:val="auto"/>
                <w:w w:val="97"/>
                <w:vertAlign w:val="superscript"/>
              </w:rPr>
              <w:t>(6)</w:t>
            </w:r>
          </w:p>
        </w:tc>
        <w:tc>
          <w:tcPr>
            <w:tcW w:w="20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(7)</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48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(8)</w:t>
            </w: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600" w:type="dxa"/>
            <w:vAlign w:val="bottom"/>
          </w:tcPr>
          <w:p>
            <w:pPr>
              <w:jc w:val="right"/>
              <w:ind w:right="51"/>
              <w:spacing w:after="0"/>
              <w:rPr>
                <w:sz w:val="20"/>
                <w:szCs w:val="20"/>
                <w:color w:val="auto"/>
              </w:rPr>
            </w:pPr>
            <w:r>
              <w:rPr>
                <w:rFonts w:ascii="Arial" w:cs="Arial" w:eastAsia="Arial" w:hAnsi="Arial"/>
                <w:sz w:val="18"/>
                <w:szCs w:val="18"/>
                <w:color w:val="auto"/>
              </w:rPr>
              <w:t>6</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7"/>
              </w:rPr>
              <w:t>Selected Items Impacting Comparability - Segment</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480"/>
              <w:spacing w:after="0"/>
              <w:rPr>
                <w:sz w:val="20"/>
                <w:szCs w:val="20"/>
                <w:color w:val="auto"/>
              </w:rPr>
            </w:pPr>
            <w:r>
              <w:rPr>
                <w:rFonts w:ascii="Arial" w:cs="Arial" w:eastAsia="Arial" w:hAnsi="Arial"/>
                <w:sz w:val="18"/>
                <w:szCs w:val="18"/>
                <w:color w:val="auto"/>
              </w:rPr>
              <w:t xml:space="preserve">(Gains)/losses from derivative activities </w:t>
            </w:r>
            <w:r>
              <w:rPr>
                <w:rFonts w:ascii="Arial" w:cs="Arial" w:eastAsia="Arial" w:hAnsi="Arial"/>
                <w:sz w:val="23"/>
                <w:szCs w:val="23"/>
                <w:color w:val="auto"/>
                <w:vertAlign w:val="superscript"/>
              </w:rPr>
              <w:t>(2)</w:t>
            </w:r>
          </w:p>
        </w:tc>
        <w:tc>
          <w:tcPr>
            <w:tcW w:w="200" w:type="dxa"/>
            <w:vAlign w:val="bottom"/>
          </w:tcPr>
          <w:p>
            <w:pPr>
              <w:spacing w:after="0"/>
              <w:rPr>
                <w:sz w:val="23"/>
                <w:szCs w:val="23"/>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7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 xml:space="preserve">Net (gain)/loss on foreign currency revaluation </w:t>
            </w:r>
            <w:r>
              <w:rPr>
                <w:rFonts w:ascii="Arial" w:cs="Arial" w:eastAsia="Arial" w:hAnsi="Arial"/>
                <w:sz w:val="23"/>
                <w:szCs w:val="23"/>
                <w:color w:val="auto"/>
                <w:w w:val="97"/>
                <w:vertAlign w:val="superscript"/>
              </w:rPr>
              <w:t>(6)</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480"/>
              <w:spacing w:after="0" w:line="176" w:lineRule="exact"/>
              <w:rPr>
                <w:sz w:val="20"/>
                <w:szCs w:val="20"/>
                <w:color w:val="auto"/>
              </w:rPr>
            </w:pPr>
            <w:r>
              <w:rPr>
                <w:rFonts w:ascii="Arial" w:cs="Arial" w:eastAsia="Arial" w:hAnsi="Arial"/>
                <w:sz w:val="18"/>
                <w:szCs w:val="18"/>
                <w:color w:val="auto"/>
              </w:rPr>
              <w:t>Net loss on early repayment of senior</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600" w:type="dxa"/>
            <w:vAlign w:val="bottom"/>
            <w:vMerge w:val="restart"/>
          </w:tcPr>
          <w:p>
            <w:pPr>
              <w:jc w:val="right"/>
              <w:ind w:right="51"/>
              <w:spacing w:after="0"/>
              <w:rPr>
                <w:sz w:val="20"/>
                <w:szCs w:val="20"/>
                <w:color w:val="auto"/>
              </w:rPr>
            </w:pPr>
            <w:r>
              <w:rPr>
                <w:rFonts w:ascii="Arial" w:cs="Arial" w:eastAsia="Arial" w:hAnsi="Arial"/>
                <w:sz w:val="18"/>
                <w:szCs w:val="18"/>
                <w:color w:val="auto"/>
              </w:rPr>
              <w:t>40</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3"/>
            <w:vMerge w:val="restart"/>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600"/>
              <w:spacing w:after="0" w:line="230" w:lineRule="exact"/>
              <w:rPr>
                <w:sz w:val="20"/>
                <w:szCs w:val="20"/>
                <w:color w:val="auto"/>
              </w:rPr>
            </w:pPr>
            <w:r>
              <w:rPr>
                <w:rFonts w:ascii="Arial" w:cs="Arial" w:eastAsia="Arial" w:hAnsi="Arial"/>
                <w:sz w:val="18"/>
                <w:szCs w:val="18"/>
                <w:color w:val="auto"/>
              </w:rPr>
              <w:t xml:space="preserve">notes </w:t>
            </w:r>
            <w:r>
              <w:rPr>
                <w:rFonts w:ascii="Arial" w:cs="Arial" w:eastAsia="Arial" w:hAnsi="Arial"/>
                <w:sz w:val="23"/>
                <w:szCs w:val="23"/>
                <w:color w:val="auto"/>
                <w:vertAlign w:val="superscript"/>
              </w:rPr>
              <w:t>(9)</w:t>
            </w: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320" w:type="dxa"/>
            <w:vAlign w:val="bottom"/>
            <w:tcBorders>
              <w:top w:val="single" w:sz="8" w:color="CCEEFF"/>
            </w:tcBorders>
            <w:shd w:val="clear" w:color="auto" w:fill="CCEEFF"/>
          </w:tcPr>
          <w:p>
            <w:pPr>
              <w:ind w:left="360"/>
              <w:spacing w:after="0" w:line="156" w:lineRule="exact"/>
              <w:rPr>
                <w:sz w:val="20"/>
                <w:szCs w:val="20"/>
                <w:color w:val="auto"/>
              </w:rPr>
            </w:pPr>
            <w:r>
              <w:rPr>
                <w:rFonts w:ascii="Arial" w:cs="Arial" w:eastAsia="Arial" w:hAnsi="Arial"/>
                <w:sz w:val="18"/>
                <w:szCs w:val="18"/>
                <w:color w:val="auto"/>
                <w:w w:val="97"/>
              </w:rPr>
              <w:t>Selected Items Impacting Comparability - Adjusted</w:t>
            </w: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(423)</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(10)</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320" w:type="dxa"/>
            <w:vAlign w:val="bottom"/>
          </w:tcPr>
          <w:p>
            <w:pPr>
              <w:ind w:left="2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(10)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2,680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7"/>
              </w:rPr>
              <w:t>2,078</w:t>
            </w: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w w:val="97"/>
              </w:rPr>
              <w:t>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pacing w:after="0" w:line="117" w:lineRule="exact"/>
        <w:rPr>
          <w:sz w:val="20"/>
          <w:szCs w:val="20"/>
          <w:color w:val="auto"/>
        </w:rPr>
      </w:pPr>
    </w:p>
    <w:p>
      <w:pPr>
        <w:ind w:left="660" w:right="180" w:hanging="652"/>
        <w:spacing w:after="0" w:line="234" w:lineRule="auto"/>
        <w:tabs>
          <w:tab w:leader="none" w:pos="648"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Over the past several years, we have increased our participation in strategic pipeline joint ventures accounted for under the equity method of accounting. We exclude our proportionate share of the depreciation and amortization expense of, and gains and losses on significant asset sales by, such unconsolidated entities when reviewing Adjusted EBITDA, similar to our consolidated assets.</w:t>
      </w:r>
    </w:p>
    <w:p>
      <w:pPr>
        <w:spacing w:after="0" w:line="94" w:lineRule="exact"/>
        <w:rPr>
          <w:rFonts w:ascii="Arial" w:cs="Arial" w:eastAsia="Arial" w:hAnsi="Arial"/>
          <w:sz w:val="23"/>
          <w:szCs w:val="23"/>
          <w:color w:val="auto"/>
          <w:vertAlign w:val="superscript"/>
        </w:rPr>
      </w:pPr>
    </w:p>
    <w:p>
      <w:pPr>
        <w:ind w:left="660" w:hanging="652"/>
        <w:spacing w:after="0" w:line="244" w:lineRule="auto"/>
        <w:tabs>
          <w:tab w:leader="none" w:pos="648" w:val="left"/>
        </w:tabs>
        <w:numPr>
          <w:ilvl w:val="0"/>
          <w:numId w:val="55"/>
        </w:numPr>
        <w:rPr>
          <w:rFonts w:ascii="Arial" w:cs="Arial" w:eastAsia="Arial" w:hAnsi="Arial"/>
          <w:sz w:val="23"/>
          <w:szCs w:val="23"/>
          <w:color w:val="auto"/>
          <w:vertAlign w:val="superscript"/>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See Note 13 to our Consolidated Financial Statements for a comprehensive discussion regarding our derivatives and risk management activities.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2"/>
          <w:szCs w:val="1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(8)</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(9)</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hanging="11"/>
        <w:spacing w:after="0" w:line="273" w:lineRule="auto"/>
        <w:rPr>
          <w:sz w:val="20"/>
          <w:szCs w:val="20"/>
          <w:color w:val="auto"/>
        </w:rPr>
      </w:pPr>
      <w:r>
        <w:rPr>
          <w:rFonts w:ascii="Arial" w:cs="Arial" w:eastAsia="Arial" w:hAnsi="Arial"/>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for additional inventory disclosures.</w:t>
      </w:r>
    </w:p>
    <w:p>
      <w:pPr>
        <w:spacing w:after="0" w:line="70" w:lineRule="exact"/>
        <w:rPr>
          <w:sz w:val="20"/>
          <w:szCs w:val="20"/>
          <w:color w:val="auto"/>
        </w:rPr>
      </w:pPr>
    </w:p>
    <w:p>
      <w:pPr>
        <w:ind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75" w:lineRule="exact"/>
        <w:rPr>
          <w:sz w:val="20"/>
          <w:szCs w:val="20"/>
          <w:color w:val="auto"/>
        </w:rPr>
      </w:pPr>
    </w:p>
    <w:p>
      <w:pPr>
        <w:ind w:right="20" w:hanging="11"/>
        <w:spacing w:after="0" w:line="272" w:lineRule="auto"/>
        <w:rPr>
          <w:sz w:val="20"/>
          <w:szCs w:val="20"/>
          <w:color w:val="auto"/>
        </w:rPr>
      </w:pPr>
      <w:r>
        <w:rPr>
          <w:rFonts w:ascii="Arial" w:cs="Arial" w:eastAsia="Arial" w:hAnsi="Arial"/>
          <w:sz w:val="17"/>
          <w:szCs w:val="17"/>
          <w:color w:val="auto"/>
        </w:rPr>
        <w:t>Our total equity-indexed compensation expense includes expense associated with awards that will or may be settled in PAA common units and awards that will or may be settled in cash. The awards that will or may be settled in PAA common units are included in PAA’s diluted net income per unit calculation when the applicable performance criteria have been met. We consider the compensation expense associated with these awards as a selected item impacting comparability as the dilutive impact of the outstanding awards is included in PAA’s diluted net income per unit calculation, as applicable, and the majority of the awards are expected to be settled in PAA common units. The portion of compensation expense associated with awards that are certain to be settled in cash is not considered a selected item impacting comparability. See Note 18 to our Consolidated Financial Statements for a comprehensive discussion regarding our equity-indexed compensation plans.</w:t>
      </w:r>
    </w:p>
    <w:p>
      <w:pPr>
        <w:spacing w:after="0" w:line="70" w:lineRule="exact"/>
        <w:rPr>
          <w:sz w:val="20"/>
          <w:szCs w:val="20"/>
          <w:color w:val="auto"/>
        </w:rPr>
      </w:pPr>
    </w:p>
    <w:p>
      <w:pPr>
        <w:jc w:val="both"/>
        <w:ind w:right="60" w:hanging="11"/>
        <w:spacing w:after="0" w:line="312" w:lineRule="auto"/>
        <w:rPr>
          <w:sz w:val="20"/>
          <w:szCs w:val="20"/>
          <w:color w:val="auto"/>
        </w:rPr>
      </w:pPr>
      <w:r>
        <w:rPr>
          <w:rFonts w:ascii="Arial" w:cs="Arial" w:eastAsia="Arial" w:hAnsi="Arial"/>
          <w:sz w:val="16"/>
          <w:szCs w:val="16"/>
          <w:color w:val="auto"/>
        </w:rPr>
        <w:t>During the periods presented, there were fluctuations in the value of the Canadian dollar (“CAD”) to the U.S. dollar (“USD”), resulting in non-cash gains and losses that were not related to our core operating results for the period and were thus classified as a selected item impacting comparability. See Note 13 to our Consolidated Financial Statements for discussion regarding our currency exchange rate risk hedging activities.</w:t>
      </w:r>
    </w:p>
    <w:p>
      <w:pPr>
        <w:spacing w:after="0" w:line="39" w:lineRule="exact"/>
        <w:rPr>
          <w:sz w:val="20"/>
          <w:szCs w:val="20"/>
          <w:color w:val="auto"/>
        </w:rPr>
      </w:pPr>
    </w:p>
    <w:p>
      <w:pPr>
        <w:ind w:right="260" w:hanging="11"/>
        <w:spacing w:after="0" w:line="342" w:lineRule="auto"/>
        <w:rPr>
          <w:sz w:val="20"/>
          <w:szCs w:val="20"/>
          <w:color w:val="auto"/>
        </w:rPr>
      </w:pPr>
      <w:r>
        <w:rPr>
          <w:rFonts w:ascii="Arial" w:cs="Arial" w:eastAsia="Arial" w:hAnsi="Arial"/>
          <w:sz w:val="16"/>
          <w:szCs w:val="16"/>
          <w:color w:val="auto"/>
        </w:rPr>
        <w:t>Includes costs recognized during the period related to the Line 901 incident that occurred in May 2015, net of amounts we believe are probable of recovery from insurance. See Note 19 to our Consolidated Financial Statements for additional information regarding the Line 901 incident.</w:t>
      </w:r>
    </w:p>
    <w:p>
      <w:pPr>
        <w:spacing w:after="0" w:line="16" w:lineRule="exact"/>
        <w:rPr>
          <w:sz w:val="20"/>
          <w:szCs w:val="20"/>
          <w:color w:val="auto"/>
        </w:rPr>
      </w:pPr>
    </w:p>
    <w:p>
      <w:pPr>
        <w:ind w:right="180" w:hanging="11"/>
        <w:spacing w:after="0" w:line="277" w:lineRule="auto"/>
        <w:rPr>
          <w:sz w:val="20"/>
          <w:szCs w:val="20"/>
          <w:color w:val="auto"/>
        </w:rPr>
      </w:pPr>
      <w:r>
        <w:rPr>
          <w:rFonts w:ascii="Arial" w:cs="Arial" w:eastAsia="Arial" w:hAnsi="Arial"/>
          <w:sz w:val="18"/>
          <w:szCs w:val="18"/>
          <w:color w:val="auto"/>
        </w:rPr>
        <w:t>Includes acquisition-related expenses associated with the ACC Acquisition in February 2017. See Note 7 to our Consolidated Financial Statements for additional information.</w:t>
      </w:r>
    </w:p>
    <w:p>
      <w:pPr>
        <w:spacing w:after="0" w:line="62" w:lineRule="exact"/>
        <w:rPr>
          <w:sz w:val="20"/>
          <w:szCs w:val="20"/>
          <w:color w:val="auto"/>
        </w:rPr>
      </w:pPr>
    </w:p>
    <w:p>
      <w:pPr>
        <w:ind w:right="100" w:hanging="11"/>
        <w:spacing w:after="0" w:line="342" w:lineRule="auto"/>
        <w:rPr>
          <w:sz w:val="20"/>
          <w:szCs w:val="20"/>
          <w:color w:val="auto"/>
        </w:rPr>
      </w:pPr>
      <w:r>
        <w:rPr>
          <w:rFonts w:ascii="Arial" w:cs="Arial" w:eastAsia="Arial" w:hAnsi="Arial"/>
          <w:sz w:val="16"/>
          <w:szCs w:val="16"/>
          <w:color w:val="auto"/>
        </w:rPr>
        <w:t>The 2017 period includes net losses incurred in connection with the early redemption of our (i) $600 million, 6.50% senior notes due May 2018 and (ii) $350 million, 8.75% senior notes due May 2019. See Note 11 to our Consolidated Financial Statements for additional information.</w:t>
      </w:r>
    </w:p>
    <w:p>
      <w:pPr>
        <w:spacing w:after="0" w:line="16" w:lineRule="exact"/>
        <w:rPr>
          <w:sz w:val="20"/>
          <w:szCs w:val="20"/>
          <w:color w:val="auto"/>
        </w:rPr>
      </w:pPr>
    </w:p>
    <w:p>
      <w:pPr>
        <w:ind w:right="180" w:hanging="7"/>
        <w:spacing w:after="0" w:line="277" w:lineRule="auto"/>
        <w:rPr>
          <w:sz w:val="20"/>
          <w:szCs w:val="20"/>
          <w:color w:val="auto"/>
        </w:rPr>
      </w:pPr>
      <w:r>
        <w:rPr>
          <w:rFonts w:ascii="Arial" w:cs="Arial" w:eastAsia="Arial" w:hAnsi="Arial"/>
          <w:sz w:val="18"/>
          <w:szCs w:val="18"/>
          <w:color w:val="auto"/>
        </w:rPr>
        <w:t>Other income/(expense), net per our Consolidated Statements of Operations, adjusted for selected items impacting comparability (“Adjusted Other income/(expense), net”) is included in Adjusted EBITDA and excluded from Segment Adjusted EBITDA.</w:t>
      </w:r>
    </w:p>
    <w:p>
      <w:pPr>
        <w:spacing w:after="0" w:line="197" w:lineRule="exact"/>
        <w:rPr>
          <w:sz w:val="20"/>
          <w:szCs w:val="20"/>
          <w:color w:val="auto"/>
        </w:rPr>
      </w:pPr>
    </w:p>
    <w:p>
      <w:pPr>
        <w:sectPr>
          <w:pgSz w:w="11900" w:h="16838" w:orient="portrait"/>
          <w:cols w:equalWidth="0" w:num="2">
            <w:col w:w="200" w:space="460"/>
            <w:col w:w="1074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the mark-to-market of derivative instruments that are related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Note 21 to our Consolidated Financial Statements for a reconciliation of Segment Adjusted EBITDA to Net income attributable to PAGP.</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segment analysis involves an element of judgment relating to the allocations between segments. In connection with its operations, the Supply and Logistics segment secures transportation and facilities services from our other two segments as well as third-party service providers under month-to-month and multi-year arrangements. Intersegment transportation service rates are conducted at posted tariff rates, rates similar to those charged to third parties or rates that we believe approximate market. Facilities segment services are also obtained at rates generally consistent with rates charged to third parties for similar services. Intersegment activities are eliminated in consolidation and we believe that the estimates with respect to these rates are reasonable. Also, our segment operating and general and administrative expenses reflect direct costs attributable to each segment; however, we also allocate certain operating expenses and general and administrative overhead expenses between segments based on management’s assessment of the business activities for the period. The proportional allocations by segment require judgment by management and may be adjusted in the future based on the business activities that exist during each period. We believe that the estimates with respect to these allocations are reasonable.</w:t>
      </w:r>
    </w:p>
    <w:p>
      <w:pPr>
        <w:spacing w:after="0" w:line="20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Revenues and expenses from our Canadian based subsidiaries, which use CAD as their functional currency, are translated at the prevailing average exchange rates for the month.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Transportation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89"/>
              </w:rPr>
              <w:t>Variance</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197"/>
        </w:trPr>
        <w:tc>
          <w:tcPr>
            <w:tcW w:w="36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2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r>
      <w:tr>
        <w:trPr>
          <w:trHeight w:val="20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245"/>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Purchases and related costs</w:t>
            </w:r>
          </w:p>
        </w:tc>
        <w:tc>
          <w:tcPr>
            <w:tcW w:w="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70"/>
        </w:trPr>
        <w:tc>
          <w:tcPr>
            <w:tcW w:w="3620" w:type="dxa"/>
            <w:vAlign w:val="bottom"/>
            <w:gridSpan w:val="2"/>
          </w:tcPr>
          <w:p>
            <w:pPr>
              <w:ind w:left="20"/>
              <w:spacing w:after="0"/>
              <w:rPr>
                <w:sz w:val="20"/>
                <w:szCs w:val="20"/>
                <w:color w:val="auto"/>
              </w:rPr>
            </w:pPr>
            <w:r>
              <w:rPr>
                <w:rFonts w:ascii="Arial" w:cs="Arial" w:eastAsia="Arial" w:hAnsi="Arial"/>
                <w:sz w:val="18"/>
                <w:szCs w:val="18"/>
                <w:color w:val="auto"/>
                <w:w w:val="90"/>
              </w:rPr>
              <w:t xml:space="preserve">Segment general and administrative expenses </w:t>
            </w:r>
            <w:r>
              <w:rPr>
                <w:rFonts w:ascii="Arial" w:cs="Arial" w:eastAsia="Arial" w:hAnsi="Arial"/>
                <w:sz w:val="23"/>
                <w:szCs w:val="23"/>
                <w:color w:val="auto"/>
                <w:w w:val="90"/>
                <w:vertAlign w:val="superscript"/>
              </w:rPr>
              <w:t>(2)</w:t>
            </w:r>
          </w:p>
        </w:tc>
        <w:tc>
          <w:tcPr>
            <w:tcW w:w="22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 %</w:t>
            </w: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3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230"/>
        </w:trPr>
        <w:tc>
          <w:tcPr>
            <w:tcW w:w="36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29"/>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Depreciation and amortization of</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unconsolidated entities</w:t>
            </w:r>
          </w:p>
        </w:tc>
        <w:tc>
          <w:tcPr>
            <w:tcW w:w="220" w:type="dxa"/>
            <w:vAlign w:val="bottom"/>
          </w:tcPr>
          <w:p>
            <w:pPr>
              <w:spacing w:after="0"/>
              <w:rPr>
                <w:sz w:val="20"/>
                <w:szCs w:val="20"/>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45</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(Gains)/losses from derivative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29"/>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Deficiencies under minimum volume</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commitments, net</w:t>
            </w:r>
          </w:p>
        </w:tc>
        <w:tc>
          <w:tcPr>
            <w:tcW w:w="22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Equity-indexed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2"/>
          </w:tcPr>
          <w:p>
            <w:pPr>
              <w:ind w:left="300"/>
              <w:spacing w:after="0"/>
              <w:rPr>
                <w:sz w:val="20"/>
                <w:szCs w:val="20"/>
                <w:color w:val="auto"/>
              </w:rPr>
            </w:pPr>
            <w:r>
              <w:rPr>
                <w:rFonts w:ascii="Arial" w:cs="Arial" w:eastAsia="Arial" w:hAnsi="Arial"/>
                <w:sz w:val="18"/>
                <w:szCs w:val="18"/>
                <w:color w:val="auto"/>
              </w:rPr>
              <w:t>Line 901 incident</w:t>
            </w:r>
          </w:p>
        </w:tc>
        <w:tc>
          <w:tcPr>
            <w:tcW w:w="22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Significant acquisition-related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1,722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1,287</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17 %</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89"/>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284"/>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0.68</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9"/>
              </w:rPr>
              <w:t>Variance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97"/>
        </w:trPr>
        <w:tc>
          <w:tcPr>
            <w:tcW w:w="364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Daily Volumes</w:t>
            </w:r>
          </w:p>
        </w:tc>
        <w:tc>
          <w:tcPr>
            <w:tcW w:w="24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w w:val="95"/>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680" w:type="dxa"/>
            <w:vAlign w:val="bottom"/>
            <w:tcBorders>
              <w:bottom w:val="single" w:sz="8" w:color="auto"/>
            </w:tcBorders>
          </w:tcPr>
          <w:p>
            <w:pPr>
              <w:spacing w:after="0"/>
              <w:rPr>
                <w:sz w:val="17"/>
                <w:szCs w:val="17"/>
                <w:color w:val="auto"/>
              </w:rPr>
            </w:pPr>
          </w:p>
        </w:tc>
      </w:tr>
      <w:tr>
        <w:trPr>
          <w:trHeight w:val="201"/>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9"/>
                <w:szCs w:val="9"/>
                <w:b w:val="1"/>
                <w:bCs w:val="1"/>
                <w:color w:val="auto"/>
              </w:rPr>
              <w:t>(4)</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Volumes</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85"/>
              </w:rPr>
              <w:t>Volumes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t>
            </w:r>
          </w:p>
        </w:tc>
      </w:tr>
      <w:tr>
        <w:trPr>
          <w:trHeight w:val="245"/>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Tariff activities volumes</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3640" w:type="dxa"/>
            <w:vAlign w:val="bottom"/>
            <w:gridSpan w:val="2"/>
          </w:tcPr>
          <w:p>
            <w:pPr>
              <w:ind w:left="120"/>
              <w:spacing w:after="0"/>
              <w:rPr>
                <w:sz w:val="20"/>
                <w:szCs w:val="20"/>
                <w:color w:val="auto"/>
              </w:rPr>
            </w:pPr>
            <w:r>
              <w:rPr>
                <w:rFonts w:ascii="Arial" w:cs="Arial" w:eastAsia="Arial" w:hAnsi="Arial"/>
                <w:sz w:val="18"/>
                <w:szCs w:val="18"/>
                <w:color w:val="auto"/>
              </w:rPr>
              <w:t>Crude oil pipelines (by region):</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Permian Basin </w:t>
            </w:r>
            <w:r>
              <w:rPr>
                <w:rFonts w:ascii="Arial" w:cs="Arial" w:eastAsia="Arial" w:hAnsi="Arial"/>
                <w:sz w:val="23"/>
                <w:szCs w:val="23"/>
                <w:color w:val="auto"/>
                <w:vertAlign w:val="superscript"/>
              </w:rPr>
              <w:t>(5)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4,690</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2,855</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70"/>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 xml:space="preserve">South Texas / Eagle Ford </w:t>
            </w:r>
            <w:r>
              <w:rPr>
                <w:rFonts w:ascii="Arial" w:cs="Arial" w:eastAsia="Arial" w:hAnsi="Arial"/>
                <w:sz w:val="23"/>
                <w:szCs w:val="23"/>
                <w:color w:val="auto"/>
                <w:vertAlign w:val="superscript"/>
              </w:rPr>
              <w:t>(5)</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360</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0"/>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Central </w:t>
            </w:r>
            <w:r>
              <w:rPr>
                <w:rFonts w:ascii="Arial" w:cs="Arial" w:eastAsia="Arial" w:hAnsi="Arial"/>
                <w:sz w:val="23"/>
                <w:szCs w:val="23"/>
                <w:color w:val="auto"/>
                <w:vertAlign w:val="superscript"/>
              </w:rPr>
              <w:t>(5)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420</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Gulf Coast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349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Rocky Mountain </w:t>
            </w:r>
            <w:r>
              <w:rPr>
                <w:rFonts w:ascii="Arial" w:cs="Arial" w:eastAsia="Arial" w:hAnsi="Arial"/>
                <w:sz w:val="23"/>
                <w:szCs w:val="23"/>
                <w:color w:val="auto"/>
                <w:vertAlign w:val="superscript"/>
              </w:rPr>
              <w:t>(5)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393</w:t>
            </w: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Western</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184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Canada</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364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6,613</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5,608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4,913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NGL pipelines</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37"/>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Tariff activities total volumes</w:t>
            </w:r>
          </w:p>
        </w:tc>
        <w:tc>
          <w:tcPr>
            <w:tcW w:w="9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5,083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3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Trucking volumes</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304"/>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Transportation segment total volumes</w:t>
            </w:r>
          </w:p>
        </w:tc>
        <w:tc>
          <w:tcPr>
            <w:tcW w:w="9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5,889</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5,186</w:t>
            </w: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ectPr>
          <w:pgSz w:w="11900" w:h="16838" w:orient="portrait"/>
          <w:cols w:equalWidth="0" w:num="1">
            <w:col w:w="11360"/>
          </w:cols>
          <w:pgMar w:left="240" w:top="125" w:right="29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Segment general and administrative expenses reflect direct costs attributable to each segment and an allocation of other expenses to the segments.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proportional allocations by segment require judgment by management and are based on the business activities that exist during each period.</w:t>
      </w:r>
    </w:p>
    <w:p>
      <w:pPr>
        <w:spacing w:after="0" w:line="126"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br w:type="column"/>
      </w:r>
    </w:p>
    <w:p>
      <w:pPr>
        <w:ind w:left="20" w:right="5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Average daily volumes are calculated as the total volumes (attributable to our interest) for the year divided by the number of days in the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Region includes volumes (attributable to our interest) from pipelines owned by unconsolidated entities.</w:t>
      </w:r>
    </w:p>
    <w:p>
      <w:pPr>
        <w:spacing w:after="0" w:line="200"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52"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following is a discussion of items impacting Transportation segment operating results for the year ended December 31, 2019 compared to the year ended December 31, 2018. For a discussion of the 2018-2017 comparative period, see Item 7. “Management’s Discussion and Analysis of Financial Condition and Results of Operations—Results of Operations—Transportation Segment” included in our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Equity Earnings in Unconsolidated Entities and Volumes. </w:t>
      </w:r>
      <w:r>
        <w:rPr>
          <w:rFonts w:ascii="Arial" w:cs="Arial" w:eastAsia="Arial" w:hAnsi="Arial"/>
          <w:sz w:val="18"/>
          <w:szCs w:val="18"/>
          <w:color w:val="auto"/>
        </w:rPr>
        <w:t>The following table presents variances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purchases and related costs and equity earnings in unconsolidated entities by region:</w:t>
      </w:r>
    </w:p>
    <w:p>
      <w:pPr>
        <w:spacing w:after="0" w:line="243"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Favorable/(Unfavorable) Variance</w:t>
      </w:r>
    </w:p>
    <w:p>
      <w:pPr>
        <w:spacing w:after="0" w:line="4"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2019-2018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13335</wp:posOffset>
            </wp:positionV>
            <wp:extent cx="33274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7"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Revenues</w:t>
            </w:r>
          </w:p>
        </w:tc>
        <w:tc>
          <w:tcPr>
            <w:tcW w:w="1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Purchases and Related</w:t>
            </w:r>
          </w:p>
        </w:tc>
        <w:tc>
          <w:tcPr>
            <w:tcW w:w="200" w:type="dxa"/>
            <w:vAlign w:val="bottom"/>
          </w:tcPr>
          <w:p>
            <w:pPr>
              <w:spacing w:after="0"/>
              <w:rPr>
                <w:sz w:val="14"/>
                <w:szCs w:val="14"/>
                <w:color w:val="auto"/>
              </w:rPr>
            </w:pPr>
          </w:p>
        </w:tc>
        <w:tc>
          <w:tcPr>
            <w:tcW w:w="14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Equity Earnings</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Permian Basin region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South Texas / Eagle Ford region</w:t>
            </w:r>
          </w:p>
        </w:tc>
        <w:tc>
          <w:tcPr>
            <w:tcW w:w="3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Central region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Gulf Coast region</w:t>
            </w:r>
          </w:p>
        </w:tc>
        <w:tc>
          <w:tcPr>
            <w:tcW w:w="3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Rocky Mountain region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Western</w:t>
            </w:r>
          </w:p>
        </w:tc>
        <w:tc>
          <w:tcPr>
            <w:tcW w:w="3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Canada region</w:t>
            </w: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w w:val="99"/>
              </w:rPr>
              <w:t>Other regions, trucking and pipeline loss allowance revenue</w:t>
            </w:r>
          </w:p>
        </w:tc>
        <w:tc>
          <w:tcPr>
            <w:tcW w:w="320" w:type="dxa"/>
            <w:vAlign w:val="bottom"/>
          </w:tcPr>
          <w:p>
            <w:pPr>
              <w:spacing w:after="0"/>
              <w:rPr>
                <w:sz w:val="21"/>
                <w:szCs w:val="21"/>
                <w:color w:val="auto"/>
              </w:rPr>
            </w:pP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variance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Below is a discussion of the significant drivers impacting net revenues and equity earnings in unconsolidated entities for the comparative period presented:</w:t>
      </w:r>
    </w:p>
    <w:p>
      <w:pPr>
        <w:spacing w:after="0" w:line="197" w:lineRule="exact"/>
        <w:rPr>
          <w:sz w:val="20"/>
          <w:szCs w:val="20"/>
          <w:color w:val="auto"/>
        </w:rPr>
      </w:pPr>
    </w:p>
    <w:p>
      <w:pPr>
        <w:ind w:left="980" w:right="20" w:hanging="324"/>
        <w:spacing w:after="0" w:line="293" w:lineRule="auto"/>
        <w:tabs>
          <w:tab w:leader="none" w:pos="975"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Permian Basin region. </w:t>
      </w:r>
      <w:r>
        <w:rPr>
          <w:rFonts w:ascii="Arial" w:cs="Arial" w:eastAsia="Arial" w:hAnsi="Arial"/>
          <w:sz w:val="16"/>
          <w:szCs w:val="16"/>
          <w:color w:val="auto"/>
        </w:rPr>
        <w:t>Total revenues, net of purchases and related costs, increased by approximately $192 million for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compared to the year ended December 31, 2018 primarily due to higher volumes from increased production and our recently completed capital expansion projects. These increases included (i) higher volumes on our gathering systems of approximately 321,000 barrels per day, (ii) higher volumes of approximately 391,000 barrels per day on our intra-basin pipelines and (iii) a volume increase of approximately 246,000 barrels per day on our long-haul pipelines, including our Sunrise II pipeline, which was placed into service in the fourth quarter of 2018, and the Cactus II pipeline, which was placed into service in the third quarter of 2019, as discussed below.</w:t>
      </w:r>
    </w:p>
    <w:p>
      <w:pPr>
        <w:spacing w:after="0" w:line="191" w:lineRule="exact"/>
        <w:rPr>
          <w:rFonts w:ascii="Arial" w:cs="Arial" w:eastAsia="Arial" w:hAnsi="Arial"/>
          <w:sz w:val="16"/>
          <w:szCs w:val="16"/>
          <w:i w:val="1"/>
          <w:iCs w:val="1"/>
          <w:color w:val="auto"/>
        </w:rPr>
      </w:pPr>
    </w:p>
    <w:p>
      <w:pPr>
        <w:ind w:left="980"/>
        <w:spacing w:after="0" w:line="264" w:lineRule="auto"/>
        <w:rPr>
          <w:rFonts w:ascii="Arial" w:cs="Arial" w:eastAsia="Arial" w:hAnsi="Arial"/>
          <w:sz w:val="16"/>
          <w:szCs w:val="16"/>
          <w:i w:val="1"/>
          <w:iCs w:val="1"/>
          <w:color w:val="auto"/>
        </w:rPr>
      </w:pPr>
      <w:r>
        <w:rPr>
          <w:rFonts w:ascii="Arial" w:cs="Arial" w:eastAsia="Arial" w:hAnsi="Arial"/>
          <w:sz w:val="18"/>
          <w:szCs w:val="18"/>
          <w:color w:val="auto"/>
        </w:rPr>
        <w:t>Equity earnings decreased in 2019 compared to 2018 primarily due to the sale of a 30% interest in BridgeTex Pipeline Company, LLC at the end of the third quarter of 2018, partially offset by equity earnings from our 65% interest in Cactus II pipeline, which was placed into service in the third quarter of 2019.</w:t>
      </w:r>
    </w:p>
    <w:p>
      <w:pPr>
        <w:spacing w:after="0" w:line="208" w:lineRule="exact"/>
        <w:rPr>
          <w:rFonts w:ascii="Arial" w:cs="Arial" w:eastAsia="Arial" w:hAnsi="Arial"/>
          <w:sz w:val="16"/>
          <w:szCs w:val="16"/>
          <w:i w:val="1"/>
          <w:iCs w:val="1"/>
          <w:color w:val="auto"/>
        </w:rPr>
      </w:pPr>
    </w:p>
    <w:p>
      <w:pPr>
        <w:ind w:left="980" w:right="140" w:hanging="324"/>
        <w:spacing w:after="0" w:line="308" w:lineRule="auto"/>
        <w:tabs>
          <w:tab w:leader="none" w:pos="975" w:val="left"/>
        </w:tabs>
        <w:numPr>
          <w:ilvl w:val="0"/>
          <w:numId w:val="5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South Texas / Eagle Ford region. </w:t>
      </w:r>
      <w:r>
        <w:rPr>
          <w:rFonts w:ascii="Arial" w:cs="Arial" w:eastAsia="Arial" w:hAnsi="Arial"/>
          <w:sz w:val="17"/>
          <w:szCs w:val="17"/>
          <w:color w:val="auto"/>
        </w:rPr>
        <w:t>Equity earnings from our 50% interest in Eagle Ford Pipeline LLC for 2019 compared to 2018 was favorably</w:t>
      </w:r>
      <w:r>
        <w:rPr>
          <w:rFonts w:ascii="Arial" w:cs="Arial" w:eastAsia="Arial" w:hAnsi="Arial"/>
          <w:sz w:val="17"/>
          <w:szCs w:val="17"/>
          <w:i w:val="1"/>
          <w:iCs w:val="1"/>
          <w:color w:val="auto"/>
        </w:rPr>
        <w:t xml:space="preserve"> </w:t>
      </w:r>
      <w:r>
        <w:rPr>
          <w:rFonts w:ascii="Arial" w:cs="Arial" w:eastAsia="Arial" w:hAnsi="Arial"/>
          <w:sz w:val="17"/>
          <w:szCs w:val="17"/>
          <w:color w:val="auto"/>
        </w:rPr>
        <w:t>impacted by higher volumes and the recognition of revenue associated with deficiencies under minimum volume commitments.</w:t>
      </w:r>
    </w:p>
    <w:p>
      <w:pPr>
        <w:spacing w:after="0" w:line="173" w:lineRule="exact"/>
        <w:rPr>
          <w:rFonts w:ascii="Arial" w:cs="Arial" w:eastAsia="Arial" w:hAnsi="Arial"/>
          <w:sz w:val="17"/>
          <w:szCs w:val="17"/>
          <w:i w:val="1"/>
          <w:iCs w:val="1"/>
          <w:color w:val="auto"/>
        </w:rPr>
      </w:pPr>
    </w:p>
    <w:p>
      <w:pPr>
        <w:ind w:left="980" w:right="140" w:hanging="324"/>
        <w:spacing w:after="0" w:line="264" w:lineRule="auto"/>
        <w:tabs>
          <w:tab w:leader="none" w:pos="975"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region. </w:t>
      </w:r>
      <w:r>
        <w:rPr>
          <w:rFonts w:ascii="Arial" w:cs="Arial" w:eastAsia="Arial" w:hAnsi="Arial"/>
          <w:sz w:val="18"/>
          <w:szCs w:val="18"/>
          <w:color w:val="auto"/>
        </w:rPr>
        <w:t>The increase in revenues for the year ended December 31, 2019 compared to the year ended December 31, 2018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volumes on certain of our pipelines in the Central region, including our Red River pipeline, and the recognition of previously deferred revenue in 2019 associated with deficiencies under minimum volume commitments.</w:t>
      </w:r>
    </w:p>
    <w:p>
      <w:pPr>
        <w:spacing w:after="0" w:line="208" w:lineRule="exact"/>
        <w:rPr>
          <w:rFonts w:ascii="Arial" w:cs="Arial" w:eastAsia="Arial" w:hAnsi="Arial"/>
          <w:sz w:val="18"/>
          <w:szCs w:val="18"/>
          <w:i w:val="1"/>
          <w:iCs w:val="1"/>
          <w:color w:val="auto"/>
        </w:rPr>
      </w:pPr>
    </w:p>
    <w:p>
      <w:pPr>
        <w:ind w:left="980" w:right="20" w:hanging="324"/>
        <w:spacing w:after="0" w:line="264" w:lineRule="auto"/>
        <w:tabs>
          <w:tab w:leader="none" w:pos="975" w:val="left"/>
        </w:tabs>
        <w:numPr>
          <w:ilvl w:val="0"/>
          <w:numId w:val="5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Gulf Coast region. </w:t>
      </w:r>
      <w:r>
        <w:rPr>
          <w:rFonts w:ascii="Arial" w:cs="Arial" w:eastAsia="Arial" w:hAnsi="Arial"/>
          <w:sz w:val="18"/>
          <w:szCs w:val="18"/>
          <w:color w:val="auto"/>
        </w:rPr>
        <w:t>The decrease in volumes for the year ended December 31, 2019 compared to the year ended December 31,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 the Capline pipeline being taken out of service in the fourth quarter of 2018 and (ii) a decrease in throughput on a lower tariff rate pipeline, which did not result in a significant impact on revenue.</w:t>
      </w:r>
    </w:p>
    <w:p>
      <w:pPr>
        <w:spacing w:after="0" w:line="208" w:lineRule="exact"/>
        <w:rPr>
          <w:rFonts w:ascii="Arial" w:cs="Arial" w:eastAsia="Arial" w:hAnsi="Arial"/>
          <w:sz w:val="18"/>
          <w:szCs w:val="18"/>
          <w:i w:val="1"/>
          <w:iCs w:val="1"/>
          <w:color w:val="auto"/>
        </w:rPr>
      </w:pPr>
    </w:p>
    <w:p>
      <w:pPr>
        <w:ind w:left="98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In the first quarter of 2019, the owners of the Capline pipeline system contributed their undivided joint interests in the system for equity interests in a legal entity. As a result, revenues and expenses from the Capline pipeline system that were previously consolidated are reflected as equity earnings. The unfavorable equity earnings variance for the year ended December 31, 2019 compared to the year ended December 31, 2018 was due to our share of operating costs from our 54.13% interest in Capline Pipeline Company LLC reflected in equity earnings in the 2019 period, whereas such costs were reflected in field operating costs in the 2018 period.</w:t>
      </w:r>
    </w:p>
    <w:p>
      <w:pPr>
        <w:spacing w:after="0" w:line="199" w:lineRule="exact"/>
        <w:rPr>
          <w:rFonts w:ascii="Arial" w:cs="Arial" w:eastAsia="Arial" w:hAnsi="Arial"/>
          <w:sz w:val="18"/>
          <w:szCs w:val="18"/>
          <w:i w:val="1"/>
          <w:iCs w:val="1"/>
          <w:color w:val="auto"/>
        </w:rPr>
      </w:pPr>
    </w:p>
    <w:p>
      <w:pPr>
        <w:ind w:left="980" w:right="6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In the third quarter of 2019, the owners of Capline Pipeline Company LLC sanctioned the reversal of the Capline pipeline system and a connection to Diamond Pipeline.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00" w:hanging="324"/>
        <w:spacing w:after="0" w:line="277" w:lineRule="auto"/>
        <w:tabs>
          <w:tab w:leader="none" w:pos="975"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Rocky Mountain region. </w:t>
      </w:r>
      <w:r>
        <w:rPr>
          <w:rFonts w:ascii="Arial" w:cs="Arial" w:eastAsia="Arial" w:hAnsi="Arial"/>
          <w:sz w:val="18"/>
          <w:szCs w:val="18"/>
          <w:color w:val="auto"/>
        </w:rPr>
        <w:t>The decrease in revenues for the year ended December 31, 2019 compared to the year ended December 31, 2018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sale of one of our pipelines in the second quarter of 2018.</w:t>
      </w:r>
    </w:p>
    <w:p>
      <w:pPr>
        <w:spacing w:after="0" w:line="197" w:lineRule="exact"/>
        <w:rPr>
          <w:rFonts w:ascii="Arial" w:cs="Arial" w:eastAsia="Arial" w:hAnsi="Arial"/>
          <w:sz w:val="18"/>
          <w:szCs w:val="18"/>
          <w:i w:val="1"/>
          <w:iCs w:val="1"/>
          <w:color w:val="auto"/>
        </w:rPr>
      </w:pPr>
    </w:p>
    <w:p>
      <w:pPr>
        <w:ind w:left="980" w:right="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The favorable equity earnings variances for the year ended December 31, 2019 compared to the year ended December 31, 2018 were primarily driven by favorable results from our 40% interest in Saddlehorn Pipeline Company, LLC due to higher volumes from committed shippers, partially offset by a decrease from our 35.7% interest in White Cliffs Pipeline, LLC due to lower volumes as one crude oil line was taken out of service in May 2019 for conversion to NGL service.</w:t>
      </w:r>
    </w:p>
    <w:p>
      <w:pPr>
        <w:spacing w:after="0" w:line="213" w:lineRule="exact"/>
        <w:rPr>
          <w:rFonts w:ascii="Arial" w:cs="Arial" w:eastAsia="Arial" w:hAnsi="Arial"/>
          <w:sz w:val="18"/>
          <w:szCs w:val="18"/>
          <w:i w:val="1"/>
          <w:iCs w:val="1"/>
          <w:color w:val="auto"/>
        </w:rPr>
      </w:pPr>
    </w:p>
    <w:p>
      <w:pPr>
        <w:ind w:left="980" w:right="200" w:hanging="324"/>
        <w:spacing w:after="0" w:line="277" w:lineRule="auto"/>
        <w:tabs>
          <w:tab w:leader="none" w:pos="975"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Western region. </w:t>
      </w:r>
      <w:r>
        <w:rPr>
          <w:rFonts w:ascii="Arial" w:cs="Arial" w:eastAsia="Arial" w:hAnsi="Arial"/>
          <w:sz w:val="18"/>
          <w:szCs w:val="18"/>
          <w:color w:val="auto"/>
        </w:rPr>
        <w:t>The increase in revenues and volumes for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higher volumes moved from our Bakersfield rail terminal into our area pipelines.</w:t>
      </w:r>
    </w:p>
    <w:p>
      <w:pPr>
        <w:spacing w:after="0" w:line="197" w:lineRule="exact"/>
        <w:rPr>
          <w:rFonts w:ascii="Arial" w:cs="Arial" w:eastAsia="Arial" w:hAnsi="Arial"/>
          <w:sz w:val="18"/>
          <w:szCs w:val="18"/>
          <w:i w:val="1"/>
          <w:iCs w:val="1"/>
          <w:color w:val="auto"/>
        </w:rPr>
      </w:pPr>
    </w:p>
    <w:p>
      <w:pPr>
        <w:ind w:left="980" w:right="120" w:hanging="324"/>
        <w:spacing w:after="0" w:line="264" w:lineRule="auto"/>
        <w:tabs>
          <w:tab w:leader="none" w:pos="975"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Canada region. </w:t>
      </w:r>
      <w:r>
        <w:rPr>
          <w:rFonts w:ascii="Arial" w:cs="Arial" w:eastAsia="Arial" w:hAnsi="Arial"/>
          <w:sz w:val="18"/>
          <w:szCs w:val="18"/>
          <w:color w:val="auto"/>
        </w:rPr>
        <w:t>The increase in revenues for the year ended December 31, 2019 compared to the year ended December 31, 2018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tariffs on certain of our Canadian crude oil pipelines and related system assets, partially offset by unfavorable foreign exchange impacts.</w:t>
      </w:r>
    </w:p>
    <w:p>
      <w:pPr>
        <w:spacing w:after="0" w:line="208" w:lineRule="exact"/>
        <w:rPr>
          <w:rFonts w:ascii="Arial" w:cs="Arial" w:eastAsia="Arial" w:hAnsi="Arial"/>
          <w:sz w:val="18"/>
          <w:szCs w:val="18"/>
          <w:i w:val="1"/>
          <w:iCs w:val="1"/>
          <w:color w:val="auto"/>
        </w:rPr>
      </w:pPr>
    </w:p>
    <w:p>
      <w:pPr>
        <w:jc w:val="both"/>
        <w:ind w:left="980" w:hanging="324"/>
        <w:spacing w:after="0" w:line="264" w:lineRule="auto"/>
        <w:tabs>
          <w:tab w:leader="none" w:pos="975"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regions, trucking and pipeline loss allowance. </w:t>
      </w:r>
      <w:r>
        <w:rPr>
          <w:rFonts w:ascii="Arial" w:cs="Arial" w:eastAsia="Arial" w:hAnsi="Arial"/>
          <w:sz w:val="18"/>
          <w:szCs w:val="18"/>
          <w:color w:val="auto"/>
        </w:rPr>
        <w:t>The increase in other revenues for the year ended December 31, 2019 compared to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was primarily due to greater pipeline loss allowance revenue in 2019 driven by higher volumes and, to a lesser extent, higher prices.</w:t>
      </w:r>
    </w:p>
    <w:p>
      <w:pPr>
        <w:spacing w:after="0" w:line="20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Adjustments: Deficiencies under minimum volume commitments, net. </w:t>
      </w:r>
      <w:r>
        <w:rPr>
          <w:rFonts w:ascii="Arial" w:cs="Arial" w:eastAsia="Arial" w:hAnsi="Arial"/>
          <w:sz w:val="16"/>
          <w:szCs w:val="16"/>
          <w:color w:val="auto"/>
        </w:rPr>
        <w:t>Many industry infrastructure projects developed and completed over the last</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spacing w:after="0" w:line="194"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For the year ended December 31, 2019, the recognition of previously deferred revenue exceeded amounts billed to counterparties associated with deficiencies under minimum volume commitments. For the year ended December 31, 2018, amounts billed to counterparties exceeded revenue recognized during the period that was previously deferred.</w:t>
      </w:r>
    </w:p>
    <w:p>
      <w:pPr>
        <w:spacing w:after="0" w:line="20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for the year ended December 31, 2019 compared to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the continued expansion of our Transportation segment operations including costs associated with personnel, power-related costs and property taxes. The expansion activities included projects placed in service in the fourth quarter of 2018, including our Sunrise II pipeline expansion within the Permian Basin region. Field operating costs were also impacted by an increase of estimated costs associated with the Line 901 incident (which impact our field operating costs but are excluded from Segment Adjusted EBITDA and thus are reflected as an “Adjustment” in the table above). See Note 19 to our Consolidated Financial Statements for additional information regarding the Line 901 incident. The increase in field operating costs was partially offset by the favorable impact of reflecting operating costs associated with the Capline pipeline system in equity earnings for the 2019 period that were included in field operating costs for the 2018 period, as discussed above.</w:t>
      </w:r>
    </w:p>
    <w:p>
      <w:pPr>
        <w:spacing w:after="0" w:line="20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i w:val="1"/>
          <w:iCs w:val="1"/>
          <w:color w:val="auto"/>
        </w:rPr>
        <w:t xml:space="preserve">Segment General and Administrative Expenses. </w:t>
      </w:r>
      <w:r>
        <w:rPr>
          <w:rFonts w:ascii="Arial" w:cs="Arial" w:eastAsia="Arial" w:hAnsi="Arial"/>
          <w:sz w:val="16"/>
          <w:szCs w:val="16"/>
          <w:color w:val="auto"/>
        </w:rPr>
        <w:t>The decrease in segment general and administrative expenses for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year ended December 31, 2018 was primarily due to a decrease in equity-indexed compensation expense due to fewer awards outstanding in 2019. A portion of equity-indexed compensation expense was associated with awards that will or may be settled in PAA common units (which impact our general and administrative expenses but are excluded from Segment Adjusted EBITDA and thus are reflected as an “Adjustment” in the table above).</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Maintenance capital consists of capital expenditures for the replacement and/or refurbishment of partially or fully depreciated</w:t>
      </w:r>
      <w:r>
        <w:rPr>
          <w:rFonts w:ascii="Arial" w:cs="Arial" w:eastAsia="Arial" w:hAnsi="Arial"/>
          <w:sz w:val="16"/>
          <w:szCs w:val="16"/>
          <w:i w:val="1"/>
          <w:iCs w:val="1"/>
          <w:color w:val="auto"/>
        </w:rPr>
        <w:t xml:space="preserve"> </w:t>
      </w:r>
      <w:r>
        <w:rPr>
          <w:rFonts w:ascii="Arial" w:cs="Arial" w:eastAsia="Arial" w:hAnsi="Arial"/>
          <w:sz w:val="16"/>
          <w:szCs w:val="16"/>
          <w:color w:val="auto"/>
        </w:rPr>
        <w:t>assets in order to maintain the operating and/or earnings capacity of our existing assets. The increase in maintenance capital for the year ended December 31, 2019 compared to the year ended December 31, 2018 was primarily due to pump replacement projects and enhancements to our gathering systems in the Permian Basin region, partially offset by lower costs due to the completion of several large integrity management projects.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56"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2"/>
              </w:rPr>
              <w:t>Variance</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10"/>
          </w:tcPr>
          <w:p>
            <w:pPr>
              <w:jc w:val="center"/>
              <w:ind w:left="394"/>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2018-2017</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5"/>
        </w:trPr>
        <w:tc>
          <w:tcPr>
            <w:tcW w:w="3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1,173</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3620" w:type="dxa"/>
            <w:vAlign w:val="bottom"/>
            <w:gridSpan w:val="4"/>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ind w:left="3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0"/>
        </w:trPr>
        <w:tc>
          <w:tcPr>
            <w:tcW w:w="3620" w:type="dxa"/>
            <w:vAlign w:val="bottom"/>
            <w:gridSpan w:val="4"/>
          </w:tcPr>
          <w:p>
            <w:pPr>
              <w:ind w:left="20"/>
              <w:spacing w:after="0"/>
              <w:rPr>
                <w:sz w:val="20"/>
                <w:szCs w:val="20"/>
                <w:color w:val="auto"/>
              </w:rPr>
            </w:pPr>
            <w:r>
              <w:rPr>
                <w:rFonts w:ascii="Arial" w:cs="Arial" w:eastAsia="Arial" w:hAnsi="Arial"/>
                <w:sz w:val="18"/>
                <w:szCs w:val="18"/>
                <w:color w:val="auto"/>
                <w:w w:val="90"/>
              </w:rPr>
              <w:t xml:space="preserve">Segment general and administrative expenses </w:t>
            </w:r>
            <w:r>
              <w:rPr>
                <w:rFonts w:ascii="Arial" w:cs="Arial" w:eastAsia="Arial" w:hAnsi="Arial"/>
                <w:sz w:val="23"/>
                <w:szCs w:val="23"/>
                <w:color w:val="auto"/>
                <w:w w:val="90"/>
                <w:vertAlign w:val="superscript"/>
              </w:rPr>
              <w:t>(2)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360"/>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60" w:type="dxa"/>
            <w:vAlign w:val="bottom"/>
            <w:shd w:val="clear" w:color="auto" w:fill="CCEEFF"/>
          </w:tcPr>
          <w:p>
            <w:pPr>
              <w:spacing w:after="0"/>
              <w:rPr>
                <w:sz w:val="23"/>
                <w:szCs w:val="23"/>
                <w:color w:val="auto"/>
              </w:rPr>
            </w:pPr>
          </w:p>
        </w:tc>
        <w:tc>
          <w:tcPr>
            <w:tcW w:w="3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Depreciation and amortization of</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3"/>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unconsolidated entities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3560" w:type="dxa"/>
            <w:vAlign w:val="bottom"/>
            <w:gridSpan w:val="3"/>
          </w:tcPr>
          <w:p>
            <w:pPr>
              <w:ind w:left="80"/>
              <w:spacing w:after="0"/>
              <w:rPr>
                <w:sz w:val="20"/>
                <w:szCs w:val="20"/>
                <w:color w:val="auto"/>
              </w:rPr>
            </w:pPr>
            <w:r>
              <w:rPr>
                <w:rFonts w:ascii="Arial" w:cs="Arial" w:eastAsia="Arial" w:hAnsi="Arial"/>
                <w:sz w:val="18"/>
                <w:szCs w:val="18"/>
                <w:color w:val="auto"/>
              </w:rPr>
              <w:t>(Gains)/losses from derivative activities</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560" w:type="dxa"/>
            <w:vAlign w:val="bottom"/>
            <w:gridSpan w:val="3"/>
            <w:shd w:val="clear" w:color="auto" w:fill="CCEEFF"/>
          </w:tcPr>
          <w:p>
            <w:pPr>
              <w:ind w:left="80"/>
              <w:spacing w:after="0" w:line="176" w:lineRule="exact"/>
              <w:rPr>
                <w:sz w:val="20"/>
                <w:szCs w:val="20"/>
                <w:color w:val="auto"/>
              </w:rPr>
            </w:pPr>
            <w:r>
              <w:rPr>
                <w:rFonts w:ascii="Arial" w:cs="Arial" w:eastAsia="Arial" w:hAnsi="Arial"/>
                <w:sz w:val="18"/>
                <w:szCs w:val="18"/>
                <w:color w:val="auto"/>
              </w:rPr>
              <w:t>Deficiencies under minimum volume</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tcBorders>
              <w:right w:val="single" w:sz="8" w:color="auto"/>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5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commitments, net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CCEEFF"/>
            </w:tcBorders>
          </w:tcPr>
          <w:p>
            <w:pPr>
              <w:spacing w:after="0"/>
              <w:rPr>
                <w:sz w:val="23"/>
                <w:szCs w:val="23"/>
                <w:color w:val="auto"/>
              </w:rPr>
            </w:pPr>
          </w:p>
        </w:tc>
        <w:tc>
          <w:tcPr>
            <w:tcW w:w="3560" w:type="dxa"/>
            <w:vAlign w:val="bottom"/>
            <w:tcBorders>
              <w:bottom w:val="single" w:sz="8" w:color="CCEEFF"/>
            </w:tcBorders>
            <w:gridSpan w:val="3"/>
          </w:tcPr>
          <w:p>
            <w:pPr>
              <w:ind w:left="8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right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9"/>
        </w:trPr>
        <w:tc>
          <w:tcPr>
            <w:tcW w:w="3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705</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620" w:type="dxa"/>
            <w:vAlign w:val="bottom"/>
            <w:gridSpan w:val="4"/>
          </w:tcPr>
          <w:p>
            <w:pPr>
              <w:ind w:left="20"/>
              <w:spacing w:after="0"/>
              <w:rPr>
                <w:sz w:val="20"/>
                <w:szCs w:val="20"/>
                <w:color w:val="auto"/>
              </w:rPr>
            </w:pPr>
            <w:r>
              <w:rPr>
                <w:rFonts w:ascii="Arial" w:cs="Arial" w:eastAsia="Arial" w:hAnsi="Arial"/>
                <w:sz w:val="18"/>
                <w:szCs w:val="18"/>
                <w:color w:val="auto"/>
              </w:rPr>
              <w:t>Maintenance capital</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6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0.47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Variance</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10"/>
          </w:tcPr>
          <w:p>
            <w:pPr>
              <w:jc w:val="center"/>
              <w:ind w:left="434"/>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5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9"/>
                <w:szCs w:val="9"/>
                <w:b w:val="1"/>
                <w:bCs w:val="1"/>
                <w:color w:val="auto"/>
              </w:rPr>
              <w:t>(4)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Volumes</w:t>
            </w:r>
          </w:p>
        </w:tc>
        <w:tc>
          <w:tcPr>
            <w:tcW w:w="4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5"/>
              </w:rPr>
              <w:t>Volumes</w:t>
            </w:r>
          </w:p>
        </w:tc>
        <w:tc>
          <w:tcPr>
            <w:tcW w:w="68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348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Liquids storage (average monthly capacity in</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vMerge w:val="restart"/>
            <w:shd w:val="clear" w:color="auto" w:fill="CCEEFF"/>
          </w:tcPr>
          <w:p>
            <w:pPr>
              <w:ind w:left="360"/>
              <w:spacing w:after="0"/>
              <w:rPr>
                <w:sz w:val="20"/>
                <w:szCs w:val="20"/>
                <w:color w:val="auto"/>
              </w:rPr>
            </w:pPr>
            <w:r>
              <w:rPr>
                <w:rFonts w:ascii="Arial" w:cs="Arial" w:eastAsia="Arial" w:hAnsi="Arial"/>
                <w:sz w:val="18"/>
                <w:szCs w:val="18"/>
                <w:color w:val="auto"/>
              </w:rPr>
              <w:t>109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56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millions of barrels) </w:t>
            </w:r>
            <w:r>
              <w:rPr>
                <w:rFonts w:ascii="Arial" w:cs="Arial" w:eastAsia="Arial" w:hAnsi="Arial"/>
                <w:sz w:val="23"/>
                <w:szCs w:val="23"/>
                <w:color w:val="auto"/>
                <w:vertAlign w:val="superscript"/>
              </w:rPr>
              <w:t>(5)</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w w:val="95"/>
              </w:rPr>
              <w:t>Natural gas storage (average monthly working</w:t>
            </w: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35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restart"/>
          </w:tcPr>
          <w:p>
            <w:pPr>
              <w:jc w:val="right"/>
              <w:ind w:right="52"/>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82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1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560" w:type="dxa"/>
            <w:vAlign w:val="bottom"/>
            <w:gridSpan w:val="3"/>
          </w:tcPr>
          <w:p>
            <w:pPr>
              <w:ind w:left="20"/>
              <w:spacing w:after="0"/>
              <w:rPr>
                <w:sz w:val="20"/>
                <w:szCs w:val="20"/>
                <w:color w:val="auto"/>
              </w:rPr>
            </w:pPr>
            <w:r>
              <w:rPr>
                <w:rFonts w:ascii="Arial" w:cs="Arial" w:eastAsia="Arial" w:hAnsi="Arial"/>
                <w:sz w:val="18"/>
                <w:szCs w:val="18"/>
                <w:color w:val="auto"/>
              </w:rPr>
              <w:t>capacity in billions of cubic feet)</w:t>
            </w: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35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NGL fractionation (average volumes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126</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 thousands of barrels per day)</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560" w:type="dxa"/>
            <w:vAlign w:val="bottom"/>
            <w:tcBorders>
              <w:top w:val="single" w:sz="8" w:color="CCEEFF"/>
              <w:bottom w:val="single" w:sz="8" w:color="CCEEFF"/>
            </w:tcBorders>
            <w:gridSpan w:val="3"/>
            <w:vMerge w:val="restart"/>
          </w:tcPr>
          <w:p>
            <w:pPr>
              <w:ind w:left="20"/>
              <w:spacing w:after="0" w:line="163" w:lineRule="exact"/>
              <w:rPr>
                <w:sz w:val="20"/>
                <w:szCs w:val="20"/>
                <w:color w:val="auto"/>
              </w:rPr>
            </w:pPr>
            <w:r>
              <w:rPr>
                <w:rFonts w:ascii="Arial" w:cs="Arial" w:eastAsia="Arial" w:hAnsi="Arial"/>
                <w:sz w:val="18"/>
                <w:szCs w:val="18"/>
                <w:color w:val="auto"/>
              </w:rPr>
              <w:t>Facilities segment total volumes (average</w:t>
            </w: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0" w:type="dxa"/>
            <w:vAlign w:val="bottom"/>
          </w:tcPr>
          <w:p>
            <w:pPr>
              <w:spacing w:after="0"/>
              <w:rPr>
                <w:sz w:val="10"/>
                <w:szCs w:val="10"/>
                <w:color w:val="auto"/>
              </w:rPr>
            </w:pPr>
          </w:p>
        </w:tc>
        <w:tc>
          <w:tcPr>
            <w:tcW w:w="35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ind w:left="36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restart"/>
          </w:tcPr>
          <w:p>
            <w:pPr>
              <w:jc w:val="right"/>
              <w:ind w:right="72"/>
              <w:spacing w:after="0"/>
              <w:rPr>
                <w:sz w:val="20"/>
                <w:szCs w:val="20"/>
                <w:color w:val="auto"/>
              </w:rPr>
            </w:pPr>
            <w:r>
              <w:rPr>
                <w:rFonts w:ascii="Arial" w:cs="Arial" w:eastAsia="Arial" w:hAnsi="Arial"/>
                <w:sz w:val="18"/>
                <w:szCs w:val="18"/>
                <w:color w:val="auto"/>
              </w:rPr>
              <w:t>130</w:t>
            </w: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74"/>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5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xml:space="preserve">monthly volumes in millions of barrels) </w:t>
            </w:r>
            <w:r>
              <w:rPr>
                <w:rFonts w:ascii="Arial" w:cs="Arial" w:eastAsia="Arial" w:hAnsi="Arial"/>
                <w:sz w:val="23"/>
                <w:szCs w:val="23"/>
                <w:color w:val="auto"/>
                <w:vertAlign w:val="superscript"/>
              </w:rPr>
              <w:t>(6)</w:t>
            </w: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ectPr>
          <w:pgSz w:w="11900" w:h="16838" w:orient="portrait"/>
          <w:cols w:equalWidth="0" w:num="1">
            <w:col w:w="11360"/>
          </w:cols>
          <w:pgMar w:left="240" w:top="125" w:right="29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35"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6" w:lineRule="exact"/>
        <w:rPr>
          <w:sz w:val="20"/>
          <w:szCs w:val="20"/>
          <w:color w:val="auto"/>
        </w:rPr>
      </w:pPr>
    </w:p>
    <w:p>
      <w:pPr>
        <w:ind w:left="20" w:right="580" w:hanging="11"/>
        <w:spacing w:after="0" w:line="277" w:lineRule="auto"/>
        <w:rPr>
          <w:sz w:val="20"/>
          <w:szCs w:val="20"/>
          <w:color w:val="auto"/>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Average monthly volumes are calculated as total volumes for the year divided by the number of months in the year.</w:t>
      </w:r>
    </w:p>
    <w:p>
      <w:pPr>
        <w:spacing w:after="0" w:line="200"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Includes volumes (attributable to our interest) from facilities owned by unconsolidated entities.</w:t>
      </w:r>
    </w:p>
    <w:p>
      <w:pPr>
        <w:spacing w:after="0" w:line="117" w:lineRule="exact"/>
        <w:rPr>
          <w:sz w:val="20"/>
          <w:szCs w:val="20"/>
          <w:color w:val="auto"/>
        </w:rPr>
      </w:pPr>
    </w:p>
    <w:p>
      <w:pPr>
        <w:jc w:val="both"/>
        <w:ind w:left="20" w:right="360" w:hanging="11"/>
        <w:spacing w:after="0" w:line="286" w:lineRule="auto"/>
        <w:rPr>
          <w:sz w:val="20"/>
          <w:szCs w:val="20"/>
          <w:color w:val="auto"/>
        </w:rPr>
      </w:pPr>
      <w:r>
        <w:rPr>
          <w:rFonts w:ascii="Arial" w:cs="Arial" w:eastAsia="Arial" w:hAnsi="Arial"/>
          <w:sz w:val="17"/>
          <w:szCs w:val="17"/>
          <w:color w:val="auto"/>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year and divided by the number of months in the year.</w:t>
      </w:r>
    </w:p>
    <w:p>
      <w:pPr>
        <w:spacing w:after="0" w:line="193"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ind w:right="280" w:firstLine="648"/>
        <w:spacing w:after="0" w:line="286" w:lineRule="auto"/>
        <w:rPr>
          <w:sz w:val="20"/>
          <w:szCs w:val="20"/>
          <w:color w:val="auto"/>
        </w:rPr>
      </w:pPr>
      <w:r>
        <w:rPr>
          <w:rFonts w:ascii="Arial" w:cs="Arial" w:eastAsia="Arial" w:hAnsi="Arial"/>
          <w:sz w:val="17"/>
          <w:szCs w:val="17"/>
          <w:color w:val="auto"/>
        </w:rPr>
        <w:t>The following is a discussion of items impacting Facilities segment operating results for the year ended December 31, 2019 compared to the year ended December 31, 2018. For a discussion of the 2018-2017 comparative period, see Item 7. “Management’s Discussion and Analysis of Financial Condition and Results of Operations—Results of Operations—Facilities Segment” included in our 2018 Annual Report on Form 10-K.</w:t>
      </w:r>
    </w:p>
    <w:p>
      <w:pPr>
        <w:spacing w:after="0" w:line="193"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Revenues, Purchases and Related Costs and Volumes. </w:t>
      </w:r>
      <w:r>
        <w:rPr>
          <w:rFonts w:ascii="Arial" w:cs="Arial" w:eastAsia="Arial" w:hAnsi="Arial"/>
          <w:sz w:val="18"/>
          <w:szCs w:val="18"/>
          <w:color w:val="auto"/>
        </w:rPr>
        <w:t>Variances in revenues, purchases and related costs, and average monthly volumes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w:t>
      </w:r>
    </w:p>
    <w:p>
      <w:pPr>
        <w:spacing w:after="0" w:line="197" w:lineRule="exact"/>
        <w:rPr>
          <w:sz w:val="20"/>
          <w:szCs w:val="20"/>
          <w:color w:val="auto"/>
        </w:rPr>
      </w:pPr>
    </w:p>
    <w:p>
      <w:pPr>
        <w:ind w:left="660" w:right="20" w:hanging="328"/>
        <w:spacing w:after="0" w:line="264"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Crude Oil Storage. </w:t>
      </w:r>
      <w:r>
        <w:rPr>
          <w:rFonts w:ascii="Arial" w:cs="Arial" w:eastAsia="Arial" w:hAnsi="Arial"/>
          <w:sz w:val="18"/>
          <w:szCs w:val="18"/>
          <w:color w:val="auto"/>
        </w:rPr>
        <w:t>Revenues increased by $11 million for the year ended December 31, 2019 compared to the year ended December 31, 2018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activity at certain of our terminals and the addition of 1 million barrels of storage capacity at our Midland terminal placed into service during 2019.</w:t>
      </w:r>
    </w:p>
    <w:p>
      <w:pPr>
        <w:spacing w:after="0" w:line="208"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Natural Gas Storage. </w:t>
      </w:r>
      <w:r>
        <w:rPr>
          <w:rFonts w:ascii="Arial" w:cs="Arial" w:eastAsia="Arial" w:hAnsi="Arial"/>
          <w:sz w:val="16"/>
          <w:szCs w:val="16"/>
          <w:color w:val="auto"/>
        </w:rPr>
        <w:t>Revenues, net of purchases and related costs, increased by $9 million for the year ended December 31, 2019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2018, primarily due to expiring contracts replaced by contracts with higher rates and increased hub activity.</w:t>
      </w:r>
    </w:p>
    <w:p>
      <w:pPr>
        <w:spacing w:after="0" w:line="150" w:lineRule="exact"/>
        <w:rPr>
          <w:rFonts w:ascii="Arial" w:cs="Arial" w:eastAsia="Arial" w:hAnsi="Arial"/>
          <w:sz w:val="16"/>
          <w:szCs w:val="16"/>
          <w:color w:val="auto"/>
        </w:rPr>
      </w:pPr>
    </w:p>
    <w:p>
      <w:pPr>
        <w:ind w:left="660" w:right="240" w:hanging="328"/>
        <w:spacing w:after="0" w:line="264"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NGL Operations. </w:t>
      </w:r>
      <w:r>
        <w:rPr>
          <w:rFonts w:ascii="Arial" w:cs="Arial" w:eastAsia="Arial" w:hAnsi="Arial"/>
          <w:sz w:val="18"/>
          <w:szCs w:val="18"/>
          <w:color w:val="auto"/>
        </w:rPr>
        <w:t>Revenues decreased by $7 million for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net unfavorable foreign exchange impact of $10 million and the sale of a natural gas processing facility in the second quarter of 2018, partially offset by higher fees at certain of our facilities.</w:t>
      </w:r>
    </w:p>
    <w:p>
      <w:pPr>
        <w:spacing w:after="0" w:line="208"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Rail Terminals. </w:t>
      </w:r>
      <w:r>
        <w:rPr>
          <w:rFonts w:ascii="Arial" w:cs="Arial" w:eastAsia="Arial" w:hAnsi="Arial"/>
          <w:sz w:val="18"/>
          <w:szCs w:val="18"/>
          <w:color w:val="auto"/>
        </w:rPr>
        <w:t>Revenues were relatively flat for the year ended December 31, 2019 compared to the year ended December 31, 2018. Revenues were</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favorably impacted by increased activity at certain of our terminals, as well as agreements that were entered into related to usage of our railcars. These favorable impacts were substantially offset by the recognition of previously deferred revenue associated with deficiencies under minimum volume commitments in the 2018 period.</w:t>
      </w:r>
    </w:p>
    <w:p>
      <w:pPr>
        <w:spacing w:after="0" w:line="21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were relatively flat for the year ended December 31, 2019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2018, as increases in property taxes, maintenance and integrity management costs, as well as higher costs at our rail terminals due to increased activity, were offset by a decrease in power-related costs associated with mark-to-market gains (which impact our field operating costs but are excluded from Segment Adjusted EBITDA and thus are reflected as an “Adjustment” in the table above).</w:t>
      </w:r>
    </w:p>
    <w:p>
      <w:pPr>
        <w:spacing w:after="0" w:line="214"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year ended December 31, 2019 compared to the year ended December 31, 2018, maintenance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primarily due to the impact of lower turnaround costs at certain of our NGL facilities, partially offset by increased spending at our gas storage facilities.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56"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(iii) the effects of competition on our lease gathering and NGL margins. In addition, the execution of our risk management strategies in conjunction with our assets can provide upside in certain markets.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Supply and Logistics segment:</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Variance</w:t>
            </w: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5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9"/>
                <w:szCs w:val="9"/>
                <w:b w:val="1"/>
                <w:bCs w:val="1"/>
                <w:color w:val="auto"/>
              </w:rPr>
              <w:t>(1)</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7"/>
          </w:tcPr>
          <w:p>
            <w:pPr>
              <w:jc w:val="center"/>
              <w:ind w:left="474"/>
              <w:spacing w:after="0"/>
              <w:rPr>
                <w:sz w:val="20"/>
                <w:szCs w:val="20"/>
                <w:color w:val="auto"/>
              </w:rPr>
            </w:pPr>
            <w:r>
              <w:rPr>
                <w:rFonts w:ascii="Arial" w:cs="Arial" w:eastAsia="Arial" w:hAnsi="Arial"/>
                <w:sz w:val="14"/>
                <w:szCs w:val="14"/>
                <w:b w:val="1"/>
                <w:bCs w:val="1"/>
                <w:color w:val="auto"/>
                <w:w w:val="91"/>
              </w:rPr>
              <w:t>Year Ended December 31,</w:t>
            </w: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barrel data)</w:t>
            </w:r>
          </w:p>
        </w:tc>
        <w:tc>
          <w:tcPr>
            <w:tcW w:w="100" w:type="dxa"/>
            <w:vAlign w:val="bottom"/>
            <w:tcBorders>
              <w:bottom w:val="single" w:sz="8" w:color="CCEEFF"/>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25,065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7,757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60" w:type="dxa"/>
            <w:vAlign w:val="bottom"/>
            <w:gridSpan w:val="3"/>
          </w:tcPr>
          <w:p>
            <w:pPr>
              <w:ind w:left="20"/>
              <w:spacing w:after="0"/>
              <w:rPr>
                <w:sz w:val="20"/>
                <w:szCs w:val="20"/>
                <w:color w:val="auto"/>
              </w:rPr>
            </w:pPr>
            <w:r>
              <w:rPr>
                <w:rFonts w:ascii="Arial" w:cs="Arial" w:eastAsia="Arial" w:hAnsi="Arial"/>
                <w:sz w:val="18"/>
                <w:szCs w:val="18"/>
                <w:color w:val="auto"/>
              </w:rPr>
              <w:t>Purchases and related costs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w w:val="98"/>
              </w:rPr>
              <w:t>(31,276)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(31,487)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2"/>
              </w:rPr>
              <w:t>(24,557)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183"/>
        </w:trPr>
        <w:tc>
          <w:tcPr>
            <w:tcW w:w="3560" w:type="dxa"/>
            <w:vAlign w:val="bottom"/>
            <w:gridSpan w:val="3"/>
          </w:tcPr>
          <w:p>
            <w:pPr>
              <w:ind w:left="20"/>
              <w:spacing w:after="0" w:line="183" w:lineRule="exact"/>
              <w:rPr>
                <w:sz w:val="20"/>
                <w:szCs w:val="20"/>
                <w:color w:val="auto"/>
              </w:rPr>
            </w:pPr>
            <w:r>
              <w:rPr>
                <w:rFonts w:ascii="Arial" w:cs="Arial" w:eastAsia="Arial" w:hAnsi="Arial"/>
                <w:sz w:val="18"/>
                <w:szCs w:val="18"/>
                <w:color w:val="auto"/>
                <w:w w:val="95"/>
              </w:rPr>
              <w:t>Segment general and administrative expenses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3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rPr>
              <w:t>(102)</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51"/>
        </w:trPr>
        <w:tc>
          <w:tcPr>
            <w:tcW w:w="3460" w:type="dxa"/>
            <w:vAlign w:val="bottom"/>
          </w:tcPr>
          <w:p>
            <w:pPr>
              <w:ind w:left="20"/>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3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(3)</w:t>
            </w: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8"/>
              </w:rPr>
              <w:t>(Gains)/losses from derivative activities net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of inventory valuation adjustments</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691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Long-term inventory costing adjustments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Net (gain)/loss on foreign currency</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gridSpan w:val="3"/>
          </w:tcPr>
          <w:p>
            <w:pPr>
              <w:ind w:left="180"/>
              <w:spacing w:after="0"/>
              <w:rPr>
                <w:sz w:val="20"/>
                <w:szCs w:val="20"/>
                <w:color w:val="auto"/>
              </w:rPr>
            </w:pPr>
            <w:r>
              <w:rPr>
                <w:rFonts w:ascii="Arial" w:cs="Arial" w:eastAsia="Arial" w:hAnsi="Arial"/>
                <w:sz w:val="18"/>
                <w:szCs w:val="18"/>
                <w:color w:val="auto"/>
              </w:rPr>
              <w:t>revaluation</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341</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402</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560" w:type="dxa"/>
            <w:vAlign w:val="bottom"/>
            <w:gridSpan w:val="3"/>
          </w:tcPr>
          <w:p>
            <w:pPr>
              <w:ind w:left="20"/>
              <w:spacing w:after="0"/>
              <w:rPr>
                <w:sz w:val="20"/>
                <w:szCs w:val="20"/>
                <w:color w:val="auto"/>
              </w:rPr>
            </w:pPr>
            <w:r>
              <w:rPr>
                <w:rFonts w:ascii="Arial" w:cs="Arial" w:eastAsia="Arial" w:hAnsi="Arial"/>
                <w:sz w:val="18"/>
                <w:szCs w:val="18"/>
                <w:color w:val="auto"/>
              </w:rPr>
              <w:t>Maintenance capital</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123 %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Segment Adjusted EBITDA per barrel</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0.64</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0.84</w:t>
            </w:r>
          </w:p>
        </w:tc>
        <w:tc>
          <w:tcPr>
            <w:tcW w:w="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56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Average Daily Volumes </w:t>
            </w:r>
            <w:r>
              <w:rPr>
                <w:rFonts w:ascii="Arial" w:cs="Arial" w:eastAsia="Arial" w:hAnsi="Arial"/>
                <w:sz w:val="9"/>
                <w:szCs w:val="9"/>
                <w:b w:val="1"/>
                <w:bCs w:val="1"/>
                <w:color w:val="auto"/>
              </w:rPr>
              <w:t>(4)</w:t>
            </w: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jc w:val="center"/>
              <w:ind w:left="494"/>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2019-2018</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2018-2017</w:t>
            </w: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of barrels per day)</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8"/>
              </w:rPr>
              <w:t>Volume</w:t>
            </w:r>
          </w:p>
        </w:tc>
        <w:tc>
          <w:tcPr>
            <w:tcW w:w="120" w:type="dxa"/>
            <w:vAlign w:val="bottom"/>
            <w:tcBorders>
              <w:bottom w:val="single" w:sz="8" w:color="CCEEFF"/>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0"/>
              </w:rPr>
              <w:t>Volume</w:t>
            </w:r>
          </w:p>
        </w:tc>
        <w:tc>
          <w:tcPr>
            <w:tcW w:w="120" w:type="dxa"/>
            <w:vAlign w:val="bottom"/>
            <w:tcBorders>
              <w:bottom w:val="single" w:sz="8" w:color="CCEEFF"/>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Crude oil lease gathering purchases</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560" w:type="dxa"/>
            <w:vAlign w:val="bottom"/>
            <w:gridSpan w:val="3"/>
          </w:tcPr>
          <w:p>
            <w:pPr>
              <w:ind w:left="20"/>
              <w:spacing w:after="0"/>
              <w:rPr>
                <w:sz w:val="20"/>
                <w:szCs w:val="20"/>
                <w:color w:val="auto"/>
              </w:rPr>
            </w:pPr>
            <w:r>
              <w:rPr>
                <w:rFonts w:ascii="Arial" w:cs="Arial" w:eastAsia="Arial" w:hAnsi="Arial"/>
                <w:sz w:val="18"/>
                <w:szCs w:val="18"/>
                <w:color w:val="auto"/>
              </w:rPr>
              <w:t>NGL sales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color w:val="auto"/>
              </w:rPr>
              <w:t>274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5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w w:val="95"/>
              </w:rPr>
              <w:t>Supply and Logistics segment total volumes</w:t>
            </w:r>
          </w:p>
        </w:tc>
        <w:tc>
          <w:tcPr>
            <w:tcW w:w="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 Indicates that variance as a percentage is not meaningful.</w:t>
      </w:r>
    </w:p>
    <w:p>
      <w:pPr>
        <w:sectPr>
          <w:pgSz w:w="11900" w:h="16838" w:orient="portrait"/>
          <w:cols w:equalWidth="0" w:num="1">
            <w:col w:w="11360"/>
          </w:cols>
          <w:pgMar w:left="240" w:top="125" w:right="29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Revenues and costs include intersegment amounts.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Segment general and administrative expenses reflect direct costs attributable to each segment and an allocation of other expenses to the</w:t>
      </w:r>
    </w:p>
    <w:p>
      <w:pPr>
        <w:spacing w:after="0" w:line="35"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segments. The proportional allocations by segment require judgment by management and are based on the business activities that exist during each period.</w:t>
      </w:r>
    </w:p>
    <w:p>
      <w:pPr>
        <w:spacing w:after="0" w:line="76" w:lineRule="exact"/>
        <w:rPr>
          <w:sz w:val="20"/>
          <w:szCs w:val="20"/>
          <w:color w:val="auto"/>
        </w:rPr>
      </w:pPr>
    </w:p>
    <w:p>
      <w:pPr>
        <w:sectPr>
          <w:pgSz w:w="11900" w:h="16838" w:orient="portrait"/>
          <w:cols w:equalWidth="0" w:num="2">
            <w:col w:w="140" w:space="500"/>
            <w:col w:w="10720"/>
          </w:cols>
          <w:pgMar w:left="240" w:top="125" w:right="299" w:bottom="1440" w:gutter="0" w:footer="0" w:header="0"/>
          <w:type w:val="continuous"/>
        </w:sectPr>
      </w:pPr>
    </w:p>
    <w:p>
      <w:pPr>
        <w:ind w:left="660" w:right="580" w:hanging="652"/>
        <w:spacing w:after="0" w:line="227" w:lineRule="auto"/>
        <w:tabs>
          <w:tab w:leader="none" w:pos="648"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Represents adjustments included in the performance measure utilized by our CODM in the evaluation of segment results. See Note 21 to our Consolidated Financial Statements for additional discussion of such adjustments.</w:t>
      </w:r>
    </w:p>
    <w:p>
      <w:pPr>
        <w:spacing w:after="0" w:line="60" w:lineRule="exact"/>
        <w:rPr>
          <w:rFonts w:ascii="Arial" w:cs="Arial" w:eastAsia="Arial" w:hAnsi="Arial"/>
          <w:sz w:val="23"/>
          <w:szCs w:val="23"/>
          <w:color w:val="auto"/>
          <w:vertAlign w:val="superscript"/>
        </w:rPr>
      </w:pPr>
    </w:p>
    <w:p>
      <w:pPr>
        <w:ind w:left="640" w:hanging="632"/>
        <w:spacing w:after="0"/>
        <w:tabs>
          <w:tab w:leader="none" w:pos="640" w:val="left"/>
        </w:tabs>
        <w:numPr>
          <w:ilvl w:val="0"/>
          <w:numId w:val="59"/>
        </w:numPr>
        <w:rPr>
          <w:rFonts w:ascii="Arial" w:cs="Arial" w:eastAsia="Arial" w:hAnsi="Arial"/>
          <w:sz w:val="23"/>
          <w:szCs w:val="23"/>
          <w:color w:val="auto"/>
          <w:vertAlign w:val="superscript"/>
        </w:rPr>
      </w:pPr>
      <w:r>
        <w:rPr>
          <w:rFonts w:ascii="Arial" w:cs="Arial" w:eastAsia="Arial" w:hAnsi="Arial"/>
          <w:sz w:val="18"/>
          <w:szCs w:val="18"/>
          <w:color w:val="auto"/>
        </w:rPr>
        <w:t>Average daily volumes are calculated as the total volumes for the period divided by the number of days in the period.</w:t>
      </w:r>
    </w:p>
    <w:p>
      <w:pPr>
        <w:spacing w:after="0" w:line="336"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The following table presents the range of the NYMEX West Texas Intermediate (“WTI”) benchmark price of crude oil (in dollars per barrel):</w:t>
      </w:r>
    </w:p>
    <w:p>
      <w:pPr>
        <w:sectPr>
          <w:pgSz w:w="11900" w:h="16838" w:orient="portrait"/>
          <w:cols w:equalWidth="0" w:num="1">
            <w:col w:w="11360"/>
          </w:cols>
          <w:pgMar w:left="240" w:top="12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NYMEX WTI</w:t>
            </w:r>
          </w:p>
        </w:tc>
        <w:tc>
          <w:tcPr>
            <w:tcW w:w="960" w:type="dxa"/>
            <w:vAlign w:val="bottom"/>
          </w:tcPr>
          <w:p>
            <w:pPr>
              <w:spacing w:after="0"/>
              <w:rPr>
                <w:sz w:val="14"/>
                <w:szCs w:val="14"/>
                <w:color w:val="auto"/>
              </w:rPr>
            </w:pPr>
          </w:p>
        </w:tc>
      </w:tr>
      <w:tr>
        <w:trPr>
          <w:trHeight w:val="192"/>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Crude Oil Price</w:t>
            </w:r>
          </w:p>
        </w:tc>
        <w:tc>
          <w:tcPr>
            <w:tcW w:w="960" w:type="dxa"/>
            <w:vAlign w:val="bottom"/>
            <w:tcBorders>
              <w:bottom w:val="single" w:sz="8" w:color="auto"/>
            </w:tcBorders>
          </w:tcPr>
          <w:p>
            <w:pPr>
              <w:spacing w:after="0"/>
              <w:rPr>
                <w:sz w:val="16"/>
                <w:szCs w:val="16"/>
                <w:color w:val="auto"/>
              </w:rPr>
            </w:pPr>
          </w:p>
        </w:tc>
      </w:tr>
      <w:tr>
        <w:trPr>
          <w:trHeight w:val="197"/>
        </w:trPr>
        <w:tc>
          <w:tcPr>
            <w:tcW w:w="8400" w:type="dxa"/>
            <w:vAlign w:val="bottom"/>
            <w:gridSpan w:val="2"/>
          </w:tcPr>
          <w:p>
            <w:pPr>
              <w:ind w:left="20"/>
              <w:spacing w:after="0"/>
              <w:rPr>
                <w:sz w:val="20"/>
                <w:szCs w:val="20"/>
                <w:color w:val="auto"/>
              </w:rPr>
            </w:pPr>
            <w:r>
              <w:rPr>
                <w:rFonts w:ascii="Arial" w:cs="Arial" w:eastAsia="Arial" w:hAnsi="Arial"/>
                <w:sz w:val="14"/>
                <w:szCs w:val="14"/>
                <w:b w:val="1"/>
                <w:bCs w:val="1"/>
                <w:color w:val="auto"/>
              </w:rPr>
              <w:t>During the Year Ended December 31,</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High</w:t>
            </w:r>
          </w:p>
        </w:tc>
      </w:tr>
      <w:tr>
        <w:trPr>
          <w:trHeight w:val="250"/>
        </w:trPr>
        <w:tc>
          <w:tcPr>
            <w:tcW w:w="8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w:t>
            </w:r>
          </w:p>
        </w:tc>
      </w:tr>
      <w:tr>
        <w:trPr>
          <w:trHeight w:val="243"/>
        </w:trPr>
        <w:tc>
          <w:tcPr>
            <w:tcW w:w="828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920" w:type="dxa"/>
            <w:vAlign w:val="bottom"/>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76</w:t>
            </w:r>
          </w:p>
        </w:tc>
      </w:tr>
      <w:tr>
        <w:trPr>
          <w:trHeight w:val="27"/>
        </w:trPr>
        <w:tc>
          <w:tcPr>
            <w:tcW w:w="8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60</w:t>
            </w:r>
          </w:p>
        </w:tc>
      </w:tr>
      <w:tr>
        <w:trPr>
          <w:trHeight w:val="27"/>
        </w:trPr>
        <w:tc>
          <w:tcPr>
            <w:tcW w:w="8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are impacted by net gains and losses from certain derivative activities during the periods.</w:t>
      </w:r>
    </w:p>
    <w:p>
      <w:pPr>
        <w:spacing w:after="0" w:line="198" w:lineRule="exact"/>
        <w:rPr>
          <w:sz w:val="20"/>
          <w:szCs w:val="20"/>
          <w:color w:val="auto"/>
        </w:rPr>
      </w:pPr>
    </w:p>
    <w:p>
      <w:pPr>
        <w:ind w:right="840" w:firstLine="648"/>
        <w:spacing w:after="0" w:line="264" w:lineRule="auto"/>
        <w:rPr>
          <w:sz w:val="20"/>
          <w:szCs w:val="20"/>
          <w:color w:val="auto"/>
        </w:rPr>
      </w:pPr>
      <w:r>
        <w:rPr>
          <w:rFonts w:ascii="Arial" w:cs="Arial" w:eastAsia="Arial" w:hAnsi="Arial"/>
          <w:sz w:val="18"/>
          <w:szCs w:val="18"/>
          <w:color w:val="auto"/>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During 2018 and 2019, crude oil production growth and limited pipeline take-away capacity caused pipelines in many basins to operate at high levels of utilization. Specifically, regional production increases created concerns regarding pipeline take-away capacity, particularly in the Permian Basin and Western Canada, which in turn caused crude oil location differentials in these areas to widen relative to historical norms. This environment created opportunities for our Supply and Logistics segment to generate additional margin. Looking forward, we do not expect these opportunities for higher margins to continue for the foreseeable future.</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Segment Adjusted EBITDA and Volumes. </w:t>
      </w:r>
      <w:r>
        <w:rPr>
          <w:rFonts w:ascii="Arial" w:cs="Arial" w:eastAsia="Arial" w:hAnsi="Arial"/>
          <w:sz w:val="18"/>
          <w:szCs w:val="18"/>
          <w:color w:val="auto"/>
        </w:rPr>
        <w:t>The following summarizes the significant items impacting our Supply and Logistics Segment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EBITDA for the year ended December 31, 2019 compared to the year ended December 31, 2018. For a discussion of the 2018-2017 comparative period, see Item 7. “Management’s Discussion and Analysis of Financial Condition and Results of Operations—Results of Operations—Supply and Logistics Segment” included in our 2018 Annual Report on Form 10-K.</w:t>
      </w:r>
    </w:p>
    <w:p>
      <w:pPr>
        <w:spacing w:after="0" w:line="214" w:lineRule="exact"/>
        <w:rPr>
          <w:sz w:val="20"/>
          <w:szCs w:val="20"/>
          <w:color w:val="auto"/>
        </w:rPr>
      </w:pPr>
    </w:p>
    <w:p>
      <w:pPr>
        <w:ind w:left="660" w:right="20" w:hanging="328"/>
        <w:spacing w:after="0" w:line="264"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Crude Oil Operations. </w:t>
      </w:r>
      <w:r>
        <w:rPr>
          <w:rFonts w:ascii="Arial" w:cs="Arial" w:eastAsia="Arial" w:hAnsi="Arial"/>
          <w:sz w:val="18"/>
          <w:szCs w:val="18"/>
          <w:color w:val="auto"/>
        </w:rPr>
        <w:t>Revenues, net of purchases and related costs, (“net revenues”) from our crude oil supply and logistics operations increased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compared to the year ended December 31, 2018 largely due to the realization of more favorable differentials, primarily in the Permian Basin and Canada.</w:t>
      </w:r>
    </w:p>
    <w:p>
      <w:pPr>
        <w:spacing w:after="0" w:line="208" w:lineRule="exact"/>
        <w:rPr>
          <w:rFonts w:ascii="Arial" w:cs="Arial" w:eastAsia="Arial" w:hAnsi="Arial"/>
          <w:sz w:val="18"/>
          <w:szCs w:val="18"/>
          <w:color w:val="auto"/>
        </w:rPr>
      </w:pPr>
    </w:p>
    <w:p>
      <w:pPr>
        <w:jc w:val="both"/>
        <w:ind w:left="660" w:right="400" w:hanging="328"/>
        <w:spacing w:after="0" w:line="286"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NGL Operations. </w:t>
      </w:r>
      <w:r>
        <w:rPr>
          <w:rFonts w:ascii="Arial" w:cs="Arial" w:eastAsia="Arial" w:hAnsi="Arial"/>
          <w:sz w:val="17"/>
          <w:szCs w:val="17"/>
          <w:color w:val="auto"/>
        </w:rPr>
        <w:t>Net revenues from our NGL operations increased for the year ended December 31, 2019 compared to the same period in 2018</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the streamlining of our NGL activities by focusing on our equity supply from our gathering and processing facilities, favorable regional differentials and the favorable impact of certain non-recurring items recorded in the second quarter of 2019.</w:t>
      </w:r>
    </w:p>
    <w:p>
      <w:pPr>
        <w:spacing w:after="0" w:line="192" w:lineRule="exact"/>
        <w:rPr>
          <w:rFonts w:ascii="Arial" w:cs="Arial" w:eastAsia="Arial" w:hAnsi="Arial"/>
          <w:sz w:val="17"/>
          <w:szCs w:val="17"/>
          <w:color w:val="auto"/>
        </w:rPr>
      </w:pPr>
    </w:p>
    <w:p>
      <w:pPr>
        <w:ind w:left="660" w:right="20" w:hanging="328"/>
        <w:spacing w:after="0" w:line="273" w:lineRule="auto"/>
        <w:tabs>
          <w:tab w:leader="none" w:pos="655"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Impact from Certain Derivative Activities, Net of Inventory Valuation Adjustments. </w:t>
      </w:r>
      <w:r>
        <w:rPr>
          <w:rFonts w:ascii="Arial" w:cs="Arial" w:eastAsia="Arial" w:hAnsi="Arial"/>
          <w:sz w:val="17"/>
          <w:szCs w:val="17"/>
          <w:color w:val="auto"/>
        </w:rPr>
        <w:t>The impact from certain derivative activities on our net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Note 13 to our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p>
      <w:pPr>
        <w:spacing w:after="0" w:line="205" w:lineRule="exact"/>
        <w:rPr>
          <w:rFonts w:ascii="Arial" w:cs="Arial" w:eastAsia="Arial" w:hAnsi="Arial"/>
          <w:sz w:val="17"/>
          <w:szCs w:val="17"/>
          <w:color w:val="auto"/>
        </w:rPr>
      </w:pPr>
    </w:p>
    <w:p>
      <w:pPr>
        <w:ind w:left="660" w:right="40" w:hanging="328"/>
        <w:spacing w:after="0" w:line="297"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Long-Term Inventory Costing Adjustments. </w:t>
      </w:r>
      <w:r>
        <w:rPr>
          <w:rFonts w:ascii="Arial" w:cs="Arial" w:eastAsia="Arial" w:hAnsi="Arial"/>
          <w:sz w:val="16"/>
          <w:szCs w:val="16"/>
          <w:color w:val="auto"/>
        </w:rPr>
        <w:t>Our net revenues are impacted by changes in the weighted average cost of our crude oil and NGL</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300" w:hanging="328"/>
        <w:spacing w:after="0" w:line="286" w:lineRule="auto"/>
        <w:tabs>
          <w:tab w:leader="none" w:pos="655" w:val="left"/>
        </w:tabs>
        <w:numPr>
          <w:ilvl w:val="0"/>
          <w:numId w:val="61"/>
        </w:numPr>
        <w:rPr>
          <w:rFonts w:ascii="Arial" w:cs="Arial" w:eastAsia="Arial" w:hAnsi="Arial"/>
          <w:sz w:val="17"/>
          <w:szCs w:val="17"/>
          <w:color w:val="auto"/>
        </w:rPr>
      </w:pPr>
      <w:r>
        <w:rPr>
          <w:rFonts w:ascii="Arial" w:cs="Arial" w:eastAsia="Arial" w:hAnsi="Arial"/>
          <w:sz w:val="17"/>
          <w:szCs w:val="17"/>
          <w:i w:val="1"/>
          <w:iCs w:val="1"/>
          <w:color w:val="auto"/>
        </w:rPr>
        <w:t xml:space="preserve">Foreign Exchange Impacts. </w:t>
      </w:r>
      <w:r>
        <w:rPr>
          <w:rFonts w:ascii="Arial" w:cs="Arial" w:eastAsia="Arial" w:hAnsi="Arial"/>
          <w:sz w:val="17"/>
          <w:szCs w:val="17"/>
          <w:color w:val="auto"/>
        </w:rPr>
        <w:t>Our net revenues are impacted by fluctuations in the value of CAD to USD, resulting in foreign exchange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U.S. denominated net assets within our Canadian operations. These non-cash gains and losses impact our net revenues but are excluded from Segment Adjusted EBITDA and thus are reflected as an “Adjustment” in the table above.</w:t>
      </w:r>
    </w:p>
    <w:p>
      <w:pPr>
        <w:spacing w:after="0" w:line="192" w:lineRule="exact"/>
        <w:rPr>
          <w:rFonts w:ascii="Arial" w:cs="Arial" w:eastAsia="Arial" w:hAnsi="Arial"/>
          <w:sz w:val="17"/>
          <w:szCs w:val="17"/>
          <w:color w:val="auto"/>
        </w:rPr>
      </w:pPr>
    </w:p>
    <w:p>
      <w:pPr>
        <w:ind w:left="660" w:right="100" w:hanging="328"/>
        <w:spacing w:after="0" w:line="259" w:lineRule="auto"/>
        <w:tabs>
          <w:tab w:leader="none" w:pos="655"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The decrease in field operating costs for the year ended December 31, 2019 compared to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a decrease in lease expense for our crude oil transportation trucks and trailers related to the adoption of the new lease accounting standard and a decrease in trucking costs due to lower company-hauled volumes, partially offset by higher third-party hauled volumes in certain regions.</w:t>
      </w:r>
    </w:p>
    <w:p>
      <w:pPr>
        <w:spacing w:after="0" w:line="213" w:lineRule="exact"/>
        <w:rPr>
          <w:rFonts w:ascii="Arial" w:cs="Arial" w:eastAsia="Arial" w:hAnsi="Arial"/>
          <w:sz w:val="18"/>
          <w:szCs w:val="18"/>
          <w:i w:val="1"/>
          <w:iCs w:val="1"/>
          <w:color w:val="auto"/>
        </w:rPr>
      </w:pPr>
    </w:p>
    <w:p>
      <w:pPr>
        <w:ind w:left="660" w:right="80" w:hanging="328"/>
        <w:spacing w:after="0" w:line="241"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Segment General and Administrative Expenses. </w:t>
      </w:r>
      <w:r>
        <w:rPr>
          <w:rFonts w:ascii="Arial" w:cs="Arial" w:eastAsia="Arial" w:hAnsi="Arial"/>
          <w:sz w:val="18"/>
          <w:szCs w:val="18"/>
          <w:color w:val="auto"/>
        </w:rPr>
        <w:t>The decrease in segment general and administrative expenses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2018 was primarily due to a decrease in equity-indexed compensation expense due to fewer awards outstanding in 2019. A portion of equity-indexed compensation expense was associated with awards that will or may be settled in PAA common units (which impact our general and administrative expenses but are excluded from Segment Adjusted EBITDA and thus are reflected as an “Adjustment” in the table above).</w:t>
      </w:r>
    </w:p>
    <w:p>
      <w:pPr>
        <w:spacing w:after="0" w:line="217" w:lineRule="exact"/>
        <w:rPr>
          <w:sz w:val="20"/>
          <w:szCs w:val="20"/>
          <w:color w:val="auto"/>
        </w:rPr>
      </w:pPr>
    </w:p>
    <w:p>
      <w:pPr>
        <w:ind w:right="640" w:firstLine="648"/>
        <w:spacing w:after="0" w:line="264"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For the year ended December 31, 2019 compared to the year ended December 31, 2018, maintenance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primarily due to lease costs for our crude oil transportation trucks and trailers that are capitalized following the adoption of the new lease accounting standard.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52"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following summarizes the significant items impacting Other Income and Expenses for the year ended December 31, 2019 compared to the year ended December 31, 2018. For a discussion of the 2018-2017 comparative period, see Item 7. “Management’s Discussion and Analysis of Financial Condition and Results of Operations—Results of Operations—Other Income and Expenses” included in our 2018 Annual Report on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Depreciation and amortization expense increased for the year ended December 31, 2019 compared to the same period in 2018 largely driven by (i) additional depreciation expense associated with the completion of various capital expansion projects and (ii) an adjustment to the useful lives of certain assets.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Gains/Losses on Asset Sales and Asset Impairments, Net</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net loss on asset sales and asset impairments for the year ended December 31, 2019 was largely driven by a loss on the sale of a storage terminal in North Dakota. The net gain for the year ended December 31, 2018 was largely driven by a gain on the sale of certain pipelines in the Rocky Mountain region, partially offset by a loss on the sale of a non-core asset under construction.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Gain on Investment in Unconsolidated Entities</w:t>
      </w:r>
    </w:p>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During the year ended December 31, 2019, we recognized a non-cash gain of $269 million related to a fair value adjustment resulting from the accounting for the contribution of our undivided joint interest in the Capline pipeline system for an equity interest in Capline Pipeline Company LLC. During the year ended December 31, 2018, we recognized a gain of $200 million related to our sale of a 30% interest in BridgeTex Pipeline Company, LLC. See Note 9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is primarily impacted by:</w:t>
      </w:r>
    </w:p>
    <w:p>
      <w:pPr>
        <w:spacing w:after="0" w:line="360"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weighted average debt balances;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level and maturity of fixed rate debt and interest rates associated therewith;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interest rates and our interest rate hedging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interest capitalized on capital projects.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the interest expense variance (in millions, except percentages):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r>
      <w:tr>
        <w:trPr>
          <w:trHeight w:val="188"/>
        </w:trPr>
        <w:tc>
          <w:tcPr>
            <w:tcW w:w="75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LIBOR</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 xml:space="preserve">Interest Rate </w:t>
            </w:r>
            <w:r>
              <w:rPr>
                <w:rFonts w:ascii="Arial" w:cs="Arial" w:eastAsia="Arial" w:hAnsi="Arial"/>
                <w:sz w:val="9"/>
                <w:szCs w:val="9"/>
                <w:b w:val="1"/>
                <w:bCs w:val="1"/>
                <w:color w:val="auto"/>
              </w:rPr>
              <w:t>(1)</w:t>
            </w:r>
          </w:p>
        </w:tc>
        <w:tc>
          <w:tcPr>
            <w:tcW w:w="200" w:type="dxa"/>
            <w:vAlign w:val="bottom"/>
            <w:tcBorders>
              <w:bottom w:val="single" w:sz="8" w:color="auto"/>
            </w:tcBorders>
          </w:tcPr>
          <w:p>
            <w:pPr>
              <w:spacing w:after="0"/>
              <w:rPr>
                <w:sz w:val="16"/>
                <w:szCs w:val="16"/>
                <w:color w:val="auto"/>
              </w:rPr>
            </w:pPr>
          </w:p>
        </w:tc>
      </w:tr>
      <w:tr>
        <w:trPr>
          <w:trHeight w:val="27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for the year ended December 31, 2017</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510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r>
        <w:trPr>
          <w:trHeight w:val="217"/>
        </w:trPr>
        <w:tc>
          <w:tcPr>
            <w:tcW w:w="7560" w:type="dxa"/>
            <w:vAlign w:val="bottom"/>
          </w:tcPr>
          <w:p>
            <w:pPr>
              <w:ind w:left="120"/>
              <w:spacing w:after="0"/>
              <w:rPr>
                <w:sz w:val="20"/>
                <w:szCs w:val="20"/>
                <w:color w:val="auto"/>
              </w:rPr>
            </w:pPr>
            <w:r>
              <w:rPr>
                <w:rFonts w:ascii="Arial" w:cs="Arial" w:eastAsia="Arial" w:hAnsi="Arial"/>
                <w:sz w:val="18"/>
                <w:szCs w:val="18"/>
                <w:color w:val="auto"/>
              </w:rPr>
              <w:t>Impact of retirement of PAA senior notes</w:t>
            </w:r>
          </w:p>
        </w:tc>
        <w:tc>
          <w:tcPr>
            <w:tcW w:w="38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 for the year ended December 31, 2018</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431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44"/>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borrowings under credit facilities and PAA commercial paper program</w:t>
            </w: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120"/>
              <w:spacing w:after="0"/>
              <w:rPr>
                <w:sz w:val="20"/>
                <w:szCs w:val="20"/>
                <w:color w:val="auto"/>
              </w:rPr>
            </w:pPr>
            <w:r>
              <w:rPr>
                <w:rFonts w:ascii="Arial" w:cs="Arial" w:eastAsia="Arial" w:hAnsi="Arial"/>
                <w:sz w:val="18"/>
                <w:szCs w:val="18"/>
                <w:color w:val="auto"/>
              </w:rPr>
              <w:t>Impact of issuance and retirement of PAA senior notes</w:t>
            </w:r>
          </w:p>
        </w:tc>
        <w:tc>
          <w:tcPr>
            <w:tcW w:w="38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r>
      <w:tr>
        <w:trPr>
          <w:trHeight w:val="264"/>
        </w:trPr>
        <w:tc>
          <w:tcPr>
            <w:tcW w:w="7560" w:type="dxa"/>
            <w:vAlign w:val="bottom"/>
          </w:tcPr>
          <w:p>
            <w:pPr>
              <w:ind w:left="20"/>
              <w:spacing w:after="0"/>
              <w:rPr>
                <w:sz w:val="20"/>
                <w:szCs w:val="20"/>
                <w:color w:val="auto"/>
              </w:rPr>
            </w:pPr>
            <w:r>
              <w:rPr>
                <w:rFonts w:ascii="Arial" w:cs="Arial" w:eastAsia="Arial" w:hAnsi="Arial"/>
                <w:sz w:val="18"/>
                <w:szCs w:val="18"/>
                <w:color w:val="auto"/>
              </w:rPr>
              <w:t>Interest expense for the year ended December 31, 2019</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63"/>
        </w:numPr>
        <w:rPr>
          <w:rFonts w:ascii="Arial" w:cs="Arial" w:eastAsia="Arial" w:hAnsi="Arial"/>
          <w:sz w:val="23"/>
          <w:szCs w:val="23"/>
          <w:color w:val="auto"/>
          <w:vertAlign w:val="superscript"/>
        </w:rPr>
      </w:pPr>
      <w:r>
        <w:rPr>
          <w:rFonts w:ascii="Arial" w:cs="Arial" w:eastAsia="Arial" w:hAnsi="Arial"/>
          <w:sz w:val="18"/>
          <w:szCs w:val="18"/>
          <w:color w:val="auto"/>
        </w:rPr>
        <w:t>Excludes commitment and other fees.</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Interest expense decreased for the year ended December 31, 2019 compared to the year ended December 31, 2018 primarily due to a lower weighted average debt balance during the 2019 period from lower commercial paper and credit facility borrowings, partially offset by the issuance of $1 billion, 3.55% senior notes in September 2019.</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11 to our Consolidated Financial Statements for additional information regarding our debt activities during the periods presented.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Income/(Expense),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components impacting Other income/(expense), net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196"/>
        </w:trPr>
        <w:tc>
          <w:tcPr>
            <w:tcW w:w="540" w:type="dxa"/>
            <w:vAlign w:val="bottom"/>
            <w:tcBorders>
              <w:bottom w:val="single" w:sz="8" w:color="CCEEFF"/>
            </w:tcBorders>
          </w:tcPr>
          <w:p>
            <w:pPr>
              <w:spacing w:after="0"/>
              <w:rPr>
                <w:sz w:val="17"/>
                <w:szCs w:val="17"/>
                <w:color w:val="auto"/>
              </w:rPr>
            </w:pPr>
          </w:p>
        </w:tc>
        <w:tc>
          <w:tcPr>
            <w:tcW w:w="3400" w:type="dxa"/>
            <w:vAlign w:val="bottom"/>
            <w:tcBorders>
              <w:bottom w:val="single" w:sz="8" w:color="CCEEFF"/>
            </w:tcBorders>
          </w:tcPr>
          <w:p>
            <w:pPr>
              <w:spacing w:after="0"/>
              <w:rPr>
                <w:sz w:val="17"/>
                <w:szCs w:val="17"/>
                <w:color w:val="auto"/>
              </w:rPr>
            </w:pPr>
          </w:p>
        </w:tc>
        <w:tc>
          <w:tcPr>
            <w:tcW w:w="36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w w:val="96"/>
              </w:rPr>
              <w:t>2018</w:t>
            </w:r>
          </w:p>
        </w:tc>
      </w:tr>
      <w:tr>
        <w:trPr>
          <w:trHeight w:val="270"/>
        </w:trPr>
        <w:tc>
          <w:tcPr>
            <w:tcW w:w="7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5"/>
              </w:rPr>
              <w:t xml:space="preserve">Gain/(loss) related to mark-to-market adjustment of our Preferred Distribution Rate Reset Option </w:t>
            </w:r>
            <w:r>
              <w:rPr>
                <w:rFonts w:ascii="Arial" w:cs="Arial" w:eastAsia="Arial" w:hAnsi="Arial"/>
                <w:sz w:val="23"/>
                <w:szCs w:val="23"/>
                <w:color w:val="auto"/>
                <w:w w:val="95"/>
                <w:vertAlign w:val="superscript"/>
              </w:rPr>
              <w:t>(1)</w:t>
            </w:r>
          </w:p>
        </w:tc>
        <w:tc>
          <w:tcPr>
            <w:tcW w:w="1100" w:type="dxa"/>
            <w:vAlign w:val="bottom"/>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43"/>
        </w:trPr>
        <w:tc>
          <w:tcPr>
            <w:tcW w:w="7580" w:type="dxa"/>
            <w:vAlign w:val="bottom"/>
            <w:gridSpan w:val="3"/>
          </w:tcPr>
          <w:p>
            <w:pPr>
              <w:ind w:left="20"/>
              <w:spacing w:after="0"/>
              <w:rPr>
                <w:sz w:val="20"/>
                <w:szCs w:val="20"/>
                <w:color w:val="auto"/>
              </w:rPr>
            </w:pPr>
            <w:r>
              <w:rPr>
                <w:rFonts w:ascii="Arial" w:cs="Arial" w:eastAsia="Arial" w:hAnsi="Arial"/>
                <w:sz w:val="18"/>
                <w:szCs w:val="18"/>
                <w:color w:val="auto"/>
              </w:rPr>
              <w:t>Net gain/(loss) on foreign currency revaluation</w:t>
            </w:r>
          </w:p>
        </w:tc>
        <w:tc>
          <w:tcPr>
            <w:tcW w:w="110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5</w:t>
            </w:r>
          </w:p>
        </w:tc>
      </w:tr>
      <w:tr>
        <w:trPr>
          <w:trHeight w:val="27"/>
        </w:trPr>
        <w:tc>
          <w:tcPr>
            <w:tcW w:w="5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37"/>
        </w:trPr>
        <w:tc>
          <w:tcPr>
            <w:tcW w:w="5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r>
      <w:tr>
        <w:trPr>
          <w:trHeight w:val="27"/>
        </w:trPr>
        <w:tc>
          <w:tcPr>
            <w:tcW w:w="5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6"/>
        </w:trPr>
        <w:tc>
          <w:tcPr>
            <w:tcW w:w="5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2"/>
                <w:szCs w:val="12"/>
                <w:color w:val="auto"/>
              </w:rPr>
              <w:t>(1)</w:t>
            </w:r>
          </w:p>
        </w:tc>
        <w:tc>
          <w:tcPr>
            <w:tcW w:w="7040" w:type="dxa"/>
            <w:vAlign w:val="bottom"/>
            <w:gridSpan w:val="2"/>
          </w:tcPr>
          <w:p>
            <w:pPr>
              <w:jc w:val="right"/>
              <w:ind w:right="1080"/>
              <w:spacing w:after="0"/>
              <w:rPr>
                <w:sz w:val="20"/>
                <w:szCs w:val="20"/>
                <w:color w:val="auto"/>
              </w:rPr>
            </w:pPr>
            <w:r>
              <w:rPr>
                <w:rFonts w:ascii="Arial" w:cs="Arial" w:eastAsia="Arial" w:hAnsi="Arial"/>
                <w:sz w:val="18"/>
                <w:szCs w:val="18"/>
                <w:color w:val="auto"/>
                <w:w w:val="92"/>
              </w:rPr>
              <w:t>See Note 13 to our Consolidated Financial Statements for additional information.</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3"/>
        </w:trPr>
        <w:tc>
          <w:tcPr>
            <w:tcW w:w="540" w:type="dxa"/>
            <w:vAlign w:val="bottom"/>
          </w:tcPr>
          <w:p>
            <w:pPr>
              <w:spacing w:after="0"/>
              <w:rPr>
                <w:sz w:val="24"/>
                <w:szCs w:val="24"/>
                <w:color w:val="auto"/>
              </w:rPr>
            </w:pPr>
          </w:p>
        </w:tc>
        <w:tc>
          <w:tcPr>
            <w:tcW w:w="7040" w:type="dxa"/>
            <w:vAlign w:val="bottom"/>
            <w:gridSpan w:val="2"/>
          </w:tcPr>
          <w:p>
            <w:pPr>
              <w:jc w:val="right"/>
              <w:ind w:right="1740"/>
              <w:spacing w:after="0"/>
              <w:rPr>
                <w:sz w:val="20"/>
                <w:szCs w:val="20"/>
                <w:color w:val="auto"/>
              </w:rPr>
            </w:pPr>
            <w:r>
              <w:rPr>
                <w:rFonts w:ascii="Arial" w:cs="Arial" w:eastAsia="Arial" w:hAnsi="Arial"/>
                <w:sz w:val="18"/>
                <w:szCs w:val="18"/>
                <w:color w:val="auto"/>
              </w:rPr>
              <w:t>100</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4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Income tax expense decreased for the year ended December 31, 2019 compared to the year ended December 31, 2018 primarily due to (i) lower deferred income tax expense associated with lower year-over-year income as impacted by fluctuations in the derivative mark-to-market valuations in our Canadian operations and (ii) the recognition of a deferred tax benefit of $60 million as a result of the reduction of the provincial tax rate in Alberta, Canada enacted during the second quarter of 2019. Such favorable impacts were partially offset by higher current income tax expense resulting from higher taxable earnings from our Canadian operations and higher deferred income tax expense resulting from a change in PAGP’s effective tax rate in the first quarter of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Overview and Outlook</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See Items 1. and 2. “Business and Properties—Global Petroleum Market Overview” for a discussion of recent crude oil market conditions, and see Item 7. “Management’s Discussion and Analysis of Financial Condition and Results of Operations—Results of Operations—Analysis of Operating Segments —Supply and Logistics Segment” for information on how these conditions may impact our business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 for Certain Idled and Underutilized Assets</w:t>
      </w:r>
    </w:p>
    <w:p>
      <w:pPr>
        <w:spacing w:after="0" w:line="252"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During 2015, we shut down Line 901 and a portion of Line 903 in California following the release of crude oil from Line 901 (see Note 19 to our Consolidated Financial Statements for additional information). During the period since these pipelines were idled, we have been assessing potential alternatives in order to return them to operation. Some of the alternatives under consideration could result in incurring costs associated with retiring certain assets or an impairment of some or all of the carrying value of the idled property and equipment, which was approximately $119 million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as further discussed below in the section entitled “—Cash Flow from Operating Activities,” (ii) borrowings under PAA’s credit facilities or the PAA commercial paper program and (iii) funds received from sales of equity and debt securities. In addition, we may supplement these sources of liquidity with proceeds from our divestiture program, as further discussed below in the section entitled “—Acquisitions, Investments, Expansion Capital Expenditures and Divestitures.”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PAA’s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equity or debt securities and the sale of assets.</w:t>
      </w:r>
    </w:p>
    <w:p>
      <w:pPr>
        <w:spacing w:after="0" w:line="21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As of December 31, 2019, although we had a working capital deficit of $405 million, we had approximately $2.5 billion of liquidity available to meet our ongoing operating, investing and financing needs, subject to continued covenant compliance, as noted below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574"/>
              <w:spacing w:after="0"/>
              <w:rPr>
                <w:sz w:val="20"/>
                <w:szCs w:val="20"/>
                <w:color w:val="auto"/>
              </w:rPr>
            </w:pPr>
            <w:r>
              <w:rPr>
                <w:rFonts w:ascii="Arial" w:cs="Arial" w:eastAsia="Arial" w:hAnsi="Arial"/>
                <w:sz w:val="14"/>
                <w:szCs w:val="14"/>
                <w:b w:val="1"/>
                <w:bCs w:val="1"/>
                <w:color w:val="auto"/>
              </w:rPr>
              <w:t>As of</w:t>
            </w:r>
          </w:p>
        </w:tc>
      </w:tr>
      <w:tr>
        <w:trPr>
          <w:trHeight w:val="192"/>
        </w:trPr>
        <w:tc>
          <w:tcPr>
            <w:tcW w:w="9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December 31, 2019</w:t>
            </w:r>
          </w:p>
        </w:tc>
      </w:tr>
      <w:tr>
        <w:trPr>
          <w:trHeight w:val="27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23"/>
                <w:szCs w:val="23"/>
                <w:color w:val="auto"/>
                <w:vertAlign w:val="superscript"/>
              </w:rPr>
              <w:t>(1) (2)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1,464</w:t>
            </w:r>
          </w:p>
        </w:tc>
      </w:tr>
      <w:tr>
        <w:trPr>
          <w:trHeight w:val="270"/>
        </w:trPr>
        <w:tc>
          <w:tcPr>
            <w:tcW w:w="9620" w:type="dxa"/>
            <w:vAlign w:val="bottom"/>
          </w:tcPr>
          <w:p>
            <w:pPr>
              <w:ind w:left="20"/>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23"/>
                <w:szCs w:val="23"/>
                <w:color w:val="auto"/>
                <w:vertAlign w:val="superscript"/>
              </w:rPr>
              <w:t>(1) (2)</w:t>
            </w:r>
          </w:p>
        </w:tc>
        <w:tc>
          <w:tcPr>
            <w:tcW w:w="180" w:type="dxa"/>
            <w:vAlign w:val="bottom"/>
          </w:tcPr>
          <w:p>
            <w:pPr>
              <w:spacing w:after="0"/>
              <w:rPr>
                <w:sz w:val="23"/>
                <w:szCs w:val="23"/>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1,054</w:t>
            </w: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w:t>
            </w:r>
          </w:p>
        </w:tc>
      </w:tr>
      <w:tr>
        <w:trPr>
          <w:trHeight w:val="237"/>
        </w:trPr>
        <w:tc>
          <w:tcPr>
            <w:tcW w:w="9620" w:type="dxa"/>
            <w:vAlign w:val="bottom"/>
          </w:tcPr>
          <w:p>
            <w:pPr>
              <w:ind w:left="14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2,425</w:t>
            </w:r>
          </w:p>
        </w:tc>
      </w:tr>
      <w:tr>
        <w:trPr>
          <w:trHeight w:val="27"/>
        </w:trPr>
        <w:tc>
          <w:tcPr>
            <w:tcW w:w="9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w:t>
            </w:r>
          </w:p>
        </w:tc>
      </w:tr>
      <w:tr>
        <w:trPr>
          <w:trHeight w:val="237"/>
        </w:trPr>
        <w:tc>
          <w:tcPr>
            <w:tcW w:w="962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2,472</w:t>
            </w:r>
          </w:p>
        </w:tc>
      </w:tr>
      <w:tr>
        <w:trPr>
          <w:trHeight w:val="27"/>
        </w:trPr>
        <w:tc>
          <w:tcPr>
            <w:tcW w:w="9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
        </w:trPr>
        <w:tc>
          <w:tcPr>
            <w:tcW w:w="9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1" w:name="page102"/>
    <w:bookmarkEnd w:id="101"/>
    <w:p>
      <w:pPr>
        <w:ind w:left="8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432435</wp:posOffset>
            </wp:positionV>
            <wp:extent cx="24955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500"/>
          </w:cols>
          <w:pgMar w:left="16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60" w:hanging="11"/>
        <w:spacing w:after="0" w:line="277" w:lineRule="auto"/>
        <w:rPr>
          <w:sz w:val="20"/>
          <w:szCs w:val="20"/>
          <w:color w:val="auto"/>
        </w:rPr>
      </w:pPr>
      <w:r>
        <w:rPr>
          <w:rFonts w:ascii="Arial" w:cs="Arial" w:eastAsia="Arial" w:hAnsi="Arial"/>
          <w:sz w:val="18"/>
          <w:szCs w:val="18"/>
          <w:color w:val="auto"/>
        </w:rPr>
        <w:t>Represents availability prior to giving effect to borrowings outstanding under the PAA commercial paper program, which reduce available capacity under the facilities.</w:t>
      </w:r>
    </w:p>
    <w:p>
      <w:pPr>
        <w:spacing w:after="0" w:line="62" w:lineRule="exact"/>
        <w:rPr>
          <w:sz w:val="20"/>
          <w:szCs w:val="20"/>
          <w:color w:val="auto"/>
        </w:rPr>
      </w:pPr>
    </w:p>
    <w:p>
      <w:pPr>
        <w:ind w:right="280" w:hanging="11"/>
        <w:spacing w:after="0" w:line="277" w:lineRule="auto"/>
        <w:rPr>
          <w:sz w:val="20"/>
          <w:szCs w:val="20"/>
          <w:color w:val="auto"/>
        </w:rPr>
      </w:pPr>
      <w:r>
        <w:rPr>
          <w:rFonts w:ascii="Arial" w:cs="Arial" w:eastAsia="Arial" w:hAnsi="Arial"/>
          <w:sz w:val="18"/>
          <w:szCs w:val="18"/>
          <w:color w:val="auto"/>
        </w:rPr>
        <w:t>Available capacity under the PAA senior unsecured revolving credit facility and the PAA senior secured hedged inventory facility was reduced by outstanding letters of credit of $136 million and $21 million, respectively.</w:t>
      </w:r>
    </w:p>
    <w:p>
      <w:pPr>
        <w:spacing w:after="0" w:line="197" w:lineRule="exact"/>
        <w:rPr>
          <w:sz w:val="20"/>
          <w:szCs w:val="20"/>
          <w:color w:val="auto"/>
        </w:rPr>
      </w:pPr>
    </w:p>
    <w:p>
      <w:pPr>
        <w:sectPr>
          <w:pgSz w:w="11900" w:h="16838" w:orient="portrait"/>
          <w:cols w:equalWidth="0" w:num="2">
            <w:col w:w="140" w:space="600"/>
            <w:col w:w="10760"/>
          </w:cols>
          <w:pgMar w:left="160" w:top="125" w:right="239" w:bottom="1440" w:gutter="0" w:footer="0" w:header="0"/>
          <w:type w:val="continuous"/>
        </w:sectPr>
      </w:pPr>
    </w:p>
    <w:p>
      <w:pPr>
        <w:ind w:left="80" w:right="40" w:firstLine="648"/>
        <w:spacing w:after="0" w:line="273"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the PAA credit facilities, which provide the financial backstop for the PAA commercial paper program, is subject to ongoing compliance with covenants. As of December 31, 2019, PAA was in compliance with all such covenants. Also, see Item 1A. “Risk Factors” for further discussion regarding such risks that may impact our liquidity and capital resources.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ind w:left="80" w:right="160" w:firstLine="648"/>
        <w:spacing w:after="0" w:line="259" w:lineRule="auto"/>
        <w:rPr>
          <w:sz w:val="20"/>
          <w:szCs w:val="20"/>
          <w:color w:val="auto"/>
        </w:rPr>
      </w:pPr>
      <w:r>
        <w:rPr>
          <w:rFonts w:ascii="Arial" w:cs="Arial" w:eastAsia="Arial" w:hAnsi="Arial"/>
          <w:sz w:val="18"/>
          <w:szCs w:val="18"/>
          <w:color w:val="auto"/>
        </w:rPr>
        <w:t>The primary drivers of cash flow from operating activities are (i) the collection of amounts related to the sale of crude oil, NGL and other products, the transportation of crude oil and other products for a fee, and the provision of storage and terminalling services for a fee and (ii) the payment of amounts related to the purchase of crude oil, NGL and other products and other expenses, principally field operating costs, general and administrative expenses and interest expense.</w:t>
      </w:r>
    </w:p>
    <w:p>
      <w:pPr>
        <w:spacing w:after="0" w:line="214" w:lineRule="exact"/>
        <w:rPr>
          <w:sz w:val="20"/>
          <w:szCs w:val="20"/>
          <w:color w:val="auto"/>
        </w:rPr>
      </w:pPr>
    </w:p>
    <w:p>
      <w:pPr>
        <w:ind w:left="80" w:firstLine="648"/>
        <w:spacing w:after="0" w:line="257" w:lineRule="auto"/>
        <w:rPr>
          <w:sz w:val="20"/>
          <w:szCs w:val="20"/>
          <w:color w:val="auto"/>
        </w:rPr>
      </w:pPr>
      <w:r>
        <w:rPr>
          <w:rFonts w:ascii="Arial" w:cs="Arial" w:eastAsia="Arial" w:hAnsi="Arial"/>
          <w:sz w:val="18"/>
          <w:szCs w:val="18"/>
          <w:color w:val="auto"/>
        </w:rPr>
        <w:t>Cash flow from operating activities can be materially impacted by the storage of crude oil in periods of a contango market, when the price of crude oil for future deliveries is higher than current prices. In the month we pay for the stored crude oil, we borrow under the credit facilities or the PAA commercial paper program (or use cash on hand) to pay for the crude oil, which negatively impacts operating cash flow. Conversely, cash flow from operating activities increases during the period in which we collect the cash from the sale of the stored crude oil. Similarly, the level of NGL and other product inventory stored and held for resale at period end affects our cash flow from operating activities.</w:t>
      </w:r>
    </w:p>
    <w:p>
      <w:pPr>
        <w:spacing w:after="0" w:line="215" w:lineRule="exact"/>
        <w:rPr>
          <w:sz w:val="20"/>
          <w:szCs w:val="20"/>
          <w:color w:val="auto"/>
        </w:rPr>
      </w:pPr>
    </w:p>
    <w:p>
      <w:pPr>
        <w:ind w:left="80" w:right="120" w:firstLine="648"/>
        <w:spacing w:after="0" w:line="291" w:lineRule="auto"/>
        <w:rPr>
          <w:sz w:val="20"/>
          <w:szCs w:val="20"/>
          <w:color w:val="auto"/>
        </w:rPr>
      </w:pPr>
      <w:r>
        <w:rPr>
          <w:rFonts w:ascii="Arial" w:cs="Arial" w:eastAsia="Arial" w:hAnsi="Arial"/>
          <w:sz w:val="16"/>
          <w:szCs w:val="16"/>
          <w:color w:val="auto"/>
        </w:rPr>
        <w:t>In periods when the market is not in contango, we typically sell our crude oil during the same month in which we purchase it and we do not rely on borrowings under the credit facilities or the PAA commercial paper program to pay for the crude oil. During such market conditions, our accounts payable and accounts receivable generally move in tandem as we make payments and receive payments for the purchase and sale of crude oil in the same month, which is the month following such activity. In periods during which we build inventory, regardless of market structure, we may rely on the credit facilities or the PAA commercial paper program to pay for the inventory. In addition, we use derivative instruments to manage the risks associated with the purchase and sale of our commodities. Therefore, our cash flow from operating activities may be impacted by the margin deposit requirements related to our derivative activities. See Note 13 to our Consolidated Financial Statements for a discussion regarding our derivatives and risk management activities.</w:t>
      </w:r>
    </w:p>
    <w:p>
      <w:pPr>
        <w:spacing w:after="0" w:line="194" w:lineRule="exact"/>
        <w:rPr>
          <w:sz w:val="20"/>
          <w:szCs w:val="20"/>
          <w:color w:val="auto"/>
        </w:rPr>
      </w:pPr>
    </w:p>
    <w:p>
      <w:pPr>
        <w:ind w:left="80" w:right="100" w:firstLine="648"/>
        <w:spacing w:after="0" w:line="312" w:lineRule="auto"/>
        <w:rPr>
          <w:sz w:val="20"/>
          <w:szCs w:val="20"/>
          <w:color w:val="auto"/>
        </w:rPr>
      </w:pPr>
      <w:r>
        <w:rPr>
          <w:rFonts w:ascii="Arial" w:cs="Arial" w:eastAsia="Arial" w:hAnsi="Arial"/>
          <w:sz w:val="16"/>
          <w:szCs w:val="16"/>
          <w:color w:val="auto"/>
        </w:rPr>
        <w:t>Net cash provided by operating activities for the years ended December 31, 2019, 2018 and 2017 was approximately $2.5 billion, $2.6 billion and $2.5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spacing w:after="0" w:line="174" w:lineRule="exact"/>
        <w:rPr>
          <w:sz w:val="20"/>
          <w:szCs w:val="20"/>
          <w:color w:val="auto"/>
        </w:rPr>
      </w:pPr>
    </w:p>
    <w:p>
      <w:pPr>
        <w:ind w:left="80" w:right="240" w:firstLine="648"/>
        <w:spacing w:after="0" w:line="277" w:lineRule="auto"/>
        <w:rPr>
          <w:sz w:val="20"/>
          <w:szCs w:val="20"/>
          <w:color w:val="auto"/>
        </w:rPr>
      </w:pPr>
      <w:r>
        <w:rPr>
          <w:rFonts w:ascii="Arial" w:cs="Arial" w:eastAsia="Arial" w:hAnsi="Arial"/>
          <w:sz w:val="18"/>
          <w:szCs w:val="18"/>
          <w:color w:val="auto"/>
        </w:rPr>
        <w:t>During 2019, our cash provided by operating activities was positively impacted by the proceeds from the sale of NGL and crude oil inventory that we held and also by the lower weighted average price of NGL inventory compared to prior year amounts.</w:t>
      </w:r>
    </w:p>
    <w:p>
      <w:pPr>
        <w:spacing w:after="0" w:line="197" w:lineRule="exact"/>
        <w:rPr>
          <w:sz w:val="20"/>
          <w:szCs w:val="20"/>
          <w:color w:val="auto"/>
        </w:rPr>
      </w:pPr>
    </w:p>
    <w:p>
      <w:pPr>
        <w:ind w:left="80" w:right="160" w:firstLine="648"/>
        <w:spacing w:after="0" w:line="259" w:lineRule="auto"/>
        <w:rPr>
          <w:sz w:val="20"/>
          <w:szCs w:val="20"/>
          <w:color w:val="auto"/>
        </w:rPr>
      </w:pPr>
      <w:r>
        <w:rPr>
          <w:rFonts w:ascii="Arial" w:cs="Arial" w:eastAsia="Arial" w:hAnsi="Arial"/>
          <w:sz w:val="18"/>
          <w:szCs w:val="18"/>
          <w:color w:val="auto"/>
        </w:rPr>
        <w:t>During 2018, our cash provided by operating activities was favorably impacted by approximately $250 million of cash received for transactions for which the revenue has been deferred pending the completion of future performance obligations. See Note 3 to our Consolidated Financial Statements for additional information. The favorable impact was partially offset by an increase in the volume of crude oil inventory that we held, which was funded from earnings from our operations and proceeds from asset sales.</w:t>
      </w:r>
    </w:p>
    <w:p>
      <w:pPr>
        <w:spacing w:after="0" w:line="214" w:lineRule="exact"/>
        <w:rPr>
          <w:sz w:val="20"/>
          <w:szCs w:val="20"/>
          <w:color w:val="auto"/>
        </w:rPr>
      </w:pPr>
    </w:p>
    <w:p>
      <w:pPr>
        <w:ind w:left="740"/>
        <w:spacing w:after="0"/>
        <w:rPr>
          <w:sz w:val="20"/>
          <w:szCs w:val="20"/>
          <w:color w:val="auto"/>
        </w:rPr>
      </w:pPr>
      <w:r>
        <w:rPr>
          <w:rFonts w:ascii="Arial" w:cs="Arial" w:eastAsia="Arial" w:hAnsi="Arial"/>
          <w:sz w:val="16"/>
          <w:szCs w:val="16"/>
          <w:color w:val="auto"/>
        </w:rPr>
        <w:t>During 2017, net cash provided by operating activities was positively impacted by decreases in (i) the volume of crude oil inventory that we held and</w:t>
      </w:r>
    </w:p>
    <w:p>
      <w:pPr>
        <w:spacing w:after="0" w:line="46" w:lineRule="exact"/>
        <w:rPr>
          <w:sz w:val="20"/>
          <w:szCs w:val="20"/>
          <w:color w:val="auto"/>
        </w:rPr>
      </w:pPr>
    </w:p>
    <w:p>
      <w:pPr>
        <w:ind w:left="80" w:right="360" w:firstLine="8"/>
        <w:spacing w:after="0" w:line="261" w:lineRule="auto"/>
        <w:tabs>
          <w:tab w:leader="none" w:pos="3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margin balances required as part of our hedging activities, both of which had been funded by short-term debt. This was consistent with our plan to reduce our hedged inventory volumes, and the cash inflows associated</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500"/>
          </w:cols>
          <w:pgMar w:left="160" w:top="125"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these items resulted in a favorable impact on our cash provided by operating activities. However, the favorable effects from such activities were partially offset by higher weighted average prices and volumes for NGL inventory that was purchased and stored at the end of the 2017 period in anticipation of the 2017-2018 heating season.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Investments, Expansion Capital Expenditures and Divestitures</w:t>
      </w:r>
    </w:p>
    <w:p>
      <w:pPr>
        <w:spacing w:after="0" w:line="25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In addition to our operating needs discussed above, on a consolidated basis,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 below. In recent years, we have also used proceeds from our divestiture program, as discussed further below. We have made and will continue to make capital expenditures for acquisitions, expansion capital projects and maintenance activities. However, in the near term, we do not plan to issue common equity to fund such activities. Also see “—Acquisitions, Capital Projects and Divestitures” for further discussion of such capital expenditures.</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The price of acquisitions includes cash paid, assumed liabilities and net working capital items. Because of the non-cash items included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total price of the acquisition and the timing of certain cash payments, the net cash paid may differ significantly from the total price of the acquisitions completed during the year. During the years ended December 31, 2019 and 2017, we paid cash of $50 million and $1.280 billion (net of cash acquired of $4 million), respectively, for acquisitions. We did not acquire any assets in 2018.</w:t>
      </w:r>
    </w:p>
    <w:p>
      <w:pPr>
        <w:spacing w:after="0" w:line="214"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Over the last several years, we have increased our JV related activities with long-term partners throughout the industry value chain. The</w:t>
      </w:r>
      <w:r>
        <w:rPr>
          <w:rFonts w:ascii="Arial" w:cs="Arial" w:eastAsia="Arial" w:hAnsi="Arial"/>
          <w:sz w:val="17"/>
          <w:szCs w:val="17"/>
          <w:i w:val="1"/>
          <w:iCs w:val="1"/>
          <w:color w:val="auto"/>
        </w:rPr>
        <w:t xml:space="preserve"> </w:t>
      </w:r>
      <w:r>
        <w:rPr>
          <w:rFonts w:ascii="Arial" w:cs="Arial" w:eastAsia="Arial" w:hAnsi="Arial"/>
          <w:sz w:val="17"/>
          <w:szCs w:val="17"/>
          <w:color w:val="auto"/>
        </w:rPr>
        <w:t>vast majority of our joint ventures are accounted for as investments in unconsolidated subsidiaries. We generally fund our portion of development, construction or capital expansion projects of our equity method investees through capital contributions. See Note 9 to our Consolidated Financial Statements for additional information regarding our investments in unconsolidated entities. During the years ended December 31, 2019, 2018 and 2017, we made cash contributions of $504 million, $459 million and $398 million, respectively, to certain of our equity method investees. We anticipate that we will make additional contributions in 2020 associated with ongoing projects for construction and/or expansion projects related to our interests in Wink to Webster, Red Oak, Cactus II, Capline, Diamond and Saddlehorn joint venture pipelines.</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Divestitures</w:t>
      </w:r>
      <w:r>
        <w:rPr>
          <w:rFonts w:ascii="Arial" w:cs="Arial" w:eastAsia="Arial" w:hAnsi="Arial"/>
          <w:sz w:val="18"/>
          <w:szCs w:val="18"/>
          <w:color w:val="auto"/>
        </w:rPr>
        <w:t>. We have initiated a program to evaluate potential sales of non-core assets and/or sales of partial interests in assets to strategic joint</w:t>
      </w:r>
      <w:r>
        <w:rPr>
          <w:rFonts w:ascii="Arial" w:cs="Arial" w:eastAsia="Arial" w:hAnsi="Arial"/>
          <w:sz w:val="18"/>
          <w:szCs w:val="18"/>
          <w:i w:val="1"/>
          <w:iCs w:val="1"/>
          <w:color w:val="auto"/>
        </w:rPr>
        <w:t xml:space="preserve"> </w:t>
      </w:r>
      <w:r>
        <w:rPr>
          <w:rFonts w:ascii="Arial" w:cs="Arial" w:eastAsia="Arial" w:hAnsi="Arial"/>
          <w:sz w:val="18"/>
          <w:szCs w:val="18"/>
          <w:color w:val="auto"/>
        </w:rPr>
        <w:t>venture partners. During the years ended December 31, 2019, 2018 and 2017, we received proceeds of $205 million, $1.3 billion and $1.1 billion, respectively from sales of assets. See Note 7 to our Consolidated Financial Statements for additional information. Proceeds received during 2019 include $128 million received for a 33% interest in the newly formed joint venture Red River Pipeline Company LLC. See Note 12 to our Consolidated Financial Statements for additional information. We intend to continue these efforts in 2020.</w:t>
      </w:r>
    </w:p>
    <w:p>
      <w:pPr>
        <w:spacing w:after="0" w:line="21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Ongoing Acquisition and Divestiture Activities. </w:t>
      </w:r>
      <w:r>
        <w:rPr>
          <w:rFonts w:ascii="Arial" w:cs="Arial" w:eastAsia="Arial" w:hAnsi="Arial"/>
          <w:sz w:val="18"/>
          <w:szCs w:val="18"/>
          <w:color w:val="auto"/>
        </w:rPr>
        <w:t>In January 2020, we acquired a crude oil gathering system and related assets in the Delaware Basin</w:t>
      </w:r>
      <w:r>
        <w:rPr>
          <w:rFonts w:ascii="Arial" w:cs="Arial" w:eastAsia="Arial" w:hAnsi="Arial"/>
          <w:sz w:val="18"/>
          <w:szCs w:val="18"/>
          <w:i w:val="1"/>
          <w:iCs w:val="1"/>
          <w:color w:val="auto"/>
        </w:rPr>
        <w:t xml:space="preserve"> </w:t>
      </w:r>
      <w:r>
        <w:rPr>
          <w:rFonts w:ascii="Arial" w:cs="Arial" w:eastAsia="Arial" w:hAnsi="Arial"/>
          <w:sz w:val="18"/>
          <w:szCs w:val="18"/>
          <w:color w:val="auto"/>
        </w:rPr>
        <w:t>for approximately $305 million. In addition, in the first quarter of 2020, we completed and/or entered into definitive agreements for asset sales of approximately $273 million. See Note 7 to our Consolidated Financial Statements for additional information.</w:t>
      </w:r>
    </w:p>
    <w:p>
      <w:pPr>
        <w:spacing w:after="0" w:line="20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2020 Capital Projects. </w:t>
      </w:r>
      <w:r>
        <w:rPr>
          <w:rFonts w:ascii="Arial" w:cs="Arial" w:eastAsia="Arial" w:hAnsi="Arial"/>
          <w:sz w:val="18"/>
          <w:szCs w:val="18"/>
          <w:color w:val="auto"/>
        </w:rPr>
        <w:t>The majority of our 2020 expansion capital program will be invested in our fee-based Transportation and Facilities segments.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that our investments will have minimal contributions to our 2020 results, but will provide growth for 2021 and beyond. Our 2020 capital program includes the following projects as of February 2020 with the estimated cost for the entire year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Projects</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2020</w:t>
            </w: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Long-Haul Pipeline Projects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450</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Permian Basin Takeaway Pipeline Projects</w:t>
            </w:r>
          </w:p>
        </w:tc>
        <w:tc>
          <w:tcPr>
            <w:tcW w:w="5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395</w:t>
            </w:r>
          </w:p>
        </w:tc>
      </w:tr>
      <w:tr>
        <w:trPr>
          <w:trHeight w:val="27"/>
        </w:trPr>
        <w:tc>
          <w:tcPr>
            <w:tcW w:w="9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Complementary Permian Basin Projects</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275</w:t>
            </w:r>
          </w:p>
        </w:tc>
      </w:tr>
      <w:tr>
        <w:trPr>
          <w:trHeight w:val="243"/>
        </w:trPr>
        <w:tc>
          <w:tcPr>
            <w:tcW w:w="9360" w:type="dxa"/>
            <w:vAlign w:val="bottom"/>
            <w:gridSpan w:val="2"/>
          </w:tcPr>
          <w:p>
            <w:pPr>
              <w:ind w:left="20"/>
              <w:spacing w:after="0"/>
              <w:rPr>
                <w:sz w:val="20"/>
                <w:szCs w:val="20"/>
                <w:color w:val="auto"/>
              </w:rPr>
            </w:pPr>
            <w:r>
              <w:rPr>
                <w:rFonts w:ascii="Arial" w:cs="Arial" w:eastAsia="Arial" w:hAnsi="Arial"/>
                <w:sz w:val="18"/>
                <w:szCs w:val="18"/>
                <w:color w:val="auto"/>
              </w:rPr>
              <w:t>Selected Facilities Projects</w:t>
            </w:r>
          </w:p>
        </w:tc>
        <w:tc>
          <w:tcPr>
            <w:tcW w:w="500" w:type="dxa"/>
            <w:vAlign w:val="bottom"/>
          </w:tcPr>
          <w:p>
            <w:pPr>
              <w:spacing w:after="0"/>
              <w:rPr>
                <w:sz w:val="21"/>
                <w:szCs w:val="21"/>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80</w:t>
            </w:r>
          </w:p>
        </w:tc>
      </w:tr>
      <w:tr>
        <w:trPr>
          <w:trHeight w:val="27"/>
        </w:trPr>
        <w:tc>
          <w:tcPr>
            <w:tcW w:w="9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Projects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200</w:t>
            </w:r>
          </w:p>
        </w:tc>
      </w:tr>
      <w:tr>
        <w:trPr>
          <w:trHeight w:val="264"/>
        </w:trPr>
        <w:tc>
          <w:tcPr>
            <w:tcW w:w="9360" w:type="dxa"/>
            <w:vAlign w:val="bottom"/>
            <w:gridSpan w:val="2"/>
          </w:tcPr>
          <w:p>
            <w:pPr>
              <w:ind w:left="120"/>
              <w:spacing w:after="0"/>
              <w:rPr>
                <w:sz w:val="20"/>
                <w:szCs w:val="20"/>
                <w:color w:val="auto"/>
              </w:rPr>
            </w:pPr>
            <w:r>
              <w:rPr>
                <w:rFonts w:ascii="Arial" w:cs="Arial" w:eastAsia="Arial" w:hAnsi="Arial"/>
                <w:sz w:val="18"/>
                <w:szCs w:val="18"/>
                <w:color w:val="auto"/>
              </w:rPr>
              <w:t>Total Projected 2020 Expansion Capital Expenditures</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1,400</w:t>
            </w:r>
          </w:p>
        </w:tc>
      </w:tr>
      <w:tr>
        <w:trPr>
          <w:trHeight w:val="21"/>
        </w:trPr>
        <w:tc>
          <w:tcPr>
            <w:tcW w:w="9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 Commercial Paper Program and Indentures</w:t>
      </w:r>
    </w:p>
    <w:p>
      <w:pPr>
        <w:spacing w:after="0" w:line="25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At December 31, 2019, PAA had three primary credit arrangements. These include a $1.6 billion senior unsecured revolving credit facility maturing in 2024, a $1.4 billion senior secured hedged inventory facility maturing in 2022 (excluding aggregate commitments of $45 million, which mature in 2021) and a $3.0 billion unsecured commercial paper program that is backstopped by its revolving credit facility and its hedged inventory facility. Additionally, PAA has two $100 million GO Zone term loans as discussed further below. The credit agreements for PAA’s revolving credit facilities (which impact its ability to access its commercial paper program because they provide the financial backstop that supports our short-term credit ratings) and its term loans and the indentures governing its senior notes contain cross-default provisions. A default under PAA’s credit agreements or indentures would permit the lenders to accelerate the maturity of the outstanding debt. As long as PAA is in compliance with the provisions in its credit agreements, PAA’s ability to make distributions of available cash is not restricted. PAA was in compliance with the covenants contained in its credit agreements and indentures as of December 31, 2019.</w:t>
      </w:r>
    </w:p>
    <w:p>
      <w:pPr>
        <w:spacing w:after="0" w:line="224"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August 2018, PAA entered into an agreement for two $100 million GO Zone term loans from the remarketing of its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 See Note 11 to our Consolidated Financial Statements for additional information.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2019, we had net borrowings under the credit facilities and PAA commercial paper program of $418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borrowings resulted primarily from borrowings during the period related to funding needs for general partnership purposes.</w:t>
      </w:r>
    </w:p>
    <w:p>
      <w:pPr>
        <w:spacing w:after="0" w:line="23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During the year ended December 31, 2018, we had net repayments on the credit facilities and PAA commercial paper program of $901 million. The net repayments resulted primarily from cash flow from operating activities and proceeds from asset sales, which offset borrowings during the period related to funding needs for capital investments, inventory purchases and other general partnership purposes.</w:t>
      </w:r>
    </w:p>
    <w:p>
      <w:pPr>
        <w:spacing w:after="0" w:line="20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During the year ended December 31, 2017, we had net repayments on the credit facilities and PAA commercial paper program of $654 million. The net repayments resulted primarily from cash flow from operating activities and cash received from PAA’s equity activities and asset divestitures, which offset borrowings during the period related to funding needs for (i) acquisition and capital investments, (ii) repayment of PAA’s $400 million, 6.13% senior notes in January 2017, (iii) repayment of PAA’s $600 million, 6.50% senior notes and $350 million, 8.75% senior notes in December 2017 and (iv) other general partnership purposes.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 consolidated basis, our financing activities primarily relate to funding expansion capital projects, acquisitions and refinancing of debt maturities, as well as short-term working capital (including borrowings for NYMEX and ICE margin deposits) and hedged inventory borrowings related to our NGL business and contango market activities. Our financing activities have primarily consisted of PAA equity offerings, PAA senior notes offerings and borrowings and repayments under the credit facilities or the PAA commercial paper program and other debt agreements, as well as payment of distributions to our Class A shareholders and noncontrolling interests.</w:t>
      </w:r>
    </w:p>
    <w:p>
      <w:pPr>
        <w:spacing w:after="0" w:line="21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PAGP Registration Statements. </w:t>
      </w:r>
      <w:r>
        <w:rPr>
          <w:rFonts w:ascii="Arial" w:cs="Arial" w:eastAsia="Arial" w:hAnsi="Arial"/>
          <w:sz w:val="18"/>
          <w:szCs w:val="18"/>
          <w:color w:val="auto"/>
        </w:rPr>
        <w:t>We have filed with the SEC a shelf registration statement that, subject to effectiveness at the time of use, allows us to</w:t>
      </w:r>
      <w:r>
        <w:rPr>
          <w:rFonts w:ascii="Arial" w:cs="Arial" w:eastAsia="Arial" w:hAnsi="Arial"/>
          <w:sz w:val="18"/>
          <w:szCs w:val="18"/>
          <w:i w:val="1"/>
          <w:iCs w:val="1"/>
          <w:color w:val="auto"/>
        </w:rPr>
        <w:t xml:space="preserve"> </w:t>
      </w:r>
      <w:r>
        <w:rPr>
          <w:rFonts w:ascii="Arial" w:cs="Arial" w:eastAsia="Arial" w:hAnsi="Arial"/>
          <w:sz w:val="18"/>
          <w:szCs w:val="18"/>
          <w:color w:val="auto"/>
        </w:rPr>
        <w:t>issue up to an aggregate of $939 million of equity securities (“PAGP Traditional Shelf”). Our issuances of equity securities associated with our continuous offering program have been issued pursuant to the PAGP Traditional Shelf. We did not conduct any offerings under the PAGP Traditional Shelf during the years ended December 31, 2019 or 2018. At December 31, 2019, we had approximately $939 million of unsold securities available under the PAGP Traditional Shelf. We also have access to a universal shelf registration statement (“PAGP WKSI Shelf”), which provides us with the ability to offer and sell an unlimited amount of equity securities, subject to market conditions and capital needs. Our 2017 underwritten equity offering was conducted under the PAGP WKSI Shelf.</w:t>
      </w:r>
    </w:p>
    <w:p>
      <w:pPr>
        <w:spacing w:after="0" w:line="21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Sales of Class A Shares</w:t>
      </w:r>
      <w:r>
        <w:rPr>
          <w:rFonts w:ascii="Arial" w:cs="Arial" w:eastAsia="Arial" w:hAnsi="Arial"/>
          <w:sz w:val="16"/>
          <w:szCs w:val="16"/>
          <w:color w:val="auto"/>
        </w:rPr>
        <w:t>. We did not sell any Class A shares during the years ended December 31, 2019 or 2018. During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we sold approximately 50.1 million Class A shares for proceeds of approximately $1.5 billion, which, pursuant to the Omnibus Agreement, were used to purchase from AAP a number of AAP units equal to the number of Class A shares sold. Also pursuant to the Omnibus Agreement, immediately following such purchase and sale, AAP used the net proceeds it received from such sale of AAP units to us to purchase from PAA an equivalent number of common</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units of PAA. See Note 12 to our Consolidated Financial Statements for additional information related to these sales of Class A shares and Note 17 for information regarding the Omnibus Agreement.</w:t>
      </w:r>
    </w:p>
    <w:p>
      <w:pPr>
        <w:spacing w:after="0" w:line="19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PAA Registration Statements</w:t>
      </w:r>
      <w:r>
        <w:rPr>
          <w:rFonts w:ascii="Arial" w:cs="Arial" w:eastAsia="Arial" w:hAnsi="Arial"/>
          <w:sz w:val="17"/>
          <w:szCs w:val="17"/>
          <w:color w:val="auto"/>
        </w:rPr>
        <w:t>. PAA periodically accesses the capital markets for both equity and debt financing. PAA has filed with the SEC a</w:t>
      </w:r>
      <w:r>
        <w:rPr>
          <w:rFonts w:ascii="Arial" w:cs="Arial" w:eastAsia="Arial" w:hAnsi="Arial"/>
          <w:sz w:val="17"/>
          <w:szCs w:val="17"/>
          <w:i w:val="1"/>
          <w:iCs w:val="1"/>
          <w:color w:val="auto"/>
        </w:rPr>
        <w:t xml:space="preserve"> </w:t>
      </w:r>
      <w:r>
        <w:rPr>
          <w:rFonts w:ascii="Arial" w:cs="Arial" w:eastAsia="Arial" w:hAnsi="Arial"/>
          <w:sz w:val="17"/>
          <w:szCs w:val="17"/>
          <w:color w:val="auto"/>
        </w:rPr>
        <w:t>universal shelf registration statement that, subject to effectiveness at the time of use, allows PAA to issue up to an aggregate of $1.1 billion of debt or equity securities (“PAA Traditional Shelf”). All issuances of PAA equity securities associated with PAA’s continuous offering program have been issued pursuant to the PAA Traditional Shelf. PAA did not conduct any offerings under the PAA Traditional Shelf during the years ended December 31, 2019 or 2018. At December 31, 2019, PAA had approximately $1.1 billion of unsold securities available under the PAA Traditional Shelf. PAA also has access to a universal shelf registration statement (“PAA WKSI Shelf”), which provides it with the ability to offer and sell an unlimited amount of debt and equity securities, subject to market conditions and capital needs. The issuance of PAA’s $1.0 billion, 3.55% senior notes in September 2019 and PAA’s Series B preferred units in October 2017, as discussed further below, were conducted under the PAA WKSI Shelf.</w:t>
      </w:r>
    </w:p>
    <w:p>
      <w:pPr>
        <w:spacing w:after="0" w:line="20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PAA Preferred Units</w:t>
      </w:r>
      <w:r>
        <w:rPr>
          <w:rFonts w:ascii="Arial" w:cs="Arial" w:eastAsia="Arial" w:hAnsi="Arial"/>
          <w:sz w:val="18"/>
          <w:szCs w:val="18"/>
          <w:color w:val="auto"/>
        </w:rPr>
        <w:t>. On October 10, 2017, PAA issued 800,000 Series B preferred units at a price to the public of $1,000 per unit. PAA used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$788 million, after deducting the underwriters’ discounts and offering expenses, from the issuance of the Series B preferred units to repay amounts outstanding under its credit facilities and commercial paper program and for general partnership purposes, including expenditures for our capital program. See “Distributions to Noncontrolling Interests” below and Note 12 to our Consolidated Financial Statements for additional information regarding PAA’s Series B preferred units.</w:t>
      </w:r>
    </w:p>
    <w:p>
      <w:pPr>
        <w:spacing w:after="0" w:line="21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While PAA’s Series A and Series B preferred units are considered equity securities and are classified within partners’ capital on our Consolidated Balance Sheet, the two out of the three rating agencies that rate PAA as investment grade only ascribe 50% equity credit with the remaining 50% considered debt for purposes of determining PAA’s credit ratings. The remaining rating agency ascribes 100% equity credit while PAA is rated below investment grade, but will change its approach to 50% equity credit and 50% debt if the rating agency changes PAA’s rating to investment grade.</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PAA Common Units</w:t>
      </w:r>
      <w:r>
        <w:rPr>
          <w:rFonts w:ascii="Arial" w:cs="Arial" w:eastAsia="Arial" w:hAnsi="Arial"/>
          <w:sz w:val="18"/>
          <w:szCs w:val="18"/>
          <w:color w:val="auto"/>
        </w:rPr>
        <w:t>. PAA did not sell any common units during the years ended December 31, 2019 or 2018. During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PAA sold approximately 4.0 million common units under its Continuous Offering Program for proceeds of approximately $129 million, which were used for general partnership purposes.</w:t>
      </w:r>
    </w:p>
    <w:p>
      <w:pPr>
        <w:spacing w:after="0" w:line="208" w:lineRule="exact"/>
        <w:rPr>
          <w:sz w:val="20"/>
          <w:szCs w:val="20"/>
          <w:color w:val="auto"/>
        </w:rPr>
      </w:pPr>
    </w:p>
    <w:p>
      <w:pPr>
        <w:ind w:right="160" w:firstLine="729"/>
        <w:spacing w:after="0" w:line="286" w:lineRule="auto"/>
        <w:rPr>
          <w:sz w:val="20"/>
          <w:szCs w:val="20"/>
          <w:color w:val="auto"/>
        </w:rPr>
      </w:pPr>
      <w:r>
        <w:rPr>
          <w:rFonts w:ascii="Arial" w:cs="Arial" w:eastAsia="Arial" w:hAnsi="Arial"/>
          <w:sz w:val="17"/>
          <w:szCs w:val="17"/>
          <w:color w:val="auto"/>
        </w:rPr>
        <w:t>During the year ended December 31, 2017, pursuant to the Omnibus Agreement, PAA sold (i) approximately 1.8 million common units to AAP in connection with our issuance of Class A shares under our Continuous Offering Program and (ii) 48.3 million common units to AAP in connection with our March 2017 underwritten offering. See Note 12 to our Consolidated Financial Statements for additional information.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Issuances of PAA Senior Notes. </w:t>
      </w:r>
      <w:r>
        <w:rPr>
          <w:rFonts w:ascii="Arial" w:cs="Arial" w:eastAsia="Arial" w:hAnsi="Arial"/>
          <w:sz w:val="16"/>
          <w:szCs w:val="16"/>
          <w:color w:val="auto"/>
        </w:rPr>
        <w:t>PAA did not issue any senior unsecured notes during the years ended December 31, 2018 or 2017. During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PAA issued senior unsecured notes as summarized in the table below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4"/>
                <w:szCs w:val="14"/>
                <w:color w:val="auto"/>
              </w:rPr>
            </w:pPr>
          </w:p>
        </w:tc>
        <w:tc>
          <w:tcPr>
            <w:tcW w:w="5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Description</w:t>
            </w:r>
          </w:p>
        </w:tc>
        <w:tc>
          <w:tcPr>
            <w:tcW w:w="100" w:type="dxa"/>
            <w:vAlign w:val="bottom"/>
            <w:vMerge w:val="restart"/>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Face Value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860" w:type="dxa"/>
            <w:vAlign w:val="bottom"/>
          </w:tcPr>
          <w:p>
            <w:pPr>
              <w:jc w:val="center"/>
              <w:ind w:right="82"/>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88"/>
        </w:trPr>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Proceeds</w:t>
            </w:r>
            <w:r>
              <w:rPr>
                <w:rFonts w:ascii="Arial" w:cs="Arial" w:eastAsia="Arial" w:hAnsi="Arial"/>
                <w:sz w:val="9"/>
                <w:szCs w:val="9"/>
                <w:b w:val="1"/>
                <w:bCs w:val="1"/>
                <w:color w:val="auto"/>
                <w:w w:val="89"/>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Proceeds</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238"/>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3.55% Senior Notes issued at 99.801% of face value</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2029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7"/>
        </w:trPr>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Face value of notes less the applicable premium or discount (before deducting for initial purchaser discounts, commissions and offering expenses).</w:t>
      </w:r>
    </w:p>
    <w:p>
      <w:pPr>
        <w:spacing w:after="0" w:line="140" w:lineRule="exact"/>
        <w:rPr>
          <w:sz w:val="20"/>
          <w:szCs w:val="20"/>
          <w:color w:val="auto"/>
        </w:rPr>
      </w:pPr>
    </w:p>
    <w:p>
      <w:pPr>
        <w:jc w:val="both"/>
        <w:ind w:left="20" w:right="40" w:hanging="11"/>
        <w:spacing w:after="0" w:line="264" w:lineRule="auto"/>
        <w:rPr>
          <w:sz w:val="20"/>
          <w:szCs w:val="20"/>
          <w:color w:val="auto"/>
        </w:rPr>
      </w:pPr>
      <w:r>
        <w:rPr>
          <w:rFonts w:ascii="Arial" w:cs="Arial" w:eastAsia="Arial" w:hAnsi="Arial"/>
          <w:sz w:val="18"/>
          <w:szCs w:val="18"/>
          <w:color w:val="auto"/>
        </w:rPr>
        <w:t>Face value of notes less the applicable premium or discount, initial purchaser discounts, commissions and offering expenses. The net proceeds from the offering were used to partially repay the principal amounts of PAA’s 2.60% senior notes due December 2019 and 5.75% senior notes due January 2020 and for general partnership purposes.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5" w:name="page106"/>
    <w:bookmarkEnd w:id="10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Repayments of PAA Senior Notes. </w:t>
      </w:r>
      <w:r>
        <w:rPr>
          <w:rFonts w:ascii="Arial" w:cs="Arial" w:eastAsia="Arial" w:hAnsi="Arial"/>
          <w:sz w:val="18"/>
          <w:szCs w:val="18"/>
          <w:color w:val="auto"/>
        </w:rPr>
        <w:t>PAA did not repay any senior unsecured notes during 2018. During 2019 and 2017, PAA repaid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senior unsecured notes (in millions):</w:t>
      </w:r>
    </w:p>
    <w:p>
      <w:pPr>
        <w:ind w:left="1020"/>
        <w:spacing w:after="0"/>
        <w:tabs>
          <w:tab w:leader="none" w:pos="4800" w:val="left"/>
          <w:tab w:leader="none" w:pos="888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1803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2019</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1"/>
              </w:rPr>
              <w:t>$500 million 2.60% Senior Notes due December 2019</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92"/>
              </w:rPr>
              <w:t>November 2019</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2019</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0"/>
              </w:rPr>
              <w:t>$500 million 5.75% Senior Notes due January 2020</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2019</w:t>
            </w:r>
          </w:p>
        </w:tc>
      </w:tr>
      <w:tr>
        <w:trPr>
          <w:trHeight w:val="54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10"/>
              <w:spacing w:after="0"/>
              <w:rPr>
                <w:sz w:val="20"/>
                <w:szCs w:val="20"/>
                <w:color w:val="auto"/>
              </w:rPr>
            </w:pPr>
            <w:r>
              <w:rPr>
                <w:rFonts w:ascii="Arial" w:cs="Arial" w:eastAsia="Arial" w:hAnsi="Arial"/>
                <w:sz w:val="18"/>
                <w:szCs w:val="18"/>
                <w:color w:val="auto"/>
                <w:w w:val="90"/>
              </w:rPr>
              <w:t>$400 million 6.13% Senior Notes due January 2017</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9"/>
              </w:rPr>
              <w:t>January 2017</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92"/>
              </w:rPr>
              <w:t>$600 million 6.50% Senior Notes due May 2018</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2017</w:t>
            </w:r>
          </w:p>
        </w:tc>
      </w:tr>
      <w:tr>
        <w:trPr>
          <w:trHeight w:val="270"/>
        </w:trPr>
        <w:tc>
          <w:tcPr>
            <w:tcW w:w="1300" w:type="dxa"/>
            <w:vAlign w:val="bottom"/>
          </w:tcPr>
          <w:p>
            <w:pPr>
              <w:jc w:val="right"/>
              <w:ind w:right="850"/>
              <w:spacing w:after="0"/>
              <w:rPr>
                <w:sz w:val="20"/>
                <w:szCs w:val="20"/>
                <w:color w:val="auto"/>
              </w:rPr>
            </w:pPr>
            <w:r>
              <w:rPr>
                <w:rFonts w:ascii="Arial" w:cs="Arial" w:eastAsia="Arial" w:hAnsi="Arial"/>
                <w:sz w:val="18"/>
                <w:szCs w:val="18"/>
                <w:color w:val="auto"/>
                <w:w w:val="84"/>
              </w:rPr>
              <w:t>2017</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92"/>
              </w:rPr>
              <w:t>$350 million 8.75% Senior Notes due May 2019</w:t>
            </w:r>
          </w:p>
        </w:tc>
        <w:tc>
          <w:tcPr>
            <w:tcW w:w="2020" w:type="dxa"/>
            <w:vAlign w:val="bottom"/>
          </w:tcPr>
          <w:p>
            <w:pPr>
              <w:jc w:val="center"/>
              <w:ind w:left="750"/>
              <w:spacing w:after="0"/>
              <w:rPr>
                <w:sz w:val="20"/>
                <w:szCs w:val="20"/>
                <w:color w:val="auto"/>
              </w:rPr>
            </w:pPr>
            <w:r>
              <w:rPr>
                <w:rFonts w:ascii="Arial" w:cs="Arial" w:eastAsia="Arial" w:hAnsi="Arial"/>
                <w:sz w:val="18"/>
                <w:szCs w:val="18"/>
                <w:color w:val="auto"/>
                <w:w w:val="88"/>
              </w:rPr>
              <w:t>December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-668020</wp:posOffset>
            </wp:positionV>
            <wp:extent cx="722058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22058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2058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24955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132" w:lineRule="exact"/>
        <w:rPr>
          <w:sz w:val="20"/>
          <w:szCs w:val="20"/>
          <w:color w:val="auto"/>
        </w:rPr>
      </w:pPr>
    </w:p>
    <w:p>
      <w:pPr>
        <w:ind w:left="160" w:hanging="156"/>
        <w:spacing w:after="0"/>
        <w:tabs>
          <w:tab w:leader="none" w:pos="160" w:val="left"/>
        </w:tabs>
        <w:numPr>
          <w:ilvl w:val="0"/>
          <w:numId w:val="65"/>
        </w:numPr>
        <w:rPr>
          <w:rFonts w:ascii="Arial" w:cs="Arial" w:eastAsia="Arial" w:hAnsi="Arial"/>
          <w:sz w:val="11"/>
          <w:szCs w:val="11"/>
          <w:color w:val="auto"/>
        </w:rPr>
      </w:pPr>
      <w:r>
        <w:rPr>
          <w:rFonts w:ascii="Arial" w:cs="Arial" w:eastAsia="Arial" w:hAnsi="Arial"/>
          <w:sz w:val="11"/>
          <w:szCs w:val="11"/>
          <w:color w:val="auto"/>
        </w:rPr>
        <w:t>(3)</w:t>
      </w:r>
    </w:p>
    <w:p>
      <w:pPr>
        <w:spacing w:after="0" w:line="143" w:lineRule="exact"/>
        <w:rPr>
          <w:rFonts w:ascii="Arial" w:cs="Arial" w:eastAsia="Arial" w:hAnsi="Arial"/>
          <w:sz w:val="11"/>
          <w:szCs w:val="11"/>
          <w:color w:val="auto"/>
        </w:rPr>
      </w:pPr>
    </w:p>
    <w:p>
      <w:pPr>
        <w:ind w:left="160" w:hanging="156"/>
        <w:spacing w:after="0"/>
        <w:tabs>
          <w:tab w:leader="none" w:pos="160" w:val="left"/>
        </w:tabs>
        <w:numPr>
          <w:ilvl w:val="0"/>
          <w:numId w:val="66"/>
        </w:numPr>
        <w:rPr>
          <w:rFonts w:ascii="Arial" w:cs="Arial" w:eastAsia="Arial" w:hAnsi="Arial"/>
          <w:sz w:val="11"/>
          <w:szCs w:val="11"/>
          <w:color w:val="auto"/>
        </w:rPr>
      </w:pPr>
      <w:r>
        <w:rPr>
          <w:rFonts w:ascii="Arial" w:cs="Arial" w:eastAsia="Arial" w:hAnsi="Arial"/>
          <w:sz w:val="11"/>
          <w:szCs w:val="11"/>
          <w:color w:val="auto"/>
        </w:rPr>
        <w:t>(3)</w:t>
      </w:r>
    </w:p>
    <w:p>
      <w:pPr>
        <w:spacing w:after="0" w:line="201" w:lineRule="exact"/>
        <w:rPr>
          <w:sz w:val="20"/>
          <w:szCs w:val="20"/>
          <w:color w:val="auto"/>
        </w:rPr>
      </w:pPr>
    </w:p>
    <w:p>
      <w:pPr>
        <w:sectPr>
          <w:pgSz w:w="11900" w:h="16838" w:orient="portrait"/>
          <w:cols w:equalWidth="0" w:num="2">
            <w:col w:w="10160" w:space="720"/>
            <w:col w:w="540"/>
          </w:cols>
          <w:pgMar w:left="240" w:top="125" w:right="239"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repaid with proceeds from PAA’s 3.55% senior notes issued in September 2019 and cash on hand.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These senior notes were repaid with cash on hand and proceeds from borrowings under the PAA credit facilities and commercial paper program.</w:t>
      </w:r>
    </w:p>
    <w:p>
      <w:pPr>
        <w:spacing w:after="0" w:line="140" w:lineRule="exact"/>
        <w:rPr>
          <w:sz w:val="20"/>
          <w:szCs w:val="20"/>
          <w:color w:val="auto"/>
        </w:rPr>
      </w:pPr>
    </w:p>
    <w:p>
      <w:pPr>
        <w:ind w:left="20" w:right="680" w:hanging="11"/>
        <w:spacing w:after="0" w:line="277" w:lineRule="auto"/>
        <w:rPr>
          <w:sz w:val="20"/>
          <w:szCs w:val="20"/>
          <w:color w:val="auto"/>
        </w:rPr>
      </w:pPr>
      <w:r>
        <w:rPr>
          <w:rFonts w:ascii="Arial" w:cs="Arial" w:eastAsia="Arial" w:hAnsi="Arial"/>
          <w:sz w:val="18"/>
          <w:szCs w:val="18"/>
          <w:color w:val="auto"/>
        </w:rPr>
        <w:t>In conjunction with the early redemptions of these PAA senior notes, we recognized a loss of approximately $40 million, recorded to “Other income/(expense), net” in our Consolidated Statement of Operations.</w:t>
      </w:r>
    </w:p>
    <w:p>
      <w:pPr>
        <w:spacing w:after="0" w:line="197"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Distributions to our Class A shareholders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shareholders. On February 14, 2020, we paid a quarterly distribution of $0.36 per Class A share ($1.44 per Class A share on an annualized basis) to shareholders of record as of January 31, 2020. See Note 12 to our Consolidated Financial Statements for details of distributions paid during the three years ended December 31, 2019. Also, see Item 5. “Market for Registrant’s Shares, Related Shareholder Matters and Issuer Purchases of Equity Securities—Cash Distribution Policy” for additional discussion regarding distributions.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Noncontrolling Interests</w:t>
      </w:r>
    </w:p>
    <w:p>
      <w:pPr>
        <w:spacing w:after="0" w:line="252"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Distributions to noncontrolling interests represent amounts paid on interests in consolidated entities that are not owned by us. As of December 31, 2019, noncontrolling interests in our subsidiaries consisted of (i) limited partner interests in PAA including a 69% interest in PAA’s common units and PAA’s Series A preferred units combined and 100% of PAA’s Series B preferred units and (ii) an approximate 27% limited partner interest in AAP.</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Distributions to PAA’s Series A preferred unitholders. </w:t>
      </w:r>
      <w:r>
        <w:rPr>
          <w:rFonts w:ascii="Arial" w:cs="Arial" w:eastAsia="Arial" w:hAnsi="Arial"/>
          <w:sz w:val="17"/>
          <w:szCs w:val="17"/>
          <w:color w:val="auto"/>
        </w:rPr>
        <w:t>Holders of PAA’s Series A preferred units are entitled to receive quarterly distributions,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customary anti-dilution adjustments, of $0.525 per unit ($2.10 per unit annualized), which commenced with the quarter ending March 31, 2016. With respect to each quarter ending on or prior to December 31, 2017, PAA elected to pay distributions on its Series A preferred units in additional Series A preferred units. Beginning with the distribution with respect to the quarter ended March 31, 2018, distributions on PAA’s Series A preferred units are paid in cash. Subject to certain limitations, following January 28, 2021, the holders of PAA’s Series A preferred units may make a one-time election to reset the distribution rate. See Note 12 to our Consolidated Financial Statements for additional information.</w:t>
      </w:r>
    </w:p>
    <w:p>
      <w:pPr>
        <w:spacing w:after="0" w:line="178"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i w:val="1"/>
          <w:iCs w:val="1"/>
          <w:color w:val="auto"/>
        </w:rPr>
        <w:t xml:space="preserve">Distributions to PAA’s Series B preferred unitholders. </w:t>
      </w:r>
      <w:r>
        <w:rPr>
          <w:rFonts w:ascii="Arial" w:cs="Arial" w:eastAsia="Arial" w:hAnsi="Arial"/>
          <w:sz w:val="16"/>
          <w:szCs w:val="16"/>
          <w:color w:val="auto"/>
        </w:rPr>
        <w:t>Holders of PAA’s Series B preferred units are entitled to receive, when, as and if declared by</w:t>
      </w:r>
      <w:r>
        <w:rPr>
          <w:rFonts w:ascii="Arial" w:cs="Arial" w:eastAsia="Arial" w:hAnsi="Arial"/>
          <w:sz w:val="16"/>
          <w:szCs w:val="16"/>
          <w:i w:val="1"/>
          <w:iCs w:val="1"/>
          <w:color w:val="auto"/>
        </w:rPr>
        <w:t xml:space="preserve"> </w:t>
      </w:r>
      <w:r>
        <w:rPr>
          <w:rFonts w:ascii="Arial" w:cs="Arial" w:eastAsia="Arial" w:hAnsi="Arial"/>
          <w:sz w:val="16"/>
          <w:szCs w:val="16"/>
          <w:color w:val="auto"/>
        </w:rPr>
        <w:t>PAA’s general partner out of legally available funds for such purpose, cumulative cash distributions, as applicable. Through and including November 15, 2022, holders are entitled to a distribution equal to $61.25 per unit per year, payable semiannually in arrears on the 15th day of May and November.</w:t>
      </w:r>
    </w:p>
    <w:p>
      <w:pPr>
        <w:ind w:right="80"/>
        <w:spacing w:after="0" w:line="261" w:lineRule="auto"/>
        <w:rPr>
          <w:sz w:val="20"/>
          <w:szCs w:val="20"/>
          <w:color w:val="auto"/>
        </w:rPr>
      </w:pPr>
      <w:r>
        <w:rPr>
          <w:rFonts w:ascii="Arial" w:cs="Arial" w:eastAsia="Arial" w:hAnsi="Arial"/>
          <w:sz w:val="18"/>
          <w:szCs w:val="18"/>
          <w:color w:val="auto"/>
        </w:rPr>
        <w:t>See Note 12 to our Consolidated Financial Statements for further discussion of PAA’s Series B preferred units, including distribution rates and payment dates after November 15,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Distributions to PAA’s common unitholders. </w:t>
      </w:r>
      <w:r>
        <w:rPr>
          <w:rFonts w:ascii="Arial" w:cs="Arial" w:eastAsia="Arial" w:hAnsi="Arial"/>
          <w:sz w:val="18"/>
          <w:szCs w:val="18"/>
          <w:color w:val="auto"/>
        </w:rPr>
        <w:t>On February 14, 2020, PAA paid a quarterly distribution of $0.36 per common unit ($1.44 per unit on an</w:t>
      </w:r>
      <w:r>
        <w:rPr>
          <w:rFonts w:ascii="Arial" w:cs="Arial" w:eastAsia="Arial" w:hAnsi="Arial"/>
          <w:sz w:val="18"/>
          <w:szCs w:val="18"/>
          <w:i w:val="1"/>
          <w:iCs w:val="1"/>
          <w:color w:val="auto"/>
        </w:rPr>
        <w:t xml:space="preserve"> </w:t>
      </w:r>
      <w:r>
        <w:rPr>
          <w:rFonts w:ascii="Arial" w:cs="Arial" w:eastAsia="Arial" w:hAnsi="Arial"/>
          <w:sz w:val="18"/>
          <w:szCs w:val="18"/>
          <w:color w:val="auto"/>
        </w:rPr>
        <w:t>annualized basis). The total distribution of $262 million was paid to unitholders of record as of January 31, 2020, with respect to the quarter ending December 31, 2019.</w:t>
      </w:r>
    </w:p>
    <w:p>
      <w:pPr>
        <w:spacing w:after="0" w:line="20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believe that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contingencies that may impact us, see Note 19 to our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i w:val="1"/>
          <w:iCs w:val="1"/>
          <w:color w:val="auto"/>
        </w:rPr>
        <w:t xml:space="preserve">Contractual Obligations. </w:t>
      </w:r>
      <w:r>
        <w:rPr>
          <w:rFonts w:ascii="Arial" w:cs="Arial" w:eastAsia="Arial" w:hAnsi="Arial"/>
          <w:sz w:val="17"/>
          <w:szCs w:val="17"/>
          <w:color w:val="auto"/>
        </w:rPr>
        <w:t>In the ordinary course of doing business, we purchase crude oil and NGL from third parties under contracts,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 amounts due under the specified contractual obligations as of December 31, 2019 (in millions):</w:t>
      </w: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2025 and</w:t>
            </w:r>
          </w:p>
        </w:tc>
        <w:tc>
          <w:tcPr>
            <w:tcW w:w="220" w:type="dxa"/>
            <w:vAlign w:val="bottom"/>
          </w:tcPr>
          <w:p>
            <w:pPr>
              <w:spacing w:after="0"/>
              <w:rPr>
                <w:sz w:val="12"/>
                <w:szCs w:val="12"/>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Thereafter</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 xml:space="preserve">Long-term debt and related interest payments </w:t>
            </w:r>
            <w:r>
              <w:rPr>
                <w:rFonts w:ascii="Arial" w:cs="Arial" w:eastAsia="Arial" w:hAnsi="Arial"/>
                <w:sz w:val="23"/>
                <w:szCs w:val="23"/>
                <w:color w:val="auto"/>
                <w:w w:val="92"/>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411</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984</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1,115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1,055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8,753</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13,954</w:t>
            </w:r>
          </w:p>
        </w:tc>
        <w:tc>
          <w:tcPr>
            <w:tcW w:w="0" w:type="dxa"/>
            <w:vAlign w:val="bottom"/>
          </w:tcPr>
          <w:p>
            <w:pPr>
              <w:spacing w:after="0"/>
              <w:rPr>
                <w:sz w:val="1"/>
                <w:szCs w:val="1"/>
                <w:color w:val="auto"/>
              </w:rPr>
            </w:pPr>
          </w:p>
        </w:tc>
      </w:tr>
      <w:tr>
        <w:trPr>
          <w:trHeight w:val="270"/>
        </w:trPr>
        <w:tc>
          <w:tcPr>
            <w:tcW w:w="3620" w:type="dxa"/>
            <w:vAlign w:val="bottom"/>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(2)</w:t>
            </w:r>
          </w:p>
        </w:tc>
        <w:tc>
          <w:tcPr>
            <w:tcW w:w="22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1,098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3,921</w:t>
            </w:r>
          </w:p>
        </w:tc>
        <w:tc>
          <w:tcPr>
            <w:tcW w:w="0" w:type="dxa"/>
            <w:vAlign w:val="bottom"/>
          </w:tcPr>
          <w:p>
            <w:pPr>
              <w:spacing w:after="0"/>
              <w:rPr>
                <w:sz w:val="1"/>
                <w:szCs w:val="1"/>
                <w:color w:val="auto"/>
              </w:rPr>
            </w:pPr>
          </w:p>
        </w:tc>
      </w:tr>
      <w:tr>
        <w:trPr>
          <w:trHeight w:val="237"/>
        </w:trPr>
        <w:tc>
          <w:tcPr>
            <w:tcW w:w="3620" w:type="dxa"/>
            <w:vAlign w:val="bottom"/>
          </w:tcPr>
          <w:p>
            <w:pPr>
              <w:ind w:left="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1,639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1,512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1,998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10,255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Crude oil, NGL and other purchases </w:t>
            </w:r>
            <w:r>
              <w:rPr>
                <w:rFonts w:ascii="Arial" w:cs="Arial" w:eastAsia="Arial" w:hAnsi="Arial"/>
                <w:sz w:val="23"/>
                <w:szCs w:val="23"/>
                <w:color w:val="auto"/>
                <w:vertAlign w:val="superscript"/>
              </w:rPr>
              <w:t>(4)</w:t>
            </w: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14,836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12,525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12,028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10,893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9,650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16,789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76,721</w:t>
            </w:r>
          </w:p>
        </w:tc>
        <w:tc>
          <w:tcPr>
            <w:tcW w:w="0" w:type="dxa"/>
            <w:vAlign w:val="bottom"/>
          </w:tcPr>
          <w:p>
            <w:pPr>
              <w:spacing w:after="0"/>
              <w:rPr>
                <w:sz w:val="1"/>
                <w:szCs w:val="1"/>
                <w:color w:val="auto"/>
              </w:rPr>
            </w:pPr>
          </w:p>
        </w:tc>
      </w:tr>
      <w:tr>
        <w:trPr>
          <w:trHeight w:val="264"/>
        </w:trPr>
        <w:tc>
          <w:tcPr>
            <w:tcW w:w="362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16,475</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14,351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13,540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12,891</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11,049</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27,044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95,350</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0" w:hanging="11"/>
        <w:spacing w:after="0" w:line="255" w:lineRule="auto"/>
        <w:rPr>
          <w:sz w:val="20"/>
          <w:szCs w:val="20"/>
          <w:color w:val="auto"/>
        </w:rPr>
      </w:pPr>
      <w:r>
        <w:rPr>
          <w:rFonts w:ascii="Arial" w:cs="Arial" w:eastAsia="Arial" w:hAnsi="Arial"/>
          <w:sz w:val="18"/>
          <w:szCs w:val="18"/>
          <w:color w:val="auto"/>
        </w:rPr>
        <w:t>Includes debt service payments, interest payments due on PAA’s senior notes and the commitment fee on assumed available capacity under the PAA credit facilities, as well as long-term borrowings under the credit agreements and the PAA commercial paper program, if any. Although there may be short-term borrowings under the PAA credit agreements and the PAA commercial paper program, we historically repay and borrow at varying amounts. As such, we have included only the maximum commitment fee (as if no short-term borrowings were outstanding on the PAA credit agreements or the PAA commercial paper program) in the amounts above. For additional information regarding our debt obligations, see Note 11 to our Consolidated Financial Statements.</w:t>
      </w:r>
    </w:p>
    <w:p>
      <w:pPr>
        <w:spacing w:after="0" w:line="85" w:lineRule="exact"/>
        <w:rPr>
          <w:sz w:val="20"/>
          <w:szCs w:val="20"/>
          <w:color w:val="auto"/>
        </w:rPr>
      </w:pPr>
    </w:p>
    <w:p>
      <w:pPr>
        <w:ind w:right="640" w:hanging="11"/>
        <w:spacing w:after="0" w:line="342" w:lineRule="auto"/>
        <w:rPr>
          <w:sz w:val="20"/>
          <w:szCs w:val="20"/>
          <w:color w:val="auto"/>
        </w:rPr>
      </w:pPr>
      <w:r>
        <w:rPr>
          <w:rFonts w:ascii="Arial" w:cs="Arial" w:eastAsia="Arial" w:hAnsi="Arial"/>
          <w:sz w:val="16"/>
          <w:szCs w:val="16"/>
          <w:color w:val="auto"/>
        </w:rPr>
        <w:t>Includes both operating and finance leases as defined by FASB guidance. Leases are primarily for (i) railcars, (ii) office space, (iii) land, (iv) vehicles, (v) storage tanks and (vi) tractor trailers. See Note 14 to our Consolidated Financial Statements for additional information.</w:t>
      </w:r>
    </w:p>
    <w:p>
      <w:pPr>
        <w:spacing w:after="0" w:line="16" w:lineRule="exact"/>
        <w:rPr>
          <w:sz w:val="20"/>
          <w:szCs w:val="20"/>
          <w:color w:val="auto"/>
        </w:rPr>
      </w:pPr>
    </w:p>
    <w:p>
      <w:pPr>
        <w:ind w:right="20" w:hanging="11"/>
        <w:spacing w:after="0" w:line="293" w:lineRule="auto"/>
        <w:rPr>
          <w:sz w:val="20"/>
          <w:szCs w:val="20"/>
          <w:color w:val="auto"/>
        </w:rPr>
      </w:pPr>
      <w:r>
        <w:rPr>
          <w:rFonts w:ascii="Arial" w:cs="Arial" w:eastAsia="Arial" w:hAnsi="Arial"/>
          <w:sz w:val="16"/>
          <w:szCs w:val="16"/>
          <w:color w:val="auto"/>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 (iv) noncancelable commitments related to our capital expansion projects, including projected contributions for our share of the capital spending of our equity method investments. The storage, processing and transportation agreements include approximately $1.8 billion associated with agreements to store, process and transport crude oil at posted tariff rates on pipelines or at facilities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7" w:name="page108"/>
    <w:bookmarkEnd w:id="10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80" w:hanging="652"/>
        <w:spacing w:after="0" w:line="249" w:lineRule="auto"/>
        <w:tabs>
          <w:tab w:leader="none" w:pos="648" w:val="left"/>
        </w:tabs>
        <w:numPr>
          <w:ilvl w:val="0"/>
          <w:numId w:val="67"/>
        </w:numPr>
        <w:rPr>
          <w:rFonts w:ascii="Arial" w:cs="Arial" w:eastAsia="Arial" w:hAnsi="Arial"/>
          <w:sz w:val="22"/>
          <w:szCs w:val="22"/>
          <w:color w:val="auto"/>
          <w:vertAlign w:val="superscript"/>
        </w:rPr>
      </w:pPr>
      <w:r>
        <w:rPr>
          <w:rFonts w:ascii="Arial" w:cs="Arial" w:eastAsia="Arial" w:hAnsi="Arial"/>
          <w:sz w:val="17"/>
          <w:szCs w:val="17"/>
          <w:color w:val="auto"/>
        </w:rPr>
        <w:t>Amounts are primarily based on estimated volumes and market prices based on average activity during December 2019.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In connection with supply and logistics activities, we provide certain suppliers with irrevocable standby letters of credit to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2019 and 2018, we had outstanding letters of credit of approximately $157 million and $184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5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We have invested in entities that are not consolidated in our financial statements. Certain of these entities are borrowers under credit facilities. We are neither a co-borrower nor a guarantor under any facilities of such entities. We may elect at any time to make additional capital contributions to any of these entities. The following table sets forth selected information regarding these entities as of December 31, 2019 (unaudited, dollars in millions):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Our</w:t>
            </w:r>
          </w:p>
        </w:tc>
        <w:tc>
          <w:tcPr>
            <w:tcW w:w="26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Total Cash</w:t>
            </w:r>
          </w:p>
        </w:tc>
        <w:tc>
          <w:tcPr>
            <w:tcW w:w="260" w:type="dxa"/>
            <w:vAlign w:val="bottom"/>
          </w:tcPr>
          <w:p>
            <w:pPr>
              <w:spacing w:after="0"/>
              <w:rPr>
                <w:sz w:val="14"/>
                <w:szCs w:val="14"/>
                <w:color w:val="auto"/>
              </w:rPr>
            </w:pPr>
          </w:p>
        </w:tc>
        <w:tc>
          <w:tcPr>
            <w:tcW w:w="9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and</w:t>
            </w: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Entity</w:t>
            </w:r>
          </w:p>
        </w:tc>
        <w:tc>
          <w:tcPr>
            <w:tcW w:w="100" w:type="dxa"/>
            <w:vAlign w:val="bottom"/>
            <w:vMerge w:val="restart"/>
          </w:tcPr>
          <w:p>
            <w:pPr>
              <w:spacing w:after="0"/>
              <w:rPr>
                <w:sz w:val="12"/>
                <w:szCs w:val="12"/>
                <w:color w:val="auto"/>
              </w:rPr>
            </w:pPr>
          </w:p>
        </w:tc>
        <w:tc>
          <w:tcPr>
            <w:tcW w:w="2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vMerge w:val="restart"/>
          </w:tcPr>
          <w:p>
            <w:pPr>
              <w:spacing w:after="0"/>
              <w:rPr>
                <w:sz w:val="12"/>
                <w:szCs w:val="12"/>
                <w:color w:val="auto"/>
              </w:rPr>
            </w:pPr>
          </w:p>
        </w:tc>
        <w:tc>
          <w:tcPr>
            <w:tcW w:w="1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Ownership</w:t>
            </w:r>
          </w:p>
        </w:tc>
        <w:tc>
          <w:tcPr>
            <w:tcW w:w="260" w:type="dxa"/>
            <w:vAlign w:val="bottom"/>
          </w:tcPr>
          <w:p>
            <w:pPr>
              <w:spacing w:after="0"/>
              <w:rPr>
                <w:sz w:val="12"/>
                <w:szCs w:val="12"/>
                <w:color w:val="auto"/>
              </w:rPr>
            </w:pPr>
          </w:p>
        </w:tc>
        <w:tc>
          <w:tcPr>
            <w:tcW w:w="10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Entity</w:t>
            </w: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260" w:type="dxa"/>
            <w:vAlign w:val="bottom"/>
          </w:tcPr>
          <w:p>
            <w:pPr>
              <w:spacing w:after="0"/>
              <w:rPr>
                <w:sz w:val="12"/>
                <w:szCs w:val="12"/>
                <w:color w:val="auto"/>
              </w:rPr>
            </w:pPr>
          </w:p>
        </w:tc>
        <w:tc>
          <w:tcPr>
            <w:tcW w:w="9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Entity</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3"/>
              </w:rPr>
              <w:t>Cash</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Debt</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Advantage Pipeline Holdings LLC</w:t>
            </w:r>
          </w:p>
        </w:tc>
        <w:tc>
          <w:tcPr>
            <w:tcW w:w="2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200" w:type="dxa"/>
            <w:vAlign w:val="bottom"/>
          </w:tcPr>
          <w:p>
            <w:pPr>
              <w:ind w:left="3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Cactus II Pipeline LLC</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Caddo Pipeline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Cheyenne Pipeline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Cushing Connect Pipeline &amp; Terminal LLC</w:t>
            </w:r>
          </w:p>
        </w:tc>
        <w:tc>
          <w:tcPr>
            <w:tcW w:w="2580" w:type="dxa"/>
            <w:vAlign w:val="bottom"/>
            <w:gridSpan w:val="2"/>
            <w:shd w:val="clear" w:color="auto" w:fill="CCEEFF"/>
          </w:tcPr>
          <w:p>
            <w:pPr>
              <w:jc w:val="center"/>
              <w:ind w:right="100"/>
              <w:spacing w:after="0" w:line="176" w:lineRule="exact"/>
              <w:rPr>
                <w:sz w:val="20"/>
                <w:szCs w:val="20"/>
                <w:color w:val="auto"/>
              </w:rPr>
            </w:pPr>
            <w:r>
              <w:rPr>
                <w:rFonts w:ascii="Arial" w:cs="Arial" w:eastAsia="Arial" w:hAnsi="Arial"/>
                <w:sz w:val="16"/>
                <w:szCs w:val="16"/>
                <w:color w:val="auto"/>
              </w:rPr>
              <w:t xml:space="preserve">Crude Oil Pipeline </w:t>
            </w:r>
            <w:r>
              <w:rPr>
                <w:rFonts w:ascii="Arial" w:cs="Arial" w:eastAsia="Arial" w:hAnsi="Arial"/>
                <w:sz w:val="20"/>
                <w:szCs w:val="20"/>
                <w:color w:val="auto"/>
                <w:vertAlign w:val="superscript"/>
              </w:rPr>
              <w:t>(1)</w:t>
            </w:r>
          </w:p>
        </w:tc>
        <w:tc>
          <w:tcPr>
            <w:tcW w:w="12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40" w:type="dxa"/>
            <w:vAlign w:val="bottom"/>
            <w:gridSpan w:val="2"/>
            <w:vMerge w:val="continue"/>
            <w:shd w:val="clear" w:color="auto" w:fill="CCEEFF"/>
          </w:tcPr>
          <w:p>
            <w:pPr>
              <w:spacing w:after="0"/>
              <w:rPr>
                <w:sz w:val="19"/>
                <w:szCs w:val="19"/>
                <w:color w:val="auto"/>
              </w:rPr>
            </w:pPr>
          </w:p>
        </w:tc>
        <w:tc>
          <w:tcPr>
            <w:tcW w:w="2580" w:type="dxa"/>
            <w:vAlign w:val="bottom"/>
            <w:gridSpan w:val="2"/>
            <w:shd w:val="clear" w:color="auto" w:fill="CCEEFF"/>
          </w:tcPr>
          <w:p>
            <w:pPr>
              <w:jc w:val="center"/>
              <w:ind w:right="60"/>
              <w:spacing w:after="0" w:line="230" w:lineRule="exact"/>
              <w:rPr>
                <w:sz w:val="20"/>
                <w:szCs w:val="20"/>
                <w:color w:val="auto"/>
              </w:rPr>
            </w:pPr>
            <w:r>
              <w:rPr>
                <w:rFonts w:ascii="Arial" w:cs="Arial" w:eastAsia="Arial" w:hAnsi="Arial"/>
                <w:sz w:val="18"/>
                <w:szCs w:val="18"/>
                <w:color w:val="auto"/>
                <w:w w:val="86"/>
              </w:rPr>
              <w:t xml:space="preserve">and Terminal </w:t>
            </w:r>
            <w:r>
              <w:rPr>
                <w:rFonts w:ascii="Arial" w:cs="Arial" w:eastAsia="Arial" w:hAnsi="Arial"/>
                <w:sz w:val="23"/>
                <w:szCs w:val="23"/>
                <w:color w:val="auto"/>
                <w:w w:val="86"/>
                <w:vertAlign w:val="superscript"/>
              </w:rPr>
              <w:t>(2)</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Diamond Pipeline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Eagle Ford Terminals Corpus Christi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xml:space="preserve">Crude Oil Terminal and Dock </w:t>
            </w:r>
            <w:r>
              <w:rPr>
                <w:rFonts w:ascii="Arial" w:cs="Arial" w:eastAsia="Arial" w:hAnsi="Arial"/>
                <w:sz w:val="23"/>
                <w:szCs w:val="23"/>
                <w:color w:val="auto"/>
                <w:w w:val="90"/>
                <w:vertAlign w:val="superscript"/>
              </w:rPr>
              <w:t>(2)</w:t>
            </w:r>
          </w:p>
        </w:tc>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Midway Pipeline LLC</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Red Oak Pipeline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Saddlehorn Pipeline Company, LLC</w:t>
            </w:r>
          </w:p>
        </w:tc>
        <w:tc>
          <w:tcPr>
            <w:tcW w:w="2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Settoon Towing, LLC</w:t>
            </w:r>
          </w:p>
        </w:tc>
        <w:tc>
          <w:tcPr>
            <w:tcW w:w="2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Barge Transportation Services</w:t>
            </w:r>
          </w:p>
        </w:tc>
        <w:tc>
          <w:tcPr>
            <w:tcW w:w="1200" w:type="dxa"/>
            <w:vAlign w:val="bottom"/>
          </w:tcPr>
          <w:p>
            <w:pPr>
              <w:ind w:left="3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(2)</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Crude Oil Pipeline</w:t>
            </w:r>
          </w:p>
        </w:tc>
        <w:tc>
          <w:tcPr>
            <w:tcW w:w="1200" w:type="dxa"/>
            <w:vAlign w:val="bottom"/>
          </w:tcPr>
          <w:p>
            <w:pPr>
              <w:ind w:left="3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 xml:space="preserve">Crude Oil Pipeline </w:t>
            </w:r>
            <w:r>
              <w:rPr>
                <w:rFonts w:ascii="Arial" w:cs="Arial" w:eastAsia="Arial" w:hAnsi="Arial"/>
                <w:sz w:val="23"/>
                <w:szCs w:val="23"/>
                <w:color w:val="auto"/>
                <w:w w:val="90"/>
                <w:vertAlign w:val="superscript"/>
              </w:rPr>
              <w:t>(1)</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Asset is currently under construction or development by the entity and has not yet been placed in service.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serve as operator of the asset.</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8" w:name="page109"/>
    <w:bookmarkEnd w:id="10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price risk associated with the following commodities:</w:t>
      </w:r>
    </w:p>
    <w:p>
      <w:pPr>
        <w:spacing w:after="0" w:line="117"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3"/>
          <w:szCs w:val="13"/>
          <w:i w:val="1"/>
          <w:iCs w:val="1"/>
          <w:color w:val="auto"/>
        </w:rPr>
      </w:pPr>
      <w:r>
        <w:rPr>
          <w:rFonts w:ascii="Arial" w:cs="Arial" w:eastAsia="Arial" w:hAnsi="Arial"/>
          <w:sz w:val="18"/>
          <w:szCs w:val="18"/>
          <w:i w:val="1"/>
          <w:iCs w:val="1"/>
          <w:u w:val="single" w:color="auto"/>
          <w:color w:val="auto"/>
        </w:rPr>
        <w:t>Crude oil</w:t>
      </w:r>
    </w:p>
    <w:p>
      <w:pPr>
        <w:spacing w:after="0" w:line="117" w:lineRule="exact"/>
        <w:rPr>
          <w:rFonts w:ascii="Arial" w:cs="Arial" w:eastAsia="Arial" w:hAnsi="Arial"/>
          <w:sz w:val="13"/>
          <w:szCs w:val="13"/>
          <w:i w:val="1"/>
          <w:iCs w:val="1"/>
          <w:color w:val="auto"/>
        </w:rPr>
      </w:pPr>
    </w:p>
    <w:p>
      <w:pPr>
        <w:ind w:left="980" w:right="20"/>
        <w:spacing w:after="0" w:line="264" w:lineRule="auto"/>
        <w:rPr>
          <w:rFonts w:ascii="Arial" w:cs="Arial" w:eastAsia="Arial" w:hAnsi="Arial"/>
          <w:sz w:val="13"/>
          <w:szCs w:val="13"/>
          <w:i w:val="1"/>
          <w:iCs w:val="1"/>
          <w:color w:val="auto"/>
        </w:rPr>
      </w:pPr>
      <w:r>
        <w:rPr>
          <w:rFonts w:ascii="Arial" w:cs="Arial" w:eastAsia="Arial" w:hAnsi="Arial"/>
          <w:sz w:val="18"/>
          <w:szCs w:val="18"/>
          <w:color w:val="auto"/>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spacing w:after="0" w:line="73" w:lineRule="exact"/>
        <w:rPr>
          <w:rFonts w:ascii="Arial" w:cs="Arial" w:eastAsia="Arial" w:hAnsi="Arial"/>
          <w:sz w:val="13"/>
          <w:szCs w:val="13"/>
          <w:i w:val="1"/>
          <w:iCs w:val="1"/>
          <w:color w:val="auto"/>
        </w:rPr>
      </w:pPr>
    </w:p>
    <w:p>
      <w:pPr>
        <w:ind w:left="980" w:hanging="324"/>
        <w:spacing w:after="0"/>
        <w:tabs>
          <w:tab w:leader="none" w:pos="980" w:val="left"/>
        </w:tabs>
        <w:numPr>
          <w:ilvl w:val="0"/>
          <w:numId w:val="68"/>
        </w:numPr>
        <w:rPr>
          <w:rFonts w:ascii="Arial" w:cs="Arial" w:eastAsia="Arial" w:hAnsi="Arial"/>
          <w:sz w:val="13"/>
          <w:szCs w:val="13"/>
          <w:color w:val="auto"/>
        </w:rPr>
      </w:pPr>
      <w:r>
        <w:rPr>
          <w:rFonts w:ascii="Arial" w:cs="Arial" w:eastAsia="Arial" w:hAnsi="Arial"/>
          <w:sz w:val="18"/>
          <w:szCs w:val="18"/>
          <w:i w:val="1"/>
          <w:iCs w:val="1"/>
          <w:u w:val="single" w:color="auto"/>
          <w:color w:val="auto"/>
        </w:rPr>
        <w:t>Natural gas</w:t>
      </w:r>
    </w:p>
    <w:p>
      <w:pPr>
        <w:spacing w:after="0" w:line="117" w:lineRule="exact"/>
        <w:rPr>
          <w:rFonts w:ascii="Arial" w:cs="Arial" w:eastAsia="Arial" w:hAnsi="Arial"/>
          <w:sz w:val="13"/>
          <w:szCs w:val="13"/>
          <w:color w:val="auto"/>
        </w:rPr>
      </w:pPr>
    </w:p>
    <w:p>
      <w:pPr>
        <w:ind w:left="980"/>
        <w:spacing w:after="0" w:line="264" w:lineRule="auto"/>
        <w:rPr>
          <w:rFonts w:ascii="Arial" w:cs="Arial" w:eastAsia="Arial" w:hAnsi="Arial"/>
          <w:sz w:val="13"/>
          <w:szCs w:val="13"/>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spacing w:after="0" w:line="73" w:lineRule="exact"/>
        <w:rPr>
          <w:rFonts w:ascii="Arial" w:cs="Arial" w:eastAsia="Arial" w:hAnsi="Arial"/>
          <w:sz w:val="13"/>
          <w:szCs w:val="13"/>
          <w:color w:val="auto"/>
        </w:rPr>
      </w:pPr>
    </w:p>
    <w:p>
      <w:pPr>
        <w:ind w:left="980" w:hanging="324"/>
        <w:spacing w:after="0"/>
        <w:tabs>
          <w:tab w:leader="none" w:pos="980" w:val="left"/>
        </w:tabs>
        <w:numPr>
          <w:ilvl w:val="0"/>
          <w:numId w:val="68"/>
        </w:numPr>
        <w:rPr>
          <w:rFonts w:ascii="Arial" w:cs="Arial" w:eastAsia="Arial" w:hAnsi="Arial"/>
          <w:sz w:val="13"/>
          <w:szCs w:val="13"/>
          <w:color w:val="auto"/>
        </w:rPr>
      </w:pPr>
      <w:r>
        <w:rPr>
          <w:rFonts w:ascii="Arial" w:cs="Arial" w:eastAsia="Arial" w:hAnsi="Arial"/>
          <w:sz w:val="18"/>
          <w:szCs w:val="18"/>
          <w:i w:val="1"/>
          <w:iCs w:val="1"/>
          <w:u w:val="single" w:color="auto"/>
          <w:color w:val="auto"/>
        </w:rPr>
        <w:t>NGL and other</w:t>
      </w:r>
    </w:p>
    <w:p>
      <w:pPr>
        <w:spacing w:after="0" w:line="117" w:lineRule="exact"/>
        <w:rPr>
          <w:rFonts w:ascii="Arial" w:cs="Arial" w:eastAsia="Arial" w:hAnsi="Arial"/>
          <w:sz w:val="13"/>
          <w:szCs w:val="13"/>
          <w:color w:val="auto"/>
        </w:rPr>
      </w:pPr>
    </w:p>
    <w:p>
      <w:pPr>
        <w:ind w:left="980" w:right="80"/>
        <w:spacing w:after="0" w:line="264" w:lineRule="auto"/>
        <w:rPr>
          <w:rFonts w:ascii="Arial" w:cs="Arial" w:eastAsia="Arial" w:hAnsi="Arial"/>
          <w:sz w:val="13"/>
          <w:szCs w:val="13"/>
          <w:color w:val="auto"/>
        </w:rPr>
      </w:pPr>
      <w:r>
        <w:rPr>
          <w:rFonts w:ascii="Arial" w:cs="Arial" w:eastAsia="Arial" w:hAnsi="Arial"/>
          <w:sz w:val="18"/>
          <w:szCs w:val="18"/>
          <w:color w:val="auto"/>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13 to our Consolidated Financial Statements for further discussion regarding our hedging strategies and objectives.</w:t>
      </w:r>
    </w:p>
    <w:p>
      <w:pPr>
        <w:spacing w:after="0" w:line="25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December 31, 2019 that would be expected from a 10% price increase or decrease is shown in the table below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Effect of 10%</w:t>
            </w:r>
          </w:p>
        </w:tc>
        <w:tc>
          <w:tcPr>
            <w:tcW w:w="200" w:type="dxa"/>
            <w:vAlign w:val="bottom"/>
          </w:tcPr>
          <w:p>
            <w:pPr>
              <w:spacing w:after="0"/>
              <w:rPr>
                <w:sz w:val="14"/>
                <w:szCs w:val="14"/>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7"/>
              </w:rPr>
              <w:t>Effect of 10%</w:t>
            </w:r>
          </w:p>
        </w:tc>
        <w:tc>
          <w:tcPr>
            <w:tcW w:w="0" w:type="dxa"/>
            <w:vAlign w:val="bottom"/>
          </w:tcPr>
          <w:p>
            <w:pPr>
              <w:spacing w:after="0"/>
              <w:rPr>
                <w:sz w:val="1"/>
                <w:szCs w:val="1"/>
                <w:color w:val="auto"/>
              </w:rPr>
            </w:pPr>
          </w:p>
        </w:tc>
      </w:tr>
      <w:tr>
        <w:trPr>
          <w:trHeight w:val="188"/>
        </w:trPr>
        <w:tc>
          <w:tcPr>
            <w:tcW w:w="6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Price Increase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Price Decrease</w:t>
            </w:r>
          </w:p>
        </w:tc>
        <w:tc>
          <w:tcPr>
            <w:tcW w:w="0" w:type="dxa"/>
            <w:vAlign w:val="bottom"/>
          </w:tcPr>
          <w:p>
            <w:pPr>
              <w:spacing w:after="0"/>
              <w:rPr>
                <w:sz w:val="1"/>
                <w:szCs w:val="1"/>
                <w:color w:val="auto"/>
              </w:rPr>
            </w:pPr>
          </w:p>
        </w:tc>
      </w:tr>
      <w:tr>
        <w:trPr>
          <w:trHeight w:val="245"/>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260" w:type="dxa"/>
            <w:vAlign w:val="bottom"/>
          </w:tcPr>
          <w:p>
            <w:pPr>
              <w:spacing w:after="0"/>
              <w:rPr>
                <w:sz w:val="21"/>
                <w:szCs w:val="21"/>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7"/>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9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fair value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Our variable rate debt outstanding at December 31, 2019, approximately $618 million, was subject to interest rate re-sets that generally range from one day to approximately one month. The average interest rate on variable rate debt that was outstanding during the year ended December 31, 2019 was 3.0%, based upon rates in effect during the year. The fair value of our interest rate derivatives was a liability of $44 million as of December 31, 2019. A 10% increase in the forward LIBOR curve as of December 31, 2019 would have resulted in an increase of $9 million to the fair value of our interest rate derivatives. A 10% decrease in the forward LIBOR curve as of December 31, 2019 would have resulted in a decrease of $9 million to the fair value of our interest rate derivatives. See Note 13 to our Consolidated Financial Statements for a discussion of our interest rate risk hedging activities.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5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 of $1 million as of December 31, 2019. A 10% increase in the exchange rate (USD-to-CAD) would have resulted in a decrease of less than $1 million to the fair value of our foreign currency derivatives. A 10% decrease in the exchange rate (USD-to-CAD) would have resulted in an increase of less than $1 million to the fair value of our foreign currency derivatives. See Note 13 to our Consolidated Financial Statements for a discussion of our currency exchange rate risk hedging.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Distribution Rate Reset Option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Preferred Distribution Rate Reset Option of PAA’s Series A preferred units is an embedded derivative that must be bifurcated from the related host contract, PAA’s partnership agreement, and recorded at fair value in our Consolidated Balance Sheets. The valuation model utilized for this embedded derivative contains inputs including PAA’s common unit price, ten-year U.S. treasury rates, default probabilities and timing estimates to ultimately calculate the fair value of PAA’s Series A preferred units with and without the Preferred Distribution Rate Reset Option. The fair value of this embedded derivative was a liability of $34 million as of December 31, 2019. A 10% increase or decrease in the fair value would have an impact of $3 million. See Note 13 to our Consolidated Financial Statements for a discussion of embedded derivatives.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on page F-1.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14"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Applicable SEC rules require an evaluation of the effectiveness of our DCP. Management, under the supervision and with the participation of our Chief Executive Officer and Chief Financial Officer, has evaluated the effectiveness of our DCP as of December 31, 2019, the end of the period covered by this report, and, based on such evaluation, our Chief Executive Officer and Chief Financial Officer have concluded that our DCP is effective.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52"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“Internal control over financial reporting” is a process designed by, or under the supervision of, our Chief Executive Officer and our Chief Financial Officer, and effected by our Board of Directors, management and other personnel, to provide reasonable assurance regarding the reliability of financial reporting and the preparation of financial statements for external purposes in accordance with GAAP. Our management, including our Chief Executive Officer and our Chief Financial Officer, has evaluated the effectiveness of our internal control over financial reporting as of December 31, 2019. See “Management’s Report on Internal Control Over Financial Reporting” on page F-2 of our Consolidated Financial Statements.</w:t>
      </w:r>
    </w:p>
    <w:p>
      <w:pPr>
        <w:spacing w:after="0" w:line="20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independent registered public accounting firm, PricewaterhouseCoopers LLP, assessed the effectiveness of our internal control over financial reporting, as stated in the firm’s report. See “Report of Independent Registered Public Accounting Firm” on page F-3 of our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fourth quarter of 2019 that have materially affected, or are reasonably likely to materially affect, our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was no information that was required to be disclosed in a report on Form 8-K during the fourth quarter of 2019 that has not previously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1" w:name="page112"/>
    <w:bookmarkEnd w:id="111"/>
    <w:p>
      <w:pPr>
        <w:ind w:left="73"/>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32"/>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Our General Partner and Corporate Governance</w:t>
      </w:r>
    </w:p>
    <w:p>
      <w:pPr>
        <w:spacing w:after="0" w:line="189" w:lineRule="exact"/>
        <w:rPr>
          <w:sz w:val="20"/>
          <w:szCs w:val="20"/>
          <w:color w:val="auto"/>
        </w:rPr>
      </w:pPr>
    </w:p>
    <w:p>
      <w:pPr>
        <w:ind w:left="73"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139"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733"/>
        <w:spacing w:after="0"/>
        <w:rPr>
          <w:sz w:val="20"/>
          <w:szCs w:val="20"/>
          <w:color w:val="auto"/>
        </w:rPr>
      </w:pPr>
      <w:r>
        <w:rPr>
          <w:rFonts w:ascii="Arial" w:cs="Arial" w:eastAsia="Arial" w:hAnsi="Arial"/>
          <w:sz w:val="18"/>
          <w:szCs w:val="18"/>
          <w:color w:val="auto"/>
        </w:rPr>
        <w:t>As of the date of filing this report, the following individuals were serving as our executive officers and/or directors:</w:t>
      </w:r>
    </w:p>
    <w:p>
      <w:pPr>
        <w:sectPr>
          <w:pgSz w:w="11900" w:h="16838" w:orient="portrait"/>
          <w:cols w:equalWidth="0" w:num="1">
            <w:col w:w="11433"/>
          </w:cols>
          <w:pgMar w:left="167" w:top="125" w:right="299" w:bottom="1440" w:gutter="0" w:footer="0" w:header="0"/>
        </w:sectPr>
      </w:pPr>
    </w:p>
    <w:p>
      <w:pPr>
        <w:spacing w:after="0" w:line="230" w:lineRule="exact"/>
        <w:rPr>
          <w:sz w:val="20"/>
          <w:szCs w:val="20"/>
          <w:color w:val="auto"/>
        </w:rPr>
      </w:pPr>
    </w:p>
    <w:p>
      <w:pPr>
        <w:ind w:left="113"/>
        <w:spacing w:after="0"/>
        <w:rPr>
          <w:sz w:val="20"/>
          <w:szCs w:val="20"/>
          <w:color w:val="auto"/>
        </w:rPr>
      </w:pPr>
      <w:r>
        <w:rPr>
          <w:rFonts w:ascii="Arial" w:cs="Arial" w:eastAsia="Arial" w:hAnsi="Arial"/>
          <w:sz w:val="14"/>
          <w:szCs w:val="14"/>
          <w:b w:val="1"/>
          <w:bCs w:val="1"/>
          <w:color w:val="auto"/>
        </w:rPr>
        <w:t>Name</w:t>
      </w:r>
    </w:p>
    <w:p>
      <w:pPr>
        <w:spacing w:after="0" w:line="90"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Willie Chiang </w:t>
      </w:r>
      <w:r>
        <w:rPr>
          <w:rFonts w:ascii="Arial" w:cs="Arial" w:eastAsia="Arial" w:hAnsi="Arial"/>
          <w:sz w:val="23"/>
          <w:szCs w:val="23"/>
          <w:color w:val="auto"/>
          <w:vertAlign w:val="superscript"/>
        </w:rPr>
        <w:t>(1)(2)</w:t>
      </w:r>
    </w:p>
    <w:p>
      <w:pPr>
        <w:spacing w:after="0" w:line="22"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Harry N. Pefanis </w:t>
      </w:r>
      <w:r>
        <w:rPr>
          <w:rFonts w:ascii="Arial" w:cs="Arial" w:eastAsia="Arial" w:hAnsi="Arial"/>
          <w:sz w:val="23"/>
          <w:szCs w:val="23"/>
          <w:color w:val="auto"/>
          <w:vertAlign w:val="superscript"/>
        </w:rPr>
        <w:t>(1)(2)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Chris R. Chandler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Al Swanson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Jeremy L. Goebel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Richard K. McGee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Chris Herbold </w:t>
      </w:r>
      <w:r>
        <w:rPr>
          <w:rFonts w:ascii="Arial" w:cs="Arial" w:eastAsia="Arial" w:hAnsi="Arial"/>
          <w:sz w:val="23"/>
          <w:szCs w:val="23"/>
          <w:color w:val="auto"/>
          <w:vertAlign w:val="superscript"/>
        </w:rPr>
        <w:t>(1)</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Greg L. Armstrong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Victor Burk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Everardo Goyanes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Gary R. Petersen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7"/>
          <w:szCs w:val="17"/>
          <w:color w:val="auto"/>
        </w:rPr>
        <w:t xml:space="preserve">Alexandra D. Pruner </w:t>
      </w:r>
      <w:r>
        <w:rPr>
          <w:rFonts w:ascii="Arial" w:cs="Arial" w:eastAsia="Arial" w:hAnsi="Arial"/>
          <w:sz w:val="22"/>
          <w:szCs w:val="22"/>
          <w:color w:val="auto"/>
          <w:vertAlign w:val="superscript"/>
        </w:rPr>
        <w:t>(2)</w:t>
      </w:r>
    </w:p>
    <w:p>
      <w:pPr>
        <w:spacing w:after="0" w:line="17"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John T. Raymond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Bobby S. Shackouls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Robert V. Sinnott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8"/>
          <w:szCs w:val="18"/>
          <w:color w:val="auto"/>
        </w:rPr>
        <w:t xml:space="preserve">J. Taft Symonds </w:t>
      </w:r>
      <w:r>
        <w:rPr>
          <w:rFonts w:ascii="Arial" w:cs="Arial" w:eastAsia="Arial" w:hAnsi="Arial"/>
          <w:sz w:val="23"/>
          <w:szCs w:val="23"/>
          <w:color w:val="auto"/>
          <w:vertAlign w:val="superscript"/>
        </w:rPr>
        <w:t>(2)</w:t>
      </w:r>
    </w:p>
    <w:p>
      <w:pPr>
        <w:spacing w:after="0" w:line="6" w:lineRule="exact"/>
        <w:rPr>
          <w:sz w:val="20"/>
          <w:szCs w:val="20"/>
          <w:color w:val="auto"/>
        </w:rPr>
      </w:pPr>
    </w:p>
    <w:p>
      <w:pPr>
        <w:ind w:left="113"/>
        <w:spacing w:after="0"/>
        <w:rPr>
          <w:sz w:val="20"/>
          <w:szCs w:val="20"/>
          <w:color w:val="auto"/>
        </w:rPr>
      </w:pPr>
      <w:r>
        <w:rPr>
          <w:rFonts w:ascii="Arial" w:cs="Arial" w:eastAsia="Arial" w:hAnsi="Arial"/>
          <w:sz w:val="16"/>
          <w:szCs w:val="16"/>
          <w:color w:val="auto"/>
        </w:rPr>
        <w:t xml:space="preserve">Christopher M. Temple </w:t>
      </w:r>
      <w:r>
        <w:rPr>
          <w:rFonts w:ascii="Arial" w:cs="Arial" w:eastAsia="Arial" w:hAnsi="Arial"/>
          <w:sz w:val="20"/>
          <w:szCs w:val="20"/>
          <w:color w:val="auto"/>
          <w:vertAlign w:val="superscript"/>
        </w:rPr>
        <w:t>(2)</w:t>
      </w:r>
    </w:p>
    <w:p>
      <w:pPr>
        <w:spacing w:after="0" w:line="40" w:lineRule="exact"/>
        <w:rPr>
          <w:sz w:val="20"/>
          <w:szCs w:val="20"/>
          <w:color w:val="auto"/>
        </w:rPr>
      </w:pPr>
    </w:p>
    <w:p>
      <w:pPr>
        <w:ind w:left="113"/>
        <w:spacing w:after="0"/>
        <w:rPr>
          <w:sz w:val="20"/>
          <w:szCs w:val="20"/>
          <w:color w:val="auto"/>
        </w:rPr>
      </w:pPr>
      <w:r>
        <w:rPr>
          <w:rFonts w:ascii="Arial" w:cs="Arial" w:eastAsia="Arial" w:hAnsi="Arial"/>
          <w:sz w:val="17"/>
          <w:szCs w:val="17"/>
          <w:color w:val="auto"/>
        </w:rPr>
        <w:t xml:space="preserve">Lawrence M. Ziemba </w:t>
      </w:r>
      <w:r>
        <w:rPr>
          <w:rFonts w:ascii="Arial" w:cs="Arial" w:eastAsia="Arial" w:hAnsi="Arial"/>
          <w:sz w:val="22"/>
          <w:szCs w:val="22"/>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250190</wp:posOffset>
            </wp:positionV>
            <wp:extent cx="23241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Occupation or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23495</wp:posOffset>
            </wp:positionV>
            <wp:extent cx="7220585"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20585" cy="18034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Operating Officer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 Commercial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Senior Advisor to the Chief Executive Officer (former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46355</wp:posOffset>
            </wp:positionV>
            <wp:extent cx="722058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Alvarez and Marsal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Founder, Ex Cathedra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 EnCap Investments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Senior Advisor, Perella Weinberg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Managing Partner and Chief Executive Officer, The Energy &amp; Minerals Group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and CEO, Burlington Resources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Co-Chairman, Kayne Anderson Capital Advisors, L.P.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Chairman, Symonds Investment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-1691640</wp:posOffset>
            </wp:positionH>
            <wp:positionV relativeFrom="paragraph">
              <wp:posOffset>31750</wp:posOffset>
            </wp:positionV>
            <wp:extent cx="7220585"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President, DelTex Capital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Former Executive Vice President, Refining, Phillips 66</w:t>
      </w:r>
    </w:p>
    <w:p>
      <w:pPr>
        <w:spacing w:after="0" w:line="288" w:lineRule="exact"/>
        <w:rPr>
          <w:sz w:val="20"/>
          <w:szCs w:val="20"/>
          <w:color w:val="auto"/>
        </w:rPr>
      </w:pPr>
    </w:p>
    <w:p>
      <w:pPr>
        <w:sectPr>
          <w:pgSz w:w="11900" w:h="16838" w:orient="portrait"/>
          <w:cols w:equalWidth="0" w:num="2">
            <w:col w:w="2053" w:space="720"/>
            <w:col w:w="8660"/>
          </w:cols>
          <w:pgMar w:left="167" w:top="125" w:right="299" w:bottom="1440" w:gutter="0" w:footer="0" w:header="0"/>
          <w:type w:val="continuous"/>
        </w:sectPr>
      </w:pPr>
    </w:p>
    <w:p>
      <w:pPr>
        <w:spacing w:after="0" w:line="267" w:lineRule="exact"/>
        <w:rPr>
          <w:sz w:val="20"/>
          <w:szCs w:val="20"/>
          <w:color w:val="auto"/>
        </w:rPr>
      </w:pPr>
    </w:p>
    <w:p>
      <w:pPr>
        <w:ind w:left="233" w:hanging="233"/>
        <w:spacing w:after="0"/>
        <w:tabs>
          <w:tab w:leader="none" w:pos="233"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Executive officer (for purposes of Item 401(b) of Regulation S-K)</w:t>
      </w:r>
    </w:p>
    <w:p>
      <w:pPr>
        <w:spacing w:after="0" w:line="1" w:lineRule="exact"/>
        <w:rPr>
          <w:rFonts w:ascii="Arial" w:cs="Arial" w:eastAsia="Arial" w:hAnsi="Arial"/>
          <w:sz w:val="23"/>
          <w:szCs w:val="23"/>
          <w:color w:val="auto"/>
          <w:vertAlign w:val="superscript"/>
        </w:rPr>
      </w:pPr>
    </w:p>
    <w:p>
      <w:pPr>
        <w:ind w:left="233" w:hanging="233"/>
        <w:spacing w:after="0" w:line="194" w:lineRule="auto"/>
        <w:tabs>
          <w:tab w:leader="none" w:pos="233" w:val="left"/>
        </w:tabs>
        <w:numPr>
          <w:ilvl w:val="0"/>
          <w:numId w:val="69"/>
        </w:numPr>
        <w:rPr>
          <w:rFonts w:ascii="Arial" w:cs="Arial" w:eastAsia="Arial" w:hAnsi="Arial"/>
          <w:sz w:val="23"/>
          <w:szCs w:val="23"/>
          <w:color w:val="auto"/>
          <w:vertAlign w:val="superscript"/>
        </w:rPr>
      </w:pPr>
      <w:r>
        <w:rPr>
          <w:rFonts w:ascii="Arial" w:cs="Arial" w:eastAsia="Arial" w:hAnsi="Arial"/>
          <w:sz w:val="18"/>
          <w:szCs w:val="18"/>
          <w:color w:val="auto"/>
        </w:rPr>
        <w:t>Director</w:t>
      </w:r>
    </w:p>
    <w:p>
      <w:pPr>
        <w:spacing w:after="0" w:line="229" w:lineRule="exact"/>
        <w:rPr>
          <w:sz w:val="20"/>
          <w:szCs w:val="20"/>
          <w:color w:val="auto"/>
        </w:rPr>
      </w:pPr>
    </w:p>
    <w:p>
      <w:pPr>
        <w:ind w:left="73" w:right="40" w:firstLine="648"/>
        <w:spacing w:after="0" w:line="277" w:lineRule="auto"/>
        <w:rPr>
          <w:sz w:val="20"/>
          <w:szCs w:val="20"/>
          <w:color w:val="auto"/>
        </w:rPr>
      </w:pPr>
      <w:r>
        <w:rPr>
          <w:rFonts w:ascii="Arial" w:cs="Arial" w:eastAsia="Arial" w:hAnsi="Arial"/>
          <w:sz w:val="18"/>
          <w:szCs w:val="18"/>
          <w:color w:val="auto"/>
        </w:rPr>
        <w:t xml:space="preserve">A complete list of our officers, including the executive officers listed above, is available on our website at </w:t>
      </w:r>
      <w:r>
        <w:rPr>
          <w:rFonts w:ascii="Arial" w:cs="Arial" w:eastAsia="Arial" w:hAnsi="Arial"/>
          <w:sz w:val="18"/>
          <w:szCs w:val="18"/>
          <w:i w:val="1"/>
          <w:iCs w:val="1"/>
          <w:color w:val="auto"/>
        </w:rPr>
        <w:t>www.plainsallamerican.com</w:t>
      </w:r>
      <w:r>
        <w:rPr>
          <w:rFonts w:ascii="Arial" w:cs="Arial" w:eastAsia="Arial" w:hAnsi="Arial"/>
          <w:sz w:val="18"/>
          <w:szCs w:val="18"/>
          <w:color w:val="auto"/>
        </w:rPr>
        <w:t xml:space="preserve"> under About Us—Leadership.</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02" w:lineRule="exact"/>
        <w:rPr>
          <w:sz w:val="20"/>
          <w:szCs w:val="20"/>
          <w:color w:val="auto"/>
        </w:rPr>
      </w:pPr>
    </w:p>
    <w:p>
      <w:pPr>
        <w:ind w:left="73"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193"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89" w:lineRule="exact"/>
        <w:rPr>
          <w:sz w:val="20"/>
          <w:szCs w:val="20"/>
          <w:color w:val="auto"/>
        </w:rPr>
      </w:pPr>
    </w:p>
    <w:p>
      <w:pPr>
        <w:ind w:left="73"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2"/>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70485</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33"/>
          </w:cols>
          <w:pgMar w:left="167" w:top="125" w:right="29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will be set forth in the Proxy Statement for our 2020 Annual Meeting, which will be filed with the SEC within 120 days after the end of the fiscal year ended December 31, 2019,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52" w:lineRule="exact"/>
        <w:rPr>
          <w:sz w:val="20"/>
          <w:szCs w:val="20"/>
          <w:color w:val="auto"/>
        </w:rPr>
      </w:pPr>
    </w:p>
    <w:p>
      <w:pPr>
        <w:ind w:left="580" w:hanging="248"/>
        <w:spacing w:after="0"/>
        <w:tabs>
          <w:tab w:leader="none" w:pos="5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“Index to the Consolidated Financial Statements” set forth on Page F-1.</w:t>
      </w:r>
    </w:p>
    <w:p>
      <w:pPr>
        <w:spacing w:after="0" w:line="252" w:lineRule="exact"/>
        <w:rPr>
          <w:sz w:val="20"/>
          <w:szCs w:val="20"/>
          <w:color w:val="auto"/>
        </w:rPr>
      </w:pPr>
    </w:p>
    <w:p>
      <w:pPr>
        <w:ind w:left="920" w:hanging="264"/>
        <w:spacing w:after="0"/>
        <w:tabs>
          <w:tab w:leader="none" w:pos="920" w:val="left"/>
        </w:tabs>
        <w:numPr>
          <w:ilvl w:val="0"/>
          <w:numId w:val="71"/>
        </w:numPr>
        <w:rPr>
          <w:rFonts w:ascii="Arial" w:cs="Arial" w:eastAsia="Arial" w:hAnsi="Arial"/>
          <w:sz w:val="18"/>
          <w:szCs w:val="18"/>
          <w:b w:val="1"/>
          <w:bCs w:val="1"/>
          <w:color w:val="auto"/>
        </w:rPr>
      </w:pPr>
      <w:r>
        <w:rPr>
          <w:rFonts w:ascii="Arial" w:cs="Arial" w:eastAsia="Arial" w:hAnsi="Arial"/>
          <w:sz w:val="18"/>
          <w:szCs w:val="18"/>
          <w:i w:val="1"/>
          <w:iCs w:val="1"/>
          <w:color w:val="auto"/>
        </w:rPr>
        <w:t>Financial Statement Schedules</w:t>
      </w:r>
    </w:p>
    <w:p>
      <w:pPr>
        <w:spacing w:after="0" w:line="25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All schedules are omitted because they are either not applicable or the required information is shown in the Consolidated Financial Statements or notes thereto.</w:t>
      </w:r>
    </w:p>
    <w:p>
      <w:pPr>
        <w:spacing w:after="0" w:line="197" w:lineRule="exact"/>
        <w:rPr>
          <w:sz w:val="20"/>
          <w:szCs w:val="20"/>
          <w:color w:val="auto"/>
        </w:rPr>
      </w:pPr>
    </w:p>
    <w:p>
      <w:pPr>
        <w:ind w:left="920" w:hanging="264"/>
        <w:spacing w:after="0"/>
        <w:tabs>
          <w:tab w:leader="none" w:pos="920" w:val="left"/>
        </w:tabs>
        <w:numPr>
          <w:ilvl w:val="0"/>
          <w:numId w:val="72"/>
        </w:numPr>
        <w:rPr>
          <w:rFonts w:ascii="Arial" w:cs="Arial" w:eastAsia="Arial" w:hAnsi="Arial"/>
          <w:sz w:val="18"/>
          <w:szCs w:val="18"/>
          <w:b w:val="1"/>
          <w:bCs w:val="1"/>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24"/>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8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2.1*</w:t>
            </w:r>
          </w:p>
        </w:tc>
        <w:tc>
          <w:tcPr>
            <w:tcW w:w="540" w:type="dxa"/>
            <w:vAlign w:val="bottom"/>
          </w:tcPr>
          <w:p>
            <w:pPr>
              <w:ind w:left="180"/>
              <w:spacing w:after="0" w:line="182"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tcPr>
          <w:p>
            <w:pPr>
              <w:spacing w:after="0"/>
              <w:rPr>
                <w:sz w:val="15"/>
                <w:szCs w:val="15"/>
                <w:color w:val="auto"/>
              </w:rPr>
            </w:pPr>
          </w:p>
        </w:tc>
        <w:tc>
          <w:tcPr>
            <w:tcW w:w="9640" w:type="dxa"/>
            <w:vAlign w:val="bottom"/>
            <w:tcBorders>
              <w:top w:val="single" w:sz="8" w:color="auto"/>
              <w:bottom w:val="single" w:sz="8" w:color="0000FF"/>
            </w:tcBorders>
            <w:gridSpan w:val="20"/>
          </w:tcPr>
          <w:p>
            <w:pPr>
              <w:spacing w:after="0" w:line="170" w:lineRule="exact"/>
              <w:rPr>
                <w:rFonts w:ascii="Arial" w:cs="Arial" w:eastAsia="Arial" w:hAnsi="Arial"/>
                <w:sz w:val="18"/>
                <w:szCs w:val="18"/>
                <w:color w:val="0000FF"/>
                <w:w w:val="89"/>
              </w:rPr>
            </w:pPr>
            <w:hyperlink r:id="rId215">
              <w:r>
                <w:rPr>
                  <w:rFonts w:ascii="Arial" w:cs="Arial" w:eastAsia="Arial" w:hAnsi="Arial"/>
                  <w:sz w:val="18"/>
                  <w:szCs w:val="18"/>
                  <w:color w:val="0000FF"/>
                  <w:w w:val="89"/>
                </w:rPr>
                <w:t>Share Purchase Agreement dated December 1, 2011 by and among Amoco Canada International Holdings B.V. and Plains Midstream</w:t>
              </w:r>
            </w:hyperlink>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bottom w:val="single" w:sz="8" w:color="0000FF"/>
            </w:tcBorders>
            <w:gridSpan w:val="20"/>
          </w:tcPr>
          <w:p>
            <w:pPr>
              <w:spacing w:after="0" w:line="156" w:lineRule="exact"/>
              <w:rPr>
                <w:rFonts w:ascii="Arial" w:cs="Arial" w:eastAsia="Arial" w:hAnsi="Arial"/>
                <w:sz w:val="18"/>
                <w:szCs w:val="18"/>
                <w:color w:val="0000FF"/>
                <w:w w:val="90"/>
              </w:rPr>
            </w:pPr>
            <w:hyperlink r:id="rId215">
              <w:r>
                <w:rPr>
                  <w:rFonts w:ascii="Arial" w:cs="Arial" w:eastAsia="Arial" w:hAnsi="Arial"/>
                  <w:sz w:val="18"/>
                  <w:szCs w:val="18"/>
                  <w:color w:val="0000FF"/>
                  <w:w w:val="90"/>
                </w:rPr>
                <w:t>Canada ULC (the schedules and exhibits have been omitted pursuant to Item 601(b)(2) of Regulation S-K) (incorporated by reference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6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215">
              <w:r>
                <w:rPr>
                  <w:rFonts w:ascii="Arial" w:cs="Arial" w:eastAsia="Arial" w:hAnsi="Arial"/>
                  <w:sz w:val="18"/>
                  <w:szCs w:val="18"/>
                  <w:color w:val="0000FF"/>
                  <w:w w:val="91"/>
                </w:rPr>
                <w:t>to Exhibit 2.1 to PAA’s Annual Report on Form 10-K for the year ended December 31, 2011).</w:t>
              </w:r>
            </w:hyperlink>
          </w:p>
        </w:tc>
        <w:tc>
          <w:tcPr>
            <w:tcW w:w="292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2.2</w:t>
            </w:r>
          </w:p>
        </w:tc>
        <w:tc>
          <w:tcPr>
            <w:tcW w:w="10340" w:type="dxa"/>
            <w:vAlign w:val="bottom"/>
            <w:gridSpan w:val="29"/>
          </w:tcPr>
          <w:p>
            <w:pPr>
              <w:ind w:left="18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16">
              <w:r>
                <w:rPr>
                  <w:rFonts w:ascii="Arial" w:cs="Arial" w:eastAsia="Arial" w:hAnsi="Arial"/>
                  <w:sz w:val="18"/>
                  <w:szCs w:val="18"/>
                  <w:color w:val="0000FF"/>
                  <w:w w:val="96"/>
                </w:rPr>
                <w:t>Agreement and Plan of Merger dated as of October 21, 2013, by and among Plains All American Pipeline, L.P., PAA Acquisition</w:t>
              </w:r>
            </w:hyperlink>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7"/>
          </w:tcPr>
          <w:p>
            <w:pPr>
              <w:spacing w:after="0" w:line="156" w:lineRule="exact"/>
              <w:rPr>
                <w:rFonts w:ascii="Arial" w:cs="Arial" w:eastAsia="Arial" w:hAnsi="Arial"/>
                <w:sz w:val="18"/>
                <w:szCs w:val="18"/>
                <w:color w:val="0000FF"/>
                <w:w w:val="92"/>
              </w:rPr>
            </w:pPr>
            <w:hyperlink r:id="rId216">
              <w:r>
                <w:rPr>
                  <w:rFonts w:ascii="Arial" w:cs="Arial" w:eastAsia="Arial" w:hAnsi="Arial"/>
                  <w:sz w:val="18"/>
                  <w:szCs w:val="18"/>
                  <w:color w:val="0000FF"/>
                  <w:w w:val="92"/>
                </w:rPr>
                <w:t>Company LLC, PAA Natural Gas Storage, L.P. and PNGS GP LLC (incorporated by reference to Exhibit 2.1 to PAA’s Current Report</w:t>
              </w:r>
            </w:hyperlink>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16">
              <w:r>
                <w:rPr>
                  <w:rFonts w:ascii="Arial" w:cs="Arial" w:eastAsia="Arial" w:hAnsi="Arial"/>
                  <w:sz w:val="18"/>
                  <w:szCs w:val="18"/>
                  <w:color w:val="0000FF"/>
                </w:rPr>
                <w:t>on Form 8-K filed October 24,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2.3**</w:t>
            </w:r>
          </w:p>
        </w:tc>
        <w:tc>
          <w:tcPr>
            <w:tcW w:w="10340" w:type="dxa"/>
            <w:vAlign w:val="bottom"/>
            <w:gridSpan w:val="29"/>
          </w:tcPr>
          <w:p>
            <w:pPr>
              <w:ind w:left="18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17">
              <w:r>
                <w:rPr>
                  <w:rFonts w:ascii="Arial" w:cs="Arial" w:eastAsia="Arial" w:hAnsi="Arial"/>
                  <w:sz w:val="18"/>
                  <w:szCs w:val="18"/>
                  <w:color w:val="0000FF"/>
                  <w:w w:val="97"/>
                </w:rPr>
                <w:t>Simplification Agreement, dated as of July 11, 2016, by and among PAA GP Holdings LLC, Plains GP Holdings, L.P., Plains All</w:t>
              </w:r>
            </w:hyperlink>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14"/>
          </w:tcPr>
          <w:p>
            <w:pPr>
              <w:spacing w:after="0" w:line="156" w:lineRule="exact"/>
              <w:rPr>
                <w:rFonts w:ascii="Arial" w:cs="Arial" w:eastAsia="Arial" w:hAnsi="Arial"/>
                <w:sz w:val="18"/>
                <w:szCs w:val="18"/>
                <w:color w:val="0000FF"/>
                <w:w w:val="92"/>
              </w:rPr>
            </w:pPr>
            <w:hyperlink r:id="rId217">
              <w:r>
                <w:rPr>
                  <w:rFonts w:ascii="Arial" w:cs="Arial" w:eastAsia="Arial" w:hAnsi="Arial"/>
                  <w:sz w:val="18"/>
                  <w:szCs w:val="18"/>
                  <w:color w:val="0000FF"/>
                  <w:w w:val="92"/>
                </w:rPr>
                <w:t>American GP LLC, Plains AAP, L.P., PAA GP LLC and Plains All American Pipeline, L.P. (incorporated by reference to Exhibit</w:t>
              </w:r>
            </w:hyperlink>
          </w:p>
        </w:tc>
        <w:tc>
          <w:tcPr>
            <w:tcW w:w="260" w:type="dxa"/>
            <w:vAlign w:val="bottom"/>
            <w:gridSpan w:val="4"/>
          </w:tcPr>
          <w:p>
            <w:pPr>
              <w:jc w:val="right"/>
              <w:ind w:right="40"/>
              <w:spacing w:after="0" w:line="156" w:lineRule="exact"/>
              <w:rPr>
                <w:rFonts w:ascii="Arial" w:cs="Arial" w:eastAsia="Arial" w:hAnsi="Arial"/>
                <w:sz w:val="18"/>
                <w:szCs w:val="18"/>
                <w:color w:val="0000FF"/>
                <w:w w:val="79"/>
              </w:rPr>
            </w:pPr>
            <w:hyperlink r:id="rId217">
              <w:r>
                <w:rPr>
                  <w:rFonts w:ascii="Arial" w:cs="Arial" w:eastAsia="Arial" w:hAnsi="Arial"/>
                  <w:sz w:val="18"/>
                  <w:szCs w:val="18"/>
                  <w:color w:val="0000FF"/>
                  <w:w w:val="79"/>
                </w:rPr>
                <w:t>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17">
              <w:r>
                <w:rPr>
                  <w:rFonts w:ascii="Arial" w:cs="Arial" w:eastAsia="Arial" w:hAnsi="Arial"/>
                  <w:sz w:val="18"/>
                  <w:szCs w:val="18"/>
                  <w:color w:val="0000FF"/>
                </w:rPr>
                <w:t>to PAA’s Current Report on Form 8-K filed July 14, 2016).</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40" w:type="dxa"/>
            <w:vAlign w:val="bottom"/>
            <w:tcBorders>
              <w:bottom w:val="single" w:sz="8" w:color="0000FF"/>
            </w:tcBorders>
            <w:gridSpan w:val="25"/>
          </w:tcPr>
          <w:p>
            <w:pPr>
              <w:spacing w:after="0"/>
              <w:rPr>
                <w:rFonts w:ascii="Arial" w:cs="Arial" w:eastAsia="Arial" w:hAnsi="Arial"/>
                <w:sz w:val="18"/>
                <w:szCs w:val="18"/>
                <w:color w:val="0000FF"/>
                <w:w w:val="90"/>
              </w:rPr>
            </w:pPr>
            <w:hyperlink r:id="rId218">
              <w:r>
                <w:rPr>
                  <w:rFonts w:ascii="Arial" w:cs="Arial" w:eastAsia="Arial" w:hAnsi="Arial"/>
                  <w:sz w:val="18"/>
                  <w:szCs w:val="18"/>
                  <w:color w:val="0000FF"/>
                  <w:w w:val="90"/>
                </w:rPr>
                <w:t>Securities Purchase Agreement dated as of January 19, 2017 by and between COG Operating LLC, as seller, and Plains Pipeline, L.P.,</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gridSpan w:val="25"/>
          </w:tcPr>
          <w:p>
            <w:pPr>
              <w:spacing w:after="0" w:line="156"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as purchaser (the schedules and exhibits have been omitted pursuant to Item 601(b)(2) of Regulation S-K) (incorporated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to Exhibit 2.1 to PAA’s Quarterly Report on Form 10-Q for the quarter ended March 31, 2017).</w:t>
              </w:r>
            </w:hyperlink>
          </w:p>
        </w:tc>
        <w:tc>
          <w:tcPr>
            <w:tcW w:w="27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2.5**</w:t>
            </w:r>
          </w:p>
        </w:tc>
        <w:tc>
          <w:tcPr>
            <w:tcW w:w="10340" w:type="dxa"/>
            <w:vAlign w:val="bottom"/>
            <w:gridSpan w:val="29"/>
          </w:tcPr>
          <w:p>
            <w:pPr>
              <w:ind w:left="18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19">
              <w:r>
                <w:rPr>
                  <w:rFonts w:ascii="Arial" w:cs="Arial" w:eastAsia="Arial" w:hAnsi="Arial"/>
                  <w:sz w:val="18"/>
                  <w:szCs w:val="18"/>
                  <w:color w:val="0000FF"/>
                  <w:w w:val="92"/>
                </w:rPr>
                <w:t>Securities Purchase Agreement dated as of January 19, 2017 by and between Frontier Midstream Solutions, LLC, as seller, and Plains</w:t>
              </w:r>
            </w:hyperlink>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89"/>
              </w:rPr>
            </w:pPr>
            <w:hyperlink r:id="rId219">
              <w:r>
                <w:rPr>
                  <w:rFonts w:ascii="Arial" w:cs="Arial" w:eastAsia="Arial" w:hAnsi="Arial"/>
                  <w:sz w:val="18"/>
                  <w:szCs w:val="18"/>
                  <w:color w:val="0000FF"/>
                  <w:w w:val="89"/>
                </w:rPr>
                <w:t>Pipeline, L.P., as purchaser (the schedules and exhibits have been omitted pursuant to Item 601(b)(2) of Regulation S-K) (incorporated</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219">
              <w:r>
                <w:rPr>
                  <w:rFonts w:ascii="Arial" w:cs="Arial" w:eastAsia="Arial" w:hAnsi="Arial"/>
                  <w:sz w:val="18"/>
                  <w:szCs w:val="18"/>
                  <w:color w:val="0000FF"/>
                  <w:w w:val="91"/>
                </w:rPr>
                <w:t>by reference to Exhibit 2.2 to PAA’s Quarterly Report on Form 10-Q for the quarter ended March 31, 2017).</w:t>
              </w:r>
            </w:hyperlink>
          </w:p>
        </w:tc>
        <w:tc>
          <w:tcPr>
            <w:tcW w:w="196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720" w:type="dxa"/>
            <w:vAlign w:val="bottom"/>
            <w:tcBorders>
              <w:bottom w:val="single" w:sz="8" w:color="0000FF"/>
            </w:tcBorders>
            <w:gridSpan w:val="24"/>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Seventh Amended and Restated Agreement of Limited Partnership of Plains All American Pipeline, L.P. dated as of October 10, 2017</w:t>
              </w:r>
            </w:hyperlink>
          </w:p>
        </w:tc>
        <w:tc>
          <w:tcPr>
            <w:tcW w:w="60" w:type="dxa"/>
            <w:vAlign w:val="bottom"/>
            <w:gridSpan w:val="3"/>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2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220">
              <w:r>
                <w:rPr>
                  <w:rFonts w:ascii="Arial" w:cs="Arial" w:eastAsia="Arial" w:hAnsi="Arial"/>
                  <w:sz w:val="18"/>
                  <w:szCs w:val="18"/>
                  <w:color w:val="0000FF"/>
                  <w:w w:val="91"/>
                </w:rPr>
                <w:t>(incorporated by reference to Exhibit 3.1 to PAA’s Current Report on Form 8-K filed October 12, 2017).</w:t>
              </w:r>
            </w:hyperlink>
          </w:p>
        </w:tc>
        <w:tc>
          <w:tcPr>
            <w:tcW w:w="2200" w:type="dxa"/>
            <w:vAlign w:val="bottom"/>
            <w:gridSpan w:val="15"/>
          </w:tcPr>
          <w:p>
            <w:pPr>
              <w:spacing w:after="0"/>
              <w:rPr>
                <w:sz w:val="13"/>
                <w:szCs w:val="13"/>
                <w:color w:val="auto"/>
              </w:rPr>
            </w:pPr>
          </w:p>
        </w:tc>
        <w:tc>
          <w:tcPr>
            <w:tcW w:w="60" w:type="dxa"/>
            <w:vAlign w:val="bottom"/>
            <w:gridSpan w:val="3"/>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40" w:type="dxa"/>
            <w:vAlign w:val="bottom"/>
            <w:tcBorders>
              <w:bottom w:val="single" w:sz="8" w:color="0000FF"/>
            </w:tcBorders>
            <w:gridSpan w:val="16"/>
          </w:tcPr>
          <w:p>
            <w:pPr>
              <w:spacing w:after="0"/>
              <w:rPr>
                <w:rFonts w:ascii="Arial" w:cs="Arial" w:eastAsia="Arial" w:hAnsi="Arial"/>
                <w:sz w:val="18"/>
                <w:szCs w:val="18"/>
                <w:color w:val="0000FF"/>
                <w:w w:val="91"/>
              </w:rPr>
            </w:pPr>
            <w:hyperlink r:id="rId221">
              <w:r>
                <w:rPr>
                  <w:rFonts w:ascii="Arial" w:cs="Arial" w:eastAsia="Arial" w:hAnsi="Arial"/>
                  <w:sz w:val="18"/>
                  <w:szCs w:val="18"/>
                  <w:color w:val="0000FF"/>
                  <w:w w:val="91"/>
                </w:rPr>
                <w:t>Seventh Amended and Restated Limited Liability Company Agreement of Plains All American GP LLC dated November 15, 2016</w:t>
              </w:r>
            </w:hyperlink>
          </w:p>
        </w:tc>
        <w:tc>
          <w:tcPr>
            <w:tcW w:w="180" w:type="dxa"/>
            <w:vAlign w:val="bottom"/>
            <w:gridSpan w:val="3"/>
          </w:tcPr>
          <w:p>
            <w:pPr>
              <w:spacing w:after="0"/>
              <w:rPr>
                <w:sz w:val="24"/>
                <w:szCs w:val="24"/>
                <w:color w:val="auto"/>
              </w:rPr>
            </w:pPr>
          </w:p>
        </w:tc>
        <w:tc>
          <w:tcPr>
            <w:tcW w:w="160" w:type="dxa"/>
            <w:vAlign w:val="bottom"/>
            <w:gridSpan w:val="8"/>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gridSpan w:val="16"/>
          </w:tcPr>
          <w:p>
            <w:pPr>
              <w:spacing w:after="0" w:line="156" w:lineRule="exact"/>
              <w:rPr>
                <w:rFonts w:ascii="Arial" w:cs="Arial" w:eastAsia="Arial" w:hAnsi="Arial"/>
                <w:sz w:val="18"/>
                <w:szCs w:val="18"/>
                <w:color w:val="0000FF"/>
              </w:rPr>
            </w:pPr>
            <w:hyperlink r:id="rId221">
              <w:r>
                <w:rPr>
                  <w:rFonts w:ascii="Arial" w:cs="Arial" w:eastAsia="Arial" w:hAnsi="Arial"/>
                  <w:sz w:val="18"/>
                  <w:szCs w:val="18"/>
                  <w:color w:val="0000FF"/>
                </w:rPr>
                <w:t>(incorporated by reference to Exhibit 3.3 to our Current Report on Form 8-K filed November 21, 2016).</w:t>
              </w:r>
            </w:hyperlink>
          </w:p>
        </w:tc>
        <w:tc>
          <w:tcPr>
            <w:tcW w:w="180" w:type="dxa"/>
            <w:vAlign w:val="bottom"/>
            <w:gridSpan w:val="3"/>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3.3</w:t>
            </w:r>
          </w:p>
        </w:tc>
        <w:tc>
          <w:tcPr>
            <w:tcW w:w="10340" w:type="dxa"/>
            <w:vAlign w:val="bottom"/>
            <w:gridSpan w:val="29"/>
          </w:tcPr>
          <w:p>
            <w:pPr>
              <w:ind w:left="18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222">
              <w:r>
                <w:rPr>
                  <w:rFonts w:ascii="Arial" w:cs="Arial" w:eastAsia="Arial" w:hAnsi="Arial"/>
                  <w:sz w:val="18"/>
                  <w:szCs w:val="18"/>
                  <w:color w:val="0000FF"/>
                  <w:w w:val="98"/>
                </w:rPr>
                <w:t>Eighth Amended and Restated Limited Partnership Agreement of Plains AAP, L.P. dated November 15, 2016 (incorporated by</w:t>
              </w:r>
            </w:hyperlink>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22">
              <w:r>
                <w:rPr>
                  <w:rFonts w:ascii="Arial" w:cs="Arial" w:eastAsia="Arial" w:hAnsi="Arial"/>
                  <w:sz w:val="18"/>
                  <w:szCs w:val="18"/>
                  <w:color w:val="0000FF"/>
                  <w:w w:val="92"/>
                </w:rPr>
                <w:t>reference to Exhibit 3.4 to our Current Report on Form 8-K filed November 21, 2016).</w:t>
              </w:r>
            </w:hyperlink>
          </w:p>
        </w:tc>
        <w:tc>
          <w:tcPr>
            <w:tcW w:w="2860" w:type="dxa"/>
            <w:vAlign w:val="bottom"/>
            <w:tcBorders>
              <w:top w:val="single" w:sz="8" w:color="0000FF"/>
            </w:tcBorders>
            <w:gridSpan w:val="8"/>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4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3.4</w:t>
            </w:r>
          </w:p>
        </w:tc>
        <w:tc>
          <w:tcPr>
            <w:tcW w:w="10340" w:type="dxa"/>
            <w:vAlign w:val="bottom"/>
            <w:gridSpan w:val="29"/>
          </w:tcPr>
          <w:p>
            <w:pPr>
              <w:ind w:left="18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23">
              <w:r>
                <w:rPr>
                  <w:rFonts w:ascii="Arial" w:cs="Arial" w:eastAsia="Arial" w:hAnsi="Arial"/>
                  <w:sz w:val="18"/>
                  <w:szCs w:val="18"/>
                  <w:color w:val="0000FF"/>
                  <w:w w:val="95"/>
                </w:rPr>
                <w:t>Amendment No. 1 dated September 26, 2018 to the Eighth Amended and Restated Limited Partnership Agreement of Plains AAP,</w:t>
              </w:r>
            </w:hyperlink>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L.P. (incorporated by reference to Exhibit 3.1 to our Current Report on Form 8-K filed October 2, 2018).</w:t>
              </w:r>
            </w:hyperlink>
          </w:p>
        </w:tc>
        <w:tc>
          <w:tcPr>
            <w:tcW w:w="240" w:type="dxa"/>
            <w:vAlign w:val="bottom"/>
            <w:gridSpan w:val="4"/>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740" w:type="dxa"/>
            <w:vAlign w:val="bottom"/>
            <w:gridSpan w:val="2"/>
            <w:shd w:val="clear" w:color="auto" w:fill="0000FF"/>
          </w:tcPr>
          <w:p>
            <w:pPr>
              <w:spacing w:after="0" w:line="20" w:lineRule="exact"/>
              <w:rPr>
                <w:sz w:val="1"/>
                <w:szCs w:val="1"/>
                <w:color w:val="auto"/>
              </w:rPr>
            </w:pPr>
          </w:p>
        </w:tc>
        <w:tc>
          <w:tcPr>
            <w:tcW w:w="3320" w:type="dxa"/>
            <w:vAlign w:val="bottom"/>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3.5</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80" w:type="dxa"/>
            <w:vAlign w:val="bottom"/>
            <w:tcBorders>
              <w:bottom w:val="single" w:sz="8" w:color="0000FF"/>
            </w:tcBorders>
            <w:gridSpan w:val="13"/>
          </w:tcPr>
          <w:p>
            <w:pPr>
              <w:spacing w:after="0"/>
              <w:rPr>
                <w:rFonts w:ascii="Arial" w:cs="Arial" w:eastAsia="Arial" w:hAnsi="Arial"/>
                <w:sz w:val="18"/>
                <w:szCs w:val="18"/>
                <w:color w:val="0000FF"/>
                <w:w w:val="90"/>
              </w:rPr>
            </w:pPr>
            <w:hyperlink r:id="rId224">
              <w:r>
                <w:rPr>
                  <w:rFonts w:ascii="Arial" w:cs="Arial" w:eastAsia="Arial" w:hAnsi="Arial"/>
                  <w:sz w:val="18"/>
                  <w:szCs w:val="18"/>
                  <w:color w:val="0000FF"/>
                  <w:w w:val="90"/>
                </w:rPr>
                <w:t>Amendment No. 2 dated May 23, 2019 to the Eighth Amended and Restated Limited Partnership Agreement of Plains AAP, L.P.</w:t>
              </w:r>
            </w:hyperlink>
          </w:p>
        </w:tc>
        <w:tc>
          <w:tcPr>
            <w:tcW w:w="340" w:type="dxa"/>
            <w:vAlign w:val="bottom"/>
            <w:gridSpan w:val="6"/>
          </w:tcPr>
          <w:p>
            <w:pPr>
              <w:spacing w:after="0"/>
              <w:rPr>
                <w:sz w:val="24"/>
                <w:szCs w:val="24"/>
                <w:color w:val="auto"/>
              </w:rPr>
            </w:pPr>
          </w:p>
        </w:tc>
        <w:tc>
          <w:tcPr>
            <w:tcW w:w="160" w:type="dxa"/>
            <w:vAlign w:val="bottom"/>
            <w:gridSpan w:val="8"/>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60" w:type="dxa"/>
            <w:vAlign w:val="bottom"/>
            <w:tcBorders>
              <w:bottom w:val="single" w:sz="8" w:color="0000FF"/>
            </w:tcBorders>
            <w:gridSpan w:val="7"/>
          </w:tcPr>
          <w:p>
            <w:pPr>
              <w:spacing w:after="0" w:line="156" w:lineRule="exact"/>
              <w:rPr>
                <w:rFonts w:ascii="Arial" w:cs="Arial" w:eastAsia="Arial" w:hAnsi="Arial"/>
                <w:sz w:val="18"/>
                <w:szCs w:val="18"/>
                <w:color w:val="0000FF"/>
                <w:w w:val="92"/>
              </w:rPr>
            </w:pPr>
            <w:hyperlink r:id="rId224">
              <w:r>
                <w:rPr>
                  <w:rFonts w:ascii="Arial" w:cs="Arial" w:eastAsia="Arial" w:hAnsi="Arial"/>
                  <w:sz w:val="18"/>
                  <w:szCs w:val="18"/>
                  <w:color w:val="0000FF"/>
                  <w:w w:val="92"/>
                </w:rPr>
                <w:t>(incorporated by reference to Exhibit 3.1 to our Current Report on Form 8-K filed May 30, 2019).</w:t>
              </w:r>
            </w:hyperlink>
          </w:p>
        </w:tc>
        <w:tc>
          <w:tcPr>
            <w:tcW w:w="2220" w:type="dxa"/>
            <w:vAlign w:val="bottom"/>
            <w:gridSpan w:val="6"/>
          </w:tcPr>
          <w:p>
            <w:pPr>
              <w:spacing w:after="0"/>
              <w:rPr>
                <w:sz w:val="13"/>
                <w:szCs w:val="13"/>
                <w:color w:val="auto"/>
              </w:rPr>
            </w:pPr>
          </w:p>
        </w:tc>
        <w:tc>
          <w:tcPr>
            <w:tcW w:w="340" w:type="dxa"/>
            <w:vAlign w:val="bottom"/>
            <w:gridSpan w:val="6"/>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318"/>
        </w:trPr>
        <w:tc>
          <w:tcPr>
            <w:tcW w:w="1080" w:type="dxa"/>
            <w:vAlign w:val="bottom"/>
          </w:tcPr>
          <w:p>
            <w:pPr>
              <w:ind w:left="20"/>
              <w:spacing w:after="0"/>
              <w:rPr>
                <w:sz w:val="20"/>
                <w:szCs w:val="20"/>
                <w:color w:val="auto"/>
              </w:rPr>
            </w:pPr>
            <w:r>
              <w:rPr>
                <w:rFonts w:ascii="Arial" w:cs="Arial" w:eastAsia="Arial" w:hAnsi="Arial"/>
                <w:sz w:val="18"/>
                <w:szCs w:val="18"/>
                <w:color w:val="auto"/>
              </w:rPr>
              <w:t>3.6</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19"/>
          </w:tcPr>
          <w:p>
            <w:pPr>
              <w:spacing w:after="0"/>
              <w:rPr>
                <w:rFonts w:ascii="Arial" w:cs="Arial" w:eastAsia="Arial" w:hAnsi="Arial"/>
                <w:sz w:val="18"/>
                <w:szCs w:val="18"/>
                <w:color w:val="0000FF"/>
                <w:w w:val="92"/>
              </w:rPr>
            </w:pPr>
            <w:hyperlink r:id="rId225">
              <w:r>
                <w:rPr>
                  <w:rFonts w:ascii="Arial" w:cs="Arial" w:eastAsia="Arial" w:hAnsi="Arial"/>
                  <w:sz w:val="18"/>
                  <w:szCs w:val="18"/>
                  <w:color w:val="0000FF"/>
                  <w:w w:val="92"/>
                </w:rPr>
                <w:t>Limited Liability Company Agreement of PAA GP LLC dated December 28, 2007 (incorporated by reference to Exhibit 3.3 to PAA’s</w:t>
              </w:r>
            </w:hyperlink>
          </w:p>
        </w:tc>
        <w:tc>
          <w:tcPr>
            <w:tcW w:w="160" w:type="dxa"/>
            <w:vAlign w:val="bottom"/>
            <w:gridSpan w:val="8"/>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19"/>
          </w:tcPr>
          <w:p>
            <w:pPr>
              <w:spacing w:after="0" w:line="156" w:lineRule="exact"/>
              <w:rPr>
                <w:rFonts w:ascii="Arial" w:cs="Arial" w:eastAsia="Arial" w:hAnsi="Arial"/>
                <w:sz w:val="18"/>
                <w:szCs w:val="18"/>
                <w:color w:val="0000FF"/>
              </w:rPr>
            </w:pPr>
            <w:hyperlink r:id="rId225">
              <w:r>
                <w:rPr>
                  <w:rFonts w:ascii="Arial" w:cs="Arial" w:eastAsia="Arial" w:hAnsi="Arial"/>
                  <w:sz w:val="18"/>
                  <w:szCs w:val="18"/>
                  <w:color w:val="0000FF"/>
                </w:rPr>
                <w:t>Current Report on Form 8-K filed January 4, 2008).</w:t>
              </w:r>
            </w:hyperlink>
          </w:p>
        </w:tc>
        <w:tc>
          <w:tcPr>
            <w:tcW w:w="160" w:type="dxa"/>
            <w:vAlign w:val="bottom"/>
            <w:gridSpan w:val="8"/>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80" w:hanging="1620"/>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FF"/>
          </w:rPr>
          <w:t>Certificate of Limited Partnership of Plains GP Holdings, L.P. (incorporated by reference to Exhibit 3.1 to our Registration Statement</w:t>
        </w:r>
      </w:hyperlink>
      <w:r>
        <w:rPr>
          <w:rFonts w:ascii="Arial" w:cs="Arial" w:eastAsia="Arial" w:hAnsi="Arial"/>
          <w:sz w:val="18"/>
          <w:szCs w:val="18"/>
          <w:color w:val="auto"/>
        </w:rPr>
        <w:t xml:space="preserve"> </w:t>
      </w:r>
      <w:hyperlink r:id="rId227">
        <w:r>
          <w:rPr>
            <w:rFonts w:ascii="Arial" w:cs="Arial" w:eastAsia="Arial" w:hAnsi="Arial"/>
            <w:sz w:val="18"/>
            <w:szCs w:val="18"/>
            <w:u w:val="single" w:color="auto"/>
            <w:color w:val="0000FF"/>
          </w:rPr>
          <w:t>on Form S-1 (333-190227) filed July 29, 2013).</w:t>
        </w:r>
      </w:hyperlink>
    </w:p>
    <w:p>
      <w:pPr>
        <w:spacing w:after="0" w:line="79"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w:t>
      </w:r>
      <w:r>
        <w:rPr>
          <w:sz w:val="20"/>
          <w:szCs w:val="20"/>
          <w:color w:val="auto"/>
        </w:rPr>
        <w:tab/>
      </w:r>
      <w:hyperlink r:id="rId228">
        <w:r>
          <w:rPr>
            <w:rFonts w:ascii="Arial" w:cs="Arial" w:eastAsia="Arial" w:hAnsi="Arial"/>
            <w:sz w:val="16"/>
            <w:szCs w:val="16"/>
            <w:u w:val="single" w:color="auto"/>
            <w:color w:val="0000FF"/>
          </w:rPr>
          <w:t>Second Amended and Restated Agreement of Limited Partnership of Plains GP Holdings, L.P. dated as of November 15, 2016</w:t>
        </w:r>
      </w:hyperlink>
    </w:p>
    <w:p>
      <w:pPr>
        <w:spacing w:after="0" w:line="8" w:lineRule="exact"/>
        <w:rPr>
          <w:sz w:val="20"/>
          <w:szCs w:val="20"/>
          <w:color w:val="auto"/>
        </w:rPr>
      </w:pPr>
    </w:p>
    <w:p>
      <w:pPr>
        <w:jc w:val="center"/>
        <w:ind w:right="580"/>
        <w:spacing w:after="0"/>
        <w:rPr>
          <w:rFonts w:ascii="Arial" w:cs="Arial" w:eastAsia="Arial" w:hAnsi="Arial"/>
          <w:sz w:val="18"/>
          <w:szCs w:val="18"/>
          <w:u w:val="single" w:color="auto"/>
          <w:color w:val="0000FF"/>
        </w:rPr>
      </w:pPr>
      <w:hyperlink r:id="rId228">
        <w:r>
          <w:rPr>
            <w:rFonts w:ascii="Arial" w:cs="Arial" w:eastAsia="Arial" w:hAnsi="Arial"/>
            <w:sz w:val="18"/>
            <w:szCs w:val="18"/>
            <w:u w:val="single" w:color="auto"/>
            <w:color w:val="0000FF"/>
          </w:rPr>
          <w:t>(incorporated by reference to Exhibit 3.2 to our Current Report on Form 8-K filed November 21, 2016).</w:t>
        </w:r>
      </w:hyperlink>
    </w:p>
    <w:p>
      <w:pPr>
        <w:spacing w:after="0" w:line="115" w:lineRule="exact"/>
        <w:rPr>
          <w:sz w:val="20"/>
          <w:szCs w:val="20"/>
          <w:color w:val="auto"/>
        </w:rPr>
      </w:pPr>
    </w:p>
    <w:p>
      <w:pPr>
        <w:ind w:left="1260" w:right="620" w:hanging="1620"/>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xml:space="preserve">— </w:t>
      </w:r>
      <w:hyperlink r:id="rId229">
        <w:r>
          <w:rPr>
            <w:rFonts w:ascii="Arial" w:cs="Arial" w:eastAsia="Arial" w:hAnsi="Arial"/>
            <w:sz w:val="18"/>
            <w:szCs w:val="18"/>
            <w:u w:val="single" w:color="auto"/>
            <w:color w:val="0000FF"/>
          </w:rPr>
          <w:t>Certificate of Formation of PAA GP Holdings LLC (incorporated by reference to Exhibit 3.3 to our Registration Statement on</w:t>
        </w:r>
      </w:hyperlink>
      <w:r>
        <w:rPr>
          <w:rFonts w:ascii="Arial" w:cs="Arial" w:eastAsia="Arial" w:hAnsi="Arial"/>
          <w:sz w:val="18"/>
          <w:szCs w:val="18"/>
          <w:color w:val="auto"/>
        </w:rPr>
        <w:t xml:space="preserve"> </w:t>
      </w:r>
      <w:hyperlink r:id="rId229">
        <w:r>
          <w:rPr>
            <w:rFonts w:ascii="Arial" w:cs="Arial" w:eastAsia="Arial" w:hAnsi="Arial"/>
            <w:sz w:val="18"/>
            <w:szCs w:val="18"/>
            <w:u w:val="single" w:color="auto"/>
            <w:color w:val="0000FF"/>
          </w:rPr>
          <w:t>Form S-1 (333-190227) filed July 29, 2013).</w:t>
        </w:r>
      </w:hyperlink>
    </w:p>
    <w:p>
      <w:pPr>
        <w:spacing w:after="0" w:line="108" w:lineRule="exact"/>
        <w:rPr>
          <w:sz w:val="20"/>
          <w:szCs w:val="20"/>
          <w:color w:val="auto"/>
        </w:rPr>
      </w:pPr>
    </w:p>
    <w:p>
      <w:pPr>
        <w:jc w:val="center"/>
        <w:ind w:right="5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3.10          —  </w:t>
      </w:r>
      <w:hyperlink r:id="rId230">
        <w:r>
          <w:rPr>
            <w:rFonts w:ascii="Arial" w:cs="Arial" w:eastAsia="Arial" w:hAnsi="Arial"/>
            <w:sz w:val="18"/>
            <w:szCs w:val="18"/>
            <w:u w:val="single" w:color="auto"/>
            <w:color w:val="0000FF"/>
          </w:rPr>
          <w:t>Third Amended and Restated Limited Liability Company Agreement of PAA GP Holdings LLC dated as of February 16, 2017</w:t>
        </w:r>
      </w:hyperlink>
      <w:r>
        <w:rPr>
          <w:rFonts w:ascii="Arial" w:cs="Arial" w:eastAsia="Arial" w:hAnsi="Arial"/>
          <w:sz w:val="18"/>
          <w:szCs w:val="18"/>
          <w:color w:val="auto"/>
        </w:rPr>
        <w:t xml:space="preserve"> </w:t>
      </w:r>
      <w:hyperlink r:id="rId230">
        <w:r>
          <w:rPr>
            <w:rFonts w:ascii="Arial" w:cs="Arial" w:eastAsia="Arial" w:hAnsi="Arial"/>
            <w:sz w:val="18"/>
            <w:szCs w:val="18"/>
            <w:u w:val="single" w:color="auto"/>
            <w:color w:val="0000FF"/>
          </w:rPr>
          <w:t>(incorporated by reference to Exhibit 3.1 to our Current Report on Form 8-K filed February 21, 2017).</w:t>
        </w:r>
      </w:hyperlink>
    </w:p>
    <w:p>
      <w:pPr>
        <w:spacing w:after="0" w:line="108" w:lineRule="exact"/>
        <w:rPr>
          <w:sz w:val="20"/>
          <w:szCs w:val="20"/>
          <w:color w:val="auto"/>
        </w:rPr>
      </w:pPr>
    </w:p>
    <w:p>
      <w:pPr>
        <w:ind w:left="1260" w:right="380" w:hanging="1620"/>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 xml:space="preserve">— </w:t>
      </w:r>
      <w:hyperlink r:id="rId231">
        <w:r>
          <w:rPr>
            <w:rFonts w:ascii="Arial" w:cs="Arial" w:eastAsia="Arial" w:hAnsi="Arial"/>
            <w:sz w:val="17"/>
            <w:szCs w:val="17"/>
            <w:u w:val="single" w:color="auto"/>
            <w:color w:val="0000FF"/>
          </w:rPr>
          <w:t>Amendment No. 1 dated October 1, 2018 to the Third Amended and Restated Limited Liability Company Agreement of PAA GP</w:t>
        </w:r>
      </w:hyperlink>
      <w:r>
        <w:rPr>
          <w:rFonts w:ascii="Arial" w:cs="Arial" w:eastAsia="Arial" w:hAnsi="Arial"/>
          <w:sz w:val="17"/>
          <w:szCs w:val="17"/>
          <w:color w:val="auto"/>
        </w:rPr>
        <w:t xml:space="preserve"> </w:t>
      </w:r>
      <w:hyperlink r:id="rId231">
        <w:r>
          <w:rPr>
            <w:rFonts w:ascii="Arial" w:cs="Arial" w:eastAsia="Arial" w:hAnsi="Arial"/>
            <w:sz w:val="17"/>
            <w:szCs w:val="17"/>
            <w:u w:val="single" w:color="auto"/>
            <w:color w:val="0000FF"/>
          </w:rPr>
          <w:t>Holdings LLC (incorporated by reference to Exhibit 3.1 to our Current Report on Form 8-K filed August 20, 2018).</w:t>
        </w:r>
      </w:hyperlink>
    </w:p>
    <w:p>
      <w:pPr>
        <w:spacing w:after="0" w:line="93" w:lineRule="exact"/>
        <w:rPr>
          <w:sz w:val="20"/>
          <w:szCs w:val="20"/>
          <w:color w:val="auto"/>
        </w:rPr>
      </w:pPr>
    </w:p>
    <w:p>
      <w:pPr>
        <w:ind w:left="1260" w:right="120" w:hanging="1620"/>
        <w:spacing w:after="0" w:line="258" w:lineRule="auto"/>
        <w:tabs>
          <w:tab w:leader="none" w:pos="12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 xml:space="preserve">— </w:t>
      </w:r>
      <w:hyperlink r:id="rId232">
        <w:r>
          <w:rPr>
            <w:rFonts w:ascii="Arial" w:cs="Arial" w:eastAsia="Arial" w:hAnsi="Arial"/>
            <w:sz w:val="17"/>
            <w:szCs w:val="17"/>
            <w:u w:val="single" w:color="auto"/>
            <w:color w:val="0000FF"/>
          </w:rPr>
          <w:t>Amendment No. 2 dated December 10, 2018 to the Third Amended and Restated Limited Liability Company Agreement of PAA GP</w:t>
        </w:r>
      </w:hyperlink>
      <w:r>
        <w:rPr>
          <w:rFonts w:ascii="Arial" w:cs="Arial" w:eastAsia="Arial" w:hAnsi="Arial"/>
          <w:sz w:val="17"/>
          <w:szCs w:val="17"/>
          <w:color w:val="auto"/>
        </w:rPr>
        <w:t xml:space="preserve"> </w:t>
      </w:r>
      <w:hyperlink r:id="rId232">
        <w:r>
          <w:rPr>
            <w:rFonts w:ascii="Arial" w:cs="Arial" w:eastAsia="Arial" w:hAnsi="Arial"/>
            <w:sz w:val="17"/>
            <w:szCs w:val="17"/>
            <w:u w:val="single" w:color="auto"/>
            <w:color w:val="0000FF"/>
          </w:rPr>
          <w:t>Holdings LLC (incorporated by reference to Exhibit 3.1 to our Current Report on Form 8-K filed December 11, 2018).</w:t>
        </w:r>
      </w:hyperlink>
    </w:p>
    <w:p>
      <w:pPr>
        <w:spacing w:after="0" w:line="93" w:lineRule="exact"/>
        <w:rPr>
          <w:sz w:val="20"/>
          <w:szCs w:val="20"/>
          <w:color w:val="auto"/>
        </w:rPr>
      </w:pPr>
    </w:p>
    <w:p>
      <w:pPr>
        <w:ind w:left="1260" w:right="100" w:hanging="1620"/>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3.13</w:t>
      </w:r>
      <w:r>
        <w:rPr>
          <w:sz w:val="20"/>
          <w:szCs w:val="20"/>
          <w:color w:val="auto"/>
        </w:rPr>
        <w:tab/>
      </w:r>
      <w:r>
        <w:rPr>
          <w:rFonts w:ascii="Arial" w:cs="Arial" w:eastAsia="Arial" w:hAnsi="Arial"/>
          <w:sz w:val="18"/>
          <w:szCs w:val="18"/>
          <w:color w:val="auto"/>
        </w:rPr>
        <w:t xml:space="preserve">— </w:t>
      </w:r>
      <w:hyperlink r:id="rId233">
        <w:r>
          <w:rPr>
            <w:rFonts w:ascii="Arial" w:cs="Arial" w:eastAsia="Arial" w:hAnsi="Arial"/>
            <w:sz w:val="18"/>
            <w:szCs w:val="18"/>
            <w:u w:val="single" w:color="auto"/>
            <w:color w:val="0000FF"/>
          </w:rPr>
          <w:t>Amendment No. 3 dated November 21, 2019 to the Third Amended and Restated Limited Liability Company Agreement of PAA GP</w:t>
        </w:r>
      </w:hyperlink>
      <w:r>
        <w:rPr>
          <w:rFonts w:ascii="Arial" w:cs="Arial" w:eastAsia="Arial" w:hAnsi="Arial"/>
          <w:sz w:val="18"/>
          <w:szCs w:val="18"/>
          <w:color w:val="auto"/>
        </w:rPr>
        <w:t xml:space="preserve"> </w:t>
      </w:r>
      <w:hyperlink r:id="rId233">
        <w:r>
          <w:rPr>
            <w:rFonts w:ascii="Arial" w:cs="Arial" w:eastAsia="Arial" w:hAnsi="Arial"/>
            <w:sz w:val="18"/>
            <w:szCs w:val="18"/>
            <w:u w:val="single" w:color="auto"/>
            <w:color w:val="0000FF"/>
          </w:rPr>
          <w:t>Holdings LLC (incorporated by reference to Exhibit 3.1 to our Current Report on Form 8-K filed November 27, 2019).</w:t>
        </w:r>
      </w:hyperlink>
    </w:p>
    <w:p>
      <w:pPr>
        <w:spacing w:after="0" w:line="108" w:lineRule="exact"/>
        <w:rPr>
          <w:sz w:val="20"/>
          <w:szCs w:val="20"/>
          <w:color w:val="auto"/>
        </w:rPr>
      </w:pPr>
    </w:p>
    <w:p>
      <w:pPr>
        <w:ind w:left="1260" w:right="32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xml:space="preserve">— </w:t>
      </w:r>
      <w:hyperlink r:id="rId234">
        <w:r>
          <w:rPr>
            <w:rFonts w:ascii="Arial" w:cs="Arial" w:eastAsia="Arial" w:hAnsi="Arial"/>
            <w:sz w:val="18"/>
            <w:szCs w:val="18"/>
            <w:u w:val="single" w:color="auto"/>
            <w:color w:val="0000FF"/>
          </w:rPr>
          <w:t>Indenture dated September 25, 2002 among Plains All American Pipeline, L.P., PAA Finance Corp. and Wachovia Bank, National</w:t>
        </w:r>
      </w:hyperlink>
      <w:r>
        <w:rPr>
          <w:rFonts w:ascii="Arial" w:cs="Arial" w:eastAsia="Arial" w:hAnsi="Arial"/>
          <w:sz w:val="18"/>
          <w:szCs w:val="18"/>
          <w:color w:val="auto"/>
        </w:rPr>
        <w:t xml:space="preserve"> </w:t>
      </w:r>
      <w:hyperlink r:id="rId234">
        <w:r>
          <w:rPr>
            <w:rFonts w:ascii="Arial" w:cs="Arial" w:eastAsia="Arial" w:hAnsi="Arial"/>
            <w:sz w:val="18"/>
            <w:szCs w:val="18"/>
            <w:u w:val="single" w:color="auto"/>
            <w:color w:val="0000FF"/>
          </w:rPr>
          <w:t>Association, as trustee (incorporated by reference to Exhibit 4.1 to PAA’s Quarterly Report on Form 10-Q for the quarter ended</w:t>
        </w:r>
      </w:hyperlink>
      <w:r>
        <w:rPr>
          <w:rFonts w:ascii="Arial" w:cs="Arial" w:eastAsia="Arial" w:hAnsi="Arial"/>
          <w:sz w:val="18"/>
          <w:szCs w:val="18"/>
          <w:u w:val="single" w:color="auto"/>
          <w:color w:val="0000FF"/>
        </w:rPr>
        <w:t xml:space="preserve"> </w:t>
      </w:r>
      <w:hyperlink r:id="rId234">
        <w:r>
          <w:rPr>
            <w:rFonts w:ascii="Arial" w:cs="Arial" w:eastAsia="Arial" w:hAnsi="Arial"/>
            <w:sz w:val="18"/>
            <w:szCs w:val="18"/>
            <w:u w:val="single" w:color="auto"/>
            <w:color w:val="0000FF"/>
          </w:rPr>
          <w:t>September 30, 2002).</w:t>
        </w:r>
      </w:hyperlink>
    </w:p>
    <w:p>
      <w:pPr>
        <w:spacing w:after="0" w:line="109" w:lineRule="exact"/>
        <w:rPr>
          <w:rFonts w:ascii="Arial" w:cs="Arial" w:eastAsia="Arial" w:hAnsi="Arial"/>
          <w:sz w:val="18"/>
          <w:szCs w:val="18"/>
          <w:color w:val="auto"/>
        </w:rPr>
      </w:pPr>
    </w:p>
    <w:p>
      <w:pPr>
        <w:ind w:left="1260" w:right="8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xml:space="preserve">— </w:t>
      </w:r>
      <w:hyperlink r:id="rId235">
        <w:r>
          <w:rPr>
            <w:rFonts w:ascii="Arial" w:cs="Arial" w:eastAsia="Arial" w:hAnsi="Arial"/>
            <w:sz w:val="18"/>
            <w:szCs w:val="18"/>
            <w:u w:val="single" w:color="auto"/>
            <w:color w:val="0000FF"/>
          </w:rPr>
          <w:t>Sixth Supplemental Indenture (Series A and Series B 6.70% Senior Notes due 2036) dated May 12, 2006 among Plains All American</w:t>
        </w:r>
      </w:hyperlink>
      <w:r>
        <w:rPr>
          <w:rFonts w:ascii="Arial" w:cs="Arial" w:eastAsia="Arial" w:hAnsi="Arial"/>
          <w:sz w:val="18"/>
          <w:szCs w:val="18"/>
          <w:color w:val="auto"/>
        </w:rPr>
        <w:t xml:space="preserve"> </w:t>
      </w:r>
      <w:hyperlink r:id="rId235">
        <w:r>
          <w:rPr>
            <w:rFonts w:ascii="Arial" w:cs="Arial" w:eastAsia="Arial" w:hAnsi="Arial"/>
            <w:sz w:val="18"/>
            <w:szCs w:val="18"/>
            <w:u w:val="single" w:color="auto"/>
            <w:color w:val="0000FF"/>
          </w:rPr>
          <w:t>Pipeline, L.P., PAA Finance Corp., the Subsidiary Guarantors named therein and Wachovia Bank, National Association, as trustee</w:t>
        </w:r>
      </w:hyperlink>
      <w:r>
        <w:rPr>
          <w:rFonts w:ascii="Arial" w:cs="Arial" w:eastAsia="Arial" w:hAnsi="Arial"/>
          <w:sz w:val="18"/>
          <w:szCs w:val="18"/>
          <w:u w:val="single" w:color="auto"/>
          <w:color w:val="0000FF"/>
        </w:rPr>
        <w:t xml:space="preserve"> </w:t>
      </w:r>
      <w:hyperlink r:id="rId235">
        <w:r>
          <w:rPr>
            <w:rFonts w:ascii="Arial" w:cs="Arial" w:eastAsia="Arial" w:hAnsi="Arial"/>
            <w:sz w:val="18"/>
            <w:szCs w:val="18"/>
            <w:u w:val="single" w:color="auto"/>
            <w:color w:val="0000FF"/>
          </w:rPr>
          <w:t>(incorporated by reference to Exhibit 4.1 to PAA’s Current Report on Form 8-K filed May 12, 2006).</w:t>
        </w:r>
      </w:hyperlink>
    </w:p>
    <w:p>
      <w:pPr>
        <w:spacing w:after="0" w:line="109" w:lineRule="exact"/>
        <w:rPr>
          <w:rFonts w:ascii="Arial" w:cs="Arial" w:eastAsia="Arial" w:hAnsi="Arial"/>
          <w:sz w:val="18"/>
          <w:szCs w:val="18"/>
          <w:color w:val="auto"/>
        </w:rPr>
      </w:pPr>
    </w:p>
    <w:p>
      <w:pPr>
        <w:ind w:left="1260" w:right="2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Tenth Supplemental Indenture (Series A and Series B 6.650% Senior Notes due 2037) dated October 30, 2006 among Plains All</w:t>
        </w:r>
      </w:hyperlink>
      <w:r>
        <w:rPr>
          <w:rFonts w:ascii="Arial" w:cs="Arial" w:eastAsia="Arial" w:hAnsi="Arial"/>
          <w:sz w:val="18"/>
          <w:szCs w:val="18"/>
          <w:color w:val="auto"/>
        </w:rPr>
        <w:t xml:space="preserve"> </w:t>
      </w:r>
      <w:hyperlink r:id="rId236">
        <w:r>
          <w:rPr>
            <w:rFonts w:ascii="Arial" w:cs="Arial" w:eastAsia="Arial" w:hAnsi="Arial"/>
            <w:sz w:val="18"/>
            <w:szCs w:val="18"/>
            <w:u w:val="single" w:color="auto"/>
            <w:color w:val="0000FF"/>
          </w:rPr>
          <w:t>American Pipeline, L.P., PAA Finance Corp., the Subsidiary Guarantors named therein and U.S. Bank National Association, as trustee</w:t>
        </w:r>
      </w:hyperlink>
      <w:r>
        <w:rPr>
          <w:rFonts w:ascii="Arial" w:cs="Arial" w:eastAsia="Arial" w:hAnsi="Arial"/>
          <w:sz w:val="18"/>
          <w:szCs w:val="18"/>
          <w:u w:val="single" w:color="auto"/>
          <w:color w:val="0000FF"/>
        </w:rPr>
        <w:t xml:space="preserve"> </w:t>
      </w:r>
      <w:hyperlink r:id="rId236">
        <w:r>
          <w:rPr>
            <w:rFonts w:ascii="Arial" w:cs="Arial" w:eastAsia="Arial" w:hAnsi="Arial"/>
            <w:sz w:val="18"/>
            <w:szCs w:val="18"/>
            <w:u w:val="single" w:color="auto"/>
            <w:color w:val="0000FF"/>
          </w:rPr>
          <w:t>(incorporated by reference to Exhibit 4.2 to PAA’s Current Report on Form 8-K filed October 30, 2006).</w:t>
        </w:r>
      </w:hyperlink>
    </w:p>
    <w:p>
      <w:pPr>
        <w:spacing w:after="0" w:line="109" w:lineRule="exact"/>
        <w:rPr>
          <w:rFonts w:ascii="Arial" w:cs="Arial" w:eastAsia="Arial" w:hAnsi="Arial"/>
          <w:sz w:val="18"/>
          <w:szCs w:val="18"/>
          <w:color w:val="auto"/>
        </w:rPr>
      </w:pPr>
    </w:p>
    <w:p>
      <w:pPr>
        <w:ind w:left="126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xml:space="preserve">— </w:t>
      </w:r>
      <w:hyperlink r:id="rId237">
        <w:r>
          <w:rPr>
            <w:rFonts w:ascii="Arial" w:cs="Arial" w:eastAsia="Arial" w:hAnsi="Arial"/>
            <w:sz w:val="18"/>
            <w:szCs w:val="18"/>
            <w:u w:val="single" w:color="auto"/>
            <w:color w:val="0000FF"/>
          </w:rPr>
          <w:t>Nineteenth Supplemental Indenture (5.00% Senior Notes due 2021) dated January 14, 2011 among Plains All American Pipeline, L.P.,</w:t>
        </w:r>
      </w:hyperlink>
      <w:r>
        <w:rPr>
          <w:rFonts w:ascii="Arial" w:cs="Arial" w:eastAsia="Arial" w:hAnsi="Arial"/>
          <w:sz w:val="18"/>
          <w:szCs w:val="18"/>
          <w:color w:val="auto"/>
        </w:rPr>
        <w:t xml:space="preserve"> </w:t>
      </w:r>
      <w:hyperlink r:id="rId237">
        <w:r>
          <w:rPr>
            <w:rFonts w:ascii="Arial" w:cs="Arial" w:eastAsia="Arial" w:hAnsi="Arial"/>
            <w:sz w:val="18"/>
            <w:szCs w:val="18"/>
            <w:u w:val="single" w:color="auto"/>
            <w:color w:val="0000FF"/>
          </w:rPr>
          <w:t>PAA Finance Corp., the Subsidiary Guarantors named therein and U.S. Bank National Association, as trustee (incorporated by</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reference to Exhibit 4.1 to PAA’s Current Report on Form 8-K filed January 11, 2011).</w:t>
        </w:r>
      </w:hyperlink>
    </w:p>
    <w:p>
      <w:pPr>
        <w:spacing w:after="0" w:line="109" w:lineRule="exact"/>
        <w:rPr>
          <w:rFonts w:ascii="Arial" w:cs="Arial" w:eastAsia="Arial" w:hAnsi="Arial"/>
          <w:sz w:val="18"/>
          <w:szCs w:val="18"/>
          <w:color w:val="auto"/>
        </w:rPr>
      </w:pPr>
    </w:p>
    <w:p>
      <w:pPr>
        <w:jc w:val="both"/>
        <w:ind w:left="1260" w:right="8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xml:space="preserve">— </w:t>
      </w:r>
      <w:hyperlink r:id="rId238">
        <w:r>
          <w:rPr>
            <w:rFonts w:ascii="Arial" w:cs="Arial" w:eastAsia="Arial" w:hAnsi="Arial"/>
            <w:sz w:val="18"/>
            <w:szCs w:val="18"/>
            <w:u w:val="single" w:color="auto"/>
            <w:color w:val="0000FF"/>
          </w:rPr>
          <w:t>Twentieth Supplemental Indenture (3.65% Senior Notes due 2022) dated March 22, 2012 among Plains All American Pipeline, L.P.,</w:t>
        </w:r>
      </w:hyperlink>
      <w:r>
        <w:rPr>
          <w:rFonts w:ascii="Arial" w:cs="Arial" w:eastAsia="Arial" w:hAnsi="Arial"/>
          <w:sz w:val="18"/>
          <w:szCs w:val="18"/>
          <w:color w:val="auto"/>
        </w:rPr>
        <w:t xml:space="preserve"> </w:t>
      </w:r>
      <w:hyperlink r:id="rId238">
        <w:r>
          <w:rPr>
            <w:rFonts w:ascii="Arial" w:cs="Arial" w:eastAsia="Arial" w:hAnsi="Arial"/>
            <w:sz w:val="18"/>
            <w:szCs w:val="18"/>
            <w:u w:val="single" w:color="auto"/>
            <w:color w:val="0000FF"/>
          </w:rPr>
          <w:t>PAA Finance Corp. and U.S. Bank National Association, as trustee (incorporated by reference to Exhibit 4.1 to PAA’s Current Report</w:t>
        </w:r>
      </w:hyperlink>
      <w:r>
        <w:rPr>
          <w:rFonts w:ascii="Arial" w:cs="Arial" w:eastAsia="Arial" w:hAnsi="Arial"/>
          <w:sz w:val="18"/>
          <w:szCs w:val="18"/>
          <w:u w:val="single" w:color="auto"/>
          <w:color w:val="0000FF"/>
        </w:rPr>
        <w:t xml:space="preserve"> </w:t>
      </w:r>
      <w:hyperlink r:id="rId238">
        <w:r>
          <w:rPr>
            <w:rFonts w:ascii="Arial" w:cs="Arial" w:eastAsia="Arial" w:hAnsi="Arial"/>
            <w:sz w:val="18"/>
            <w:szCs w:val="18"/>
            <w:u w:val="single" w:color="auto"/>
            <w:color w:val="0000FF"/>
          </w:rPr>
          <w:t>on Form 8-K filed March 26, 2012).</w:t>
        </w:r>
      </w:hyperlink>
    </w:p>
    <w:p>
      <w:pPr>
        <w:spacing w:after="0" w:line="109" w:lineRule="exact"/>
        <w:rPr>
          <w:rFonts w:ascii="Arial" w:cs="Arial" w:eastAsia="Arial" w:hAnsi="Arial"/>
          <w:sz w:val="18"/>
          <w:szCs w:val="18"/>
          <w:color w:val="auto"/>
        </w:rPr>
      </w:pPr>
    </w:p>
    <w:p>
      <w:pPr>
        <w:jc w:val="both"/>
        <w:ind w:left="1260" w:right="24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Twenty-First Supplemental Indenture (5.15% Senior Notes due 2042) dated March 22, 2012 among Plains All American Pipeline,</w:t>
        </w:r>
      </w:hyperlink>
      <w:r>
        <w:rPr>
          <w:rFonts w:ascii="Arial" w:cs="Arial" w:eastAsia="Arial" w:hAnsi="Arial"/>
          <w:sz w:val="18"/>
          <w:szCs w:val="18"/>
          <w:color w:val="auto"/>
        </w:rPr>
        <w:t xml:space="preserve"> </w:t>
      </w:r>
      <w:hyperlink r:id="rId239">
        <w:r>
          <w:rPr>
            <w:rFonts w:ascii="Arial" w:cs="Arial" w:eastAsia="Arial" w:hAnsi="Arial"/>
            <w:sz w:val="18"/>
            <w:szCs w:val="18"/>
            <w:u w:val="single" w:color="auto"/>
            <w:color w:val="0000FF"/>
          </w:rPr>
          <w:t>L.P., PAA Finance Corp. and U.S. Bank National Association, as trustee (incorporated by reference to Exhibit 4.3 to PAA’s Current</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Report on Form 8-K filed March 26, 2012).</w:t>
        </w:r>
      </w:hyperlink>
    </w:p>
    <w:p>
      <w:pPr>
        <w:spacing w:after="0" w:line="109" w:lineRule="exact"/>
        <w:rPr>
          <w:rFonts w:ascii="Arial" w:cs="Arial" w:eastAsia="Arial" w:hAnsi="Arial"/>
          <w:sz w:val="18"/>
          <w:szCs w:val="18"/>
          <w:color w:val="auto"/>
        </w:rPr>
      </w:pPr>
    </w:p>
    <w:p>
      <w:pPr>
        <w:ind w:left="1260" w:right="8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Twenty-Second Supplemental Indenture (2.85% Senior Notes due 2023) dated December 10, 2012, by and among Plains All</w:t>
        </w:r>
      </w:hyperlink>
      <w:r>
        <w:rPr>
          <w:rFonts w:ascii="Arial" w:cs="Arial" w:eastAsia="Arial" w:hAnsi="Arial"/>
          <w:sz w:val="18"/>
          <w:szCs w:val="18"/>
          <w:color w:val="auto"/>
        </w:rPr>
        <w:t xml:space="preserve"> </w:t>
      </w:r>
      <w:hyperlink r:id="rId240">
        <w:r>
          <w:rPr>
            <w:rFonts w:ascii="Arial" w:cs="Arial" w:eastAsia="Arial" w:hAnsi="Arial"/>
            <w:sz w:val="18"/>
            <w:szCs w:val="18"/>
            <w:u w:val="single" w:color="auto"/>
            <w:color w:val="0000FF"/>
          </w:rPr>
          <w:t>American Pipeline, L.P., PAA Finance Corp. and U.S. Bank National Association, as trustee (incorporated by reference to Exhibit 4.1</w:t>
        </w:r>
      </w:hyperlink>
      <w:r>
        <w:rPr>
          <w:rFonts w:ascii="Arial" w:cs="Arial" w:eastAsia="Arial" w:hAnsi="Arial"/>
          <w:sz w:val="18"/>
          <w:szCs w:val="18"/>
          <w:u w:val="single" w:color="auto"/>
          <w:color w:val="0000FF"/>
        </w:rPr>
        <w:t xml:space="preserve"> </w:t>
      </w:r>
      <w:hyperlink r:id="rId240">
        <w:r>
          <w:rPr>
            <w:rFonts w:ascii="Arial" w:cs="Arial" w:eastAsia="Arial" w:hAnsi="Arial"/>
            <w:sz w:val="18"/>
            <w:szCs w:val="18"/>
            <w:u w:val="single" w:color="auto"/>
            <w:color w:val="0000FF"/>
          </w:rPr>
          <w:t>to PAA’s Current Report on Form 8-K filed December 12, 2012).</w:t>
        </w:r>
      </w:hyperlink>
    </w:p>
    <w:p>
      <w:pPr>
        <w:spacing w:after="0" w:line="109" w:lineRule="exact"/>
        <w:rPr>
          <w:rFonts w:ascii="Arial" w:cs="Arial" w:eastAsia="Arial" w:hAnsi="Arial"/>
          <w:sz w:val="18"/>
          <w:szCs w:val="18"/>
          <w:color w:val="auto"/>
        </w:rPr>
      </w:pPr>
    </w:p>
    <w:p>
      <w:pPr>
        <w:jc w:val="both"/>
        <w:ind w:left="1260" w:right="8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xml:space="preserve">— </w:t>
      </w:r>
      <w:hyperlink r:id="rId241">
        <w:r>
          <w:rPr>
            <w:rFonts w:ascii="Arial" w:cs="Arial" w:eastAsia="Arial" w:hAnsi="Arial"/>
            <w:sz w:val="18"/>
            <w:szCs w:val="18"/>
            <w:u w:val="single" w:color="auto"/>
            <w:color w:val="0000FF"/>
          </w:rPr>
          <w:t>Twenty-Third Supplemental Indenture (4.30% Senior Notes due 2043) dated December 10, 2012, by and among Plains All American</w:t>
        </w:r>
      </w:hyperlink>
      <w:r>
        <w:rPr>
          <w:rFonts w:ascii="Arial" w:cs="Arial" w:eastAsia="Arial" w:hAnsi="Arial"/>
          <w:sz w:val="18"/>
          <w:szCs w:val="18"/>
          <w:color w:val="auto"/>
        </w:rPr>
        <w:t xml:space="preserve"> </w:t>
      </w:r>
      <w:hyperlink r:id="rId241">
        <w:r>
          <w:rPr>
            <w:rFonts w:ascii="Arial" w:cs="Arial" w:eastAsia="Arial" w:hAnsi="Arial"/>
            <w:sz w:val="18"/>
            <w:szCs w:val="18"/>
            <w:u w:val="single" w:color="auto"/>
            <w:color w:val="0000FF"/>
          </w:rPr>
          <w:t>Pipeline, L.P., PAA Finance Corp. and U.S. Bank National Association, as trustee (incorporated by reference to Exhibit 4.3 to PAA’s</w:t>
        </w:r>
      </w:hyperlink>
      <w:r>
        <w:rPr>
          <w:rFonts w:ascii="Arial" w:cs="Arial" w:eastAsia="Arial" w:hAnsi="Arial"/>
          <w:sz w:val="18"/>
          <w:szCs w:val="18"/>
          <w:u w:val="single" w:color="auto"/>
          <w:color w:val="0000FF"/>
        </w:rPr>
        <w:t xml:space="preserve"> </w:t>
      </w:r>
      <w:hyperlink r:id="rId241">
        <w:r>
          <w:rPr>
            <w:rFonts w:ascii="Arial" w:cs="Arial" w:eastAsia="Arial" w:hAnsi="Arial"/>
            <w:sz w:val="18"/>
            <w:szCs w:val="18"/>
            <w:u w:val="single" w:color="auto"/>
            <w:color w:val="0000FF"/>
          </w:rPr>
          <w:t>Current Report on Form 8-K filed December 12, 2012).</w:t>
        </w:r>
      </w:hyperlink>
    </w:p>
    <w:p>
      <w:pPr>
        <w:spacing w:after="0" w:line="109" w:lineRule="exact"/>
        <w:rPr>
          <w:rFonts w:ascii="Arial" w:cs="Arial" w:eastAsia="Arial" w:hAnsi="Arial"/>
          <w:sz w:val="18"/>
          <w:szCs w:val="18"/>
          <w:color w:val="auto"/>
        </w:rPr>
      </w:pPr>
    </w:p>
    <w:p>
      <w:pPr>
        <w:ind w:left="1260" w:right="22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xml:space="preserve">— </w:t>
      </w:r>
      <w:hyperlink r:id="rId242">
        <w:r>
          <w:rPr>
            <w:rFonts w:ascii="Arial" w:cs="Arial" w:eastAsia="Arial" w:hAnsi="Arial"/>
            <w:sz w:val="18"/>
            <w:szCs w:val="18"/>
            <w:u w:val="single" w:color="auto"/>
            <w:color w:val="0000FF"/>
          </w:rPr>
          <w:t>Twenty-Fourth Supplemental Indenture (3.85% Senior Notes due 2023) dated August 15, 2013, by and among Plains All American</w:t>
        </w:r>
      </w:hyperlink>
      <w:r>
        <w:rPr>
          <w:rFonts w:ascii="Arial" w:cs="Arial" w:eastAsia="Arial" w:hAnsi="Arial"/>
          <w:sz w:val="18"/>
          <w:szCs w:val="18"/>
          <w:color w:val="auto"/>
        </w:rPr>
        <w:t xml:space="preserve"> </w:t>
      </w:r>
      <w:hyperlink r:id="rId242">
        <w:r>
          <w:rPr>
            <w:rFonts w:ascii="Arial" w:cs="Arial" w:eastAsia="Arial" w:hAnsi="Arial"/>
            <w:sz w:val="18"/>
            <w:szCs w:val="18"/>
            <w:u w:val="single" w:color="auto"/>
            <w:color w:val="0000FF"/>
          </w:rPr>
          <w:t>Pipeline, L.P., PAA Finance Corp. and U.S. Bank National Association, as trustee (incorporated by reference to Exhibit 4.1 to our</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Current Report on Form 8-K filed August 15, 2013).</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jc w:val="center"/>
        <w:ind w:right="-99"/>
        <w:spacing w:after="0"/>
        <w:rPr>
          <w:sz w:val="20"/>
          <w:szCs w:val="20"/>
          <w:color w:val="auto"/>
        </w:rPr>
      </w:pPr>
      <w:r>
        <w:rPr>
          <w:rFonts w:ascii="Arial" w:cs="Arial" w:eastAsia="Arial" w:hAnsi="Arial"/>
          <w:sz w:val="18"/>
          <w:szCs w:val="18"/>
          <w:color w:val="auto"/>
        </w:rPr>
        <w:t>115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5" w:name="page116"/>
    <w:bookmarkEnd w:id="1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40" w:type="dxa"/>
            <w:vAlign w:val="bottom"/>
          </w:tcPr>
          <w:p>
            <w:pPr>
              <w:spacing w:after="0"/>
              <w:rPr>
                <w:sz w:val="20"/>
                <w:szCs w:val="20"/>
                <w:color w:val="auto"/>
              </w:rPr>
            </w:pPr>
            <w:r>
              <w:rPr>
                <w:rFonts w:ascii="Arial" w:cs="Arial" w:eastAsia="Arial" w:hAnsi="Arial"/>
                <w:sz w:val="18"/>
                <w:szCs w:val="18"/>
                <w:color w:val="auto"/>
              </w:rPr>
              <w:t>4.10</w:t>
            </w:r>
          </w:p>
        </w:tc>
        <w:tc>
          <w:tcPr>
            <w:tcW w:w="10500" w:type="dxa"/>
            <w:vAlign w:val="bottom"/>
            <w:gridSpan w:val="30"/>
          </w:tcPr>
          <w:p>
            <w:pPr>
              <w:ind w:left="40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44">
              <w:r>
                <w:rPr>
                  <w:rFonts w:ascii="Arial" w:cs="Arial" w:eastAsia="Arial" w:hAnsi="Arial"/>
                  <w:sz w:val="18"/>
                  <w:szCs w:val="18"/>
                  <w:color w:val="0000FF"/>
                  <w:w w:val="97"/>
                </w:rPr>
                <w:t>Twenty-Fifth Supplemental Indenture (4.70% Senior Notes due 2044) dated April 23, 2014, by and among Plains All American</w:t>
              </w:r>
            </w:hyperlink>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20" w:type="dxa"/>
            <w:vAlign w:val="bottom"/>
            <w:gridSpan w:val="29"/>
          </w:tcPr>
          <w:p>
            <w:pPr>
              <w:spacing w:after="0" w:line="156" w:lineRule="exact"/>
              <w:rPr>
                <w:rFonts w:ascii="Arial" w:cs="Arial" w:eastAsia="Arial" w:hAnsi="Arial"/>
                <w:sz w:val="18"/>
                <w:szCs w:val="18"/>
                <w:color w:val="0000FF"/>
                <w:w w:val="94"/>
              </w:rPr>
            </w:pPr>
            <w:hyperlink r:id="rId244">
              <w:r>
                <w:rPr>
                  <w:rFonts w:ascii="Arial" w:cs="Arial" w:eastAsia="Arial" w:hAnsi="Arial"/>
                  <w:sz w:val="18"/>
                  <w:szCs w:val="18"/>
                  <w:color w:val="0000FF"/>
                  <w:w w:val="94"/>
                </w:rPr>
                <w:t>Pipeline, L.P., PAA Finance Corp. and U.S. Bank National Association, as trustee (incorporated by reference to Exhibit 4.1 to our</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r:id="rId244">
              <w:r>
                <w:rPr>
                  <w:rFonts w:ascii="Arial" w:cs="Arial" w:eastAsia="Arial" w:hAnsi="Arial"/>
                  <w:sz w:val="18"/>
                  <w:szCs w:val="18"/>
                  <w:color w:val="0000FF"/>
                  <w:w w:val="93"/>
                </w:rPr>
                <w:t>Current Report on Form 8-K filed April 29, 2014).</w:t>
              </w:r>
            </w:hyperlink>
          </w:p>
        </w:tc>
        <w:tc>
          <w:tcPr>
            <w:tcW w:w="568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4.11</w:t>
            </w:r>
          </w:p>
        </w:tc>
        <w:tc>
          <w:tcPr>
            <w:tcW w:w="10500" w:type="dxa"/>
            <w:vAlign w:val="bottom"/>
            <w:gridSpan w:val="30"/>
          </w:tcPr>
          <w:p>
            <w:pPr>
              <w:ind w:left="4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45">
              <w:r>
                <w:rPr>
                  <w:rFonts w:ascii="Arial" w:cs="Arial" w:eastAsia="Arial" w:hAnsi="Arial"/>
                  <w:sz w:val="18"/>
                  <w:szCs w:val="18"/>
                  <w:color w:val="0000FF"/>
                  <w:w w:val="93"/>
                </w:rPr>
                <w:t>Twenty-Sixth Supplemental Indenture (3.60% Senior Notes due 2024) dated September 9, 2014, by and among Plains All American</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560" w:type="dxa"/>
            <w:vAlign w:val="bottom"/>
            <w:tcBorders>
              <w:top w:val="single" w:sz="8" w:color="0000FF"/>
            </w:tcBorders>
            <w:gridSpan w:val="21"/>
          </w:tcPr>
          <w:p>
            <w:pPr>
              <w:spacing w:after="0" w:line="156" w:lineRule="exact"/>
              <w:rPr>
                <w:rFonts w:ascii="Arial" w:cs="Arial" w:eastAsia="Arial" w:hAnsi="Arial"/>
                <w:sz w:val="18"/>
                <w:szCs w:val="18"/>
                <w:color w:val="0000FF"/>
                <w:w w:val="93"/>
              </w:rPr>
            </w:pPr>
            <w:hyperlink r:id="rId245">
              <w:r>
                <w:rPr>
                  <w:rFonts w:ascii="Arial" w:cs="Arial" w:eastAsia="Arial" w:hAnsi="Arial"/>
                  <w:sz w:val="18"/>
                  <w:szCs w:val="18"/>
                  <w:color w:val="0000FF"/>
                  <w:w w:val="93"/>
                </w:rPr>
                <w:t>Pipeline, L.P., PAA Finance Corp. and U.S. Bank National Association, as trustee (incorporated by reference to Exhibit 4.1 to our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45">
              <w:r>
                <w:rPr>
                  <w:rFonts w:ascii="Arial" w:cs="Arial" w:eastAsia="Arial" w:hAnsi="Arial"/>
                  <w:sz w:val="18"/>
                  <w:szCs w:val="18"/>
                  <w:color w:val="0000FF"/>
                  <w:w w:val="91"/>
                </w:rPr>
                <w:t>Current Report on Form 8-K filed September 11, 2014).</w:t>
              </w:r>
            </w:hyperlink>
          </w:p>
        </w:tc>
        <w:tc>
          <w:tcPr>
            <w:tcW w:w="530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4.12</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9640" w:type="dxa"/>
            <w:vAlign w:val="bottom"/>
            <w:tcBorders>
              <w:bottom w:val="single" w:sz="8" w:color="0000FF"/>
            </w:tcBorders>
            <w:gridSpan w:val="25"/>
          </w:tcPr>
          <w:p>
            <w:pPr>
              <w:spacing w:after="0"/>
              <w:rPr>
                <w:rFonts w:ascii="Arial" w:cs="Arial" w:eastAsia="Arial" w:hAnsi="Arial"/>
                <w:sz w:val="18"/>
                <w:szCs w:val="18"/>
                <w:color w:val="0000FF"/>
                <w:w w:val="91"/>
              </w:rPr>
            </w:pPr>
            <w:hyperlink r:id="rId246">
              <w:r>
                <w:rPr>
                  <w:rFonts w:ascii="Arial" w:cs="Arial" w:eastAsia="Arial" w:hAnsi="Arial"/>
                  <w:sz w:val="18"/>
                  <w:szCs w:val="18"/>
                  <w:color w:val="0000FF"/>
                  <w:w w:val="91"/>
                </w:rPr>
                <w:t>Twenty-Eighth Supplemental Indenture (4.90% Senior Notes due 2045) dated December 9, 2014, by and among Plains All American</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40" w:type="dxa"/>
            <w:vAlign w:val="bottom"/>
            <w:gridSpan w:val="25"/>
          </w:tcPr>
          <w:p>
            <w:pPr>
              <w:spacing w:after="0" w:line="156" w:lineRule="exact"/>
              <w:rPr>
                <w:rFonts w:ascii="Arial" w:cs="Arial" w:eastAsia="Arial" w:hAnsi="Arial"/>
                <w:sz w:val="18"/>
                <w:szCs w:val="18"/>
                <w:color w:val="0000FF"/>
                <w:w w:val="93"/>
              </w:rPr>
            </w:pPr>
            <w:hyperlink r:id="rId246">
              <w:r>
                <w:rPr>
                  <w:rFonts w:ascii="Arial" w:cs="Arial" w:eastAsia="Arial" w:hAnsi="Arial"/>
                  <w:sz w:val="18"/>
                  <w:szCs w:val="18"/>
                  <w:color w:val="0000FF"/>
                  <w:w w:val="93"/>
                </w:rPr>
                <w:t>Pipeline, L.P., PAA Finance Corp. and U.S. Bank National Association, as trustee (incorporated by reference to Exhibit 4.3 to our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46">
              <w:r>
                <w:rPr>
                  <w:rFonts w:ascii="Arial" w:cs="Arial" w:eastAsia="Arial" w:hAnsi="Arial"/>
                  <w:sz w:val="18"/>
                  <w:szCs w:val="18"/>
                  <w:color w:val="0000FF"/>
                </w:rPr>
                <w:t>Current Report on Form 8-K filed December 11, 2014).</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4.13</w:t>
            </w:r>
          </w:p>
        </w:tc>
        <w:tc>
          <w:tcPr>
            <w:tcW w:w="10500" w:type="dxa"/>
            <w:vAlign w:val="bottom"/>
            <w:gridSpan w:val="30"/>
          </w:tcPr>
          <w:p>
            <w:pPr>
              <w:ind w:left="4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47">
              <w:r>
                <w:rPr>
                  <w:rFonts w:ascii="Arial" w:cs="Arial" w:eastAsia="Arial" w:hAnsi="Arial"/>
                  <w:sz w:val="18"/>
                  <w:szCs w:val="18"/>
                  <w:color w:val="0000FF"/>
                  <w:w w:val="95"/>
                </w:rPr>
                <w:t>Twenty-Ninth Supplemental Indenture (4.65% Senior Notes due 2025) dated August 24, 2015, by and among Plains All American</w:t>
              </w:r>
            </w:hyperlink>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20" w:type="dxa"/>
            <w:vAlign w:val="bottom"/>
            <w:gridSpan w:val="29"/>
          </w:tcPr>
          <w:p>
            <w:pPr>
              <w:spacing w:after="0" w:line="156" w:lineRule="exact"/>
              <w:rPr>
                <w:rFonts w:ascii="Arial" w:cs="Arial" w:eastAsia="Arial" w:hAnsi="Arial"/>
                <w:sz w:val="18"/>
                <w:szCs w:val="18"/>
                <w:color w:val="0000FF"/>
                <w:w w:val="92"/>
              </w:rPr>
            </w:pPr>
            <w:hyperlink r:id="rId247">
              <w:r>
                <w:rPr>
                  <w:rFonts w:ascii="Arial" w:cs="Arial" w:eastAsia="Arial" w:hAnsi="Arial"/>
                  <w:sz w:val="18"/>
                  <w:szCs w:val="18"/>
                  <w:color w:val="0000FF"/>
                  <w:w w:val="92"/>
                </w:rPr>
                <w:t>Pipeline, L.P., PAA Finance Corp. and U.S. Bank National Association, as trustee (incorporated by reference to Exhibit 4.1 to PAA’s</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47">
              <w:r>
                <w:rPr>
                  <w:rFonts w:ascii="Arial" w:cs="Arial" w:eastAsia="Arial" w:hAnsi="Arial"/>
                  <w:sz w:val="18"/>
                  <w:szCs w:val="18"/>
                  <w:color w:val="0000FF"/>
                  <w:w w:val="92"/>
                </w:rPr>
                <w:t>Current Report on Form 8-K filed August 26, 2015).</w:t>
              </w:r>
            </w:hyperlink>
          </w:p>
        </w:tc>
        <w:tc>
          <w:tcPr>
            <w:tcW w:w="57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4.14</w:t>
            </w:r>
          </w:p>
        </w:tc>
        <w:tc>
          <w:tcPr>
            <w:tcW w:w="10500" w:type="dxa"/>
            <w:vAlign w:val="bottom"/>
            <w:gridSpan w:val="30"/>
          </w:tcPr>
          <w:p>
            <w:pPr>
              <w:ind w:left="4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248">
              <w:r>
                <w:rPr>
                  <w:rFonts w:ascii="Arial" w:cs="Arial" w:eastAsia="Arial" w:hAnsi="Arial"/>
                  <w:sz w:val="18"/>
                  <w:szCs w:val="18"/>
                  <w:color w:val="0000FF"/>
                  <w:w w:val="96"/>
                </w:rPr>
                <w:t>Thirtieth Supplemental Indenture (4.50% Senior Notes due 2026) dated November 22, 2016, by and among Plains All American</w:t>
              </w:r>
            </w:hyperlink>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20" w:type="dxa"/>
            <w:vAlign w:val="bottom"/>
            <w:gridSpan w:val="29"/>
          </w:tcPr>
          <w:p>
            <w:pPr>
              <w:spacing w:after="0" w:line="156" w:lineRule="exact"/>
              <w:rPr>
                <w:rFonts w:ascii="Arial" w:cs="Arial" w:eastAsia="Arial" w:hAnsi="Arial"/>
                <w:sz w:val="18"/>
                <w:szCs w:val="18"/>
                <w:color w:val="0000FF"/>
                <w:w w:val="92"/>
              </w:rPr>
            </w:pPr>
            <w:hyperlink r:id="rId248">
              <w:r>
                <w:rPr>
                  <w:rFonts w:ascii="Arial" w:cs="Arial" w:eastAsia="Arial" w:hAnsi="Arial"/>
                  <w:sz w:val="18"/>
                  <w:szCs w:val="18"/>
                  <w:color w:val="0000FF"/>
                  <w:w w:val="92"/>
                </w:rPr>
                <w:t>Pipeline, L.P., PAA Finance Corp. and U.S. Bank National Association, as trustee (incorporated by reference to Exhibit 4.1 to PAA’s</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248">
              <w:r>
                <w:rPr>
                  <w:rFonts w:ascii="Arial" w:cs="Arial" w:eastAsia="Arial" w:hAnsi="Arial"/>
                  <w:sz w:val="18"/>
                  <w:szCs w:val="18"/>
                  <w:color w:val="0000FF"/>
                  <w:w w:val="92"/>
                </w:rPr>
                <w:t>Current Report on Form 8-K filed November 29, 2016).</w:t>
              </w:r>
            </w:hyperlink>
          </w:p>
        </w:tc>
        <w:tc>
          <w:tcPr>
            <w:tcW w:w="55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4.15</w:t>
            </w:r>
          </w:p>
        </w:tc>
        <w:tc>
          <w:tcPr>
            <w:tcW w:w="780" w:type="dxa"/>
            <w:vAlign w:val="bottom"/>
          </w:tcPr>
          <w:p>
            <w:pPr>
              <w:spacing w:after="0"/>
              <w:rPr>
                <w:sz w:val="24"/>
                <w:szCs w:val="24"/>
                <w:color w:val="auto"/>
              </w:rPr>
            </w:pPr>
          </w:p>
        </w:tc>
        <w:tc>
          <w:tcPr>
            <w:tcW w:w="9720" w:type="dxa"/>
            <w:vAlign w:val="bottom"/>
            <w:gridSpan w:val="29"/>
          </w:tcPr>
          <w:p>
            <w:pPr>
              <w:spacing w:after="0"/>
              <w:rPr>
                <w:rFonts w:ascii="Arial" w:cs="Arial" w:eastAsia="Arial" w:hAnsi="Arial"/>
                <w:sz w:val="18"/>
                <w:szCs w:val="18"/>
                <w:color w:val="0000FF"/>
                <w:w w:val="93"/>
              </w:rPr>
            </w:pPr>
            <w:hyperlink r:id="rId249">
              <w:r>
                <w:rPr>
                  <w:rFonts w:ascii="Arial" w:cs="Arial" w:eastAsia="Arial" w:hAnsi="Arial"/>
                  <w:sz w:val="18"/>
                  <w:szCs w:val="18"/>
                  <w:color w:val="0000FF"/>
                  <w:w w:val="93"/>
                </w:rPr>
                <w:t>Thirty-First Supplemental Indenture (3.55% Senior Notes due 2029) dated September 16, 2019, by and among Plains All American</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80" w:type="dxa"/>
            <w:vAlign w:val="bottom"/>
            <w:tcBorders>
              <w:top w:val="single" w:sz="8" w:color="0000FF"/>
            </w:tcBorders>
            <w:gridSpan w:val="19"/>
          </w:tcPr>
          <w:p>
            <w:pPr>
              <w:spacing w:after="0" w:line="156" w:lineRule="exact"/>
              <w:rPr>
                <w:rFonts w:ascii="Arial" w:cs="Arial" w:eastAsia="Arial" w:hAnsi="Arial"/>
                <w:sz w:val="18"/>
                <w:szCs w:val="18"/>
                <w:color w:val="0000FF"/>
                <w:w w:val="90"/>
              </w:rPr>
            </w:pPr>
            <w:hyperlink r:id="rId249">
              <w:r>
                <w:rPr>
                  <w:rFonts w:ascii="Arial" w:cs="Arial" w:eastAsia="Arial" w:hAnsi="Arial"/>
                  <w:sz w:val="18"/>
                  <w:szCs w:val="18"/>
                  <w:color w:val="0000FF"/>
                  <w:w w:val="90"/>
                </w:rPr>
                <w:t>Pipeline, L.P., PAA Finance Corp. and U.S. Bank National Association, as trustee (incorporated by reference to Exhibit 4.1 to PAA’s</w:t>
              </w:r>
            </w:hyperlink>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58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Current Report on Form 8-K filed September 17,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4.16</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9660" w:type="dxa"/>
            <w:vAlign w:val="bottom"/>
            <w:tcBorders>
              <w:bottom w:val="single" w:sz="8" w:color="0000FF"/>
            </w:tcBorders>
            <w:gridSpan w:val="26"/>
          </w:tcPr>
          <w:p>
            <w:pPr>
              <w:spacing w:after="0"/>
              <w:rPr>
                <w:rFonts w:ascii="Arial" w:cs="Arial" w:eastAsia="Arial" w:hAnsi="Arial"/>
                <w:sz w:val="18"/>
                <w:szCs w:val="18"/>
                <w:color w:val="0000FF"/>
                <w:w w:val="90"/>
              </w:rPr>
            </w:pPr>
            <w:hyperlink r:id="rId250">
              <w:r>
                <w:rPr>
                  <w:rFonts w:ascii="Arial" w:cs="Arial" w:eastAsia="Arial" w:hAnsi="Arial"/>
                  <w:sz w:val="18"/>
                  <w:szCs w:val="18"/>
                  <w:color w:val="0000FF"/>
                  <w:w w:val="90"/>
                </w:rPr>
                <w:t>Shareholder and Registration Rights Agreement dated October 21, 2013 by and among Plains GP Holdings, L.P. and the other parties</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60" w:type="dxa"/>
            <w:vAlign w:val="bottom"/>
            <w:gridSpan w:val="26"/>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signatory thereto (incorporated by reference to Exhibit 4.1 to our Current Report on Form 8-K filed October 25,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4.17 †</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216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194">
              <w:r>
                <w:rPr>
                  <w:rFonts w:ascii="Arial" w:cs="Arial" w:eastAsia="Arial" w:hAnsi="Arial"/>
                  <w:sz w:val="18"/>
                  <w:szCs w:val="18"/>
                  <w:color w:val="0000FF"/>
                  <w:w w:val="91"/>
                </w:rPr>
                <w:t>Description of Our Securities.</w:t>
              </w:r>
            </w:hyperlink>
          </w:p>
        </w:tc>
        <w:tc>
          <w:tcPr>
            <w:tcW w:w="13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gridSpan w:val="5"/>
          </w:tcPr>
          <w:p>
            <w:pPr>
              <w:spacing w:after="0"/>
              <w:rPr>
                <w:sz w:val="24"/>
                <w:szCs w:val="24"/>
                <w:color w:val="auto"/>
              </w:rPr>
            </w:pPr>
          </w:p>
        </w:tc>
        <w:tc>
          <w:tcPr>
            <w:tcW w:w="38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16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00" w:type="dxa"/>
            <w:vAlign w:val="bottom"/>
            <w:gridSpan w:val="30"/>
          </w:tcPr>
          <w:p>
            <w:pPr>
              <w:ind w:left="40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51">
              <w:r>
                <w:rPr>
                  <w:rFonts w:ascii="Arial" w:cs="Arial" w:eastAsia="Arial" w:hAnsi="Arial"/>
                  <w:sz w:val="18"/>
                  <w:szCs w:val="18"/>
                  <w:color w:val="0000FF"/>
                  <w:w w:val="93"/>
                </w:rPr>
                <w:t>Credit Agreement dated as of August 19, 2011 among Plains All American Pipeline, L.P., as Borrower; certain subsidiaries of Plains</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0" w:type="dxa"/>
            <w:vAlign w:val="bottom"/>
            <w:tcBorders>
              <w:top w:val="single" w:sz="8" w:color="0000FF"/>
            </w:tcBorders>
            <w:gridSpan w:val="23"/>
          </w:tcPr>
          <w:p>
            <w:pPr>
              <w:spacing w:after="0" w:line="156" w:lineRule="exact"/>
              <w:rPr>
                <w:rFonts w:ascii="Arial" w:cs="Arial" w:eastAsia="Arial" w:hAnsi="Arial"/>
                <w:sz w:val="18"/>
                <w:szCs w:val="18"/>
                <w:color w:val="0000FF"/>
                <w:w w:val="95"/>
              </w:rPr>
            </w:pPr>
            <w:hyperlink r:id="rId251">
              <w:r>
                <w:rPr>
                  <w:rFonts w:ascii="Arial" w:cs="Arial" w:eastAsia="Arial" w:hAnsi="Arial"/>
                  <w:sz w:val="18"/>
                  <w:szCs w:val="18"/>
                  <w:color w:val="0000FF"/>
                  <w:w w:val="95"/>
                </w:rPr>
                <w:t>All American Pipeline, L.P. from time to time party thereto, as Designated Borrowers; Bank of America, N.A., as Administrative</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320" w:type="dxa"/>
            <w:vAlign w:val="bottom"/>
            <w:tcBorders>
              <w:top w:val="single" w:sz="8" w:color="0000FF"/>
            </w:tcBorders>
            <w:gridSpan w:val="16"/>
          </w:tcPr>
          <w:p>
            <w:pPr>
              <w:spacing w:after="0" w:line="156" w:lineRule="exact"/>
              <w:rPr>
                <w:rFonts w:ascii="Arial" w:cs="Arial" w:eastAsia="Arial" w:hAnsi="Arial"/>
                <w:sz w:val="18"/>
                <w:szCs w:val="18"/>
                <w:color w:val="0000FF"/>
                <w:w w:val="91"/>
              </w:rPr>
            </w:pPr>
            <w:hyperlink r:id="rId251">
              <w:r>
                <w:rPr>
                  <w:rFonts w:ascii="Arial" w:cs="Arial" w:eastAsia="Arial" w:hAnsi="Arial"/>
                  <w:sz w:val="18"/>
                  <w:szCs w:val="18"/>
                  <w:color w:val="0000FF"/>
                  <w:w w:val="91"/>
                </w:rPr>
                <w:t>Agent; and the other Lenders party thereto (incorporated by reference to Exhibit 10.1 to PAA’s Current Report on Form 8-K filed</w:t>
              </w:r>
            </w:hyperlink>
          </w:p>
        </w:tc>
        <w:tc>
          <w:tcPr>
            <w:tcW w:w="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251">
              <w:r>
                <w:rPr>
                  <w:rFonts w:ascii="Arial" w:cs="Arial" w:eastAsia="Arial" w:hAnsi="Arial"/>
                  <w:sz w:val="18"/>
                  <w:szCs w:val="18"/>
                  <w:color w:val="0000FF"/>
                  <w:w w:val="90"/>
                </w:rPr>
                <w:t>August 25, 2011).</w:t>
              </w:r>
            </w:hyperlink>
          </w:p>
        </w:tc>
        <w:tc>
          <w:tcPr>
            <w:tcW w:w="8000" w:type="dxa"/>
            <w:vAlign w:val="bottom"/>
            <w:tcBorders>
              <w:top w:val="single" w:sz="8" w:color="0000FF"/>
            </w:tcBorders>
            <w:gridSpan w:val="14"/>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00" w:type="dxa"/>
            <w:vAlign w:val="bottom"/>
            <w:gridSpan w:val="30"/>
          </w:tcPr>
          <w:p>
            <w:pPr>
              <w:ind w:left="4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52">
              <w:r>
                <w:rPr>
                  <w:rFonts w:ascii="Arial" w:cs="Arial" w:eastAsia="Arial" w:hAnsi="Arial"/>
                  <w:sz w:val="18"/>
                  <w:szCs w:val="18"/>
                  <w:color w:val="0000FF"/>
                  <w:w w:val="95"/>
                </w:rPr>
                <w:t>First Amendment to Credit Agreement dated as of June 27, 2012, among Plains All American Pipeline, L.P. and Plains Midstream</w:t>
              </w:r>
            </w:hyperlink>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20" w:type="dxa"/>
            <w:vAlign w:val="bottom"/>
            <w:gridSpan w:val="29"/>
          </w:tcPr>
          <w:p>
            <w:pPr>
              <w:spacing w:after="0" w:line="156" w:lineRule="exact"/>
              <w:rPr>
                <w:rFonts w:ascii="Arial" w:cs="Arial" w:eastAsia="Arial" w:hAnsi="Arial"/>
                <w:sz w:val="18"/>
                <w:szCs w:val="18"/>
                <w:color w:val="0000FF"/>
                <w:w w:val="92"/>
              </w:rPr>
            </w:pPr>
            <w:hyperlink r:id="rId252">
              <w:r>
                <w:rPr>
                  <w:rFonts w:ascii="Arial" w:cs="Arial" w:eastAsia="Arial" w:hAnsi="Arial"/>
                  <w:sz w:val="18"/>
                  <w:szCs w:val="18"/>
                  <w:color w:val="0000FF"/>
                  <w:w w:val="92"/>
                </w:rPr>
                <w:t>Canada ULC, as Borrowers; Bank of America, N.A., as Administrative Agent, Swing Line Lender and L/C Issuer; Wells Fargo Bank,</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r:id="rId252">
              <w:r>
                <w:rPr>
                  <w:rFonts w:ascii="Arial" w:cs="Arial" w:eastAsia="Arial" w:hAnsi="Arial"/>
                  <w:sz w:val="18"/>
                  <w:szCs w:val="18"/>
                  <w:color w:val="0000FF"/>
                  <w:w w:val="96"/>
                </w:rPr>
                <w:t>National Association, as an L/C Issuer; and the other Lenders party thereto (incorporated by reference to Exhibit 10.2 to PAA’s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1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52">
              <w:r>
                <w:rPr>
                  <w:rFonts w:ascii="Arial" w:cs="Arial" w:eastAsia="Arial" w:hAnsi="Arial"/>
                  <w:sz w:val="18"/>
                  <w:szCs w:val="18"/>
                  <w:color w:val="0000FF"/>
                </w:rPr>
                <w:t>Current Report on Form 8-K filed July 3, 2012).</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80" w:type="dxa"/>
            <w:vAlign w:val="bottom"/>
            <w:gridSpan w:val="3"/>
            <w:shd w:val="clear" w:color="auto" w:fill="0000FF"/>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10500" w:type="dxa"/>
            <w:vAlign w:val="bottom"/>
            <w:gridSpan w:val="30"/>
          </w:tcPr>
          <w:p>
            <w:pPr>
              <w:ind w:left="4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253">
              <w:r>
                <w:rPr>
                  <w:rFonts w:ascii="Arial" w:cs="Arial" w:eastAsia="Arial" w:hAnsi="Arial"/>
                  <w:sz w:val="18"/>
                  <w:szCs w:val="18"/>
                  <w:color w:val="0000FF"/>
                  <w:w w:val="99"/>
                </w:rPr>
                <w:t>Second Amendment to Credit Agreement dated as of August 16, 2013, among Plains All American Pipeline, L.P. and Plains</w:t>
              </w:r>
            </w:hyperlink>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38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540" w:type="dxa"/>
            <w:vAlign w:val="bottom"/>
            <w:tcBorders>
              <w:bottom w:val="single" w:sz="8" w:color="0000FF"/>
            </w:tcBorders>
            <w:gridSpan w:val="20"/>
          </w:tcPr>
          <w:p>
            <w:pPr>
              <w:spacing w:after="0" w:line="156" w:lineRule="exact"/>
              <w:rPr>
                <w:rFonts w:ascii="Arial" w:cs="Arial" w:eastAsia="Arial" w:hAnsi="Arial"/>
                <w:sz w:val="18"/>
                <w:szCs w:val="18"/>
                <w:color w:val="0000FF"/>
                <w:w w:val="92"/>
              </w:rPr>
            </w:pPr>
            <w:hyperlink r:id="rId253">
              <w:r>
                <w:rPr>
                  <w:rFonts w:ascii="Arial" w:cs="Arial" w:eastAsia="Arial" w:hAnsi="Arial"/>
                  <w:sz w:val="18"/>
                  <w:szCs w:val="18"/>
                  <w:color w:val="0000FF"/>
                  <w:w w:val="92"/>
                </w:rPr>
                <w:t>Midstream Canada ULC, as Borrowers; Bank of America, N.A., as Administrative Agent, Swing Line Lender and L/C Issuer; Wells</w:t>
              </w:r>
            </w:hyperlink>
          </w:p>
        </w:tc>
        <w:tc>
          <w:tcPr>
            <w:tcW w:w="180" w:type="dxa"/>
            <w:vAlign w:val="bottom"/>
            <w:gridSpan w:val="9"/>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20" w:type="dxa"/>
            <w:vAlign w:val="bottom"/>
            <w:gridSpan w:val="29"/>
          </w:tcPr>
          <w:p>
            <w:pPr>
              <w:spacing w:after="0" w:line="156" w:lineRule="exact"/>
              <w:rPr>
                <w:rFonts w:ascii="Arial" w:cs="Arial" w:eastAsia="Arial" w:hAnsi="Arial"/>
                <w:sz w:val="18"/>
                <w:szCs w:val="18"/>
                <w:color w:val="0000FF"/>
                <w:w w:val="91"/>
              </w:rPr>
            </w:pPr>
            <w:hyperlink r:id="rId253">
              <w:r>
                <w:rPr>
                  <w:rFonts w:ascii="Arial" w:cs="Arial" w:eastAsia="Arial" w:hAnsi="Arial"/>
                  <w:sz w:val="18"/>
                  <w:szCs w:val="18"/>
                  <w:color w:val="0000FF"/>
                  <w:w w:val="91"/>
                </w:rPr>
                <w:t>Fargo Bank, National Association, as an L/C Issuer; and the other Lenders party thereto (incorporated by reference to Exhibit 10.2 to</w:t>
              </w:r>
            </w:hyperlink>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PAA’s Current Report on Form 8-K filed August 20, 2013).</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80" w:type="dxa"/>
            <w:vAlign w:val="bottom"/>
            <w:gridSpan w:val="8"/>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9700" w:type="dxa"/>
            <w:vAlign w:val="bottom"/>
            <w:tcBorders>
              <w:bottom w:val="single" w:sz="8" w:color="0000FF"/>
            </w:tcBorders>
            <w:gridSpan w:val="28"/>
          </w:tcPr>
          <w:p>
            <w:pPr>
              <w:spacing w:after="0"/>
              <w:rPr>
                <w:rFonts w:ascii="Arial" w:cs="Arial" w:eastAsia="Arial" w:hAnsi="Arial"/>
                <w:sz w:val="18"/>
                <w:szCs w:val="18"/>
                <w:color w:val="0000FF"/>
                <w:w w:val="91"/>
              </w:rPr>
            </w:pPr>
            <w:hyperlink r:id="rId254">
              <w:r>
                <w:rPr>
                  <w:rFonts w:ascii="Arial" w:cs="Arial" w:eastAsia="Arial" w:hAnsi="Arial"/>
                  <w:sz w:val="18"/>
                  <w:szCs w:val="18"/>
                  <w:color w:val="0000FF"/>
                  <w:w w:val="91"/>
                </w:rPr>
                <w:t>Third Amendment to Credit Agreement dated as of August 11, 2016, among Plains All American Pipeline, L.P. and Plains Midstream</w:t>
              </w:r>
            </w:hyperlink>
          </w:p>
        </w:tc>
        <w:tc>
          <w:tcPr>
            <w:tcW w:w="20" w:type="dxa"/>
            <w:vAlign w:val="bottom"/>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700" w:type="dxa"/>
            <w:vAlign w:val="bottom"/>
            <w:gridSpan w:val="28"/>
          </w:tcPr>
          <w:p>
            <w:pPr>
              <w:spacing w:after="0" w:line="156" w:lineRule="exact"/>
              <w:rPr>
                <w:rFonts w:ascii="Arial" w:cs="Arial" w:eastAsia="Arial" w:hAnsi="Arial"/>
                <w:sz w:val="18"/>
                <w:szCs w:val="18"/>
                <w:color w:val="0000FF"/>
                <w:w w:val="92"/>
              </w:rPr>
            </w:pPr>
            <w:hyperlink r:id="rId254">
              <w:r>
                <w:rPr>
                  <w:rFonts w:ascii="Arial" w:cs="Arial" w:eastAsia="Arial" w:hAnsi="Arial"/>
                  <w:sz w:val="18"/>
                  <w:szCs w:val="18"/>
                  <w:color w:val="0000FF"/>
                  <w:w w:val="92"/>
                </w:rPr>
                <w:t>Canada ULC, as Borrowers; Bank of America, N.A., as Administrative Agent, Swing Line Lender and L/C Issuer; Wells Fargo Bank,</w:t>
              </w:r>
            </w:hyperlink>
          </w:p>
        </w:tc>
        <w:tc>
          <w:tcPr>
            <w:tcW w:w="20" w:type="dxa"/>
            <w:vAlign w:val="bottom"/>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80" w:type="dxa"/>
            <w:vAlign w:val="bottom"/>
            <w:tcBorders>
              <w:top w:val="single" w:sz="8" w:color="0000FF"/>
            </w:tcBorders>
            <w:gridSpan w:val="27"/>
          </w:tcPr>
          <w:p>
            <w:pPr>
              <w:spacing w:after="0" w:line="156" w:lineRule="exact"/>
              <w:rPr>
                <w:rFonts w:ascii="Arial" w:cs="Arial" w:eastAsia="Arial" w:hAnsi="Arial"/>
                <w:sz w:val="18"/>
                <w:szCs w:val="18"/>
                <w:color w:val="0000FF"/>
                <w:w w:val="96"/>
              </w:rPr>
            </w:pPr>
            <w:hyperlink r:id="rId254">
              <w:r>
                <w:rPr>
                  <w:rFonts w:ascii="Arial" w:cs="Arial" w:eastAsia="Arial" w:hAnsi="Arial"/>
                  <w:sz w:val="18"/>
                  <w:szCs w:val="18"/>
                  <w:color w:val="0000FF"/>
                  <w:w w:val="96"/>
                </w:rPr>
                <w:t>National Association, as an L/C Issuer; and the other Lenders party thereto (incorporated by reference to Exhibit 10.1 to PAA’s</w:t>
              </w:r>
            </w:hyperlink>
          </w:p>
        </w:tc>
        <w:tc>
          <w:tcPr>
            <w:tcW w:w="40" w:type="dxa"/>
            <w:vAlign w:val="bottom"/>
            <w:gridSpan w:val="2"/>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254">
              <w:r>
                <w:rPr>
                  <w:rFonts w:ascii="Arial" w:cs="Arial" w:eastAsia="Arial" w:hAnsi="Arial"/>
                  <w:sz w:val="18"/>
                  <w:szCs w:val="18"/>
                  <w:color w:val="0000FF"/>
                  <w:w w:val="92"/>
                </w:rPr>
                <w:t>Current Report on Form 8-K filed August 17, 2016).</w:t>
              </w:r>
            </w:hyperlink>
          </w:p>
        </w:tc>
        <w:tc>
          <w:tcPr>
            <w:tcW w:w="534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15"/>
          </w:tcPr>
          <w:p>
            <w:pPr>
              <w:spacing w:after="0"/>
              <w:rPr>
                <w:sz w:val="13"/>
                <w:szCs w:val="13"/>
                <w:color w:val="auto"/>
              </w:rPr>
            </w:pP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780" w:type="dxa"/>
            <w:vAlign w:val="bottom"/>
          </w:tcPr>
          <w:p>
            <w:pPr>
              <w:ind w:left="40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14"/>
          </w:tcPr>
          <w:p>
            <w:pPr>
              <w:spacing w:after="0"/>
              <w:rPr>
                <w:rFonts w:ascii="Arial" w:cs="Arial" w:eastAsia="Arial" w:hAnsi="Arial"/>
                <w:sz w:val="18"/>
                <w:szCs w:val="18"/>
                <w:color w:val="0000FF"/>
                <w:w w:val="90"/>
              </w:rPr>
            </w:pPr>
            <w:hyperlink r:id="rId255">
              <w:r>
                <w:rPr>
                  <w:rFonts w:ascii="Arial" w:cs="Arial" w:eastAsia="Arial" w:hAnsi="Arial"/>
                  <w:sz w:val="18"/>
                  <w:szCs w:val="18"/>
                  <w:color w:val="0000FF"/>
                  <w:w w:val="90"/>
                </w:rPr>
                <w:t>Third Amended and Restated Credit Agreement dated as of August 19, 2011 by and among Plains Marketing, L.P., as Borrower,</w:t>
              </w:r>
            </w:hyperlink>
          </w:p>
        </w:tc>
        <w:tc>
          <w:tcPr>
            <w:tcW w:w="460" w:type="dxa"/>
            <w:vAlign w:val="bottom"/>
            <w:gridSpan w:val="15"/>
          </w:tcPr>
          <w:p>
            <w:pPr>
              <w:spacing w:after="0"/>
              <w:rPr>
                <w:sz w:val="24"/>
                <w:szCs w:val="24"/>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60" w:type="dxa"/>
            <w:vAlign w:val="bottom"/>
            <w:gridSpan w:val="14"/>
          </w:tcPr>
          <w:p>
            <w:pPr>
              <w:spacing w:after="0" w:line="156" w:lineRule="exact"/>
              <w:rPr>
                <w:rFonts w:ascii="Arial" w:cs="Arial" w:eastAsia="Arial" w:hAnsi="Arial"/>
                <w:sz w:val="18"/>
                <w:szCs w:val="18"/>
                <w:color w:val="0000FF"/>
                <w:w w:val="92"/>
              </w:rPr>
            </w:pPr>
            <w:hyperlink r:id="rId255">
              <w:r>
                <w:rPr>
                  <w:rFonts w:ascii="Arial" w:cs="Arial" w:eastAsia="Arial" w:hAnsi="Arial"/>
                  <w:sz w:val="18"/>
                  <w:szCs w:val="18"/>
                  <w:color w:val="0000FF"/>
                  <w:w w:val="92"/>
                </w:rPr>
                <w:t>Plains All American Pipeline, L.P., as Guarantor, Bank of America, N.A., as Administrative Agent, and the other Lenders party</w:t>
              </w:r>
            </w:hyperlink>
          </w:p>
        </w:tc>
        <w:tc>
          <w:tcPr>
            <w:tcW w:w="460" w:type="dxa"/>
            <w:vAlign w:val="bottom"/>
            <w:gridSpan w:val="15"/>
          </w:tcPr>
          <w:p>
            <w:pPr>
              <w:spacing w:after="0"/>
              <w:rPr>
                <w:sz w:val="13"/>
                <w:szCs w:val="13"/>
                <w:color w:val="auto"/>
              </w:rPr>
            </w:pPr>
          </w:p>
        </w:tc>
      </w:tr>
      <w:tr>
        <w:trPr>
          <w:trHeight w:val="156"/>
        </w:trPr>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thereto (incorporated by reference to Exhibit 10.2 to PAA’s Current Report on Form 8-K filed August 25, 2011).</w:t>
              </w:r>
            </w:hyperlink>
          </w:p>
        </w:tc>
        <w:tc>
          <w:tcPr>
            <w:tcW w:w="520" w:type="dxa"/>
            <w:vAlign w:val="bottom"/>
            <w:gridSpan w:val="16"/>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80" w:type="dxa"/>
            <w:vAlign w:val="bottom"/>
            <w:gridSpan w:val="9"/>
            <w:shd w:val="clear" w:color="auto" w:fill="0000FF"/>
          </w:tcPr>
          <w:p>
            <w:pPr>
              <w:spacing w:after="0" w:line="20" w:lineRule="exact"/>
              <w:rPr>
                <w:sz w:val="1"/>
                <w:szCs w:val="1"/>
                <w:color w:val="auto"/>
              </w:rPr>
            </w:pPr>
          </w:p>
        </w:tc>
        <w:tc>
          <w:tcPr>
            <w:tcW w:w="1640" w:type="dxa"/>
            <w:vAlign w:val="bottom"/>
            <w:gridSpan w:val="20"/>
          </w:tcPr>
          <w:p>
            <w:pPr>
              <w:spacing w:after="0" w:line="20" w:lineRule="exact"/>
              <w:rPr>
                <w:sz w:val="1"/>
                <w:szCs w:val="1"/>
                <w:color w:val="auto"/>
              </w:rPr>
            </w:pPr>
          </w:p>
        </w:tc>
      </w:tr>
      <w:tr>
        <w:trPr>
          <w:trHeight w:val="319"/>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gridSpan w:val="30"/>
          </w:tcPr>
          <w:p>
            <w:pPr>
              <w:ind w:left="4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56">
              <w:r>
                <w:rPr>
                  <w:rFonts w:ascii="Arial" w:cs="Arial" w:eastAsia="Arial" w:hAnsi="Arial"/>
                  <w:sz w:val="18"/>
                  <w:szCs w:val="18"/>
                  <w:u w:val="single" w:color="auto"/>
                  <w:color w:val="0000FF"/>
                  <w:w w:val="94"/>
                </w:rPr>
                <w:t>First Amendment to Third Amended and Restated Credit Agreement dated as of June 27, 2012, among Plains Marketing, L.P. and</w:t>
              </w:r>
            </w:hyperlink>
          </w:p>
        </w:tc>
      </w:tr>
    </w:tbl>
    <w:p>
      <w:pPr>
        <w:ind w:left="1640" w:right="460"/>
        <w:spacing w:after="0" w:line="218"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Administrative Agent, Swing Line Lender and L/C Issuer; and the other Lenders and L/C Issuers party thereto (incorporated by</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reference to Exhibit 10.1 to PAA’s Current Report on Form 8-K filed July 3, 2012).</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57" w:lineRule="exact"/>
        <w:rPr>
          <w:rFonts w:ascii="Arial" w:cs="Arial" w:eastAsia="Arial" w:hAnsi="Arial"/>
          <w:sz w:val="18"/>
          <w:szCs w:val="18"/>
          <w:u w:val="single" w:color="auto"/>
          <w:color w:val="0000FF"/>
        </w:rPr>
      </w:pPr>
    </w:p>
    <w:p>
      <w:pPr>
        <w:jc w:val="center"/>
        <w:ind w:right="-139"/>
        <w:spacing w:after="0"/>
        <w:rPr>
          <w:sz w:val="20"/>
          <w:szCs w:val="20"/>
          <w:color w:val="auto"/>
        </w:rPr>
      </w:pPr>
      <w:r>
        <w:rPr>
          <w:rFonts w:ascii="Arial" w:cs="Arial" w:eastAsia="Arial" w:hAnsi="Arial"/>
          <w:sz w:val="18"/>
          <w:szCs w:val="18"/>
          <w:color w:val="auto"/>
        </w:rPr>
        <w:t>116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60" w:right="260" w:hanging="1620"/>
        <w:spacing w:after="0" w:line="21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 xml:space="preserve">— </w:t>
      </w:r>
      <w:hyperlink r:id="rId258">
        <w:r>
          <w:rPr>
            <w:rFonts w:ascii="Arial" w:cs="Arial" w:eastAsia="Arial" w:hAnsi="Arial"/>
            <w:sz w:val="18"/>
            <w:szCs w:val="18"/>
            <w:u w:val="single" w:color="auto"/>
            <w:color w:val="0000FF"/>
          </w:rPr>
          <w:t>Second Amendment to Third Amended and Restated Credit Agreement dated as of August 16, 2013, among Plains Marketing, L.P.</w:t>
        </w:r>
      </w:hyperlink>
      <w:r>
        <w:rPr>
          <w:rFonts w:ascii="Arial" w:cs="Arial" w:eastAsia="Arial" w:hAnsi="Arial"/>
          <w:sz w:val="18"/>
          <w:szCs w:val="18"/>
          <w:color w:val="auto"/>
        </w:rPr>
        <w:t xml:space="preserve"> </w:t>
      </w:r>
      <w:hyperlink r:id="rId258">
        <w:r>
          <w:rPr>
            <w:rFonts w:ascii="Arial" w:cs="Arial" w:eastAsia="Arial" w:hAnsi="Arial"/>
            <w:sz w:val="18"/>
            <w:szCs w:val="18"/>
            <w:u w:val="single" w:color="auto"/>
            <w:color w:val="0000FF"/>
          </w:rPr>
          <w:t>and 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Lenders and L/C Issuers party thereto (incorporated by reference to Exhibit 10.1 to PAA’s Current Report on Form 8-K filed</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August 20, 2013).</w:t>
        </w:r>
      </w:hyperlink>
    </w:p>
    <w:p>
      <w:pPr>
        <w:spacing w:after="0" w:line="108" w:lineRule="exact"/>
        <w:rPr>
          <w:rFonts w:ascii="Arial" w:cs="Arial" w:eastAsia="Arial" w:hAnsi="Arial"/>
          <w:sz w:val="18"/>
          <w:szCs w:val="18"/>
          <w:u w:val="single" w:color="auto"/>
          <w:color w:val="0000FF"/>
        </w:rPr>
      </w:pPr>
    </w:p>
    <w:p>
      <w:pPr>
        <w:ind w:left="1260" w:right="80" w:hanging="1620"/>
        <w:spacing w:after="0" w:line="21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 xml:space="preserve">— </w:t>
      </w:r>
      <w:hyperlink r:id="rId259">
        <w:r>
          <w:rPr>
            <w:rFonts w:ascii="Arial" w:cs="Arial" w:eastAsia="Arial" w:hAnsi="Arial"/>
            <w:sz w:val="18"/>
            <w:szCs w:val="18"/>
            <w:u w:val="single" w:color="auto"/>
            <w:color w:val="0000FF"/>
          </w:rPr>
          <w:t>Third Amendment to Third Amended and Restated Credit Agreement dated as of August 11, 2016, among Plains Marketing, L.P. and</w:t>
        </w:r>
      </w:hyperlink>
      <w:r>
        <w:rPr>
          <w:rFonts w:ascii="Arial" w:cs="Arial" w:eastAsia="Arial" w:hAnsi="Arial"/>
          <w:sz w:val="18"/>
          <w:szCs w:val="18"/>
          <w:color w:val="auto"/>
        </w:rPr>
        <w:t xml:space="preserve"> </w:t>
      </w:r>
      <w:hyperlink r:id="rId259">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Lenders and L/C Issuers party thereto (incorporated by reference to Exhibit 10.3 to PAA’s Current Report on Form 8-K filed August</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17, 2016).</w:t>
        </w:r>
      </w:hyperlink>
    </w:p>
    <w:p>
      <w:pPr>
        <w:spacing w:after="0" w:line="108" w:lineRule="exact"/>
        <w:rPr>
          <w:rFonts w:ascii="Arial" w:cs="Arial" w:eastAsia="Arial" w:hAnsi="Arial"/>
          <w:sz w:val="18"/>
          <w:szCs w:val="18"/>
          <w:u w:val="single" w:color="auto"/>
          <w:color w:val="0000FF"/>
        </w:rPr>
      </w:pPr>
    </w:p>
    <w:p>
      <w:pPr>
        <w:ind w:left="1260" w:hanging="1620"/>
        <w:spacing w:after="0" w:line="216"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 xml:space="preserve">— </w:t>
      </w:r>
      <w:hyperlink r:id="rId260">
        <w:r>
          <w:rPr>
            <w:rFonts w:ascii="Arial" w:cs="Arial" w:eastAsia="Arial" w:hAnsi="Arial"/>
            <w:sz w:val="18"/>
            <w:szCs w:val="18"/>
            <w:u w:val="single" w:color="auto"/>
            <w:color w:val="0000FF"/>
          </w:rPr>
          <w:t>Fourth Amendment to Third Amended and Restated Credit Agreement dated as of August 16, 2017, among Plains Marketing, L.P. and</w:t>
        </w:r>
      </w:hyperlink>
      <w:r>
        <w:rPr>
          <w:rFonts w:ascii="Arial" w:cs="Arial" w:eastAsia="Arial" w:hAnsi="Arial"/>
          <w:sz w:val="18"/>
          <w:szCs w:val="18"/>
          <w:color w:val="auto"/>
        </w:rPr>
        <w:t xml:space="preserve"> </w:t>
      </w:r>
      <w:hyperlink r:id="rId260">
        <w:r>
          <w:rPr>
            <w:rFonts w:ascii="Arial" w:cs="Arial" w:eastAsia="Arial" w:hAnsi="Arial"/>
            <w:sz w:val="18"/>
            <w:szCs w:val="18"/>
            <w:u w:val="single" w:color="auto"/>
            <w:color w:val="0000FF"/>
          </w:rPr>
          <w:t>Plains Midstream Canada ULC, as Borrowers; Plains All American Pipeline, L.P., as Guarantor; Bank of America, N.A., as</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Administrative Agent, Swing Line Lender and L/C Issuer; Wells Fargo Bank, National Association, as an L/C Issuer; and the other</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Lenders and L/C Issuers party thereto (incorporated by reference to Exhibit 10.6 to our Quarterly Report on Form 10-Q for the quarter</w:t>
        </w:r>
      </w:hyperlink>
      <w:r>
        <w:rPr>
          <w:rFonts w:ascii="Arial" w:cs="Arial" w:eastAsia="Arial" w:hAnsi="Arial"/>
          <w:sz w:val="18"/>
          <w:szCs w:val="18"/>
          <w:u w:val="single" w:color="auto"/>
          <w:color w:val="0000FF"/>
        </w:rPr>
        <w:t xml:space="preserve"> </w:t>
      </w:r>
      <w:hyperlink r:id="rId260">
        <w:r>
          <w:rPr>
            <w:rFonts w:ascii="Arial" w:cs="Arial" w:eastAsia="Arial" w:hAnsi="Arial"/>
            <w:sz w:val="18"/>
            <w:szCs w:val="18"/>
            <w:u w:val="single" w:color="auto"/>
            <w:color w:val="0000FF"/>
          </w:rPr>
          <w:t>ended September 30, 2017).</w:t>
        </w:r>
      </w:hyperlink>
    </w:p>
    <w:p>
      <w:pPr>
        <w:spacing w:after="0" w:line="108" w:lineRule="exact"/>
        <w:rPr>
          <w:rFonts w:ascii="Arial" w:cs="Arial" w:eastAsia="Arial" w:hAnsi="Arial"/>
          <w:sz w:val="18"/>
          <w:szCs w:val="18"/>
          <w:u w:val="single" w:color="auto"/>
          <w:color w:val="0000FF"/>
        </w:rPr>
      </w:pPr>
    </w:p>
    <w:p>
      <w:pPr>
        <w:ind w:left="1260" w:right="8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 xml:space="preserve">— </w:t>
      </w:r>
      <w:hyperlink r:id="rId261">
        <w:r>
          <w:rPr>
            <w:rFonts w:ascii="Arial" w:cs="Arial" w:eastAsia="Arial" w:hAnsi="Arial"/>
            <w:sz w:val="18"/>
            <w:szCs w:val="18"/>
            <w:u w:val="single" w:color="auto"/>
            <w:color w:val="0000FF"/>
          </w:rPr>
          <w:t>Contribution, Conveyance and Assumption Agreement among Plains All American Pipeline, L.P. and certain other parties dated as of</w:t>
        </w:r>
      </w:hyperlink>
      <w:r>
        <w:rPr>
          <w:rFonts w:ascii="Arial" w:cs="Arial" w:eastAsia="Arial" w:hAnsi="Arial"/>
          <w:sz w:val="18"/>
          <w:szCs w:val="18"/>
          <w:color w:val="auto"/>
        </w:rPr>
        <w:t xml:space="preserve"> </w:t>
      </w:r>
      <w:hyperlink r:id="rId261">
        <w:r>
          <w:rPr>
            <w:rFonts w:ascii="Arial" w:cs="Arial" w:eastAsia="Arial" w:hAnsi="Arial"/>
            <w:sz w:val="18"/>
            <w:szCs w:val="18"/>
            <w:u w:val="single" w:color="auto"/>
            <w:color w:val="0000FF"/>
          </w:rPr>
          <w:t>November 23, 1998. (incorporated by reference to Exhibit 10.3 to PAA’s Annual Report on Form 10-K for the year ended</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December 31, 1998).</w:t>
        </w:r>
      </w:hyperlink>
    </w:p>
    <w:p>
      <w:pPr>
        <w:spacing w:after="0" w:line="109" w:lineRule="exact"/>
        <w:rPr>
          <w:rFonts w:ascii="Arial" w:cs="Arial" w:eastAsia="Arial" w:hAnsi="Arial"/>
          <w:sz w:val="18"/>
          <w:szCs w:val="18"/>
          <w:color w:val="auto"/>
        </w:rPr>
      </w:pPr>
    </w:p>
    <w:p>
      <w:pPr>
        <w:ind w:left="1260" w:hanging="1620"/>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 xml:space="preserve">— </w:t>
      </w:r>
      <w:hyperlink r:id="rId261">
        <w:r>
          <w:rPr>
            <w:rFonts w:ascii="Arial" w:cs="Arial" w:eastAsia="Arial" w:hAnsi="Arial"/>
            <w:sz w:val="18"/>
            <w:szCs w:val="18"/>
            <w:u w:val="single" w:color="auto"/>
            <w:color w:val="0000FF"/>
          </w:rPr>
          <w:t>First Amendment to Contribution, Conveyance and Assumption Agreement dated as of December 15, 1998 (incorporated by reference</w:t>
        </w:r>
      </w:hyperlink>
      <w:r>
        <w:rPr>
          <w:rFonts w:ascii="Arial" w:cs="Arial" w:eastAsia="Arial" w:hAnsi="Arial"/>
          <w:sz w:val="18"/>
          <w:szCs w:val="18"/>
          <w:color w:val="auto"/>
        </w:rPr>
        <w:t xml:space="preserve"> </w:t>
      </w:r>
      <w:hyperlink r:id="rId261">
        <w:r>
          <w:rPr>
            <w:rFonts w:ascii="Arial" w:cs="Arial" w:eastAsia="Arial" w:hAnsi="Arial"/>
            <w:sz w:val="18"/>
            <w:szCs w:val="18"/>
            <w:u w:val="single" w:color="auto"/>
            <w:color w:val="0000FF"/>
          </w:rPr>
          <w:t>to Exhibit 10.13 to PAA’s Annual Report on Form 10-K for the year ended December 31, 1998).</w:t>
        </w:r>
      </w:hyperlink>
    </w:p>
    <w:p>
      <w:pPr>
        <w:spacing w:after="0" w:line="108" w:lineRule="exact"/>
        <w:rPr>
          <w:sz w:val="20"/>
          <w:szCs w:val="20"/>
          <w:color w:val="auto"/>
        </w:rPr>
      </w:pPr>
    </w:p>
    <w:p>
      <w:pPr>
        <w:ind w:left="1260" w:right="24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 xml:space="preserve">— </w:t>
      </w:r>
      <w:hyperlink r:id="rId262">
        <w:r>
          <w:rPr>
            <w:rFonts w:ascii="Arial" w:cs="Arial" w:eastAsia="Arial" w:hAnsi="Arial"/>
            <w:sz w:val="18"/>
            <w:szCs w:val="18"/>
            <w:u w:val="single" w:color="auto"/>
            <w:color w:val="0000FF"/>
          </w:rPr>
          <w:t>Contribution, Assignment and Amendment Agreement dated as of June 27, 2001, among Plains All American Pipeline, L.P., Plains</w:t>
        </w:r>
      </w:hyperlink>
      <w:r>
        <w:rPr>
          <w:rFonts w:ascii="Arial" w:cs="Arial" w:eastAsia="Arial" w:hAnsi="Arial"/>
          <w:sz w:val="18"/>
          <w:szCs w:val="18"/>
          <w:color w:val="auto"/>
        </w:rPr>
        <w:t xml:space="preserve"> </w:t>
      </w:r>
      <w:hyperlink r:id="rId262">
        <w:r>
          <w:rPr>
            <w:rFonts w:ascii="Arial" w:cs="Arial" w:eastAsia="Arial" w:hAnsi="Arial"/>
            <w:sz w:val="18"/>
            <w:szCs w:val="18"/>
            <w:u w:val="single" w:color="auto"/>
            <w:color w:val="0000FF"/>
          </w:rPr>
          <w:t>Marketing, L.P., All American Pipeline, L.P., Plains AAP, L.P., Plains All American GP LLC and Plains Marketing GP Inc.</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(incorporated by reference to Exhibit 10.1 to PAA’s Current Report on Form 8-K filed June 27, 2001).</w:t>
        </w:r>
      </w:hyperlink>
    </w:p>
    <w:p>
      <w:pPr>
        <w:spacing w:after="0" w:line="109" w:lineRule="exact"/>
        <w:rPr>
          <w:rFonts w:ascii="Arial" w:cs="Arial" w:eastAsia="Arial" w:hAnsi="Arial"/>
          <w:sz w:val="18"/>
          <w:szCs w:val="18"/>
          <w:color w:val="auto"/>
        </w:rPr>
      </w:pPr>
    </w:p>
    <w:p>
      <w:pPr>
        <w:ind w:left="1260" w:right="26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 xml:space="preserve">— </w:t>
      </w:r>
      <w:hyperlink r:id="rId263">
        <w:r>
          <w:rPr>
            <w:rFonts w:ascii="Arial" w:cs="Arial" w:eastAsia="Arial" w:hAnsi="Arial"/>
            <w:sz w:val="18"/>
            <w:szCs w:val="18"/>
            <w:u w:val="single" w:color="auto"/>
            <w:color w:val="0000FF"/>
          </w:rPr>
          <w:t>Contribution, Assignment and Amendment Agreement dated as of June 8, 2001, among Plains All American Inc., Plains AAP, L.P.</w:t>
        </w:r>
      </w:hyperlink>
      <w:r>
        <w:rPr>
          <w:rFonts w:ascii="Arial" w:cs="Arial" w:eastAsia="Arial" w:hAnsi="Arial"/>
          <w:sz w:val="18"/>
          <w:szCs w:val="18"/>
          <w:color w:val="auto"/>
        </w:rPr>
        <w:t xml:space="preserve"> </w:t>
      </w:r>
      <w:hyperlink r:id="rId263">
        <w:r>
          <w:rPr>
            <w:rFonts w:ascii="Arial" w:cs="Arial" w:eastAsia="Arial" w:hAnsi="Arial"/>
            <w:sz w:val="18"/>
            <w:szCs w:val="18"/>
            <w:u w:val="single" w:color="auto"/>
            <w:color w:val="0000FF"/>
          </w:rPr>
          <w:t>and Plains All American GP LLC (incorporated by reference to Exhibit 10.1 to PAA’s Current Report on Form 8-K filed June 11,</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2001).</w:t>
        </w:r>
      </w:hyperlink>
    </w:p>
    <w:p>
      <w:pPr>
        <w:spacing w:after="0" w:line="109" w:lineRule="exact"/>
        <w:rPr>
          <w:rFonts w:ascii="Arial" w:cs="Arial" w:eastAsia="Arial" w:hAnsi="Arial"/>
          <w:sz w:val="18"/>
          <w:szCs w:val="18"/>
          <w:color w:val="auto"/>
        </w:rPr>
      </w:pPr>
    </w:p>
    <w:p>
      <w:pPr>
        <w:ind w:left="1260" w:right="4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 xml:space="preserve">— </w:t>
      </w:r>
      <w:hyperlink r:id="rId264">
        <w:r>
          <w:rPr>
            <w:rFonts w:ascii="Arial" w:cs="Arial" w:eastAsia="Arial" w:hAnsi="Arial"/>
            <w:sz w:val="18"/>
            <w:szCs w:val="18"/>
            <w:u w:val="single" w:color="auto"/>
            <w:color w:val="0000FF"/>
          </w:rPr>
          <w:t>Separation Agreement dated as of June 8, 2001 among Plains Resources Inc., Plains All American Inc., Plains All American GP LLC,</w:t>
        </w:r>
      </w:hyperlink>
      <w:r>
        <w:rPr>
          <w:rFonts w:ascii="Arial" w:cs="Arial" w:eastAsia="Arial" w:hAnsi="Arial"/>
          <w:sz w:val="18"/>
          <w:szCs w:val="18"/>
          <w:color w:val="auto"/>
        </w:rPr>
        <w:t xml:space="preserve"> </w:t>
      </w:r>
      <w:hyperlink r:id="rId264">
        <w:r>
          <w:rPr>
            <w:rFonts w:ascii="Arial" w:cs="Arial" w:eastAsia="Arial" w:hAnsi="Arial"/>
            <w:sz w:val="18"/>
            <w:szCs w:val="18"/>
            <w:u w:val="single" w:color="auto"/>
            <w:color w:val="0000FF"/>
          </w:rPr>
          <w:t>Plains AAP, L.P. and Plains All American Pipeline, L.P. (incorporated by reference to Exhibit 10.2 to PAA’s Current Report on</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Form 8-K filed June 11, 2001).</w:t>
        </w:r>
      </w:hyperlink>
    </w:p>
    <w:p>
      <w:pPr>
        <w:spacing w:after="0" w:line="109" w:lineRule="exact"/>
        <w:rPr>
          <w:rFonts w:ascii="Arial" w:cs="Arial" w:eastAsia="Arial" w:hAnsi="Arial"/>
          <w:sz w:val="18"/>
          <w:szCs w:val="18"/>
          <w:color w:val="auto"/>
        </w:rPr>
      </w:pPr>
    </w:p>
    <w:p>
      <w:pPr>
        <w:ind w:left="1260" w:right="60" w:hanging="1620"/>
        <w:spacing w:after="0" w:line="239"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 xml:space="preserve">— </w:t>
      </w:r>
      <w:hyperlink r:id="rId265">
        <w:r>
          <w:rPr>
            <w:rFonts w:ascii="Arial" w:cs="Arial" w:eastAsia="Arial" w:hAnsi="Arial"/>
            <w:sz w:val="16"/>
            <w:szCs w:val="16"/>
            <w:u w:val="single" w:color="auto"/>
            <w:color w:val="0000FF"/>
          </w:rPr>
          <w:t>Pension and Employee Benefits Assumption and Transition Agreement dated as of June 8, 2001 among Plains Resources Inc., Plains</w:t>
        </w:r>
      </w:hyperlink>
      <w:r>
        <w:rPr>
          <w:rFonts w:ascii="Arial" w:cs="Arial" w:eastAsia="Arial" w:hAnsi="Arial"/>
          <w:sz w:val="16"/>
          <w:szCs w:val="16"/>
          <w:color w:val="auto"/>
        </w:rPr>
        <w:t xml:space="preserve"> </w:t>
      </w:r>
      <w:hyperlink r:id="rId265">
        <w:r>
          <w:rPr>
            <w:rFonts w:ascii="Arial" w:cs="Arial" w:eastAsia="Arial" w:hAnsi="Arial"/>
            <w:sz w:val="16"/>
            <w:szCs w:val="16"/>
            <w:u w:val="single" w:color="auto"/>
            <w:color w:val="0000FF"/>
          </w:rPr>
          <w:t>All American Inc. and Plains All American GP LLC (incorporated by reference to Exhibit 10.3 to PAA’s Current Report on Form 8-K</w:t>
        </w:r>
      </w:hyperlink>
    </w:p>
    <w:p>
      <w:pPr>
        <w:spacing w:after="0" w:line="1" w:lineRule="exact"/>
        <w:rPr>
          <w:sz w:val="20"/>
          <w:szCs w:val="20"/>
          <w:color w:val="auto"/>
        </w:rPr>
      </w:pPr>
    </w:p>
    <w:p>
      <w:pPr>
        <w:ind w:left="1640"/>
        <w:spacing w:after="0"/>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filed June 11, 2001).</w:t>
        </w:r>
      </w:hyperlink>
    </w:p>
    <w:p>
      <w:pPr>
        <w:spacing w:after="0" w:line="115" w:lineRule="exact"/>
        <w:rPr>
          <w:sz w:val="20"/>
          <w:szCs w:val="20"/>
          <w:color w:val="auto"/>
        </w:rPr>
      </w:pPr>
    </w:p>
    <w:p>
      <w:pPr>
        <w:ind w:left="1260" w:hanging="1620"/>
        <w:spacing w:after="0" w:line="235"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 xml:space="preserve">— </w:t>
      </w:r>
      <w:hyperlink r:id="rId266">
        <w:r>
          <w:rPr>
            <w:rFonts w:ascii="Arial" w:cs="Arial" w:eastAsia="Arial" w:hAnsi="Arial"/>
            <w:sz w:val="18"/>
            <w:szCs w:val="18"/>
            <w:u w:val="single" w:color="auto"/>
            <w:color w:val="0000FF"/>
          </w:rPr>
          <w:t>Contribution and Assumption Agreement dated December 28, 2007, by and between Plains AAP, L.P. and PAA GP LLC (incorporated</w:t>
        </w:r>
      </w:hyperlink>
      <w:r>
        <w:rPr>
          <w:rFonts w:ascii="Arial" w:cs="Arial" w:eastAsia="Arial" w:hAnsi="Arial"/>
          <w:sz w:val="18"/>
          <w:szCs w:val="18"/>
          <w:color w:val="auto"/>
        </w:rPr>
        <w:t xml:space="preserve"> </w:t>
      </w:r>
      <w:hyperlink r:id="rId266">
        <w:r>
          <w:rPr>
            <w:rFonts w:ascii="Arial" w:cs="Arial" w:eastAsia="Arial" w:hAnsi="Arial"/>
            <w:sz w:val="18"/>
            <w:szCs w:val="18"/>
            <w:u w:val="single" w:color="auto"/>
            <w:color w:val="0000FF"/>
          </w:rPr>
          <w:t>by reference to Exhibit 10.2 to PAA’s Current Report on Form 8-K filed January 4, 2008).</w:t>
        </w:r>
      </w:hyperlink>
    </w:p>
    <w:p>
      <w:pPr>
        <w:spacing w:after="0" w:line="79" w:lineRule="exact"/>
        <w:rPr>
          <w:sz w:val="20"/>
          <w:szCs w:val="20"/>
          <w:color w:val="auto"/>
        </w:rPr>
      </w:pPr>
    </w:p>
    <w:p>
      <w:pPr>
        <w:ind w:left="20"/>
        <w:spacing w:after="0"/>
        <w:tabs>
          <w:tab w:leader="none" w:pos="1240" w:val="left"/>
          <w:tab w:leader="none" w:pos="162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w:t>
      </w:r>
      <w:r>
        <w:rPr>
          <w:sz w:val="20"/>
          <w:szCs w:val="20"/>
          <w:color w:val="auto"/>
        </w:rPr>
        <w:tab/>
      </w:r>
      <w:hyperlink r:id="rId267">
        <w:r>
          <w:rPr>
            <w:rFonts w:ascii="Arial" w:cs="Arial" w:eastAsia="Arial" w:hAnsi="Arial"/>
            <w:sz w:val="16"/>
            <w:szCs w:val="16"/>
            <w:u w:val="single" w:color="auto"/>
            <w:color w:val="0000FF"/>
          </w:rPr>
          <w:t>Asset Purchase and Sale Agreement dated February 28, 2001 between Murphy Oil Company Ltd. and Plains Marketing Canada, L.P.</w:t>
        </w:r>
      </w:hyperlink>
    </w:p>
    <w:p>
      <w:pPr>
        <w:spacing w:after="0" w:line="8" w:lineRule="exact"/>
        <w:rPr>
          <w:sz w:val="20"/>
          <w:szCs w:val="20"/>
          <w:color w:val="auto"/>
        </w:rPr>
      </w:pPr>
    </w:p>
    <w:p>
      <w:pPr>
        <w:ind w:left="1640"/>
        <w:spacing w:after="0"/>
        <w:rPr>
          <w:rFonts w:ascii="Arial" w:cs="Arial" w:eastAsia="Arial" w:hAnsi="Arial"/>
          <w:sz w:val="18"/>
          <w:szCs w:val="18"/>
          <w:u w:val="single" w:color="auto"/>
          <w:color w:val="0000FF"/>
        </w:rPr>
      </w:pPr>
      <w:hyperlink r:id="rId267">
        <w:r>
          <w:rPr>
            <w:rFonts w:ascii="Arial" w:cs="Arial" w:eastAsia="Arial" w:hAnsi="Arial"/>
            <w:sz w:val="18"/>
            <w:szCs w:val="18"/>
            <w:u w:val="single" w:color="auto"/>
            <w:color w:val="0000FF"/>
          </w:rPr>
          <w:t>(incorporated by reference to Exhibit 99.1 to PAA’s Current Report on Form 8-K filed May 10, 2001).</w:t>
        </w:r>
      </w:hyperlink>
    </w:p>
    <w:p>
      <w:pPr>
        <w:spacing w:after="0" w:line="115" w:lineRule="exact"/>
        <w:rPr>
          <w:sz w:val="20"/>
          <w:szCs w:val="20"/>
          <w:color w:val="auto"/>
        </w:rPr>
      </w:pPr>
    </w:p>
    <w:p>
      <w:pPr>
        <w:ind w:left="1260" w:right="80" w:hanging="1620"/>
        <w:spacing w:after="0" w:line="289" w:lineRule="auto"/>
        <w:tabs>
          <w:tab w:leader="none" w:pos="1240" w:val="left"/>
        </w:tabs>
        <w:rPr>
          <w:rFonts w:ascii="Arial" w:cs="Arial" w:eastAsia="Arial" w:hAnsi="Arial"/>
          <w:sz w:val="16"/>
          <w:szCs w:val="16"/>
          <w:u w:val="single" w:color="auto"/>
          <w:color w:val="0000FF"/>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 xml:space="preserve">— </w:t>
      </w:r>
      <w:hyperlink r:id="rId268">
        <w:r>
          <w:rPr>
            <w:rFonts w:ascii="Arial" w:cs="Arial" w:eastAsia="Arial" w:hAnsi="Arial"/>
            <w:sz w:val="16"/>
            <w:szCs w:val="16"/>
            <w:u w:val="single" w:color="auto"/>
            <w:color w:val="0000FF"/>
          </w:rPr>
          <w:t>Transportation Agreement dated July 30, 1993, between All American Pipeline Company and Exxon Company, U.S.A. (incorporated</w:t>
        </w:r>
      </w:hyperlink>
      <w:r>
        <w:rPr>
          <w:rFonts w:ascii="Arial" w:cs="Arial" w:eastAsia="Arial" w:hAnsi="Arial"/>
          <w:sz w:val="16"/>
          <w:szCs w:val="16"/>
          <w:color w:val="auto"/>
        </w:rPr>
        <w:t xml:space="preserve"> </w:t>
      </w:r>
      <w:hyperlink r:id="rId268">
        <w:r>
          <w:rPr>
            <w:rFonts w:ascii="Arial" w:cs="Arial" w:eastAsia="Arial" w:hAnsi="Arial"/>
            <w:sz w:val="16"/>
            <w:szCs w:val="16"/>
            <w:u w:val="single" w:color="auto"/>
            <w:color w:val="0000FF"/>
          </w:rPr>
          <w:t>by reference to Exhibit 10.9 to PAA’s Registration Statement on Form S-1 filed September 23, 1998, File No. 333-64107).</w:t>
        </w:r>
      </w:hyperlink>
    </w:p>
    <w:p>
      <w:pPr>
        <w:spacing w:after="0" w:line="70" w:lineRule="exact"/>
        <w:rPr>
          <w:sz w:val="20"/>
          <w:szCs w:val="20"/>
          <w:color w:val="auto"/>
        </w:rPr>
      </w:pPr>
    </w:p>
    <w:p>
      <w:pPr>
        <w:ind w:left="1260" w:right="14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 xml:space="preserve">— </w:t>
      </w:r>
      <w:hyperlink r:id="rId268">
        <w:r>
          <w:rPr>
            <w:rFonts w:ascii="Arial" w:cs="Arial" w:eastAsia="Arial" w:hAnsi="Arial"/>
            <w:sz w:val="18"/>
            <w:szCs w:val="18"/>
            <w:u w:val="single" w:color="auto"/>
            <w:color w:val="0000FF"/>
          </w:rPr>
          <w:t>Transportation Agreement dated August 2, 1993, among All American Pipeline Company, Texaco Trading and Transportation Inc.,</w:t>
        </w:r>
      </w:hyperlink>
      <w:r>
        <w:rPr>
          <w:rFonts w:ascii="Arial" w:cs="Arial" w:eastAsia="Arial" w:hAnsi="Arial"/>
          <w:sz w:val="18"/>
          <w:szCs w:val="18"/>
          <w:color w:val="auto"/>
        </w:rPr>
        <w:t xml:space="preserve"> </w:t>
      </w:r>
      <w:hyperlink r:id="rId268">
        <w:r>
          <w:rPr>
            <w:rFonts w:ascii="Arial" w:cs="Arial" w:eastAsia="Arial" w:hAnsi="Arial"/>
            <w:sz w:val="18"/>
            <w:szCs w:val="18"/>
            <w:u w:val="single" w:color="auto"/>
            <w:color w:val="0000FF"/>
          </w:rPr>
          <w:t>Chevron U.S.A. and Sun Operating Limited Partnership (incorporated by reference to Exhibit 10.10 to PAA’s Registration Statement</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on Form S-1 filed September 23, 1998, File No. 333-64107).</w:t>
        </w:r>
      </w:hyperlink>
    </w:p>
    <w:p>
      <w:pPr>
        <w:spacing w:after="0" w:line="109" w:lineRule="exact"/>
        <w:rPr>
          <w:rFonts w:ascii="Arial" w:cs="Arial" w:eastAsia="Arial" w:hAnsi="Arial"/>
          <w:sz w:val="18"/>
          <w:szCs w:val="18"/>
          <w:color w:val="auto"/>
        </w:rPr>
      </w:pPr>
    </w:p>
    <w:p>
      <w:pPr>
        <w:ind w:left="1260" w:right="20" w:hanging="1620"/>
        <w:spacing w:after="0" w:line="224" w:lineRule="auto"/>
        <w:tabs>
          <w:tab w:leader="none" w:pos="124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 xml:space="preserve">— </w:t>
      </w:r>
      <w:hyperlink r:id="rId261">
        <w:r>
          <w:rPr>
            <w:rFonts w:ascii="Arial" w:cs="Arial" w:eastAsia="Arial" w:hAnsi="Arial"/>
            <w:sz w:val="18"/>
            <w:szCs w:val="18"/>
            <w:u w:val="single" w:color="auto"/>
            <w:color w:val="0000FF"/>
          </w:rPr>
          <w:t>Agreement for Purchase and Sale of Membership Interest in Scurlock Permian LLC between Marathon Ashland LLC and Plains</w:t>
        </w:r>
      </w:hyperlink>
      <w:r>
        <w:rPr>
          <w:rFonts w:ascii="Arial" w:cs="Arial" w:eastAsia="Arial" w:hAnsi="Arial"/>
          <w:sz w:val="18"/>
          <w:szCs w:val="18"/>
          <w:color w:val="auto"/>
        </w:rPr>
        <w:t xml:space="preserve"> </w:t>
      </w:r>
      <w:hyperlink r:id="rId261">
        <w:r>
          <w:rPr>
            <w:rFonts w:ascii="Arial" w:cs="Arial" w:eastAsia="Arial" w:hAnsi="Arial"/>
            <w:sz w:val="18"/>
            <w:szCs w:val="18"/>
            <w:u w:val="single" w:color="auto"/>
            <w:color w:val="0000FF"/>
          </w:rPr>
          <w:t>Marketing, L.P. dated as of March 17, 1999 (incorporated by reference to Exhibit 10.16 to PAA’s Annual Report on Form 10-K for the</w:t>
        </w:r>
      </w:hyperlink>
      <w:r>
        <w:rPr>
          <w:rFonts w:ascii="Arial" w:cs="Arial" w:eastAsia="Arial" w:hAnsi="Arial"/>
          <w:sz w:val="18"/>
          <w:szCs w:val="18"/>
          <w:u w:val="single" w:color="auto"/>
          <w:color w:val="0000FF"/>
        </w:rPr>
        <w:t xml:space="preserve"> </w:t>
      </w:r>
      <w:hyperlink r:id="rId261">
        <w:r>
          <w:rPr>
            <w:rFonts w:ascii="Arial" w:cs="Arial" w:eastAsia="Arial" w:hAnsi="Arial"/>
            <w:sz w:val="18"/>
            <w:szCs w:val="18"/>
            <w:u w:val="single" w:color="auto"/>
            <w:color w:val="0000FF"/>
          </w:rPr>
          <w:t>year ended December 31, 1998).</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17" w:name="page118"/>
    <w:bookmarkEnd w:id="1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00" w:type="dxa"/>
            <w:vAlign w:val="bottom"/>
          </w:tcPr>
          <w:p>
            <w:pPr>
              <w:spacing w:after="0"/>
              <w:rPr>
                <w:sz w:val="20"/>
                <w:szCs w:val="20"/>
                <w:color w:val="auto"/>
              </w:rPr>
            </w:pPr>
            <w:r>
              <w:rPr>
                <w:rFonts w:ascii="Arial" w:cs="Arial" w:eastAsia="Arial" w:hAnsi="Arial"/>
                <w:sz w:val="18"/>
                <w:szCs w:val="18"/>
                <w:color w:val="auto"/>
              </w:rPr>
              <w:t>10.21</w:t>
            </w:r>
          </w:p>
        </w:tc>
        <w:tc>
          <w:tcPr>
            <w:tcW w:w="10260" w:type="dxa"/>
            <w:vAlign w:val="bottom"/>
            <w:gridSpan w:val="33"/>
          </w:tcPr>
          <w:p>
            <w:pPr>
              <w:ind w:left="2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70">
              <w:r>
                <w:rPr>
                  <w:rFonts w:ascii="Arial" w:cs="Arial" w:eastAsia="Arial" w:hAnsi="Arial"/>
                  <w:sz w:val="18"/>
                  <w:szCs w:val="18"/>
                  <w:color w:val="0000FF"/>
                  <w:w w:val="92"/>
                </w:rPr>
                <w:t>Membership Interest Purchase Agreement by and between Sempra Energy Trading Corporation and PAA/Vulcan Gas Storage, LLC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50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270">
              <w:r>
                <w:rPr>
                  <w:rFonts w:ascii="Arial" w:cs="Arial" w:eastAsia="Arial" w:hAnsi="Arial"/>
                  <w:sz w:val="18"/>
                  <w:szCs w:val="18"/>
                  <w:color w:val="0000FF"/>
                  <w:w w:val="92"/>
                </w:rPr>
                <w:t>dated August 19, 2005 (incorporated by reference to Exhibit 1.2 to PAA’s Current Report on Form 8-K filed September 19, 2005).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10.22</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04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91"/>
              </w:rPr>
            </w:pPr>
            <w:hyperlink r:id="rId271">
              <w:r>
                <w:rPr>
                  <w:rFonts w:ascii="Arial" w:cs="Arial" w:eastAsia="Arial" w:hAnsi="Arial"/>
                  <w:sz w:val="18"/>
                  <w:szCs w:val="18"/>
                  <w:color w:val="0000FF"/>
                  <w:w w:val="91"/>
                </w:rPr>
                <w:t>Contribution Agreement dated as of April 29, 2010 by and among PAA Natural Gas Storage, L.P., PNGS GP LLC, Plains All</w:t>
              </w:r>
            </w:hyperlink>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40" w:type="dxa"/>
            <w:vAlign w:val="bottom"/>
            <w:gridSpan w:val="15"/>
          </w:tcPr>
          <w:p>
            <w:pPr>
              <w:spacing w:after="0" w:line="156" w:lineRule="exact"/>
              <w:rPr>
                <w:rFonts w:ascii="Arial" w:cs="Arial" w:eastAsia="Arial" w:hAnsi="Arial"/>
                <w:sz w:val="18"/>
                <w:szCs w:val="18"/>
                <w:color w:val="0000FF"/>
                <w:w w:val="92"/>
              </w:rPr>
            </w:pPr>
            <w:hyperlink r:id="rId271">
              <w:r>
                <w:rPr>
                  <w:rFonts w:ascii="Arial" w:cs="Arial" w:eastAsia="Arial" w:hAnsi="Arial"/>
                  <w:sz w:val="18"/>
                  <w:szCs w:val="18"/>
                  <w:color w:val="0000FF"/>
                  <w:w w:val="92"/>
                </w:rPr>
                <w:t>American Pipeline, L.P., PAA Natural Gas Storage, LLC, PAA/Vulcan Gas Storage, LLC, Plains Marketing, L.P. and Plains</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20" w:type="dxa"/>
            <w:vAlign w:val="bottom"/>
            <w:tcBorders>
              <w:top w:val="single" w:sz="8" w:color="0000FF"/>
            </w:tcBorders>
            <w:gridSpan w:val="13"/>
          </w:tcPr>
          <w:p>
            <w:pPr>
              <w:spacing w:after="0" w:line="156" w:lineRule="exact"/>
              <w:rPr>
                <w:rFonts w:ascii="Arial" w:cs="Arial" w:eastAsia="Arial" w:hAnsi="Arial"/>
                <w:sz w:val="18"/>
                <w:szCs w:val="18"/>
                <w:color w:val="0000FF"/>
                <w:w w:val="94"/>
              </w:rPr>
            </w:pPr>
            <w:hyperlink r:id="rId271">
              <w:r>
                <w:rPr>
                  <w:rFonts w:ascii="Arial" w:cs="Arial" w:eastAsia="Arial" w:hAnsi="Arial"/>
                  <w:sz w:val="18"/>
                  <w:szCs w:val="18"/>
                  <w:color w:val="0000FF"/>
                  <w:w w:val="94"/>
                </w:rPr>
                <w:t>Marketing GP Inc. (incorporated by reference to Exhibit 10.1 to PNG’s Current Report on Form 8-K filed May 4, 2010).</w:t>
              </w:r>
            </w:hyperlink>
          </w:p>
        </w:tc>
        <w:tc>
          <w:tcPr>
            <w:tcW w:w="10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10.23</w:t>
            </w:r>
          </w:p>
        </w:tc>
        <w:tc>
          <w:tcPr>
            <w:tcW w:w="10260" w:type="dxa"/>
            <w:vAlign w:val="bottom"/>
            <w:gridSpan w:val="33"/>
          </w:tcPr>
          <w:p>
            <w:pPr>
              <w:ind w:left="2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72">
              <w:r>
                <w:rPr>
                  <w:rFonts w:ascii="Arial" w:cs="Arial" w:eastAsia="Arial" w:hAnsi="Arial"/>
                  <w:sz w:val="18"/>
                  <w:szCs w:val="18"/>
                  <w:color w:val="0000FF"/>
                  <w:w w:val="94"/>
                </w:rPr>
                <w:t>Omnibus Agreement dated May 5, 2010 by and among Plains All American GP LLC, Plains All American Pipeline, L.P., PNGS GP</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56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272">
              <w:r>
                <w:rPr>
                  <w:rFonts w:ascii="Arial" w:cs="Arial" w:eastAsia="Arial" w:hAnsi="Arial"/>
                  <w:sz w:val="18"/>
                  <w:szCs w:val="18"/>
                  <w:color w:val="0000FF"/>
                  <w:w w:val="95"/>
                </w:rPr>
                <w:t>LLC and PAA Natural Gas Storage, L.P. (incorporated by reference to Exhibit 10.1 to PNG’s Current Report on Form 8-K filed</w:t>
              </w:r>
            </w:hyperlink>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18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May 11, 2010).</w:t>
              </w:r>
            </w:hyperlink>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10.24</w:t>
            </w:r>
          </w:p>
        </w:tc>
        <w:tc>
          <w:tcPr>
            <w:tcW w:w="10260" w:type="dxa"/>
            <w:vAlign w:val="bottom"/>
            <w:gridSpan w:val="33"/>
          </w:tcPr>
          <w:p>
            <w:pPr>
              <w:ind w:left="2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273">
              <w:r>
                <w:rPr>
                  <w:rFonts w:ascii="Arial" w:cs="Arial" w:eastAsia="Arial" w:hAnsi="Arial"/>
                  <w:sz w:val="18"/>
                  <w:szCs w:val="18"/>
                  <w:color w:val="0000FF"/>
                  <w:w w:val="95"/>
                </w:rPr>
                <w:t>Omnibus Agreement by and among PAA GP Holdings LLC, Plains GP Holdings, L.P., Plains All American GP LLC, Plains AAP,</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40" w:type="dxa"/>
            <w:vAlign w:val="bottom"/>
            <w:gridSpan w:val="32"/>
          </w:tcPr>
          <w:p>
            <w:pPr>
              <w:spacing w:after="0" w:line="156" w:lineRule="exact"/>
              <w:rPr>
                <w:rFonts w:ascii="Arial" w:cs="Arial" w:eastAsia="Arial" w:hAnsi="Arial"/>
                <w:sz w:val="18"/>
                <w:szCs w:val="18"/>
                <w:color w:val="0000FF"/>
                <w:w w:val="93"/>
              </w:rPr>
            </w:pPr>
            <w:hyperlink r:id="rId273">
              <w:r>
                <w:rPr>
                  <w:rFonts w:ascii="Arial" w:cs="Arial" w:eastAsia="Arial" w:hAnsi="Arial"/>
                  <w:sz w:val="18"/>
                  <w:szCs w:val="18"/>
                  <w:color w:val="0000FF"/>
                  <w:w w:val="93"/>
                </w:rPr>
                <w:t>L.P., PAA GP LLC, and Plains All American Pipeline, L.P., dated November 15, 2016 (incorporated by reference to Exhibit 10.1 to</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8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our Current Report on Form 8-K filed November 21,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10.25</w:t>
            </w:r>
          </w:p>
        </w:tc>
        <w:tc>
          <w:tcPr>
            <w:tcW w:w="10260" w:type="dxa"/>
            <w:vAlign w:val="bottom"/>
            <w:gridSpan w:val="33"/>
          </w:tcPr>
          <w:p>
            <w:pPr>
              <w:ind w:left="240"/>
              <w:spacing w:after="0"/>
              <w:rPr>
                <w:rFonts w:ascii="Arial" w:cs="Arial" w:eastAsia="Arial" w:hAnsi="Arial"/>
                <w:sz w:val="18"/>
                <w:szCs w:val="18"/>
                <w:color w:val="auto"/>
                <w:w w:val="97"/>
              </w:rPr>
            </w:pPr>
            <w:r>
              <w:rPr>
                <w:rFonts w:ascii="Arial" w:cs="Arial" w:eastAsia="Arial" w:hAnsi="Arial"/>
                <w:sz w:val="18"/>
                <w:szCs w:val="18"/>
                <w:color w:val="auto"/>
                <w:w w:val="97"/>
              </w:rPr>
              <w:t xml:space="preserve">—  </w:t>
            </w:r>
            <w:hyperlink r:id="rId274">
              <w:r>
                <w:rPr>
                  <w:rFonts w:ascii="Arial" w:cs="Arial" w:eastAsia="Arial" w:hAnsi="Arial"/>
                  <w:sz w:val="18"/>
                  <w:szCs w:val="18"/>
                  <w:color w:val="0000FF"/>
                  <w:w w:val="97"/>
                </w:rPr>
                <w:t>Amended and Restated Administrative Agreement by and among PAA GP Holdings LLC, Plains GP Holdings, L.P., Plains All</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40" w:type="dxa"/>
            <w:vAlign w:val="bottom"/>
            <w:gridSpan w:val="32"/>
          </w:tcPr>
          <w:p>
            <w:pPr>
              <w:spacing w:after="0" w:line="156" w:lineRule="exact"/>
              <w:rPr>
                <w:rFonts w:ascii="Arial" w:cs="Arial" w:eastAsia="Arial" w:hAnsi="Arial"/>
                <w:sz w:val="18"/>
                <w:szCs w:val="18"/>
                <w:color w:val="0000FF"/>
                <w:w w:val="92"/>
              </w:rPr>
            </w:pPr>
            <w:hyperlink r:id="rId274">
              <w:r>
                <w:rPr>
                  <w:rFonts w:ascii="Arial" w:cs="Arial" w:eastAsia="Arial" w:hAnsi="Arial"/>
                  <w:sz w:val="18"/>
                  <w:szCs w:val="18"/>
                  <w:color w:val="0000FF"/>
                  <w:w w:val="92"/>
                </w:rPr>
                <w:t>American GP LLC, Plains AAP, L.P., PAA GP LLC, and Plains All American Pipeline, L.P., dated November 15, 2016 (incorporated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74">
              <w:r>
                <w:rPr>
                  <w:rFonts w:ascii="Arial" w:cs="Arial" w:eastAsia="Arial" w:hAnsi="Arial"/>
                  <w:sz w:val="18"/>
                  <w:szCs w:val="18"/>
                  <w:color w:val="0000FF"/>
                </w:rPr>
                <w:t>by reference to Exhibit 10.2 to our Current Report on Form 8-K filed November 21, 2016).</w:t>
              </w:r>
            </w:hyperlink>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40" w:type="dxa"/>
            <w:vAlign w:val="bottom"/>
            <w:gridSpan w:val="2"/>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10.26***</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540" w:type="dxa"/>
            <w:vAlign w:val="bottom"/>
            <w:tcBorders>
              <w:bottom w:val="single" w:sz="8" w:color="0000FF"/>
            </w:tcBorders>
            <w:gridSpan w:val="28"/>
          </w:tcPr>
          <w:p>
            <w:pPr>
              <w:spacing w:after="0"/>
              <w:rPr>
                <w:rFonts w:ascii="Arial" w:cs="Arial" w:eastAsia="Arial" w:hAnsi="Arial"/>
                <w:sz w:val="18"/>
                <w:szCs w:val="18"/>
                <w:color w:val="0000FF"/>
                <w:w w:val="91"/>
              </w:rPr>
            </w:pPr>
            <w:hyperlink r:id="rId275">
              <w:r>
                <w:rPr>
                  <w:rFonts w:ascii="Arial" w:cs="Arial" w:eastAsia="Arial" w:hAnsi="Arial"/>
                  <w:sz w:val="18"/>
                  <w:szCs w:val="18"/>
                  <w:color w:val="0000FF"/>
                  <w:w w:val="91"/>
                </w:rPr>
                <w:t>Amended and Restated Employment Agreement between Plains All American GP LLC and Greg L. Armstrong dated as of June 30,</w:t>
              </w:r>
            </w:hyperlink>
          </w:p>
        </w:tc>
        <w:tc>
          <w:tcPr>
            <w:tcW w:w="60" w:type="dxa"/>
            <w:vAlign w:val="bottom"/>
            <w:gridSpan w:val="3"/>
            <w:vMerge w:val="restart"/>
          </w:tcPr>
          <w:p>
            <w:pPr>
              <w:jc w:val="right"/>
              <w:spacing w:after="0"/>
              <w:rPr>
                <w:rFonts w:ascii="Arial" w:cs="Arial" w:eastAsia="Arial" w:hAnsi="Arial"/>
                <w:sz w:val="18"/>
                <w:szCs w:val="18"/>
                <w:color w:val="0000FF"/>
                <w:w w:val="78"/>
              </w:rPr>
            </w:pPr>
            <w:hyperlink r:id="rId275">
              <w:r>
                <w:rPr>
                  <w:rFonts w:ascii="Arial" w:cs="Arial" w:eastAsia="Arial" w:hAnsi="Arial"/>
                  <w:sz w:val="18"/>
                  <w:szCs w:val="18"/>
                  <w:color w:val="0000FF"/>
                  <w:w w:val="78"/>
                </w:rPr>
                <w: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540" w:type="dxa"/>
            <w:vAlign w:val="bottom"/>
            <w:tcBorders>
              <w:bottom w:val="single" w:sz="8" w:color="0000FF"/>
            </w:tcBorders>
            <w:gridSpan w:val="28"/>
          </w:tcPr>
          <w:p>
            <w:pPr>
              <w:spacing w:after="0" w:line="156" w:lineRule="exact"/>
              <w:rPr>
                <w:rFonts w:ascii="Arial" w:cs="Arial" w:eastAsia="Arial" w:hAnsi="Arial"/>
                <w:sz w:val="18"/>
                <w:szCs w:val="18"/>
                <w:color w:val="0000FF"/>
                <w:w w:val="90"/>
              </w:rPr>
            </w:pPr>
            <w:hyperlink r:id="rId275">
              <w:r>
                <w:rPr>
                  <w:rFonts w:ascii="Arial" w:cs="Arial" w:eastAsia="Arial" w:hAnsi="Arial"/>
                  <w:sz w:val="18"/>
                  <w:szCs w:val="18"/>
                  <w:color w:val="0000FF"/>
                  <w:w w:val="90"/>
                </w:rPr>
                <w:t>2001 (incorporated by reference to Exhibit 10.1 to PAA’s Quarterly Report on Form 10-Q for the quarter ended September 30, 2001)</w:t>
              </w:r>
            </w:hyperlink>
          </w:p>
        </w:tc>
        <w:tc>
          <w:tcPr>
            <w:tcW w:w="60" w:type="dxa"/>
            <w:vAlign w:val="bottom"/>
            <w:tcBorders>
              <w:bottom w:val="single" w:sz="8" w:color="0000FF"/>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10.27***</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600" w:type="dxa"/>
            <w:vAlign w:val="bottom"/>
            <w:tcBorders>
              <w:bottom w:val="single" w:sz="8" w:color="0000FF"/>
            </w:tcBorders>
            <w:gridSpan w:val="31"/>
          </w:tcPr>
          <w:p>
            <w:pPr>
              <w:spacing w:after="0"/>
              <w:rPr>
                <w:rFonts w:ascii="Arial" w:cs="Arial" w:eastAsia="Arial" w:hAnsi="Arial"/>
                <w:sz w:val="18"/>
                <w:szCs w:val="18"/>
                <w:color w:val="0000FF"/>
                <w:w w:val="90"/>
              </w:rPr>
            </w:pPr>
            <w:hyperlink r:id="rId276">
              <w:r>
                <w:rPr>
                  <w:rFonts w:ascii="Arial" w:cs="Arial" w:eastAsia="Arial" w:hAnsi="Arial"/>
                  <w:sz w:val="18"/>
                  <w:szCs w:val="18"/>
                  <w:color w:val="0000FF"/>
                  <w:w w:val="90"/>
                </w:rPr>
                <w:t>First Amendment to Amended and Restated Employment Agreement dated December 4, 2008 between Plains All American GP LLC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0" w:type="dxa"/>
            <w:vAlign w:val="bottom"/>
            <w:gridSpan w:val="31"/>
          </w:tcPr>
          <w:p>
            <w:pPr>
              <w:spacing w:after="0" w:line="156" w:lineRule="exact"/>
              <w:rPr>
                <w:rFonts w:ascii="Arial" w:cs="Arial" w:eastAsia="Arial" w:hAnsi="Arial"/>
                <w:sz w:val="18"/>
                <w:szCs w:val="18"/>
                <w:color w:val="0000FF"/>
                <w:w w:val="96"/>
              </w:rPr>
            </w:pPr>
            <w:hyperlink r:id="rId276">
              <w:r>
                <w:rPr>
                  <w:rFonts w:ascii="Arial" w:cs="Arial" w:eastAsia="Arial" w:hAnsi="Arial"/>
                  <w:sz w:val="18"/>
                  <w:szCs w:val="18"/>
                  <w:color w:val="0000FF"/>
                  <w:w w:val="96"/>
                </w:rPr>
                <w:t>and Greg L. Armstrong (incorporated by reference to Exhibit 10.49 to PAA’s Annual Report on Form 10-K for the year ended</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6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76">
              <w:r>
                <w:rPr>
                  <w:rFonts w:ascii="Arial" w:cs="Arial" w:eastAsia="Arial" w:hAnsi="Arial"/>
                  <w:sz w:val="18"/>
                  <w:szCs w:val="18"/>
                  <w:color w:val="0000FF"/>
                </w:rPr>
                <w:t>December 31, 2008).</w:t>
              </w:r>
            </w:hyperlink>
          </w:p>
        </w:tc>
        <w:tc>
          <w:tcPr>
            <w:tcW w:w="20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10.28***</w:t>
            </w:r>
          </w:p>
        </w:tc>
        <w:tc>
          <w:tcPr>
            <w:tcW w:w="10260" w:type="dxa"/>
            <w:vAlign w:val="bottom"/>
            <w:gridSpan w:val="33"/>
          </w:tcPr>
          <w:p>
            <w:pPr>
              <w:ind w:left="2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277">
              <w:r>
                <w:rPr>
                  <w:rFonts w:ascii="Arial" w:cs="Arial" w:eastAsia="Arial" w:hAnsi="Arial"/>
                  <w:sz w:val="18"/>
                  <w:szCs w:val="18"/>
                  <w:color w:val="0000FF"/>
                  <w:w w:val="94"/>
                </w:rPr>
                <w:t>Waiver Agreement dated as of December 23, 2010 between Plains All American GP LLC and Greg L. Armstrong (incorporated by</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277">
              <w:r>
                <w:rPr>
                  <w:rFonts w:ascii="Arial" w:cs="Arial" w:eastAsia="Arial" w:hAnsi="Arial"/>
                  <w:sz w:val="18"/>
                  <w:szCs w:val="18"/>
                  <w:color w:val="0000FF"/>
                  <w:w w:val="91"/>
                </w:rPr>
                <w:t>reference to Exhibit 10.31 to PAA’s Annual Report on Form 10-K for the year ended December 31, 2010).</w:t>
              </w:r>
            </w:hyperlink>
          </w:p>
        </w:tc>
        <w:tc>
          <w:tcPr>
            <w:tcW w:w="17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10.29***</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400" w:type="dxa"/>
            <w:vAlign w:val="bottom"/>
            <w:tcBorders>
              <w:bottom w:val="single" w:sz="8" w:color="0000FF"/>
            </w:tcBorders>
            <w:gridSpan w:val="22"/>
          </w:tcPr>
          <w:p>
            <w:pPr>
              <w:spacing w:after="0"/>
              <w:rPr>
                <w:rFonts w:ascii="Arial" w:cs="Arial" w:eastAsia="Arial" w:hAnsi="Arial"/>
                <w:sz w:val="18"/>
                <w:szCs w:val="18"/>
                <w:color w:val="0000FF"/>
                <w:w w:val="90"/>
              </w:rPr>
            </w:pPr>
            <w:hyperlink r:id="rId278">
              <w:r>
                <w:rPr>
                  <w:rFonts w:ascii="Arial" w:cs="Arial" w:eastAsia="Arial" w:hAnsi="Arial"/>
                  <w:sz w:val="18"/>
                  <w:szCs w:val="18"/>
                  <w:color w:val="0000FF"/>
                  <w:w w:val="90"/>
                </w:rPr>
                <w:t>Waiver Agreement dated October 21, 2013 to the Amended and Restated Employment Agreement dated June 30, 2001 of Greg L.</w:t>
              </w:r>
            </w:hyperlink>
          </w:p>
        </w:tc>
        <w:tc>
          <w:tcPr>
            <w:tcW w:w="6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80" w:type="dxa"/>
            <w:vAlign w:val="bottom"/>
            <w:gridSpan w:val="4"/>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0" w:type="dxa"/>
            <w:vAlign w:val="bottom"/>
            <w:gridSpan w:val="22"/>
          </w:tcPr>
          <w:p>
            <w:pPr>
              <w:spacing w:after="0" w:line="156" w:lineRule="exact"/>
              <w:rPr>
                <w:rFonts w:ascii="Arial" w:cs="Arial" w:eastAsia="Arial" w:hAnsi="Arial"/>
                <w:sz w:val="18"/>
                <w:szCs w:val="18"/>
                <w:color w:val="0000FF"/>
              </w:rPr>
            </w:pPr>
            <w:hyperlink r:id="rId278">
              <w:r>
                <w:rPr>
                  <w:rFonts w:ascii="Arial" w:cs="Arial" w:eastAsia="Arial" w:hAnsi="Arial"/>
                  <w:sz w:val="18"/>
                  <w:szCs w:val="18"/>
                  <w:color w:val="0000FF"/>
                </w:rPr>
                <w:t>Armstrong (incorporated by reference to Exhibit 10.4 to our Current Report on Form 8-K filed October 25, 2013).</w:t>
              </w:r>
            </w:hyperlink>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32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10260" w:type="dxa"/>
            <w:vAlign w:val="bottom"/>
            <w:gridSpan w:val="33"/>
          </w:tcPr>
          <w:p>
            <w:pPr>
              <w:ind w:left="2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79">
              <w:r>
                <w:rPr>
                  <w:rFonts w:ascii="Arial" w:cs="Arial" w:eastAsia="Arial" w:hAnsi="Arial"/>
                  <w:sz w:val="18"/>
                  <w:szCs w:val="18"/>
                  <w:color w:val="0000FF"/>
                  <w:w w:val="93"/>
                </w:rPr>
                <w:t>Second Amended and Restated Employment Agreement dated effective October 1, 2018 between Plains All American GP LLC and</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0"/>
              </w:rPr>
            </w:pPr>
            <w:hyperlink r:id="rId279">
              <w:r>
                <w:rPr>
                  <w:rFonts w:ascii="Arial" w:cs="Arial" w:eastAsia="Arial" w:hAnsi="Arial"/>
                  <w:sz w:val="18"/>
                  <w:szCs w:val="18"/>
                  <w:color w:val="0000FF"/>
                  <w:w w:val="90"/>
                </w:rPr>
                <w:t>Greg L. Armstrong (incorporated by reference to Exhibit 10.6 to our Quarterly Report on Form 10-Q for the quarter ended September</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279">
              <w:r>
                <w:rPr>
                  <w:rFonts w:ascii="Arial" w:cs="Arial" w:eastAsia="Arial" w:hAnsi="Arial"/>
                  <w:sz w:val="18"/>
                  <w:szCs w:val="18"/>
                  <w:color w:val="0000FF"/>
                  <w:w w:val="88"/>
                </w:rPr>
                <w:t>30, 2018).</w:t>
              </w:r>
            </w:hyperlink>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36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207">
              <w:r>
                <w:rPr>
                  <w:rFonts w:ascii="Arial" w:cs="Arial" w:eastAsia="Arial" w:hAnsi="Arial"/>
                  <w:sz w:val="18"/>
                  <w:szCs w:val="18"/>
                  <w:color w:val="0000FF"/>
                  <w:w w:val="90"/>
                </w:rPr>
                <w:t>Third Amended and Restated Employment Agreement dated effective January 1, 2020 between Plains All American GP LLC and</w:t>
              </w:r>
            </w:hyperlink>
          </w:p>
        </w:tc>
        <w:tc>
          <w:tcPr>
            <w:tcW w:w="100" w:type="dxa"/>
            <w:vAlign w:val="bottom"/>
            <w:gridSpan w:val="3"/>
          </w:tcPr>
          <w:p>
            <w:pPr>
              <w:spacing w:after="0"/>
              <w:rPr>
                <w:sz w:val="24"/>
                <w:szCs w:val="24"/>
                <w:color w:val="auto"/>
              </w:rPr>
            </w:pPr>
          </w:p>
        </w:tc>
        <w:tc>
          <w:tcPr>
            <w:tcW w:w="14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40" w:type="dxa"/>
            <w:vAlign w:val="bottom"/>
            <w:tcBorders>
              <w:bottom w:val="single" w:sz="8" w:color="0000FF"/>
            </w:tcBorders>
            <w:gridSpan w:val="3"/>
          </w:tcPr>
          <w:p>
            <w:pPr>
              <w:spacing w:after="0" w:line="156" w:lineRule="exact"/>
              <w:rPr>
                <w:rFonts w:ascii="Arial" w:cs="Arial" w:eastAsia="Arial" w:hAnsi="Arial"/>
                <w:sz w:val="18"/>
                <w:szCs w:val="18"/>
                <w:color w:val="0000FF"/>
                <w:w w:val="92"/>
              </w:rPr>
            </w:pPr>
            <w:hyperlink w:anchor="page207">
              <w:r>
                <w:rPr>
                  <w:rFonts w:ascii="Arial" w:cs="Arial" w:eastAsia="Arial" w:hAnsi="Arial"/>
                  <w:sz w:val="18"/>
                  <w:szCs w:val="18"/>
                  <w:color w:val="0000FF"/>
                  <w:w w:val="92"/>
                </w:rPr>
                <w:t>Greg L. Armstrong.</w:t>
              </w:r>
            </w:hyperlink>
          </w:p>
        </w:tc>
        <w:tc>
          <w:tcPr>
            <w:tcW w:w="7920" w:type="dxa"/>
            <w:vAlign w:val="bottom"/>
            <w:gridSpan w:val="18"/>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340" w:type="dxa"/>
            <w:vAlign w:val="bottom"/>
            <w:tcBorders>
              <w:bottom w:val="single" w:sz="8" w:color="0000FF"/>
            </w:tcBorders>
            <w:gridSpan w:val="20"/>
          </w:tcPr>
          <w:p>
            <w:pPr>
              <w:spacing w:after="0"/>
              <w:rPr>
                <w:rFonts w:ascii="Arial" w:cs="Arial" w:eastAsia="Arial" w:hAnsi="Arial"/>
                <w:sz w:val="18"/>
                <w:szCs w:val="18"/>
                <w:color w:val="0000FF"/>
                <w:w w:val="90"/>
              </w:rPr>
            </w:pPr>
            <w:hyperlink r:id="rId280">
              <w:r>
                <w:rPr>
                  <w:rFonts w:ascii="Arial" w:cs="Arial" w:eastAsia="Arial" w:hAnsi="Arial"/>
                  <w:sz w:val="18"/>
                  <w:szCs w:val="18"/>
                  <w:color w:val="0000FF"/>
                  <w:w w:val="90"/>
                </w:rPr>
                <w:t>Amended and Restated Employment Agreement between Plains All American GP LLC and Harry N. Pefanis dated as of June 30,</w:t>
              </w:r>
            </w:hyperlink>
          </w:p>
        </w:tc>
        <w:tc>
          <w:tcPr>
            <w:tcW w:w="120" w:type="dxa"/>
            <w:vAlign w:val="bottom"/>
            <w:gridSpan w:val="4"/>
          </w:tcPr>
          <w:p>
            <w:pPr>
              <w:spacing w:after="0"/>
              <w:rPr>
                <w:sz w:val="24"/>
                <w:szCs w:val="24"/>
                <w:color w:val="auto"/>
              </w:rPr>
            </w:pPr>
          </w:p>
        </w:tc>
        <w:tc>
          <w:tcPr>
            <w:tcW w:w="140" w:type="dxa"/>
            <w:vAlign w:val="bottom"/>
            <w:gridSpan w:val="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40" w:type="dxa"/>
            <w:vAlign w:val="bottom"/>
            <w:gridSpan w:val="32"/>
          </w:tcPr>
          <w:p>
            <w:pPr>
              <w:spacing w:after="0" w:line="156" w:lineRule="exact"/>
              <w:rPr>
                <w:rFonts w:ascii="Arial" w:cs="Arial" w:eastAsia="Arial" w:hAnsi="Arial"/>
                <w:sz w:val="18"/>
                <w:szCs w:val="18"/>
                <w:color w:val="0000FF"/>
                <w:w w:val="91"/>
              </w:rPr>
            </w:pPr>
            <w:hyperlink r:id="rId280">
              <w:r>
                <w:rPr>
                  <w:rFonts w:ascii="Arial" w:cs="Arial" w:eastAsia="Arial" w:hAnsi="Arial"/>
                  <w:sz w:val="18"/>
                  <w:szCs w:val="18"/>
                  <w:color w:val="0000FF"/>
                  <w:w w:val="91"/>
                </w:rPr>
                <w:t>2001 (incorporated by reference to Exhibit 10.2 to PAA’s Quarterly Report on Form 10-Q for the quarter ended September 30, 2001).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76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14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10260" w:type="dxa"/>
            <w:vAlign w:val="bottom"/>
            <w:gridSpan w:val="33"/>
          </w:tcPr>
          <w:p>
            <w:pPr>
              <w:ind w:left="24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281">
              <w:r>
                <w:rPr>
                  <w:rFonts w:ascii="Arial" w:cs="Arial" w:eastAsia="Arial" w:hAnsi="Arial"/>
                  <w:sz w:val="18"/>
                  <w:szCs w:val="18"/>
                  <w:color w:val="0000FF"/>
                  <w:w w:val="92"/>
                </w:rPr>
                <w:t>First Amendment to Amended and Restated Employment Agreement dated December 4, 2008 between Plains All American GP LLC</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0" w:type="dxa"/>
            <w:vAlign w:val="bottom"/>
            <w:tcBorders>
              <w:top w:val="single" w:sz="8" w:color="0000FF"/>
            </w:tcBorders>
            <w:gridSpan w:val="31"/>
          </w:tcPr>
          <w:p>
            <w:pPr>
              <w:spacing w:after="0" w:line="156" w:lineRule="exact"/>
              <w:rPr>
                <w:rFonts w:ascii="Arial" w:cs="Arial" w:eastAsia="Arial" w:hAnsi="Arial"/>
                <w:sz w:val="18"/>
                <w:szCs w:val="18"/>
                <w:color w:val="0000FF"/>
                <w:w w:val="98"/>
              </w:rPr>
            </w:pPr>
            <w:hyperlink r:id="rId281">
              <w:r>
                <w:rPr>
                  <w:rFonts w:ascii="Arial" w:cs="Arial" w:eastAsia="Arial" w:hAnsi="Arial"/>
                  <w:sz w:val="18"/>
                  <w:szCs w:val="18"/>
                  <w:color w:val="0000FF"/>
                  <w:w w:val="98"/>
                </w:rPr>
                <w:t>and Harry N. Pefanis (incorporated by reference to Exhibit 10.50 to PAA’s Annual Report on Form 10-K for the year ended</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9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81">
              <w:r>
                <w:rPr>
                  <w:rFonts w:ascii="Arial" w:cs="Arial" w:eastAsia="Arial" w:hAnsi="Arial"/>
                  <w:sz w:val="18"/>
                  <w:szCs w:val="18"/>
                  <w:color w:val="0000FF"/>
                </w:rPr>
                <w:t>December 31, 2008).</w:t>
              </w:r>
            </w:hyperlink>
          </w:p>
        </w:tc>
        <w:tc>
          <w:tcPr>
            <w:tcW w:w="120" w:type="dxa"/>
            <w:vAlign w:val="bottom"/>
            <w:gridSpan w:val="2"/>
          </w:tcPr>
          <w:p>
            <w:pPr>
              <w:spacing w:after="0"/>
              <w:rPr>
                <w:sz w:val="13"/>
                <w:szCs w:val="13"/>
                <w:color w:val="auto"/>
              </w:rPr>
            </w:pPr>
          </w:p>
        </w:tc>
        <w:tc>
          <w:tcPr>
            <w:tcW w:w="240" w:type="dxa"/>
            <w:vAlign w:val="bottom"/>
            <w:gridSpan w:val="5"/>
          </w:tcPr>
          <w:p>
            <w:pPr>
              <w:spacing w:after="0"/>
              <w:rPr>
                <w:sz w:val="13"/>
                <w:szCs w:val="13"/>
                <w:color w:val="auto"/>
              </w:rPr>
            </w:pPr>
          </w:p>
        </w:tc>
        <w:tc>
          <w:tcPr>
            <w:tcW w:w="200" w:type="dxa"/>
            <w:vAlign w:val="bottom"/>
            <w:gridSpan w:val="5"/>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10.34***</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020" w:type="dxa"/>
            <w:vAlign w:val="bottom"/>
            <w:tcBorders>
              <w:bottom w:val="single" w:sz="8" w:color="0000FF"/>
            </w:tcBorders>
            <w:gridSpan w:val="14"/>
          </w:tcPr>
          <w:p>
            <w:pPr>
              <w:spacing w:after="0"/>
              <w:rPr>
                <w:rFonts w:ascii="Arial" w:cs="Arial" w:eastAsia="Arial" w:hAnsi="Arial"/>
                <w:sz w:val="18"/>
                <w:szCs w:val="18"/>
                <w:color w:val="0000FF"/>
                <w:w w:val="90"/>
              </w:rPr>
            </w:pPr>
            <w:hyperlink r:id="rId282">
              <w:r>
                <w:rPr>
                  <w:rFonts w:ascii="Arial" w:cs="Arial" w:eastAsia="Arial" w:hAnsi="Arial"/>
                  <w:sz w:val="18"/>
                  <w:szCs w:val="18"/>
                  <w:color w:val="0000FF"/>
                  <w:w w:val="90"/>
                </w:rPr>
                <w:t>Amendment No. 2 dated August 15, 2019 to Harry Pefanis Amended and Restated Employment Agreement (incorporated by</w:t>
              </w:r>
            </w:hyperlink>
          </w:p>
        </w:tc>
        <w:tc>
          <w:tcPr>
            <w:tcW w:w="240" w:type="dxa"/>
            <w:vAlign w:val="bottom"/>
            <w:gridSpan w:val="5"/>
          </w:tcPr>
          <w:p>
            <w:pPr>
              <w:spacing w:after="0"/>
              <w:rPr>
                <w:sz w:val="24"/>
                <w:szCs w:val="24"/>
                <w:color w:val="auto"/>
              </w:rPr>
            </w:pPr>
          </w:p>
        </w:tc>
        <w:tc>
          <w:tcPr>
            <w:tcW w:w="200" w:type="dxa"/>
            <w:vAlign w:val="bottom"/>
            <w:gridSpan w:val="5"/>
          </w:tcPr>
          <w:p>
            <w:pPr>
              <w:spacing w:after="0"/>
              <w:rPr>
                <w:sz w:val="24"/>
                <w:szCs w:val="24"/>
                <w:color w:val="auto"/>
              </w:rPr>
            </w:pPr>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760" w:type="dxa"/>
            <w:vAlign w:val="bottom"/>
            <w:tcBorders>
              <w:bottom w:val="single" w:sz="8" w:color="0000FF"/>
            </w:tcBorders>
            <w:gridSpan w:val="8"/>
          </w:tcPr>
          <w:p>
            <w:pPr>
              <w:spacing w:after="0" w:line="156" w:lineRule="exact"/>
              <w:rPr>
                <w:rFonts w:ascii="Arial" w:cs="Arial" w:eastAsia="Arial" w:hAnsi="Arial"/>
                <w:sz w:val="18"/>
                <w:szCs w:val="18"/>
                <w:color w:val="0000FF"/>
                <w:w w:val="90"/>
              </w:rPr>
            </w:pPr>
            <w:hyperlink r:id="rId282">
              <w:r>
                <w:rPr>
                  <w:rFonts w:ascii="Arial" w:cs="Arial" w:eastAsia="Arial" w:hAnsi="Arial"/>
                  <w:sz w:val="18"/>
                  <w:szCs w:val="18"/>
                  <w:color w:val="0000FF"/>
                  <w:w w:val="90"/>
                </w:rPr>
                <w:t>reference to Exhibit 10.1 to our Quarterly Report on Form 10-Q for the quarter ended September 30, 2019).</w:t>
              </w:r>
            </w:hyperlink>
          </w:p>
        </w:tc>
        <w:tc>
          <w:tcPr>
            <w:tcW w:w="1260" w:type="dxa"/>
            <w:vAlign w:val="bottom"/>
            <w:gridSpan w:val="6"/>
          </w:tcPr>
          <w:p>
            <w:pPr>
              <w:spacing w:after="0"/>
              <w:rPr>
                <w:sz w:val="13"/>
                <w:szCs w:val="13"/>
                <w:color w:val="auto"/>
              </w:rPr>
            </w:pPr>
          </w:p>
        </w:tc>
        <w:tc>
          <w:tcPr>
            <w:tcW w:w="240" w:type="dxa"/>
            <w:vAlign w:val="bottom"/>
            <w:gridSpan w:val="5"/>
          </w:tcPr>
          <w:p>
            <w:pPr>
              <w:spacing w:after="0"/>
              <w:rPr>
                <w:sz w:val="13"/>
                <w:szCs w:val="13"/>
                <w:color w:val="auto"/>
              </w:rPr>
            </w:pPr>
          </w:p>
        </w:tc>
        <w:tc>
          <w:tcPr>
            <w:tcW w:w="200" w:type="dxa"/>
            <w:vAlign w:val="bottom"/>
            <w:gridSpan w:val="5"/>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10.35***</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9260" w:type="dxa"/>
            <w:vAlign w:val="bottom"/>
            <w:tcBorders>
              <w:bottom w:val="single" w:sz="8" w:color="0000FF"/>
            </w:tcBorders>
            <w:gridSpan w:val="19"/>
          </w:tcPr>
          <w:p>
            <w:pPr>
              <w:spacing w:after="0"/>
              <w:rPr>
                <w:rFonts w:ascii="Arial" w:cs="Arial" w:eastAsia="Arial" w:hAnsi="Arial"/>
                <w:sz w:val="18"/>
                <w:szCs w:val="18"/>
                <w:color w:val="0000FF"/>
                <w:w w:val="90"/>
              </w:rPr>
            </w:pPr>
            <w:hyperlink r:id="rId283">
              <w:r>
                <w:rPr>
                  <w:rFonts w:ascii="Arial" w:cs="Arial" w:eastAsia="Arial" w:hAnsi="Arial"/>
                  <w:sz w:val="18"/>
                  <w:szCs w:val="18"/>
                  <w:color w:val="0000FF"/>
                  <w:w w:val="90"/>
                </w:rPr>
                <w:t>Waiver Agreement dated as of December 23, 2010 between Plains All American GP LLC and Harry N. Pefanis (incorporated by</w:t>
              </w:r>
            </w:hyperlink>
          </w:p>
        </w:tc>
        <w:tc>
          <w:tcPr>
            <w:tcW w:w="200" w:type="dxa"/>
            <w:vAlign w:val="bottom"/>
            <w:gridSpan w:val="5"/>
          </w:tcPr>
          <w:p>
            <w:pPr>
              <w:spacing w:after="0"/>
              <w:rPr>
                <w:sz w:val="24"/>
                <w:szCs w:val="24"/>
                <w:color w:val="auto"/>
              </w:rPr>
            </w:pPr>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6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r:id="rId283">
              <w:r>
                <w:rPr>
                  <w:rFonts w:ascii="Arial" w:cs="Arial" w:eastAsia="Arial" w:hAnsi="Arial"/>
                  <w:sz w:val="18"/>
                  <w:szCs w:val="18"/>
                  <w:color w:val="0000FF"/>
                  <w:w w:val="91"/>
                </w:rPr>
                <w:t>reference to Exhibit 10.32 to PAA’s Annual Report on Form 10-K for the year ended December 31, 2010).</w:t>
              </w:r>
            </w:hyperlink>
          </w:p>
        </w:tc>
        <w:tc>
          <w:tcPr>
            <w:tcW w:w="1600" w:type="dxa"/>
            <w:vAlign w:val="bottom"/>
            <w:gridSpan w:val="12"/>
          </w:tcPr>
          <w:p>
            <w:pPr>
              <w:spacing w:after="0"/>
              <w:rPr>
                <w:sz w:val="13"/>
                <w:szCs w:val="13"/>
                <w:color w:val="auto"/>
              </w:rPr>
            </w:pPr>
          </w:p>
        </w:tc>
        <w:tc>
          <w:tcPr>
            <w:tcW w:w="200" w:type="dxa"/>
            <w:vAlign w:val="bottom"/>
            <w:gridSpan w:val="5"/>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0"/>
                <w:szCs w:val="20"/>
                <w:color w:val="auto"/>
              </w:rPr>
            </w:pPr>
            <w:r>
              <w:rPr>
                <w:rFonts w:ascii="Arial" w:cs="Arial" w:eastAsia="Arial" w:hAnsi="Arial"/>
                <w:sz w:val="18"/>
                <w:szCs w:val="18"/>
                <w:color w:val="auto"/>
              </w:rPr>
              <w:t>10.36***</w:t>
            </w:r>
          </w:p>
        </w:tc>
        <w:tc>
          <w:tcPr>
            <w:tcW w:w="10260" w:type="dxa"/>
            <w:vAlign w:val="bottom"/>
            <w:gridSpan w:val="33"/>
          </w:tcPr>
          <w:p>
            <w:pPr>
              <w:ind w:left="24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284">
              <w:r>
                <w:rPr>
                  <w:rFonts w:ascii="Arial" w:cs="Arial" w:eastAsia="Arial" w:hAnsi="Arial"/>
                  <w:sz w:val="18"/>
                  <w:szCs w:val="18"/>
                  <w:color w:val="0000FF"/>
                  <w:w w:val="93"/>
                </w:rPr>
                <w:t>Waiver Agreement dated October 21, 2013 to the Amended and Restated Employment Agreement dated June 30, 2001 of Harry N.</w:t>
              </w:r>
            </w:hyperlink>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84">
              <w:r>
                <w:rPr>
                  <w:rFonts w:ascii="Arial" w:cs="Arial" w:eastAsia="Arial" w:hAnsi="Arial"/>
                  <w:sz w:val="18"/>
                  <w:szCs w:val="18"/>
                  <w:color w:val="0000FF"/>
                  <w:w w:val="91"/>
                </w:rPr>
                <w:t>Pefanis (incorporated by reference to Exhibit 10.5 to our Current Report on Form 8-K filed October 25, 2013).</w:t>
              </w:r>
            </w:hyperlink>
          </w:p>
        </w:tc>
        <w:tc>
          <w:tcPr>
            <w:tcW w:w="1480" w:type="dxa"/>
            <w:vAlign w:val="bottom"/>
            <w:tcBorders>
              <w:top w:val="single" w:sz="8" w:color="0000FF"/>
            </w:tcBorders>
            <w:gridSpan w:val="15"/>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6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780" w:type="dxa"/>
            <w:vAlign w:val="bottom"/>
            <w:gridSpan w:val="35"/>
            <w:vMerge w:val="restart"/>
          </w:tcPr>
          <w:p>
            <w:pPr>
              <w:spacing w:after="0"/>
              <w:rPr>
                <w:rFonts w:ascii="Arial" w:cs="Arial" w:eastAsia="Arial" w:hAnsi="Arial"/>
                <w:sz w:val="18"/>
                <w:szCs w:val="18"/>
                <w:color w:val="0000FF"/>
                <w:w w:val="93"/>
              </w:rPr>
            </w:pPr>
            <w:hyperlink r:id="rId286">
              <w:r>
                <w:rPr>
                  <w:rFonts w:ascii="Arial" w:cs="Arial" w:eastAsia="Arial" w:hAnsi="Arial"/>
                  <w:sz w:val="18"/>
                  <w:szCs w:val="18"/>
                  <w:color w:val="0000FF"/>
                  <w:w w:val="93"/>
                </w:rPr>
                <w:t>Employment Agreement between Plains All American GP LLC and Willie Chiang dated July 10, 2015 (incorporated by reference to</w:t>
              </w:r>
            </w:hyperlink>
          </w:p>
        </w:tc>
        <w:tc>
          <w:tcPr>
            <w:tcW w:w="0" w:type="dxa"/>
            <w:vAlign w:val="bottom"/>
          </w:tcPr>
          <w:p>
            <w:pPr>
              <w:spacing w:after="0" w:line="20" w:lineRule="exact"/>
              <w:rPr>
                <w:sz w:val="1"/>
                <w:szCs w:val="1"/>
                <w:color w:val="auto"/>
              </w:rPr>
            </w:pPr>
          </w:p>
        </w:tc>
      </w:tr>
      <w:tr>
        <w:trPr>
          <w:trHeight w:val="790"/>
        </w:trPr>
        <w:tc>
          <w:tcPr>
            <w:tcW w:w="980" w:type="dxa"/>
            <w:vAlign w:val="bottom"/>
          </w:tcPr>
          <w:p>
            <w:pPr>
              <w:ind w:left="20"/>
              <w:spacing w:after="0"/>
              <w:rPr>
                <w:sz w:val="20"/>
                <w:szCs w:val="20"/>
                <w:color w:val="auto"/>
              </w:rPr>
            </w:pPr>
            <w:r>
              <w:rPr>
                <w:rFonts w:ascii="Arial" w:cs="Arial" w:eastAsia="Arial" w:hAnsi="Arial"/>
                <w:sz w:val="18"/>
                <w:szCs w:val="18"/>
                <w:color w:val="auto"/>
              </w:rPr>
              <w:t>10.37***</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7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1"/>
              </w:rPr>
            </w:pPr>
            <w:hyperlink r:id="rId286">
              <w:r>
                <w:rPr>
                  <w:rFonts w:ascii="Arial" w:cs="Arial" w:eastAsia="Arial" w:hAnsi="Arial"/>
                  <w:sz w:val="18"/>
                  <w:szCs w:val="18"/>
                  <w:color w:val="0000FF"/>
                  <w:w w:val="91"/>
                </w:rPr>
                <w:t>Exhibit 10.53 to PAA’s Annual Report on Form 10-K for the year ended December 31, 2015).</w:t>
              </w:r>
            </w:hyperlink>
          </w:p>
        </w:tc>
        <w:tc>
          <w:tcPr>
            <w:tcW w:w="28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10.38***</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4"/>
              </w:rPr>
            </w:pPr>
            <w:hyperlink r:id="rId287">
              <w:r>
                <w:rPr>
                  <w:rFonts w:ascii="Arial" w:cs="Arial" w:eastAsia="Arial" w:hAnsi="Arial"/>
                  <w:sz w:val="18"/>
                  <w:szCs w:val="18"/>
                  <w:color w:val="0000FF"/>
                  <w:w w:val="94"/>
                </w:rPr>
                <w:t>Amended and Restated Employment Agreement dated effective October 1, 2018 between Plains All American GP LLC and Willie</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287">
              <w:r>
                <w:rPr>
                  <w:rFonts w:ascii="Arial" w:cs="Arial" w:eastAsia="Arial" w:hAnsi="Arial"/>
                  <w:sz w:val="18"/>
                  <w:szCs w:val="18"/>
                  <w:color w:val="0000FF"/>
                  <w:w w:val="90"/>
                </w:rPr>
                <w:t>Chiang (incorporated by reference to Exhibit 10.7 to our Quarterly Report on Form 10-Q for the quarter ended September 30, 2018)</w:t>
              </w:r>
            </w:hyperlink>
          </w:p>
        </w:tc>
        <w:tc>
          <w:tcPr>
            <w:tcW w:w="140" w:type="dxa"/>
            <w:vAlign w:val="bottom"/>
            <w:tcBorders>
              <w:bottom w:val="single" w:sz="8" w:color="0000FF"/>
            </w:tcBorders>
            <w:gridSpan w:val="6"/>
          </w:tcPr>
          <w:p>
            <w:pPr>
              <w:jc w:val="right"/>
              <w:ind w:right="20"/>
              <w:spacing w:after="0" w:line="156" w:lineRule="exact"/>
              <w:rPr>
                <w:rFonts w:ascii="Arial" w:cs="Arial" w:eastAsia="Arial" w:hAnsi="Arial"/>
                <w:sz w:val="18"/>
                <w:szCs w:val="18"/>
                <w:color w:val="0000FF"/>
              </w:rPr>
            </w:pPr>
            <w:hyperlink r:id="rId287">
              <w:r>
                <w:rPr>
                  <w:rFonts w:ascii="Arial" w:cs="Arial" w:eastAsia="Arial" w:hAnsi="Arial"/>
                  <w:sz w:val="18"/>
                  <w:szCs w:val="18"/>
                  <w:color w:val="0000FF"/>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10.39***</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4"/>
              </w:rPr>
            </w:pPr>
            <w:hyperlink r:id="rId288">
              <w:r>
                <w:rPr>
                  <w:rFonts w:ascii="Arial" w:cs="Arial" w:eastAsia="Arial" w:hAnsi="Arial"/>
                  <w:sz w:val="18"/>
                  <w:szCs w:val="18"/>
                  <w:color w:val="0000FF"/>
                  <w:w w:val="94"/>
                </w:rPr>
                <w:t>First Amendment to Plains AAP, L.P. Class B Restricted Units Agreement dated August 25, 2016 (Willie Chiang) (incorporated by</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9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0"/>
              </w:rPr>
            </w:pPr>
            <w:hyperlink r:id="rId288">
              <w:r>
                <w:rPr>
                  <w:rFonts w:ascii="Arial" w:cs="Arial" w:eastAsia="Arial" w:hAnsi="Arial"/>
                  <w:sz w:val="18"/>
                  <w:szCs w:val="18"/>
                  <w:color w:val="0000FF"/>
                  <w:w w:val="90"/>
                </w:rPr>
                <w:t>reference to Exhibit 10.8 to PAA’s Quarterly Report on Form 10-Q for the quarter ended September 30, 2016).</w:t>
              </w:r>
            </w:hyperlink>
          </w:p>
        </w:tc>
        <w:tc>
          <w:tcPr>
            <w:tcW w:w="152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10.40***</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620" w:type="dxa"/>
            <w:vAlign w:val="bottom"/>
            <w:tcBorders>
              <w:bottom w:val="single" w:sz="8" w:color="0000FF"/>
            </w:tcBorders>
            <w:gridSpan w:val="30"/>
          </w:tcPr>
          <w:p>
            <w:pPr>
              <w:spacing w:after="0"/>
              <w:rPr>
                <w:rFonts w:ascii="Arial" w:cs="Arial" w:eastAsia="Arial" w:hAnsi="Arial"/>
                <w:sz w:val="18"/>
                <w:szCs w:val="18"/>
                <w:color w:val="0000FF"/>
                <w:w w:val="91"/>
              </w:rPr>
            </w:pPr>
            <w:hyperlink r:id="rId289">
              <w:r>
                <w:rPr>
                  <w:rFonts w:ascii="Arial" w:cs="Arial" w:eastAsia="Arial" w:hAnsi="Arial"/>
                  <w:sz w:val="18"/>
                  <w:szCs w:val="18"/>
                  <w:color w:val="0000FF"/>
                  <w:w w:val="91"/>
                </w:rPr>
                <w:t>Second Amendment dated March 22, 2018 to Plains AAP, L.P. Class B Restricted Units Agreement (Willie Chiang) (incorporated by</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60" w:type="dxa"/>
            <w:vAlign w:val="bottom"/>
            <w:tcBorders>
              <w:bottom w:val="single" w:sz="8" w:color="0000FF"/>
            </w:tcBorders>
            <w:gridSpan w:val="12"/>
          </w:tcPr>
          <w:p>
            <w:pPr>
              <w:spacing w:after="0" w:line="156" w:lineRule="exact"/>
              <w:rPr>
                <w:rFonts w:ascii="Arial" w:cs="Arial" w:eastAsia="Arial" w:hAnsi="Arial"/>
                <w:sz w:val="18"/>
                <w:szCs w:val="18"/>
                <w:color w:val="0000FF"/>
                <w:w w:val="91"/>
              </w:rPr>
            </w:pPr>
            <w:hyperlink r:id="rId289">
              <w:r>
                <w:rPr>
                  <w:rFonts w:ascii="Arial" w:cs="Arial" w:eastAsia="Arial" w:hAnsi="Arial"/>
                  <w:sz w:val="18"/>
                  <w:szCs w:val="18"/>
                  <w:color w:val="0000FF"/>
                  <w:w w:val="91"/>
                </w:rPr>
                <w:t>reference to Exhibit 10.1 to our Quarterly Report on Form 10-Q for the quarter ended March 31, 2018).</w:t>
              </w:r>
            </w:hyperlink>
          </w:p>
        </w:tc>
        <w:tc>
          <w:tcPr>
            <w:tcW w:w="216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10.41***</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00" w:type="dxa"/>
            <w:vAlign w:val="bottom"/>
            <w:tcBorders>
              <w:bottom w:val="single" w:sz="8" w:color="0000FF"/>
            </w:tcBorders>
            <w:gridSpan w:val="34"/>
          </w:tcPr>
          <w:p>
            <w:pPr>
              <w:spacing w:after="0"/>
              <w:rPr>
                <w:rFonts w:ascii="Arial" w:cs="Arial" w:eastAsia="Arial" w:hAnsi="Arial"/>
                <w:sz w:val="18"/>
                <w:szCs w:val="18"/>
                <w:color w:val="0000FF"/>
                <w:w w:val="92"/>
              </w:rPr>
            </w:pPr>
            <w:hyperlink r:id="rId290">
              <w:r>
                <w:rPr>
                  <w:rFonts w:ascii="Arial" w:cs="Arial" w:eastAsia="Arial" w:hAnsi="Arial"/>
                  <w:sz w:val="18"/>
                  <w:szCs w:val="18"/>
                  <w:color w:val="0000FF"/>
                  <w:w w:val="92"/>
                </w:rPr>
                <w:t>Amendment dated August 25, 2016 to LTIP Grant Letter dated August 24, 2015 (Willie Chiang)(incorporated by reference to Exhibit</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00" w:type="dxa"/>
            <w:vAlign w:val="bottom"/>
            <w:gridSpan w:val="34"/>
          </w:tcPr>
          <w:p>
            <w:pPr>
              <w:spacing w:after="0" w:line="156" w:lineRule="exact"/>
              <w:rPr>
                <w:rFonts w:ascii="Arial" w:cs="Arial" w:eastAsia="Arial" w:hAnsi="Arial"/>
                <w:sz w:val="18"/>
                <w:szCs w:val="18"/>
                <w:color w:val="0000FF"/>
              </w:rPr>
            </w:pPr>
            <w:hyperlink r:id="rId290">
              <w:r>
                <w:rPr>
                  <w:rFonts w:ascii="Arial" w:cs="Arial" w:eastAsia="Arial" w:hAnsi="Arial"/>
                  <w:sz w:val="18"/>
                  <w:szCs w:val="18"/>
                  <w:color w:val="0000FF"/>
                </w:rPr>
                <w:t>10.</w:t>
              </w:r>
              <w:r>
                <w:rPr>
                  <w:rFonts w:ascii="Arial" w:cs="Arial" w:eastAsia="Arial" w:hAnsi="Arial"/>
                  <w:sz w:val="18"/>
                  <w:szCs w:val="18"/>
                  <w:u w:val="single" w:color="auto"/>
                  <w:color w:val="0000FF"/>
                </w:rPr>
                <w:t>7</w:t>
              </w:r>
              <w:r>
                <w:rPr>
                  <w:rFonts w:ascii="Arial" w:cs="Arial" w:eastAsia="Arial" w:hAnsi="Arial"/>
                  <w:sz w:val="18"/>
                  <w:szCs w:val="18"/>
                  <w:color w:val="0000FF"/>
                </w:rPr>
                <w:t xml:space="preserve"> to PAA’s Quarterly Report on Form 10-Q for the quarter ended September 30, 2016 filed November 8, 2016).</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10.42***</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20" w:type="dxa"/>
            <w:vAlign w:val="bottom"/>
            <w:tcBorders>
              <w:bottom w:val="single" w:sz="8" w:color="0000FF"/>
            </w:tcBorders>
            <w:gridSpan w:val="21"/>
          </w:tcPr>
          <w:p>
            <w:pPr>
              <w:spacing w:after="0"/>
              <w:rPr>
                <w:rFonts w:ascii="Arial" w:cs="Arial" w:eastAsia="Arial" w:hAnsi="Arial"/>
                <w:sz w:val="18"/>
                <w:szCs w:val="18"/>
                <w:color w:val="0000FF"/>
                <w:w w:val="91"/>
              </w:rPr>
            </w:pPr>
            <w:hyperlink r:id="rId291">
              <w:r>
                <w:rPr>
                  <w:rFonts w:ascii="Arial" w:cs="Arial" w:eastAsia="Arial" w:hAnsi="Arial"/>
                  <w:sz w:val="18"/>
                  <w:szCs w:val="18"/>
                  <w:color w:val="0000FF"/>
                  <w:w w:val="91"/>
                </w:rPr>
                <w:t>Amendment dated March 22, 2018 to PAA LTIP Grant Letter dated August 24, 2015 (Willie Chiang) (incorporated by reference to</w:t>
              </w:r>
            </w:hyperlink>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56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291">
              <w:r>
                <w:rPr>
                  <w:rFonts w:ascii="Arial" w:cs="Arial" w:eastAsia="Arial" w:hAnsi="Arial"/>
                  <w:sz w:val="18"/>
                  <w:szCs w:val="18"/>
                  <w:color w:val="0000FF"/>
                  <w:w w:val="91"/>
                </w:rPr>
                <w:t>Exhibit 10.3 to our Quarterly Report on Form 10-Q for the quarter ended March 31, 2018).</w:t>
              </w:r>
            </w:hyperlink>
          </w:p>
        </w:tc>
        <w:tc>
          <w:tcPr>
            <w:tcW w:w="2860" w:type="dxa"/>
            <w:vAlign w:val="bottom"/>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10.43***</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4"/>
              </w:rPr>
            </w:pPr>
            <w:hyperlink r:id="rId292">
              <w:r>
                <w:rPr>
                  <w:rFonts w:ascii="Arial" w:cs="Arial" w:eastAsia="Arial" w:hAnsi="Arial"/>
                  <w:sz w:val="18"/>
                  <w:szCs w:val="18"/>
                  <w:color w:val="0000FF"/>
                  <w:w w:val="94"/>
                </w:rPr>
                <w:t>LTIP Grant Letter dated August 16, 2018 (Willie Chiang) incorporated by reference to Exhibit 10.8 to our Quarterly Report on Form</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92">
              <w:r>
                <w:rPr>
                  <w:rFonts w:ascii="Arial" w:cs="Arial" w:eastAsia="Arial" w:hAnsi="Arial"/>
                  <w:sz w:val="18"/>
                  <w:szCs w:val="18"/>
                  <w:color w:val="0000FF"/>
                </w:rPr>
                <w:t>10-Q for the quarter ended September 30, 2018).</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10.44***</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8"/>
              </w:rPr>
            </w:pPr>
            <w:hyperlink r:id="rId293">
              <w:r>
                <w:rPr>
                  <w:rFonts w:ascii="Arial" w:cs="Arial" w:eastAsia="Arial" w:hAnsi="Arial"/>
                  <w:sz w:val="18"/>
                  <w:szCs w:val="18"/>
                  <w:color w:val="0000FF"/>
                  <w:w w:val="98"/>
                </w:rPr>
                <w:t>Plains All American GP LLC 1998 Long-Term Incentive Plan (incorporated by reference to Exhibit 99.1 to PAA’s Registration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293">
              <w:r>
                <w:rPr>
                  <w:rFonts w:ascii="Arial" w:cs="Arial" w:eastAsia="Arial" w:hAnsi="Arial"/>
                  <w:sz w:val="18"/>
                  <w:szCs w:val="18"/>
                  <w:color w:val="0000FF"/>
                  <w:w w:val="90"/>
                </w:rPr>
                <w:t>Statement on Form S-8, File No. 333-74920).</w:t>
              </w:r>
            </w:hyperlink>
          </w:p>
        </w:tc>
        <w:tc>
          <w:tcPr>
            <w:tcW w:w="584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10.45***</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3"/>
              </w:rPr>
            </w:pPr>
            <w:hyperlink r:id="rId294">
              <w:r>
                <w:rPr>
                  <w:rFonts w:ascii="Arial" w:cs="Arial" w:eastAsia="Arial" w:hAnsi="Arial"/>
                  <w:sz w:val="18"/>
                  <w:szCs w:val="18"/>
                  <w:color w:val="0000FF"/>
                  <w:w w:val="93"/>
                </w:rPr>
                <w:t>First Amendment to Plains All American GP LLC 1998 Long-Term Incentive Plan dated June 27, 2003 (incorporated by reference to</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294">
              <w:r>
                <w:rPr>
                  <w:rFonts w:ascii="Arial" w:cs="Arial" w:eastAsia="Arial" w:hAnsi="Arial"/>
                  <w:sz w:val="18"/>
                  <w:szCs w:val="18"/>
                  <w:color w:val="0000FF"/>
                  <w:w w:val="90"/>
                </w:rPr>
                <w:t>Exhibit 10.1 to PAA’s Quarterly Report on Form 10-Q for the quarter ended June 30, 2003).</w:t>
              </w:r>
            </w:hyperlink>
          </w:p>
        </w:tc>
        <w:tc>
          <w:tcPr>
            <w:tcW w:w="304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10.46***</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6"/>
              </w:rPr>
            </w:pPr>
            <w:hyperlink r:id="rId295">
              <w:r>
                <w:rPr>
                  <w:rFonts w:ascii="Arial" w:cs="Arial" w:eastAsia="Arial" w:hAnsi="Arial"/>
                  <w:sz w:val="18"/>
                  <w:szCs w:val="18"/>
                  <w:color w:val="0000FF"/>
                  <w:w w:val="96"/>
                </w:rPr>
                <w:t>Second Amendment to Plains All American GP LLC 1998 Long-Term Incentive Plan dated December 4, 2008 (incorporated by</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295">
              <w:r>
                <w:rPr>
                  <w:rFonts w:ascii="Arial" w:cs="Arial" w:eastAsia="Arial" w:hAnsi="Arial"/>
                  <w:sz w:val="18"/>
                  <w:szCs w:val="18"/>
                  <w:color w:val="0000FF"/>
                  <w:w w:val="91"/>
                </w:rPr>
                <w:t>reference to Exhibit 10.52 to PAA’s Annual Report on Form 10-K for the year ended December 31, 2008).</w:t>
              </w:r>
            </w:hyperlink>
          </w:p>
        </w:tc>
        <w:tc>
          <w:tcPr>
            <w:tcW w:w="1560" w:type="dxa"/>
            <w:vAlign w:val="bottom"/>
            <w:tcBorders>
              <w:top w:val="single" w:sz="8" w:color="0000FF"/>
            </w:tcBorders>
            <w:gridSpan w:val="6"/>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10.47***</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3"/>
              </w:rPr>
            </w:pPr>
            <w:hyperlink r:id="rId296">
              <w:r>
                <w:rPr>
                  <w:rFonts w:ascii="Arial" w:cs="Arial" w:eastAsia="Arial" w:hAnsi="Arial"/>
                  <w:sz w:val="18"/>
                  <w:szCs w:val="18"/>
                  <w:color w:val="0000FF"/>
                  <w:w w:val="93"/>
                </w:rPr>
                <w:t>Plains All American GP LLC 2005 Long-Term Incentive Plan (incorporated by reference to Exhibit 10.1 to PAA’s Current Report 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96">
              <w:r>
                <w:rPr>
                  <w:rFonts w:ascii="Arial" w:cs="Arial" w:eastAsia="Arial" w:hAnsi="Arial"/>
                  <w:sz w:val="18"/>
                  <w:szCs w:val="18"/>
                  <w:color w:val="0000FF"/>
                </w:rPr>
                <w:t>Form 8-K filed January 26, 2005).</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left w:val="single" w:sz="8" w:color="0000FF"/>
            </w:tcBorders>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10.48***</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20" w:type="dxa"/>
            <w:vAlign w:val="bottom"/>
            <w:tcBorders>
              <w:bottom w:val="single" w:sz="8" w:color="0000FF"/>
            </w:tcBorders>
            <w:gridSpan w:val="16"/>
          </w:tcPr>
          <w:p>
            <w:pPr>
              <w:spacing w:after="0"/>
              <w:rPr>
                <w:rFonts w:ascii="Arial" w:cs="Arial" w:eastAsia="Arial" w:hAnsi="Arial"/>
                <w:sz w:val="18"/>
                <w:szCs w:val="18"/>
                <w:color w:val="0000FF"/>
                <w:w w:val="91"/>
              </w:rPr>
            </w:pPr>
            <w:hyperlink r:id="rId297">
              <w:r>
                <w:rPr>
                  <w:rFonts w:ascii="Arial" w:cs="Arial" w:eastAsia="Arial" w:hAnsi="Arial"/>
                  <w:sz w:val="18"/>
                  <w:szCs w:val="18"/>
                  <w:color w:val="0000FF"/>
                  <w:w w:val="91"/>
                </w:rPr>
                <w:t>First Amendment to Plains All American GP LLC 2005 Long-Term Incentive Plan dated December 4, 2008 (incorporated by</w:t>
              </w:r>
            </w:hyperlink>
          </w:p>
        </w:tc>
        <w:tc>
          <w:tcPr>
            <w:tcW w:w="160" w:type="dxa"/>
            <w:vAlign w:val="bottom"/>
            <w:gridSpan w:val="2"/>
          </w:tcPr>
          <w:p>
            <w:pPr>
              <w:spacing w:after="0"/>
              <w:rPr>
                <w:sz w:val="24"/>
                <w:szCs w:val="24"/>
                <w:color w:val="auto"/>
              </w:rPr>
            </w:pPr>
          </w:p>
        </w:tc>
        <w:tc>
          <w:tcPr>
            <w:tcW w:w="22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5"/>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60" w:type="dxa"/>
            <w:vAlign w:val="bottom"/>
            <w:tcBorders>
              <w:bottom w:val="single" w:sz="8" w:color="0000FF"/>
            </w:tcBorders>
            <w:gridSpan w:val="13"/>
          </w:tcPr>
          <w:p>
            <w:pPr>
              <w:spacing w:after="0" w:line="156" w:lineRule="exact"/>
              <w:rPr>
                <w:rFonts w:ascii="Arial" w:cs="Arial" w:eastAsia="Arial" w:hAnsi="Arial"/>
                <w:sz w:val="18"/>
                <w:szCs w:val="18"/>
                <w:color w:val="0000FF"/>
                <w:w w:val="91"/>
              </w:rPr>
            </w:pPr>
            <w:hyperlink r:id="rId297">
              <w:r>
                <w:rPr>
                  <w:rFonts w:ascii="Arial" w:cs="Arial" w:eastAsia="Arial" w:hAnsi="Arial"/>
                  <w:sz w:val="18"/>
                  <w:szCs w:val="18"/>
                  <w:color w:val="0000FF"/>
                  <w:w w:val="91"/>
                </w:rPr>
                <w:t>reference to Exhibit 10.51 to PAA’s Annual Report on Form 10-K for the year ended December 31, 2008).</w:t>
              </w:r>
            </w:hyperlink>
          </w:p>
        </w:tc>
        <w:tc>
          <w:tcPr>
            <w:tcW w:w="1360" w:type="dxa"/>
            <w:vAlign w:val="bottom"/>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10.49***</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520" w:type="dxa"/>
            <w:vAlign w:val="bottom"/>
            <w:tcBorders>
              <w:bottom w:val="single" w:sz="8" w:color="0000FF"/>
            </w:tcBorders>
            <w:gridSpan w:val="26"/>
          </w:tcPr>
          <w:p>
            <w:pPr>
              <w:spacing w:after="0"/>
              <w:rPr>
                <w:rFonts w:ascii="Arial" w:cs="Arial" w:eastAsia="Arial" w:hAnsi="Arial"/>
                <w:sz w:val="18"/>
                <w:szCs w:val="18"/>
                <w:color w:val="0000FF"/>
                <w:w w:val="91"/>
              </w:rPr>
            </w:pPr>
            <w:hyperlink r:id="rId298">
              <w:r>
                <w:rPr>
                  <w:rFonts w:ascii="Arial" w:cs="Arial" w:eastAsia="Arial" w:hAnsi="Arial"/>
                  <w:sz w:val="18"/>
                  <w:szCs w:val="18"/>
                  <w:color w:val="0000FF"/>
                  <w:w w:val="91"/>
                </w:rPr>
                <w:t>Plains All American PPX Successor Long-Term Incentive Plan (incorporated by reference to Exhibit 10.45 to PAA’s Annual Report</w:t>
              </w:r>
            </w:hyperlink>
          </w:p>
        </w:tc>
        <w:tc>
          <w:tcPr>
            <w:tcW w:w="120" w:type="dxa"/>
            <w:vAlign w:val="bottom"/>
            <w:gridSpan w:val="5"/>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60" w:type="dxa"/>
            <w:vAlign w:val="bottom"/>
            <w:tcBorders>
              <w:bottom w:val="single" w:sz="8" w:color="0000FF"/>
            </w:tcBorders>
            <w:gridSpan w:val="6"/>
          </w:tcPr>
          <w:p>
            <w:pPr>
              <w:spacing w:after="0" w:line="156" w:lineRule="exact"/>
              <w:rPr>
                <w:rFonts w:ascii="Arial" w:cs="Arial" w:eastAsia="Arial" w:hAnsi="Arial"/>
                <w:sz w:val="18"/>
                <w:szCs w:val="18"/>
                <w:color w:val="0000FF"/>
                <w:w w:val="90"/>
              </w:rPr>
            </w:pPr>
            <w:hyperlink r:id="rId298">
              <w:r>
                <w:rPr>
                  <w:rFonts w:ascii="Arial" w:cs="Arial" w:eastAsia="Arial" w:hAnsi="Arial"/>
                  <w:sz w:val="18"/>
                  <w:szCs w:val="18"/>
                  <w:color w:val="0000FF"/>
                  <w:w w:val="90"/>
                </w:rPr>
                <w:t>on Form 10-K for the year ended December 31, 2006).</w:t>
              </w:r>
            </w:hyperlink>
          </w:p>
        </w:tc>
        <w:tc>
          <w:tcPr>
            <w:tcW w:w="5560" w:type="dxa"/>
            <w:vAlign w:val="bottom"/>
            <w:gridSpan w:val="20"/>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10.50***</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sz w:val="20"/>
                <w:szCs w:val="20"/>
                <w:color w:val="auto"/>
              </w:rPr>
            </w:pPr>
            <w:r>
              <w:rPr>
                <w:rFonts w:ascii="Arial" w:cs="Arial" w:eastAsia="Arial" w:hAnsi="Arial"/>
                <w:sz w:val="18"/>
                <w:szCs w:val="18"/>
                <w:color w:val="0000FF"/>
                <w:w w:val="96"/>
              </w:rPr>
              <w:t>Plains All American 2013 Long-Term Incentive Plan (incorporated by reference to Exhibit A to PAA’s Definitive Proxy Statement</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1"/>
              </w:rPr>
              <w:t>filed on October 3, 2013).</w:t>
            </w:r>
          </w:p>
        </w:tc>
        <w:tc>
          <w:tcPr>
            <w:tcW w:w="7520" w:type="dxa"/>
            <w:vAlign w:val="bottom"/>
            <w:tcBorders>
              <w:top w:val="single" w:sz="8" w:color="0000FF"/>
            </w:tcBorders>
            <w:gridSpan w:val="18"/>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10.51***</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7"/>
              </w:rPr>
            </w:pPr>
            <w:hyperlink r:id="rId299">
              <w:r>
                <w:rPr>
                  <w:rFonts w:ascii="Arial" w:cs="Arial" w:eastAsia="Arial" w:hAnsi="Arial"/>
                  <w:sz w:val="18"/>
                  <w:szCs w:val="18"/>
                  <w:color w:val="0000FF"/>
                  <w:w w:val="97"/>
                </w:rPr>
                <w:t>Plains All American PNG Successor Long-Term Incentive Plan (incorporated by reference to Exhibit 4.4 to PAA’s Registration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99">
              <w:r>
                <w:rPr>
                  <w:rFonts w:ascii="Arial" w:cs="Arial" w:eastAsia="Arial" w:hAnsi="Arial"/>
                  <w:sz w:val="18"/>
                  <w:szCs w:val="18"/>
                  <w:color w:val="0000FF"/>
                  <w:w w:val="90"/>
                </w:rPr>
                <w:t>Statement on Form S-8 (333-193139) filed December 31, 2013).</w:t>
              </w:r>
            </w:hyperlink>
          </w:p>
        </w:tc>
        <w:tc>
          <w:tcPr>
            <w:tcW w:w="4520" w:type="dxa"/>
            <w:vAlign w:val="bottom"/>
            <w:tcBorders>
              <w:top w:val="single" w:sz="8" w:color="0000FF"/>
            </w:tcBorders>
            <w:gridSpan w:val="11"/>
          </w:tcPr>
          <w:p>
            <w:pPr>
              <w:spacing w:after="0"/>
              <w:rPr>
                <w:sz w:val="13"/>
                <w:szCs w:val="13"/>
                <w:color w:val="auto"/>
              </w:rPr>
            </w:pPr>
          </w:p>
        </w:tc>
        <w:tc>
          <w:tcPr>
            <w:tcW w:w="2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10.52***</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500" w:type="dxa"/>
            <w:vAlign w:val="bottom"/>
            <w:tcBorders>
              <w:bottom w:val="single" w:sz="8" w:color="0000FF"/>
            </w:tcBorders>
            <w:gridSpan w:val="25"/>
          </w:tcPr>
          <w:p>
            <w:pPr>
              <w:spacing w:after="0"/>
              <w:rPr>
                <w:rFonts w:ascii="Arial" w:cs="Arial" w:eastAsia="Arial" w:hAnsi="Arial"/>
                <w:sz w:val="18"/>
                <w:szCs w:val="18"/>
                <w:color w:val="0000FF"/>
                <w:w w:val="91"/>
              </w:rPr>
            </w:pPr>
            <w:hyperlink r:id="rId300">
              <w:r>
                <w:rPr>
                  <w:rFonts w:ascii="Arial" w:cs="Arial" w:eastAsia="Arial" w:hAnsi="Arial"/>
                  <w:sz w:val="18"/>
                  <w:szCs w:val="18"/>
                  <w:color w:val="0000FF"/>
                  <w:w w:val="91"/>
                </w:rPr>
                <w:t>PAA Natural Gas Storage, L.P. 2010 Long-Term Incentive Plan (incorporated by reference to Exhibit 10.2 to PNG’s Current Report</w:t>
              </w:r>
            </w:hyperlink>
          </w:p>
        </w:tc>
        <w:tc>
          <w:tcPr>
            <w:tcW w:w="140" w:type="dxa"/>
            <w:vAlign w:val="bottom"/>
            <w:gridSpan w:val="6"/>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00" w:type="dxa"/>
            <w:vAlign w:val="bottom"/>
            <w:gridSpan w:val="25"/>
          </w:tcPr>
          <w:p>
            <w:pPr>
              <w:spacing w:after="0" w:line="156" w:lineRule="exact"/>
              <w:rPr>
                <w:rFonts w:ascii="Arial" w:cs="Arial" w:eastAsia="Arial" w:hAnsi="Arial"/>
                <w:sz w:val="18"/>
                <w:szCs w:val="18"/>
                <w:color w:val="0000FF"/>
              </w:rPr>
            </w:pPr>
            <w:hyperlink r:id="rId300">
              <w:r>
                <w:rPr>
                  <w:rFonts w:ascii="Arial" w:cs="Arial" w:eastAsia="Arial" w:hAnsi="Arial"/>
                  <w:sz w:val="18"/>
                  <w:szCs w:val="18"/>
                  <w:color w:val="0000FF"/>
                </w:rPr>
                <w:t>on Form 8-K filed May 11, 2010).</w:t>
              </w:r>
            </w:hyperlink>
          </w:p>
        </w:tc>
        <w:tc>
          <w:tcPr>
            <w:tcW w:w="1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4020" w:type="dxa"/>
            <w:vAlign w:val="bottom"/>
            <w:gridSpan w:val="15"/>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10.53***</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3"/>
          </w:tcPr>
          <w:p>
            <w:pPr>
              <w:spacing w:after="0"/>
              <w:rPr>
                <w:rFonts w:ascii="Arial" w:cs="Arial" w:eastAsia="Arial" w:hAnsi="Arial"/>
                <w:sz w:val="18"/>
                <w:szCs w:val="18"/>
                <w:color w:val="0000FF"/>
                <w:w w:val="91"/>
              </w:rPr>
            </w:pPr>
            <w:hyperlink r:id="rId301">
              <w:r>
                <w:rPr>
                  <w:rFonts w:ascii="Arial" w:cs="Arial" w:eastAsia="Arial" w:hAnsi="Arial"/>
                  <w:sz w:val="18"/>
                  <w:szCs w:val="18"/>
                  <w:color w:val="0000FF"/>
                  <w:w w:val="91"/>
                </w:rPr>
                <w:t>Plains GP Holdings, L.P. Long Term Incentive Plan, (incorporated by reference to Exhibit 10.3 to our Current Report on Form 8-K</w:t>
              </w:r>
            </w:hyperlink>
          </w:p>
        </w:tc>
        <w:tc>
          <w:tcPr>
            <w:tcW w:w="180" w:type="dxa"/>
            <w:vAlign w:val="bottom"/>
            <w:gridSpan w:val="8"/>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60" w:type="dxa"/>
            <w:vAlign w:val="bottom"/>
            <w:gridSpan w:val="23"/>
          </w:tcPr>
          <w:p>
            <w:pPr>
              <w:spacing w:after="0" w:line="156" w:lineRule="exact"/>
              <w:rPr>
                <w:rFonts w:ascii="Arial" w:cs="Arial" w:eastAsia="Arial" w:hAnsi="Arial"/>
                <w:sz w:val="18"/>
                <w:szCs w:val="18"/>
                <w:color w:val="0000FF"/>
              </w:rPr>
            </w:pPr>
            <w:hyperlink r:id="rId301">
              <w:r>
                <w:rPr>
                  <w:rFonts w:ascii="Arial" w:cs="Arial" w:eastAsia="Arial" w:hAnsi="Arial"/>
                  <w:sz w:val="18"/>
                  <w:szCs w:val="18"/>
                  <w:color w:val="0000FF"/>
                </w:rPr>
                <w:t>filed October 25, 2013).</w:t>
              </w:r>
            </w:hyperlink>
          </w:p>
        </w:tc>
        <w:tc>
          <w:tcPr>
            <w:tcW w:w="18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420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10.54***</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2"/>
              </w:rPr>
            </w:pPr>
            <w:hyperlink r:id="rId302">
              <w:r>
                <w:rPr>
                  <w:rFonts w:ascii="Arial" w:cs="Arial" w:eastAsia="Arial" w:hAnsi="Arial"/>
                  <w:sz w:val="18"/>
                  <w:szCs w:val="18"/>
                  <w:color w:val="0000FF"/>
                  <w:w w:val="92"/>
                </w:rPr>
                <w:t>Form of Plains AAP, L.P. Class B Restricted Units Agreement (incorporated by reference to Exhibit 10.1 to PAA’s Current Report on</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3"/>
              </w:rPr>
            </w:pPr>
            <w:hyperlink r:id="rId302">
              <w:r>
                <w:rPr>
                  <w:rFonts w:ascii="Arial" w:cs="Arial" w:eastAsia="Arial" w:hAnsi="Arial"/>
                  <w:sz w:val="18"/>
                  <w:szCs w:val="18"/>
                  <w:color w:val="0000FF"/>
                  <w:w w:val="93"/>
                </w:rPr>
                <w:t>Form 8-K filed January 4, 2008).</w:t>
              </w:r>
            </w:hyperlink>
          </w:p>
        </w:tc>
        <w:tc>
          <w:tcPr>
            <w:tcW w:w="718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980" w:type="dxa"/>
            <w:vAlign w:val="bottom"/>
          </w:tcPr>
          <w:p>
            <w:pPr>
              <w:ind w:left="20"/>
              <w:spacing w:after="0"/>
              <w:rPr>
                <w:sz w:val="20"/>
                <w:szCs w:val="20"/>
                <w:color w:val="auto"/>
              </w:rPr>
            </w:pPr>
            <w:r>
              <w:rPr>
                <w:rFonts w:ascii="Arial" w:cs="Arial" w:eastAsia="Arial" w:hAnsi="Arial"/>
                <w:sz w:val="18"/>
                <w:szCs w:val="18"/>
                <w:color w:val="auto"/>
              </w:rPr>
              <w:t>10.55***</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780" w:type="dxa"/>
            <w:vAlign w:val="bottom"/>
            <w:gridSpan w:val="35"/>
          </w:tcPr>
          <w:p>
            <w:pPr>
              <w:spacing w:after="0"/>
              <w:rPr>
                <w:rFonts w:ascii="Arial" w:cs="Arial" w:eastAsia="Arial" w:hAnsi="Arial"/>
                <w:sz w:val="18"/>
                <w:szCs w:val="18"/>
                <w:color w:val="0000FF"/>
                <w:w w:val="92"/>
              </w:rPr>
            </w:pPr>
            <w:hyperlink r:id="rId303">
              <w:r>
                <w:rPr>
                  <w:rFonts w:ascii="Arial" w:cs="Arial" w:eastAsia="Arial" w:hAnsi="Arial"/>
                  <w:sz w:val="18"/>
                  <w:szCs w:val="18"/>
                  <w:color w:val="0000FF"/>
                  <w:w w:val="92"/>
                </w:rPr>
                <w:t>Form of Amendment to the Plains AAP, L.P. Class B Restricted Units Agreement, dated October 18, 2013 (incorporated by reference</w:t>
              </w:r>
            </w:hyperlink>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303">
              <w:r>
                <w:rPr>
                  <w:rFonts w:ascii="Arial" w:cs="Arial" w:eastAsia="Arial" w:hAnsi="Arial"/>
                  <w:sz w:val="18"/>
                  <w:szCs w:val="18"/>
                  <w:color w:val="0000FF"/>
                </w:rPr>
                <w:t>to Exhibit 10.6 to our Current Report on Form 8-K filed October 25, 2013).</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006"/>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60" w:type="dxa"/>
            <w:vAlign w:val="bottom"/>
            <w:tcBorders>
              <w:top w:val="single" w:sz="8" w:color="0000FF"/>
            </w:tcBorders>
            <w:gridSpan w:val="7"/>
          </w:tcPr>
          <w:p>
            <w:pPr>
              <w:ind w:left="3940"/>
              <w:spacing w:after="0"/>
              <w:rPr>
                <w:sz w:val="20"/>
                <w:szCs w:val="20"/>
                <w:color w:val="auto"/>
              </w:rPr>
            </w:pPr>
            <w:r>
              <w:rPr>
                <w:rFonts w:ascii="Arial" w:cs="Arial" w:eastAsia="Arial" w:hAnsi="Arial"/>
                <w:sz w:val="18"/>
                <w:szCs w:val="18"/>
                <w:color w:val="auto"/>
              </w:rPr>
              <w:t>119</w:t>
            </w:r>
          </w:p>
        </w:tc>
        <w:tc>
          <w:tcPr>
            <w:tcW w:w="7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tcPr>
          <w:p>
            <w:pPr>
              <w:ind w:left="20"/>
              <w:spacing w:after="0"/>
              <w:rPr>
                <w:sz w:val="20"/>
                <w:szCs w:val="20"/>
                <w:color w:val="auto"/>
              </w:rPr>
            </w:pPr>
            <w:r>
              <w:rPr>
                <w:rFonts w:ascii="Arial" w:cs="Arial" w:eastAsia="Arial" w:hAnsi="Arial"/>
                <w:sz w:val="18"/>
                <w:szCs w:val="18"/>
                <w:color w:val="auto"/>
              </w:rPr>
              <w:t>10.56***</w:t>
            </w:r>
          </w:p>
        </w:tc>
        <w:tc>
          <w:tcPr>
            <w:tcW w:w="10400" w:type="dxa"/>
            <w:vAlign w:val="bottom"/>
            <w:gridSpan w:val="37"/>
          </w:tcPr>
          <w:p>
            <w:pPr>
              <w:ind w:left="2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06">
              <w:r>
                <w:rPr>
                  <w:rFonts w:ascii="Arial" w:cs="Arial" w:eastAsia="Arial" w:hAnsi="Arial"/>
                  <w:sz w:val="18"/>
                  <w:szCs w:val="18"/>
                  <w:color w:val="0000FF"/>
                  <w:w w:val="95"/>
                </w:rPr>
                <w:t>Form of Amendment to Plains AAP, L.P. Class B Restricted Units Agreement dated August 25, 2016 (incorporated by reference to</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0" w:type="dxa"/>
            <w:vAlign w:val="bottom"/>
            <w:tcBorders>
              <w:top w:val="single" w:sz="8" w:color="0000FF"/>
            </w:tcBorders>
            <w:gridSpan w:val="24"/>
          </w:tcPr>
          <w:p>
            <w:pPr>
              <w:spacing w:after="0" w:line="156" w:lineRule="exact"/>
              <w:rPr>
                <w:rFonts w:ascii="Arial" w:cs="Arial" w:eastAsia="Arial" w:hAnsi="Arial"/>
                <w:sz w:val="18"/>
                <w:szCs w:val="18"/>
                <w:color w:val="0000FF"/>
                <w:w w:val="97"/>
              </w:rPr>
            </w:pPr>
            <w:hyperlink r:id="rId306">
              <w:r>
                <w:rPr>
                  <w:rFonts w:ascii="Arial" w:cs="Arial" w:eastAsia="Arial" w:hAnsi="Arial"/>
                  <w:sz w:val="18"/>
                  <w:szCs w:val="18"/>
                  <w:color w:val="0000FF"/>
                  <w:w w:val="97"/>
                </w:rPr>
                <w:t>Exhibit 10.6 to PAA’s Quarterly Report on Form 10-Q for the quarter ended September 30, 2016 filed November 8,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10.57***</w:t>
            </w:r>
          </w:p>
        </w:tc>
        <w:tc>
          <w:tcPr>
            <w:tcW w:w="10400" w:type="dxa"/>
            <w:vAlign w:val="bottom"/>
            <w:gridSpan w:val="37"/>
          </w:tcPr>
          <w:p>
            <w:pPr>
              <w:ind w:left="2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07">
              <w:r>
                <w:rPr>
                  <w:rFonts w:ascii="Arial" w:cs="Arial" w:eastAsia="Arial" w:hAnsi="Arial"/>
                  <w:sz w:val="18"/>
                  <w:szCs w:val="18"/>
                  <w:color w:val="0000FF"/>
                  <w:w w:val="96"/>
                </w:rPr>
                <w:t>Form of First Amendment dated March 22, 2018 to Amended and Restated Plains AAP, L.P. Class B Restricted Units Agreement</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1"/>
              </w:rPr>
            </w:pPr>
            <w:hyperlink r:id="rId307">
              <w:r>
                <w:rPr>
                  <w:rFonts w:ascii="Arial" w:cs="Arial" w:eastAsia="Arial" w:hAnsi="Arial"/>
                  <w:sz w:val="18"/>
                  <w:szCs w:val="18"/>
                  <w:color w:val="0000FF"/>
                  <w:w w:val="91"/>
                </w:rPr>
                <w:t>dated August 25, 2016 (Officers) (incorporated by reference to Exhibit 10.2 to our Quarterly Report on Form 10-Q for the quarter</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2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307">
              <w:r>
                <w:rPr>
                  <w:rFonts w:ascii="Arial" w:cs="Arial" w:eastAsia="Arial" w:hAnsi="Arial"/>
                  <w:sz w:val="18"/>
                  <w:szCs w:val="18"/>
                  <w:color w:val="0000FF"/>
                  <w:w w:val="88"/>
                </w:rPr>
                <w:t>ended March 31, 2018).</w:t>
              </w:r>
            </w:hyperlink>
          </w:p>
        </w:tc>
        <w:tc>
          <w:tcPr>
            <w:tcW w:w="7620" w:type="dxa"/>
            <w:vAlign w:val="bottom"/>
            <w:gridSpan w:val="21"/>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10.58***</w:t>
            </w:r>
          </w:p>
        </w:tc>
        <w:tc>
          <w:tcPr>
            <w:tcW w:w="10400" w:type="dxa"/>
            <w:vAlign w:val="bottom"/>
            <w:gridSpan w:val="37"/>
          </w:tcPr>
          <w:p>
            <w:pPr>
              <w:ind w:left="2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08">
              <w:r>
                <w:rPr>
                  <w:rFonts w:ascii="Arial" w:cs="Arial" w:eastAsia="Arial" w:hAnsi="Arial"/>
                  <w:sz w:val="18"/>
                  <w:szCs w:val="18"/>
                  <w:color w:val="0000FF"/>
                  <w:w w:val="95"/>
                </w:rPr>
                <w:t>Form of PAA LTIP Grant Letter for Officers (August 2016) (incorporated by reference to Exhibit 10.5 to PAA’s Quarterly Report on</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308">
              <w:r>
                <w:rPr>
                  <w:rFonts w:ascii="Arial" w:cs="Arial" w:eastAsia="Arial" w:hAnsi="Arial"/>
                  <w:sz w:val="18"/>
                  <w:szCs w:val="18"/>
                  <w:color w:val="0000FF"/>
                  <w:w w:val="89"/>
                </w:rPr>
                <w:t>Form 10-Q for the quarter ended September 30, 2016).</w:t>
              </w:r>
            </w:hyperlink>
          </w:p>
        </w:tc>
        <w:tc>
          <w:tcPr>
            <w:tcW w:w="55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10.59***</w:t>
            </w:r>
          </w:p>
        </w:tc>
        <w:tc>
          <w:tcPr>
            <w:tcW w:w="10400" w:type="dxa"/>
            <w:vAlign w:val="bottom"/>
            <w:gridSpan w:val="37"/>
          </w:tcPr>
          <w:p>
            <w:pPr>
              <w:ind w:left="2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09">
              <w:r>
                <w:rPr>
                  <w:rFonts w:ascii="Arial" w:cs="Arial" w:eastAsia="Arial" w:hAnsi="Arial"/>
                  <w:sz w:val="18"/>
                  <w:szCs w:val="18"/>
                  <w:color w:val="0000FF"/>
                  <w:w w:val="94"/>
                </w:rPr>
                <w:t>Form of Amendment dated March 22, 2018 to PAA LTIP Grant Letter dated August 25, 2016 (Officers) (incorporated by reference to</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5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309">
              <w:r>
                <w:rPr>
                  <w:rFonts w:ascii="Arial" w:cs="Arial" w:eastAsia="Arial" w:hAnsi="Arial"/>
                  <w:sz w:val="18"/>
                  <w:szCs w:val="18"/>
                  <w:color w:val="0000FF"/>
                  <w:w w:val="91"/>
                </w:rPr>
                <w:t>Exhibit 10.4 to our Quarterly Report on Form 10-Q for the quarter ended March 31, 2018).</w:t>
              </w:r>
            </w:hyperlink>
          </w:p>
        </w:tc>
        <w:tc>
          <w:tcPr>
            <w:tcW w:w="30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10.60***</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9640" w:type="dxa"/>
            <w:vAlign w:val="bottom"/>
            <w:tcBorders>
              <w:bottom w:val="single" w:sz="8" w:color="0000FF"/>
            </w:tcBorders>
            <w:gridSpan w:val="34"/>
          </w:tcPr>
          <w:p>
            <w:pPr>
              <w:spacing w:after="0"/>
              <w:rPr>
                <w:rFonts w:ascii="Arial" w:cs="Arial" w:eastAsia="Arial" w:hAnsi="Arial"/>
                <w:sz w:val="18"/>
                <w:szCs w:val="18"/>
                <w:color w:val="0000FF"/>
                <w:w w:val="92"/>
              </w:rPr>
            </w:pPr>
            <w:hyperlink r:id="rId310">
              <w:r>
                <w:rPr>
                  <w:rFonts w:ascii="Arial" w:cs="Arial" w:eastAsia="Arial" w:hAnsi="Arial"/>
                  <w:sz w:val="18"/>
                  <w:szCs w:val="18"/>
                  <w:color w:val="0000FF"/>
                  <w:w w:val="92"/>
                </w:rPr>
                <w:t>Form of LTIP Grant Letter for Officers (July 2017) (incorporated by reference to Exhibit 10.4 to PAA’s Quarterly Report on Form 10-</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40" w:type="dxa"/>
            <w:vAlign w:val="bottom"/>
            <w:gridSpan w:val="34"/>
          </w:tcPr>
          <w:p>
            <w:pPr>
              <w:spacing w:after="0" w:line="156" w:lineRule="exact"/>
              <w:rPr>
                <w:rFonts w:ascii="Arial" w:cs="Arial" w:eastAsia="Arial" w:hAnsi="Arial"/>
                <w:sz w:val="18"/>
                <w:szCs w:val="18"/>
                <w:color w:val="0000FF"/>
              </w:rPr>
            </w:pPr>
            <w:hyperlink r:id="rId310">
              <w:r>
                <w:rPr>
                  <w:rFonts w:ascii="Arial" w:cs="Arial" w:eastAsia="Arial" w:hAnsi="Arial"/>
                  <w:sz w:val="18"/>
                  <w:szCs w:val="18"/>
                  <w:color w:val="0000FF"/>
                </w:rPr>
                <w:t>Q for the quarter ended June 30, 2017).</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020" w:type="dxa"/>
            <w:vAlign w:val="bottom"/>
          </w:tcPr>
          <w:p>
            <w:pPr>
              <w:ind w:left="20"/>
              <w:spacing w:after="0"/>
              <w:rPr>
                <w:sz w:val="20"/>
                <w:szCs w:val="20"/>
                <w:color w:val="auto"/>
              </w:rPr>
            </w:pPr>
            <w:r>
              <w:rPr>
                <w:rFonts w:ascii="Arial" w:cs="Arial" w:eastAsia="Arial" w:hAnsi="Arial"/>
                <w:sz w:val="18"/>
                <w:szCs w:val="18"/>
                <w:color w:val="auto"/>
              </w:rPr>
              <w:t>10.61***</w:t>
            </w:r>
          </w:p>
        </w:tc>
        <w:tc>
          <w:tcPr>
            <w:tcW w:w="10400" w:type="dxa"/>
            <w:vAlign w:val="bottom"/>
            <w:gridSpan w:val="37"/>
          </w:tcPr>
          <w:p>
            <w:pPr>
              <w:ind w:left="24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311">
              <w:r>
                <w:rPr>
                  <w:rFonts w:ascii="Arial" w:cs="Arial" w:eastAsia="Arial" w:hAnsi="Arial"/>
                  <w:sz w:val="18"/>
                  <w:szCs w:val="18"/>
                  <w:color w:val="0000FF"/>
                  <w:w w:val="98"/>
                </w:rPr>
                <w:t>Form of PAA LTIP Grant Letter for Officers (March 2018) (incorporated by reference to Exhibit 10.5 to our Quarterly Report on</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311">
              <w:r>
                <w:rPr>
                  <w:rFonts w:ascii="Arial" w:cs="Arial" w:eastAsia="Arial" w:hAnsi="Arial"/>
                  <w:sz w:val="18"/>
                  <w:szCs w:val="18"/>
                  <w:color w:val="0000FF"/>
                  <w:w w:val="90"/>
                </w:rPr>
                <w:t>Form 10-Q for the quarter ended March 31, 2018).</w:t>
              </w:r>
            </w:hyperlink>
          </w:p>
        </w:tc>
        <w:tc>
          <w:tcPr>
            <w:tcW w:w="5620" w:type="dxa"/>
            <w:vAlign w:val="bottom"/>
            <w:tcBorders>
              <w:top w:val="single" w:sz="8" w:color="0000FF"/>
            </w:tcBorders>
            <w:gridSpan w:val="12"/>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10.62***</w:t>
            </w:r>
          </w:p>
        </w:tc>
        <w:tc>
          <w:tcPr>
            <w:tcW w:w="10400" w:type="dxa"/>
            <w:vAlign w:val="bottom"/>
            <w:gridSpan w:val="37"/>
          </w:tcPr>
          <w:p>
            <w:pPr>
              <w:ind w:left="2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12">
              <w:r>
                <w:rPr>
                  <w:rFonts w:ascii="Arial" w:cs="Arial" w:eastAsia="Arial" w:hAnsi="Arial"/>
                  <w:sz w:val="18"/>
                  <w:szCs w:val="18"/>
                  <w:color w:val="0000FF"/>
                  <w:w w:val="96"/>
                </w:rPr>
                <w:t>Form of Director LTIP Grant Letter (February 2017) - Director Grant - Designated Directors and Audit Committee Members (PAA</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1"/>
              </w:rPr>
            </w:pPr>
            <w:hyperlink r:id="rId312">
              <w:r>
                <w:rPr>
                  <w:rFonts w:ascii="Arial" w:cs="Arial" w:eastAsia="Arial" w:hAnsi="Arial"/>
                  <w:sz w:val="18"/>
                  <w:szCs w:val="18"/>
                  <w:color w:val="0000FF"/>
                  <w:w w:val="91"/>
                </w:rPr>
                <w:t>Plan) (incorporated by reference to Exhibit 10.1 to PAA’s Quarterly Report on Form 10-Q for the quarter ended March 31, 2017).</w:t>
              </w:r>
            </w:hyperlink>
          </w:p>
        </w:tc>
        <w:tc>
          <w:tcPr>
            <w:tcW w:w="1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10.63***</w:t>
            </w:r>
          </w:p>
        </w:tc>
        <w:tc>
          <w:tcPr>
            <w:tcW w:w="10400" w:type="dxa"/>
            <w:vAlign w:val="bottom"/>
            <w:gridSpan w:val="37"/>
          </w:tcPr>
          <w:p>
            <w:pPr>
              <w:ind w:left="2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13">
              <w:r>
                <w:rPr>
                  <w:rFonts w:ascii="Arial" w:cs="Arial" w:eastAsia="Arial" w:hAnsi="Arial"/>
                  <w:sz w:val="18"/>
                  <w:szCs w:val="18"/>
                  <w:color w:val="0000FF"/>
                  <w:w w:val="94"/>
                </w:rPr>
                <w:t>Form of Director LTIP Grant Letter (February 2017) - Audit Committee Supplement (PAA Plan) (incorporated by reference to Exhibit</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680" w:type="dxa"/>
            <w:vAlign w:val="bottom"/>
            <w:tcBorders>
              <w:top w:val="single" w:sz="8" w:color="0000FF"/>
            </w:tcBorders>
            <w:gridSpan w:val="35"/>
          </w:tcPr>
          <w:p>
            <w:pPr>
              <w:spacing w:after="0" w:line="156" w:lineRule="exact"/>
              <w:rPr>
                <w:rFonts w:ascii="Arial" w:cs="Arial" w:eastAsia="Arial" w:hAnsi="Arial"/>
                <w:sz w:val="18"/>
                <w:szCs w:val="18"/>
                <w:color w:val="0000FF"/>
              </w:rPr>
            </w:pPr>
            <w:hyperlink r:id="rId313">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PAA’s Quarterly Report on Form 10-Q for the quarter ended March 31, 2017).</w:t>
              </w:r>
            </w:hyperlink>
          </w:p>
        </w:tc>
        <w:tc>
          <w:tcPr>
            <w:tcW w:w="8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10.64***</w:t>
            </w:r>
          </w:p>
        </w:tc>
        <w:tc>
          <w:tcPr>
            <w:tcW w:w="10400" w:type="dxa"/>
            <w:vAlign w:val="bottom"/>
            <w:gridSpan w:val="37"/>
          </w:tcPr>
          <w:p>
            <w:pPr>
              <w:ind w:left="2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14">
              <w:r>
                <w:rPr>
                  <w:rFonts w:ascii="Arial" w:cs="Arial" w:eastAsia="Arial" w:hAnsi="Arial"/>
                  <w:sz w:val="18"/>
                  <w:szCs w:val="18"/>
                  <w:color w:val="0000FF"/>
                  <w:w w:val="95"/>
                </w:rPr>
                <w:t>Form of Director LTIP Grant Letter (February 2017) - Independent Director Grant (PAA Plan) (incorporated by reference to Exhibit</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50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PAA’s Quarterly Report on Form 10-Q for the quarter ended March 31, 2017).</w:t>
              </w:r>
            </w:hyperlink>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10.65***</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9540" w:type="dxa"/>
            <w:vAlign w:val="bottom"/>
            <w:tcBorders>
              <w:bottom w:val="single" w:sz="8" w:color="0000FF"/>
            </w:tcBorders>
            <w:gridSpan w:val="30"/>
          </w:tcPr>
          <w:p>
            <w:pPr>
              <w:spacing w:after="0"/>
              <w:rPr>
                <w:rFonts w:ascii="Arial" w:cs="Arial" w:eastAsia="Arial" w:hAnsi="Arial"/>
                <w:sz w:val="18"/>
                <w:szCs w:val="18"/>
                <w:color w:val="0000FF"/>
                <w:w w:val="91"/>
              </w:rPr>
            </w:pPr>
            <w:hyperlink r:id="rId315">
              <w:r>
                <w:rPr>
                  <w:rFonts w:ascii="Arial" w:cs="Arial" w:eastAsia="Arial" w:hAnsi="Arial"/>
                  <w:sz w:val="18"/>
                  <w:szCs w:val="18"/>
                  <w:color w:val="0000FF"/>
                  <w:w w:val="91"/>
                </w:rPr>
                <w:t>Form of Director LTIP Grant Letter (February 2017) - Director Grant - Designated Directors and Audit Committee Members (PAGP</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100" w:type="dxa"/>
            <w:vAlign w:val="bottom"/>
            <w:tcBorders>
              <w:bottom w:val="single" w:sz="8" w:color="0000FF"/>
            </w:tcBorders>
            <w:gridSpan w:val="15"/>
          </w:tcPr>
          <w:p>
            <w:pPr>
              <w:spacing w:after="0" w:line="156" w:lineRule="exact"/>
              <w:rPr>
                <w:rFonts w:ascii="Arial" w:cs="Arial" w:eastAsia="Arial" w:hAnsi="Arial"/>
                <w:sz w:val="18"/>
                <w:szCs w:val="18"/>
                <w:color w:val="0000FF"/>
                <w:w w:val="91"/>
              </w:rPr>
            </w:pPr>
            <w:hyperlink r:id="rId315">
              <w:r>
                <w:rPr>
                  <w:rFonts w:ascii="Arial" w:cs="Arial" w:eastAsia="Arial" w:hAnsi="Arial"/>
                  <w:sz w:val="18"/>
                  <w:szCs w:val="18"/>
                  <w:color w:val="0000FF"/>
                  <w:w w:val="91"/>
                </w:rPr>
                <w:t>Plan) (incorporated by reference to Exhibit 10.1 to our Quarterly Report on Form 10-Q for the quarter ended March 31, 2017).</w:t>
              </w:r>
            </w:hyperlink>
          </w:p>
        </w:tc>
        <w:tc>
          <w:tcPr>
            <w:tcW w:w="440" w:type="dxa"/>
            <w:vAlign w:val="bottom"/>
            <w:gridSpan w:val="15"/>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10.66***</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9200" w:type="dxa"/>
            <w:vAlign w:val="bottom"/>
            <w:tcBorders>
              <w:bottom w:val="single" w:sz="8" w:color="0000FF"/>
            </w:tcBorders>
            <w:gridSpan w:val="17"/>
          </w:tcPr>
          <w:p>
            <w:pPr>
              <w:spacing w:after="0"/>
              <w:rPr>
                <w:rFonts w:ascii="Arial" w:cs="Arial" w:eastAsia="Arial" w:hAnsi="Arial"/>
                <w:sz w:val="18"/>
                <w:szCs w:val="18"/>
                <w:color w:val="0000FF"/>
                <w:w w:val="91"/>
              </w:rPr>
            </w:pPr>
            <w:hyperlink r:id="rId316">
              <w:r>
                <w:rPr>
                  <w:rFonts w:ascii="Arial" w:cs="Arial" w:eastAsia="Arial" w:hAnsi="Arial"/>
                  <w:sz w:val="18"/>
                  <w:szCs w:val="18"/>
                  <w:color w:val="0000FF"/>
                  <w:w w:val="91"/>
                </w:rPr>
                <w:t>Form of Director LTIP Grant Letter (February 2017) - Audit Committee Supplement (PAGP Plan) (incorporated by reference to</w:t>
              </w:r>
            </w:hyperlink>
          </w:p>
        </w:tc>
        <w:tc>
          <w:tcPr>
            <w:tcW w:w="20" w:type="dxa"/>
            <w:vAlign w:val="bottom"/>
          </w:tcPr>
          <w:p>
            <w:pPr>
              <w:spacing w:after="0"/>
              <w:rPr>
                <w:sz w:val="24"/>
                <w:szCs w:val="24"/>
                <w:color w:val="auto"/>
              </w:rPr>
            </w:pPr>
          </w:p>
        </w:tc>
        <w:tc>
          <w:tcPr>
            <w:tcW w:w="160" w:type="dxa"/>
            <w:vAlign w:val="bottom"/>
            <w:gridSpan w:val="5"/>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gridSpan w:val="2"/>
          </w:tcPr>
          <w:p>
            <w:pPr>
              <w:spacing w:after="0"/>
              <w:rPr>
                <w:sz w:val="24"/>
                <w:szCs w:val="24"/>
                <w:color w:val="auto"/>
              </w:rPr>
            </w:pPr>
          </w:p>
        </w:tc>
        <w:tc>
          <w:tcPr>
            <w:tcW w:w="1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540" w:type="dxa"/>
            <w:vAlign w:val="bottom"/>
            <w:tcBorders>
              <w:bottom w:val="single" w:sz="8" w:color="0000FF"/>
            </w:tcBorders>
            <w:gridSpan w:val="12"/>
          </w:tcPr>
          <w:p>
            <w:pPr>
              <w:spacing w:after="0" w:line="156" w:lineRule="exact"/>
              <w:rPr>
                <w:rFonts w:ascii="Arial" w:cs="Arial" w:eastAsia="Arial" w:hAnsi="Arial"/>
                <w:sz w:val="18"/>
                <w:szCs w:val="18"/>
                <w:color w:val="0000FF"/>
                <w:w w:val="91"/>
              </w:rPr>
            </w:pPr>
            <w:hyperlink r:id="rId316">
              <w:r>
                <w:rPr>
                  <w:rFonts w:ascii="Arial" w:cs="Arial" w:eastAsia="Arial" w:hAnsi="Arial"/>
                  <w:sz w:val="18"/>
                  <w:szCs w:val="18"/>
                  <w:color w:val="0000FF"/>
                  <w:w w:val="91"/>
                </w:rPr>
                <w:t>Exhibit 10.2 to our Quarterly Report on Form 10-Q for the quarter ended March 31, 2017).</w:t>
              </w:r>
            </w:hyperlink>
          </w:p>
        </w:tc>
        <w:tc>
          <w:tcPr>
            <w:tcW w:w="26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10.67***</w:t>
            </w:r>
          </w:p>
        </w:tc>
        <w:tc>
          <w:tcPr>
            <w:tcW w:w="10400" w:type="dxa"/>
            <w:vAlign w:val="bottom"/>
            <w:gridSpan w:val="37"/>
          </w:tcPr>
          <w:p>
            <w:pPr>
              <w:ind w:left="24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317">
              <w:r>
                <w:rPr>
                  <w:rFonts w:ascii="Arial" w:cs="Arial" w:eastAsia="Arial" w:hAnsi="Arial"/>
                  <w:sz w:val="18"/>
                  <w:szCs w:val="18"/>
                  <w:color w:val="0000FF"/>
                  <w:w w:val="94"/>
                </w:rPr>
                <w:t>Form of Director LTIP Grant Letter (February 2017) - Independent Director Grant (PAGP Plan) (incorporated by reference to Exhibit</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31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r>
                <w:rPr>
                  <w:rFonts w:ascii="Arial" w:cs="Arial" w:eastAsia="Arial" w:hAnsi="Arial"/>
                  <w:sz w:val="18"/>
                  <w:szCs w:val="18"/>
                  <w:color w:val="0000FF"/>
                  <w:w w:val="90"/>
                </w:rPr>
                <w:t xml:space="preserve"> to our Quarterly Report on Form 10-Q for the quarter ended March 31, 2017).</w:t>
              </w:r>
            </w:hyperlink>
          </w:p>
        </w:tc>
        <w:tc>
          <w:tcPr>
            <w:tcW w:w="3640" w:type="dxa"/>
            <w:vAlign w:val="bottom"/>
            <w:tcBorders>
              <w:top w:val="single" w:sz="8" w:color="0000FF"/>
            </w:tcBorders>
            <w:gridSpan w:val="22"/>
          </w:tcPr>
          <w:p>
            <w:pPr>
              <w:spacing w:after="0"/>
              <w:rPr>
                <w:sz w:val="13"/>
                <w:szCs w:val="13"/>
                <w:color w:val="auto"/>
              </w:rPr>
            </w:pPr>
          </w:p>
        </w:tc>
        <w:tc>
          <w:tcPr>
            <w:tcW w:w="160" w:type="dxa"/>
            <w:vAlign w:val="bottom"/>
            <w:gridSpan w:val="4"/>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10.68***</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9460" w:type="dxa"/>
            <w:vAlign w:val="bottom"/>
            <w:tcBorders>
              <w:bottom w:val="single" w:sz="8" w:color="0000FF"/>
            </w:tcBorders>
            <w:gridSpan w:val="27"/>
          </w:tcPr>
          <w:p>
            <w:pPr>
              <w:spacing w:after="0"/>
              <w:rPr>
                <w:rFonts w:ascii="Arial" w:cs="Arial" w:eastAsia="Arial" w:hAnsi="Arial"/>
                <w:sz w:val="18"/>
                <w:szCs w:val="18"/>
                <w:color w:val="0000FF"/>
                <w:w w:val="92"/>
              </w:rPr>
            </w:pPr>
            <w:hyperlink r:id="rId318">
              <w:r>
                <w:rPr>
                  <w:rFonts w:ascii="Arial" w:cs="Arial" w:eastAsia="Arial" w:hAnsi="Arial"/>
                  <w:sz w:val="18"/>
                  <w:szCs w:val="18"/>
                  <w:color w:val="0000FF"/>
                  <w:w w:val="92"/>
                </w:rPr>
                <w:t>Form of Director LTIP Grant Letter (August 2018) (incorporated by reference to Exhibit 10.66 to our Annual Report on Form 10-K</w:t>
              </w:r>
            </w:hyperlink>
          </w:p>
        </w:tc>
        <w:tc>
          <w:tcPr>
            <w:tcW w:w="120" w:type="dxa"/>
            <w:vAlign w:val="bottom"/>
            <w:gridSpan w:val="4"/>
          </w:tcPr>
          <w:p>
            <w:pPr>
              <w:spacing w:after="0"/>
              <w:rPr>
                <w:sz w:val="24"/>
                <w:szCs w:val="24"/>
                <w:color w:val="auto"/>
              </w:rPr>
            </w:pPr>
          </w:p>
        </w:tc>
        <w:tc>
          <w:tcPr>
            <w:tcW w:w="180" w:type="dxa"/>
            <w:vAlign w:val="bottom"/>
            <w:gridSpan w:val="5"/>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60" w:type="dxa"/>
            <w:vAlign w:val="bottom"/>
            <w:tcBorders>
              <w:bottom w:val="single" w:sz="8" w:color="0000FF"/>
            </w:tcBorders>
            <w:gridSpan w:val="4"/>
          </w:tcPr>
          <w:p>
            <w:pPr>
              <w:spacing w:after="0" w:line="156" w:lineRule="exact"/>
              <w:rPr>
                <w:rFonts w:ascii="Arial" w:cs="Arial" w:eastAsia="Arial" w:hAnsi="Arial"/>
                <w:sz w:val="18"/>
                <w:szCs w:val="18"/>
                <w:color w:val="0000FF"/>
                <w:w w:val="88"/>
              </w:rPr>
            </w:pPr>
            <w:hyperlink r:id="rId318">
              <w:r>
                <w:rPr>
                  <w:rFonts w:ascii="Arial" w:cs="Arial" w:eastAsia="Arial" w:hAnsi="Arial"/>
                  <w:sz w:val="18"/>
                  <w:szCs w:val="18"/>
                  <w:color w:val="0000FF"/>
                  <w:w w:val="88"/>
                </w:rPr>
                <w:t>for the year ended December 31, 2018).</w:t>
              </w:r>
            </w:hyperlink>
          </w:p>
        </w:tc>
        <w:tc>
          <w:tcPr>
            <w:tcW w:w="6600" w:type="dxa"/>
            <w:vAlign w:val="bottom"/>
            <w:gridSpan w:val="23"/>
          </w:tcPr>
          <w:p>
            <w:pPr>
              <w:spacing w:after="0"/>
              <w:rPr>
                <w:sz w:val="13"/>
                <w:szCs w:val="13"/>
                <w:color w:val="auto"/>
              </w:rPr>
            </w:pPr>
          </w:p>
        </w:tc>
        <w:tc>
          <w:tcPr>
            <w:tcW w:w="120" w:type="dxa"/>
            <w:vAlign w:val="bottom"/>
            <w:gridSpan w:val="4"/>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10.69***</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9580" w:type="dxa"/>
            <w:vAlign w:val="bottom"/>
            <w:tcBorders>
              <w:bottom w:val="single" w:sz="8" w:color="0000FF"/>
            </w:tcBorders>
            <w:gridSpan w:val="31"/>
          </w:tcPr>
          <w:p>
            <w:pPr>
              <w:spacing w:after="0"/>
              <w:rPr>
                <w:rFonts w:ascii="Arial" w:cs="Arial" w:eastAsia="Arial" w:hAnsi="Arial"/>
                <w:sz w:val="18"/>
                <w:szCs w:val="18"/>
                <w:color w:val="0000FF"/>
                <w:w w:val="91"/>
              </w:rPr>
            </w:pPr>
            <w:hyperlink r:id="rId319">
              <w:r>
                <w:rPr>
                  <w:rFonts w:ascii="Arial" w:cs="Arial" w:eastAsia="Arial" w:hAnsi="Arial"/>
                  <w:sz w:val="18"/>
                  <w:szCs w:val="18"/>
                  <w:color w:val="0000FF"/>
                  <w:w w:val="91"/>
                </w:rPr>
                <w:t>Director LTIP Grant Letter (December 2018) (incorporated by reference to Exhibit 10.66 to our Annual Report on Form 10-K for the</w:t>
              </w:r>
            </w:hyperlink>
          </w:p>
        </w:tc>
        <w:tc>
          <w:tcPr>
            <w:tcW w:w="180" w:type="dxa"/>
            <w:vAlign w:val="bottom"/>
            <w:gridSpan w:val="5"/>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6" w:lineRule="exact"/>
              <w:rPr>
                <w:rFonts w:ascii="Arial" w:cs="Arial" w:eastAsia="Arial" w:hAnsi="Arial"/>
                <w:sz w:val="18"/>
                <w:szCs w:val="18"/>
                <w:color w:val="0000FF"/>
                <w:w w:val="87"/>
              </w:rPr>
            </w:pPr>
            <w:hyperlink r:id="rId319">
              <w:r>
                <w:rPr>
                  <w:rFonts w:ascii="Arial" w:cs="Arial" w:eastAsia="Arial" w:hAnsi="Arial"/>
                  <w:sz w:val="18"/>
                  <w:szCs w:val="18"/>
                  <w:color w:val="0000FF"/>
                  <w:w w:val="87"/>
                </w:rPr>
                <w:t>year ended December 31, 2018).</w:t>
              </w:r>
            </w:hyperlink>
          </w:p>
        </w:tc>
        <w:tc>
          <w:tcPr>
            <w:tcW w:w="7240" w:type="dxa"/>
            <w:vAlign w:val="bottom"/>
            <w:gridSpan w:val="29"/>
          </w:tcPr>
          <w:p>
            <w:pPr>
              <w:spacing w:after="0"/>
              <w:rPr>
                <w:sz w:val="13"/>
                <w:szCs w:val="13"/>
                <w:color w:val="auto"/>
              </w:rPr>
            </w:pPr>
          </w:p>
        </w:tc>
        <w:tc>
          <w:tcPr>
            <w:tcW w:w="180" w:type="dxa"/>
            <w:vAlign w:val="bottom"/>
            <w:gridSpan w:val="5"/>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10.70***</w:t>
            </w:r>
          </w:p>
        </w:tc>
        <w:tc>
          <w:tcPr>
            <w:tcW w:w="10400" w:type="dxa"/>
            <w:vAlign w:val="bottom"/>
            <w:gridSpan w:val="37"/>
          </w:tcPr>
          <w:p>
            <w:pPr>
              <w:ind w:left="24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320">
              <w:r>
                <w:rPr>
                  <w:rFonts w:ascii="Arial" w:cs="Arial" w:eastAsia="Arial" w:hAnsi="Arial"/>
                  <w:sz w:val="18"/>
                  <w:szCs w:val="18"/>
                  <w:color w:val="0000FF"/>
                  <w:w w:val="96"/>
                </w:rPr>
                <w:t>Form of LTIP Grant Letter dated August 15, 2019 (Officers) (incorporated by reference to Exhibit 10.2 to our Quarterly Report on</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89"/>
              </w:rPr>
            </w:pPr>
            <w:hyperlink r:id="rId320">
              <w:r>
                <w:rPr>
                  <w:rFonts w:ascii="Arial" w:cs="Arial" w:eastAsia="Arial" w:hAnsi="Arial"/>
                  <w:sz w:val="18"/>
                  <w:szCs w:val="18"/>
                  <w:color w:val="0000FF"/>
                  <w:w w:val="89"/>
                </w:rPr>
                <w:t>Form 10-Q for the quarter ended September 30, 2019).</w:t>
              </w:r>
            </w:hyperlink>
          </w:p>
        </w:tc>
        <w:tc>
          <w:tcPr>
            <w:tcW w:w="54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340" w:type="dxa"/>
            <w:vAlign w:val="bottom"/>
            <w:gridSpan w:val="11"/>
          </w:tcPr>
          <w:p>
            <w:pPr>
              <w:spacing w:after="0"/>
              <w:rPr>
                <w:sz w:val="13"/>
                <w:szCs w:val="13"/>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10.71***</w:t>
            </w:r>
          </w:p>
        </w:tc>
        <w:tc>
          <w:tcPr>
            <w:tcW w:w="10400" w:type="dxa"/>
            <w:vAlign w:val="bottom"/>
            <w:gridSpan w:val="37"/>
          </w:tcPr>
          <w:p>
            <w:pPr>
              <w:ind w:left="24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321">
              <w:r>
                <w:rPr>
                  <w:rFonts w:ascii="Arial" w:cs="Arial" w:eastAsia="Arial" w:hAnsi="Arial"/>
                  <w:sz w:val="18"/>
                  <w:szCs w:val="18"/>
                  <w:color w:val="0000FF"/>
                  <w:w w:val="95"/>
                </w:rPr>
                <w:t>Form of LTIP Grant Letter dated August 15, 2019 (Directors) (incorporated by reference to exhibit 10.3 to our Quarterly Report on</w:t>
              </w:r>
            </w:hyperlink>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321">
              <w:r>
                <w:rPr>
                  <w:rFonts w:ascii="Arial" w:cs="Arial" w:eastAsia="Arial" w:hAnsi="Arial"/>
                  <w:sz w:val="18"/>
                  <w:szCs w:val="18"/>
                  <w:color w:val="0000FF"/>
                  <w:w w:val="89"/>
                </w:rPr>
                <w:t>Form 10-Q for the quarter ended September 30, 2019).</w:t>
              </w:r>
            </w:hyperlink>
          </w:p>
        </w:tc>
        <w:tc>
          <w:tcPr>
            <w:tcW w:w="5480" w:type="dxa"/>
            <w:vAlign w:val="bottom"/>
            <w:tcBorders>
              <w:top w:val="single" w:sz="8" w:color="0000FF"/>
            </w:tcBorders>
            <w:gridSpan w:val="17"/>
          </w:tcPr>
          <w:p>
            <w:pPr>
              <w:spacing w:after="0"/>
              <w:rPr>
                <w:sz w:val="13"/>
                <w:szCs w:val="13"/>
                <w:color w:val="auto"/>
              </w:rPr>
            </w:pPr>
          </w:p>
        </w:tc>
        <w:tc>
          <w:tcPr>
            <w:tcW w:w="340" w:type="dxa"/>
            <w:vAlign w:val="bottom"/>
            <w:gridSpan w:val="11"/>
          </w:tcPr>
          <w:p>
            <w:pPr>
              <w:spacing w:after="0"/>
              <w:rPr>
                <w:sz w:val="13"/>
                <w:szCs w:val="13"/>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8"/>
                <w:szCs w:val="18"/>
                <w:color w:val="auto"/>
              </w:rPr>
              <w:t>10.72***†</w:t>
            </w:r>
          </w:p>
        </w:tc>
        <w:tc>
          <w:tcPr>
            <w:tcW w:w="10400" w:type="dxa"/>
            <w:vAlign w:val="bottom"/>
            <w:gridSpan w:val="37"/>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3">
              <w:r>
                <w:rPr>
                  <w:rFonts w:ascii="Arial" w:cs="Arial" w:eastAsia="Arial" w:hAnsi="Arial"/>
                  <w:sz w:val="18"/>
                  <w:szCs w:val="18"/>
                  <w:color w:val="0000FF"/>
                </w:rPr>
                <w:t>Director LTIP Grant Letter (January 2020)</w:t>
              </w:r>
            </w:hyperlink>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3060" w:type="dxa"/>
            <w:vAlign w:val="bottom"/>
            <w:tcBorders>
              <w:right w:val="single" w:sz="8" w:color="0000FF"/>
            </w:tcBorders>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18"/>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10.73</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9220" w:type="dxa"/>
            <w:vAlign w:val="bottom"/>
            <w:tcBorders>
              <w:bottom w:val="single" w:sz="8" w:color="0000FF"/>
            </w:tcBorders>
            <w:gridSpan w:val="18"/>
          </w:tcPr>
          <w:p>
            <w:pPr>
              <w:spacing w:after="0"/>
              <w:rPr>
                <w:rFonts w:ascii="Arial" w:cs="Arial" w:eastAsia="Arial" w:hAnsi="Arial"/>
                <w:sz w:val="18"/>
                <w:szCs w:val="18"/>
                <w:color w:val="0000FF"/>
                <w:w w:val="90"/>
              </w:rPr>
            </w:pPr>
            <w:hyperlink r:id="rId322">
              <w:r>
                <w:rPr>
                  <w:rFonts w:ascii="Arial" w:cs="Arial" w:eastAsia="Arial" w:hAnsi="Arial"/>
                  <w:sz w:val="18"/>
                  <w:szCs w:val="18"/>
                  <w:color w:val="0000FF"/>
                  <w:w w:val="90"/>
                </w:rPr>
                <w:t>Contribution Agreement dated October 21, 2013, by and among Plains GP Holdings, L.P., PAA GP Holdings LLC and the other</w:t>
              </w:r>
            </w:hyperlink>
          </w:p>
        </w:tc>
        <w:tc>
          <w:tcPr>
            <w:tcW w:w="540" w:type="dxa"/>
            <w:vAlign w:val="bottom"/>
            <w:gridSpan w:val="18"/>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20" w:type="dxa"/>
            <w:vAlign w:val="bottom"/>
            <w:gridSpan w:val="18"/>
          </w:tcPr>
          <w:p>
            <w:pPr>
              <w:spacing w:after="0" w:line="156" w:lineRule="exact"/>
              <w:rPr>
                <w:rFonts w:ascii="Arial" w:cs="Arial" w:eastAsia="Arial" w:hAnsi="Arial"/>
                <w:sz w:val="18"/>
                <w:szCs w:val="18"/>
                <w:color w:val="0000FF"/>
                <w:w w:val="91"/>
              </w:rPr>
            </w:pPr>
            <w:hyperlink r:id="rId322">
              <w:r>
                <w:rPr>
                  <w:rFonts w:ascii="Arial" w:cs="Arial" w:eastAsia="Arial" w:hAnsi="Arial"/>
                  <w:sz w:val="18"/>
                  <w:szCs w:val="18"/>
                  <w:color w:val="0000FF"/>
                  <w:w w:val="91"/>
                </w:rPr>
                <w:t>parties signatory thereto (incorporated by reference to Exhibit 10.2 to our Current Report on Form 8-K filed October 25, 2013).</w:t>
              </w:r>
            </w:hyperlink>
          </w:p>
        </w:tc>
        <w:tc>
          <w:tcPr>
            <w:tcW w:w="540" w:type="dxa"/>
            <w:vAlign w:val="bottom"/>
            <w:gridSpan w:val="18"/>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3060" w:type="dxa"/>
            <w:vAlign w:val="bottom"/>
            <w:tcBorders>
              <w:right w:val="single" w:sz="8" w:color="0000FF"/>
            </w:tcBorders>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7"/>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600" w:type="dxa"/>
            <w:vAlign w:val="bottom"/>
            <w:gridSpan w:val="20"/>
          </w:tcPr>
          <w:p>
            <w:pPr>
              <w:spacing w:after="0" w:line="20" w:lineRule="exact"/>
              <w:rPr>
                <w:sz w:val="1"/>
                <w:szCs w:val="1"/>
                <w:color w:val="auto"/>
              </w:rPr>
            </w:pPr>
          </w:p>
        </w:tc>
      </w:tr>
      <w:tr>
        <w:trPr>
          <w:trHeight w:val="318"/>
        </w:trPr>
        <w:tc>
          <w:tcPr>
            <w:tcW w:w="1020" w:type="dxa"/>
            <w:vAlign w:val="bottom"/>
          </w:tcPr>
          <w:p>
            <w:pPr>
              <w:ind w:left="20"/>
              <w:spacing w:after="0"/>
              <w:rPr>
                <w:sz w:val="20"/>
                <w:szCs w:val="20"/>
                <w:color w:val="auto"/>
              </w:rPr>
            </w:pPr>
            <w:r>
              <w:rPr>
                <w:rFonts w:ascii="Arial" w:cs="Arial" w:eastAsia="Arial" w:hAnsi="Arial"/>
                <w:sz w:val="18"/>
                <w:szCs w:val="18"/>
                <w:color w:val="auto"/>
              </w:rPr>
              <w:t>21.1 †</w:t>
            </w:r>
          </w:p>
        </w:tc>
        <w:tc>
          <w:tcPr>
            <w:tcW w:w="10400" w:type="dxa"/>
            <w:vAlign w:val="bottom"/>
            <w:gridSpan w:val="37"/>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6">
              <w:r>
                <w:rPr>
                  <w:rFonts w:ascii="Arial" w:cs="Arial" w:eastAsia="Arial" w:hAnsi="Arial"/>
                  <w:sz w:val="18"/>
                  <w:szCs w:val="18"/>
                  <w:color w:val="0000FF"/>
                </w:rPr>
                <w:t>List of Subsidiaries of Plains GP Holdings, L.P.</w:t>
              </w:r>
            </w:hyperlink>
          </w:p>
        </w:tc>
      </w:tr>
      <w:tr>
        <w:trPr>
          <w:trHeight w:val="358"/>
        </w:trPr>
        <w:tc>
          <w:tcPr>
            <w:tcW w:w="1020" w:type="dxa"/>
            <w:vAlign w:val="bottom"/>
          </w:tcPr>
          <w:p>
            <w:pPr>
              <w:ind w:left="20"/>
              <w:spacing w:after="0"/>
              <w:rPr>
                <w:sz w:val="20"/>
                <w:szCs w:val="20"/>
                <w:color w:val="auto"/>
              </w:rPr>
            </w:pPr>
            <w:r>
              <w:rPr>
                <w:rFonts w:ascii="Arial" w:cs="Arial" w:eastAsia="Arial" w:hAnsi="Arial"/>
                <w:sz w:val="18"/>
                <w:szCs w:val="18"/>
                <w:color w:val="auto"/>
              </w:rPr>
              <w:t>23.1 †</w:t>
            </w:r>
          </w:p>
        </w:tc>
        <w:tc>
          <w:tcPr>
            <w:tcW w:w="640" w:type="dxa"/>
            <w:vAlign w:val="bottom"/>
          </w:tcPr>
          <w:p>
            <w:pPr>
              <w:ind w:left="240"/>
              <w:spacing w:after="0"/>
              <w:rPr>
                <w:sz w:val="20"/>
                <w:szCs w:val="20"/>
                <w:color w:val="auto"/>
              </w:rPr>
            </w:pPr>
            <w:r>
              <w:rPr>
                <w:rFonts w:ascii="Arial" w:cs="Arial" w:eastAsia="Arial" w:hAnsi="Arial"/>
                <w:sz w:val="18"/>
                <w:szCs w:val="18"/>
                <w:color w:val="auto"/>
              </w:rPr>
              <w:t>—</w:t>
            </w:r>
          </w:p>
        </w:tc>
        <w:tc>
          <w:tcPr>
            <w:tcW w:w="306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89"/>
              </w:rPr>
            </w:pPr>
            <w:hyperlink w:anchor="page218">
              <w:r>
                <w:rPr>
                  <w:rFonts w:ascii="Arial" w:cs="Arial" w:eastAsia="Arial" w:hAnsi="Arial"/>
                  <w:sz w:val="18"/>
                  <w:szCs w:val="18"/>
                  <w:color w:val="0000FF"/>
                  <w:w w:val="89"/>
                </w:rPr>
                <w:t>Consent of PricewaterhouseCoopers LLP.</w:t>
              </w:r>
            </w:hyperlink>
          </w:p>
        </w:tc>
        <w:tc>
          <w:tcPr>
            <w:tcW w:w="360" w:type="dxa"/>
            <w:vAlign w:val="bottom"/>
            <w:tcBorders>
              <w:top w:val="single" w:sz="8" w:color="0000FF"/>
            </w:tcBorders>
          </w:tcPr>
          <w:p>
            <w:pPr>
              <w:spacing w:after="0"/>
              <w:rPr>
                <w:sz w:val="24"/>
                <w:szCs w:val="24"/>
                <w:color w:val="auto"/>
              </w:rPr>
            </w:pPr>
          </w:p>
        </w:tc>
        <w:tc>
          <w:tcPr>
            <w:tcW w:w="3900" w:type="dxa"/>
            <w:vAlign w:val="bottom"/>
            <w:gridSpan w:val="7"/>
          </w:tcPr>
          <w:p>
            <w:pPr>
              <w:spacing w:after="0"/>
              <w:rPr>
                <w:sz w:val="24"/>
                <w:szCs w:val="24"/>
                <w:color w:val="auto"/>
              </w:rPr>
            </w:pPr>
          </w:p>
        </w:tc>
        <w:tc>
          <w:tcPr>
            <w:tcW w:w="2440" w:type="dxa"/>
            <w:vAlign w:val="bottom"/>
            <w:gridSpan w:val="23"/>
          </w:tcPr>
          <w:p>
            <w:pPr>
              <w:spacing w:after="0"/>
              <w:rPr>
                <w:sz w:val="24"/>
                <w:szCs w:val="24"/>
                <w:color w:val="auto"/>
              </w:rPr>
            </w:pPr>
          </w:p>
        </w:tc>
      </w:tr>
      <w:tr>
        <w:trPr>
          <w:trHeight w:val="358"/>
        </w:trPr>
        <w:tc>
          <w:tcPr>
            <w:tcW w:w="1020" w:type="dxa"/>
            <w:vAlign w:val="bottom"/>
          </w:tcPr>
          <w:p>
            <w:pPr>
              <w:ind w:left="20"/>
              <w:spacing w:after="0"/>
              <w:rPr>
                <w:sz w:val="20"/>
                <w:szCs w:val="20"/>
                <w:color w:val="auto"/>
              </w:rPr>
            </w:pPr>
            <w:r>
              <w:rPr>
                <w:rFonts w:ascii="Arial" w:cs="Arial" w:eastAsia="Arial" w:hAnsi="Arial"/>
                <w:sz w:val="18"/>
                <w:szCs w:val="18"/>
                <w:color w:val="auto"/>
              </w:rPr>
              <w:t>31.1 †</w:t>
            </w:r>
          </w:p>
        </w:tc>
        <w:tc>
          <w:tcPr>
            <w:tcW w:w="10400" w:type="dxa"/>
            <w:vAlign w:val="bottom"/>
            <w:gridSpan w:val="37"/>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19">
              <w:r>
                <w:rPr>
                  <w:rFonts w:ascii="Arial" w:cs="Arial" w:eastAsia="Arial" w:hAnsi="Arial"/>
                  <w:sz w:val="18"/>
                  <w:szCs w:val="18"/>
                  <w:color w:val="0000FF"/>
                </w:rPr>
                <w:t>Certification of Principal Executive Officer pursuant to Exchange Act Rules 13a-14(a) and 15d-14(a).</w:t>
              </w:r>
            </w:hyperlink>
          </w:p>
        </w:tc>
      </w:tr>
      <w:tr>
        <w:trPr>
          <w:trHeight w:val="939"/>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60" w:type="dxa"/>
            <w:vAlign w:val="bottom"/>
            <w:tcBorders>
              <w:top w:val="single" w:sz="8" w:color="0000FF"/>
            </w:tcBorders>
            <w:gridSpan w:val="10"/>
          </w:tcPr>
          <w:p>
            <w:pPr>
              <w:jc w:val="right"/>
              <w:ind w:right="1780"/>
              <w:spacing w:after="0"/>
              <w:rPr>
                <w:sz w:val="20"/>
                <w:szCs w:val="20"/>
                <w:color w:val="auto"/>
              </w:rPr>
            </w:pPr>
            <w:r>
              <w:rPr>
                <w:rFonts w:ascii="Arial" w:cs="Arial" w:eastAsia="Arial" w:hAnsi="Arial"/>
                <w:sz w:val="18"/>
                <w:szCs w:val="18"/>
                <w:color w:val="auto"/>
              </w:rPr>
              <w:t>120</w:t>
            </w:r>
          </w:p>
        </w:tc>
        <w:tc>
          <w:tcPr>
            <w:tcW w:w="2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0" w:type="dxa"/>
            <w:vAlign w:val="bottom"/>
          </w:tcPr>
          <w:p>
            <w:pPr>
              <w:spacing w:after="0"/>
              <w:rPr>
                <w:sz w:val="20"/>
                <w:szCs w:val="20"/>
                <w:color w:val="auto"/>
              </w:rPr>
            </w:pPr>
            <w:r>
              <w:rPr>
                <w:rFonts w:ascii="Arial" w:cs="Arial" w:eastAsia="Arial" w:hAnsi="Arial"/>
                <w:sz w:val="18"/>
                <w:szCs w:val="18"/>
                <w:color w:val="auto"/>
                <w:w w:val="96"/>
              </w:rPr>
              <w:t>31.2</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240"/>
              <w:spacing w:after="0"/>
              <w:rPr>
                <w:sz w:val="20"/>
                <w:szCs w:val="20"/>
                <w:color w:val="auto"/>
              </w:rPr>
            </w:pPr>
            <w:r>
              <w:rPr>
                <w:rFonts w:ascii="Arial" w:cs="Arial" w:eastAsia="Arial" w:hAnsi="Arial"/>
                <w:sz w:val="18"/>
                <w:szCs w:val="18"/>
                <w:color w:val="auto"/>
              </w:rPr>
              <w:t>—</w:t>
            </w:r>
          </w:p>
        </w:tc>
        <w:tc>
          <w:tcPr>
            <w:tcW w:w="730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220">
              <w:r>
                <w:rPr>
                  <w:rFonts w:ascii="Arial" w:cs="Arial" w:eastAsia="Arial" w:hAnsi="Arial"/>
                  <w:sz w:val="18"/>
                  <w:szCs w:val="18"/>
                  <w:color w:val="0000FF"/>
                  <w:w w:val="91"/>
                </w:rPr>
                <w:t>Certification of Principal Financial Officer pursuant to Exchange Act Rules 13a-14(a) and 15d-14(a).</w:t>
              </w:r>
            </w:hyperlink>
          </w:p>
        </w:tc>
        <w:tc>
          <w:tcPr>
            <w:tcW w:w="2280" w:type="dxa"/>
            <w:vAlign w:val="bottom"/>
          </w:tcPr>
          <w:p>
            <w:pPr>
              <w:spacing w:after="0"/>
              <w:rPr>
                <w:sz w:val="19"/>
                <w:szCs w:val="19"/>
                <w:color w:val="auto"/>
              </w:rPr>
            </w:pPr>
          </w:p>
        </w:tc>
      </w:tr>
      <w:tr>
        <w:trPr>
          <w:trHeight w:val="358"/>
        </w:trPr>
        <w:tc>
          <w:tcPr>
            <w:tcW w:w="360" w:type="dxa"/>
            <w:vAlign w:val="bottom"/>
          </w:tcPr>
          <w:p>
            <w:pPr>
              <w:spacing w:after="0"/>
              <w:rPr>
                <w:sz w:val="20"/>
                <w:szCs w:val="20"/>
                <w:color w:val="auto"/>
              </w:rPr>
            </w:pPr>
            <w:r>
              <w:rPr>
                <w:rFonts w:ascii="Arial" w:cs="Arial" w:eastAsia="Arial" w:hAnsi="Arial"/>
                <w:sz w:val="18"/>
                <w:szCs w:val="18"/>
                <w:color w:val="auto"/>
                <w:w w:val="96"/>
              </w:rPr>
              <w:t>32.1</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200" w:type="dxa"/>
            <w:vAlign w:val="bottom"/>
            <w:gridSpan w:val="4"/>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1">
              <w:r>
                <w:rPr>
                  <w:rFonts w:ascii="Arial" w:cs="Arial" w:eastAsia="Arial" w:hAnsi="Arial"/>
                  <w:sz w:val="18"/>
                  <w:szCs w:val="18"/>
                  <w:color w:val="0000FF"/>
                </w:rPr>
                <w:t>Certification of Principal Executive Officer pursuant to 18 U.S.C. 1350.</w:t>
              </w:r>
            </w:hyperlink>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4440" w:type="dxa"/>
            <w:vAlign w:val="bottom"/>
            <w:tcBorders>
              <w:left w:val="single" w:sz="8" w:color="0000FF"/>
            </w:tcBorders>
            <w:gridSpan w:val="2"/>
          </w:tcPr>
          <w:p>
            <w:pPr>
              <w:spacing w:after="0" w:line="20" w:lineRule="exact"/>
              <w:rPr>
                <w:sz w:val="1"/>
                <w:szCs w:val="1"/>
                <w:color w:val="auto"/>
              </w:rPr>
            </w:pPr>
          </w:p>
        </w:tc>
      </w:tr>
      <w:tr>
        <w:trPr>
          <w:trHeight w:val="358"/>
        </w:trPr>
        <w:tc>
          <w:tcPr>
            <w:tcW w:w="360" w:type="dxa"/>
            <w:vAlign w:val="bottom"/>
          </w:tcPr>
          <w:p>
            <w:pPr>
              <w:spacing w:after="0"/>
              <w:rPr>
                <w:sz w:val="20"/>
                <w:szCs w:val="20"/>
                <w:color w:val="auto"/>
              </w:rPr>
            </w:pPr>
            <w:r>
              <w:rPr>
                <w:rFonts w:ascii="Arial" w:cs="Arial" w:eastAsia="Arial" w:hAnsi="Arial"/>
                <w:sz w:val="18"/>
                <w:szCs w:val="18"/>
                <w:color w:val="auto"/>
                <w:w w:val="96"/>
              </w:rPr>
              <w:t>32.2</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0200" w:type="dxa"/>
            <w:vAlign w:val="bottom"/>
            <w:gridSpan w:val="4"/>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222">
              <w:r>
                <w:rPr>
                  <w:rFonts w:ascii="Arial" w:cs="Arial" w:eastAsia="Arial" w:hAnsi="Arial"/>
                  <w:sz w:val="18"/>
                  <w:szCs w:val="18"/>
                  <w:color w:val="0000FF"/>
                </w:rPr>
                <w:t>Certification of Principal Financial Officer pursuant to 18 U.S.C. 1350.</w:t>
              </w:r>
            </w:hyperlink>
          </w:p>
        </w:tc>
      </w:tr>
      <w:tr>
        <w:trPr>
          <w:trHeight w:val="20"/>
        </w:trPr>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40" w:type="dxa"/>
            <w:vAlign w:val="bottom"/>
            <w:shd w:val="clear" w:color="auto" w:fill="0000FF"/>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398"/>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640" w:type="dxa"/>
            <w:vAlign w:val="bottom"/>
          </w:tcPr>
          <w:p>
            <w:pPr>
              <w:spacing w:after="0"/>
              <w:rPr>
                <w:sz w:val="20"/>
                <w:szCs w:val="20"/>
                <w:color w:val="auto"/>
              </w:rPr>
            </w:pPr>
            <w:r>
              <w:rPr>
                <w:rFonts w:ascii="Arial" w:cs="Arial" w:eastAsia="Arial" w:hAnsi="Arial"/>
                <w:sz w:val="18"/>
                <w:szCs w:val="18"/>
                <w:color w:val="auto"/>
              </w:rPr>
              <w:t>INS†</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w w:val="91"/>
              </w:rPr>
              <w:t>—  XBRL Instance Document - the instance document does not appear in the Interactive Data File because its XBRL tags are embedded</w:t>
            </w: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Arial" w:cs="Arial" w:eastAsia="Arial" w:hAnsi="Arial"/>
                <w:sz w:val="18"/>
                <w:szCs w:val="18"/>
                <w:color w:val="auto"/>
              </w:rPr>
              <w:t>within the Inline XBRL document.</w:t>
            </w: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  Inline XBRL Taxonomy Extension Schema Document</w:t>
            </w: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378"/>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  Inline XBRL Taxonomy Extension Presentation Linkbase Document</w:t>
            </w:r>
          </w:p>
        </w:tc>
      </w:tr>
      <w:tr>
        <w:trPr>
          <w:trHeight w:val="378"/>
        </w:trPr>
        <w:tc>
          <w:tcPr>
            <w:tcW w:w="360" w:type="dxa"/>
            <w:vAlign w:val="bottom"/>
          </w:tcPr>
          <w:p>
            <w:pPr>
              <w:spacing w:after="0"/>
              <w:rPr>
                <w:sz w:val="20"/>
                <w:szCs w:val="20"/>
                <w:color w:val="auto"/>
              </w:rPr>
            </w:pPr>
            <w:r>
              <w:rPr>
                <w:rFonts w:ascii="Arial" w:cs="Arial" w:eastAsia="Arial" w:hAnsi="Arial"/>
                <w:sz w:val="18"/>
                <w:szCs w:val="18"/>
                <w:color w:val="auto"/>
                <w:w w:val="84"/>
              </w:rPr>
              <w:t>104†</w:t>
            </w:r>
          </w:p>
        </w:tc>
        <w:tc>
          <w:tcPr>
            <w:tcW w:w="640" w:type="dxa"/>
            <w:vAlign w:val="bottom"/>
          </w:tcPr>
          <w:p>
            <w:pPr>
              <w:spacing w:after="0"/>
              <w:rPr>
                <w:sz w:val="24"/>
                <w:szCs w:val="24"/>
                <w:color w:val="auto"/>
              </w:rPr>
            </w:pPr>
          </w:p>
        </w:tc>
        <w:tc>
          <w:tcPr>
            <w:tcW w:w="10200" w:type="dxa"/>
            <w:vAlign w:val="bottom"/>
            <w:gridSpan w:val="4"/>
          </w:tcPr>
          <w:p>
            <w:pPr>
              <w:ind w:left="240"/>
              <w:spacing w:after="0"/>
              <w:rPr>
                <w:sz w:val="20"/>
                <w:szCs w:val="20"/>
                <w:color w:val="auto"/>
              </w:rPr>
            </w:pPr>
            <w:r>
              <w:rPr>
                <w:rFonts w:ascii="Arial" w:cs="Arial" w:eastAsia="Arial" w:hAnsi="Arial"/>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3241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80" w:hanging="72"/>
        <w:spacing w:after="0"/>
        <w:tabs>
          <w:tab w:leader="none" w:pos="80" w:val="left"/>
        </w:tabs>
        <w:numPr>
          <w:ilvl w:val="0"/>
          <w:numId w:val="73"/>
        </w:numPr>
        <w:rPr>
          <w:rFonts w:ascii="Arial" w:cs="Arial" w:eastAsia="Arial" w:hAnsi="Arial"/>
          <w:sz w:val="12"/>
          <w:szCs w:val="12"/>
          <w:color w:val="auto"/>
        </w:rPr>
      </w:pPr>
      <w:r>
        <w:rPr>
          <w:rFonts w:ascii="Arial" w:cs="Arial" w:eastAsia="Arial" w:hAnsi="Arial"/>
          <w:sz w:val="17"/>
          <w:szCs w:val="17"/>
          <w:color w:val="auto"/>
        </w:rPr>
        <w:t>Filed herewith.</w:t>
      </w:r>
    </w:p>
    <w:p>
      <w:pPr>
        <w:spacing w:after="0" w:line="129" w:lineRule="exact"/>
        <w:rPr>
          <w:sz w:val="20"/>
          <w:szCs w:val="20"/>
          <w:color w:val="auto"/>
        </w:rPr>
      </w:pPr>
    </w:p>
    <w:p>
      <w:pPr>
        <w:ind w:left="140" w:hanging="132"/>
        <w:spacing w:after="0"/>
        <w:tabs>
          <w:tab w:leader="none" w:pos="140" w:val="left"/>
        </w:tabs>
        <w:numPr>
          <w:ilvl w:val="0"/>
          <w:numId w:val="74"/>
        </w:numPr>
        <w:rPr>
          <w:rFonts w:ascii="Arial" w:cs="Arial" w:eastAsia="Arial" w:hAnsi="Arial"/>
          <w:sz w:val="11"/>
          <w:szCs w:val="11"/>
          <w:color w:val="auto"/>
        </w:rPr>
      </w:pPr>
      <w:r>
        <w:rPr>
          <w:rFonts w:ascii="Arial" w:cs="Arial" w:eastAsia="Arial" w:hAnsi="Arial"/>
          <w:sz w:val="16"/>
          <w:szCs w:val="16"/>
          <w:color w:val="auto"/>
        </w:rPr>
        <w:t>Furnished herewith.</w:t>
      </w:r>
    </w:p>
    <w:p>
      <w:pPr>
        <w:spacing w:after="0" w:line="140" w:lineRule="exact"/>
        <w:rPr>
          <w:sz w:val="20"/>
          <w:szCs w:val="20"/>
          <w:color w:val="auto"/>
        </w:rPr>
      </w:pPr>
    </w:p>
    <w:p>
      <w:pPr>
        <w:ind w:left="660" w:right="500" w:hanging="647"/>
        <w:spacing w:after="0" w:line="308" w:lineRule="auto"/>
        <w:rPr>
          <w:sz w:val="20"/>
          <w:szCs w:val="20"/>
          <w:color w:val="auto"/>
        </w:rPr>
      </w:pPr>
      <w:r>
        <w:rPr>
          <w:rFonts w:ascii="Arial" w:cs="Arial" w:eastAsia="Arial" w:hAnsi="Arial"/>
          <w:sz w:val="17"/>
          <w:szCs w:val="17"/>
          <w:color w:val="auto"/>
        </w:rPr>
        <w:t>* Certain confidential portions of this exhibit have been omitted pursuant to an Application for Confidential Treatment under Rule 24b-2 under the Exchange Act. This exhibit, with the omitted language, has been filed separately with the Securities and Exchange Commission.</w:t>
      </w:r>
    </w:p>
    <w:p>
      <w:pPr>
        <w:spacing w:after="0" w:line="38" w:lineRule="exact"/>
        <w:rPr>
          <w:sz w:val="20"/>
          <w:szCs w:val="20"/>
          <w:color w:val="auto"/>
        </w:rPr>
      </w:pPr>
    </w:p>
    <w:p>
      <w:pPr>
        <w:ind w:left="660" w:hanging="652"/>
        <w:spacing w:after="0" w:line="277" w:lineRule="auto"/>
        <w:tabs>
          <w:tab w:leader="none" w:pos="2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schedules have been omitted pursuant to Item 601(b)(2) of Regulation S-K. A copy of any omitted schedule will be furnished supplementally to the SEC upon request.</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4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PLAINS GP HOLDINGS, L.P.</w:t>
      </w:r>
    </w:p>
    <w:p>
      <w:pPr>
        <w:spacing w:after="0" w:line="67"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PAA GP HOLDINGS LLC,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its general partner</w:t>
      </w:r>
    </w:p>
    <w:p>
      <w:pPr>
        <w:spacing w:after="0" w:line="279"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362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Willie Chiang,</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7"/>
          <w:szCs w:val="17"/>
          <w:b w:val="1"/>
          <w:bCs w:val="1"/>
          <w:i w:val="1"/>
          <w:iCs w:val="1"/>
          <w:color w:val="auto"/>
        </w:rPr>
        <w:t>Chairman of the Board and Chief Executive Officer of PAA GP</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Holdings LLC</w:t>
      </w:r>
    </w:p>
    <w:p>
      <w:pPr>
        <w:spacing w:after="0" w:line="49"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33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3629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Al Swanson,</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of PAA GP Holdings LLC</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333" w:lineRule="exact"/>
        <w:rPr>
          <w:sz w:val="20"/>
          <w:szCs w:val="20"/>
          <w:color w:val="auto"/>
        </w:rPr>
      </w:pPr>
    </w:p>
    <w:p>
      <w:pPr>
        <w:ind w:left="5700"/>
        <w:spacing w:after="0"/>
        <w:tabs>
          <w:tab w:leader="none" w:pos="6140" w:val="left"/>
        </w:tabs>
        <w:rPr>
          <w:sz w:val="20"/>
          <w:szCs w:val="20"/>
          <w:color w:val="auto"/>
        </w:rPr>
      </w:pPr>
      <w:r>
        <w:rPr>
          <w:rFonts w:ascii="Arial" w:cs="Arial" w:eastAsia="Arial" w:hAnsi="Arial"/>
          <w:sz w:val="18"/>
          <w:szCs w:val="18"/>
          <w:color w:val="auto"/>
        </w:rPr>
        <w:t>By:</w:t>
        <w:tab/>
        <w:t>/s/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362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53"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Chris Herbold,</w:t>
      </w:r>
    </w:p>
    <w:p>
      <w:pPr>
        <w:spacing w:after="0" w:line="67" w:lineRule="exact"/>
        <w:rPr>
          <w:sz w:val="20"/>
          <w:szCs w:val="20"/>
          <w:color w:val="auto"/>
        </w:rPr>
      </w:pPr>
    </w:p>
    <w:p>
      <w:pPr>
        <w:ind w:left="6160"/>
        <w:spacing w:after="0"/>
        <w:rPr>
          <w:sz w:val="20"/>
          <w:szCs w:val="20"/>
          <w:color w:val="auto"/>
        </w:rPr>
      </w:pPr>
      <w:r>
        <w:rPr>
          <w:rFonts w:ascii="Arial" w:cs="Arial" w:eastAsia="Arial" w:hAnsi="Arial"/>
          <w:sz w:val="17"/>
          <w:szCs w:val="17"/>
          <w:b w:val="1"/>
          <w:bCs w:val="1"/>
          <w:i w:val="1"/>
          <w:iCs w:val="1"/>
          <w:color w:val="auto"/>
        </w:rPr>
        <w:t>Senior Vice President and Chief Accounting Officer of PAA GP</w:t>
      </w:r>
    </w:p>
    <w:p>
      <w:pPr>
        <w:spacing w:after="0" w:line="35"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Holdings LLC</w:t>
      </w:r>
    </w:p>
    <w:p>
      <w:pPr>
        <w:spacing w:after="0" w:line="49" w:lineRule="exact"/>
        <w:rPr>
          <w:sz w:val="20"/>
          <w:szCs w:val="20"/>
          <w:color w:val="auto"/>
        </w:rPr>
      </w:pPr>
    </w:p>
    <w:p>
      <w:pPr>
        <w:ind w:left="616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00" w:type="dxa"/>
            <w:vAlign w:val="bottom"/>
          </w:tcPr>
          <w:p>
            <w:pPr>
              <w:spacing w:after="0"/>
              <w:rPr>
                <w:sz w:val="16"/>
                <w:szCs w:val="16"/>
                <w:color w:val="auto"/>
              </w:rPr>
            </w:pPr>
          </w:p>
        </w:tc>
        <w:tc>
          <w:tcPr>
            <w:tcW w:w="6780" w:type="dxa"/>
            <w:vAlign w:val="bottom"/>
            <w:tcBorders>
              <w:bottom w:val="single" w:sz="8" w:color="auto"/>
            </w:tcBorders>
          </w:tcPr>
          <w:p>
            <w:pPr>
              <w:ind w:left="32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78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31"/>
        </w:trPr>
        <w:tc>
          <w:tcPr>
            <w:tcW w:w="2640" w:type="dxa"/>
            <w:vAlign w:val="bottom"/>
          </w:tcPr>
          <w:p>
            <w:pPr>
              <w:jc w:val="center"/>
              <w:spacing w:after="0"/>
              <w:rPr>
                <w:sz w:val="20"/>
                <w:szCs w:val="20"/>
                <w:color w:val="auto"/>
              </w:rPr>
            </w:pPr>
            <w:r>
              <w:rPr>
                <w:rFonts w:ascii="Arial" w:cs="Arial" w:eastAsia="Arial" w:hAnsi="Arial"/>
                <w:sz w:val="18"/>
                <w:szCs w:val="18"/>
                <w:color w:val="auto"/>
                <w:w w:val="94"/>
              </w:rPr>
              <w:t>/s/ Willie Chiang</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w w:val="99"/>
              </w:rPr>
              <w:t>Chairman of the Board and Chief Executive Officer of PAA GP Holdings LLC (Principal</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6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880" w:type="dxa"/>
            <w:vAlign w:val="bottom"/>
            <w:gridSpan w:val="2"/>
            <w:vMerge w:val="restart"/>
          </w:tcPr>
          <w:p>
            <w:pPr>
              <w:ind w:left="20"/>
              <w:spacing w:after="0"/>
              <w:rPr>
                <w:sz w:val="20"/>
                <w:szCs w:val="20"/>
                <w:color w:val="auto"/>
              </w:rPr>
            </w:pPr>
            <w:r>
              <w:rPr>
                <w:rFonts w:ascii="Arial" w:cs="Arial" w:eastAsia="Arial" w:hAnsi="Arial"/>
                <w:sz w:val="18"/>
                <w:szCs w:val="18"/>
                <w:color w:val="auto"/>
              </w:rPr>
              <w:t>Executive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5"/>
              </w:rPr>
              <w:t>Willie Chiang</w:t>
            </w:r>
          </w:p>
        </w:tc>
        <w:tc>
          <w:tcPr>
            <w:tcW w:w="100" w:type="dxa"/>
            <w:vAlign w:val="bottom"/>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2"/>
              </w:rPr>
              <w:t>/s/ Harry N. Pefanis</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President and Chief Commercial Officer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2"/>
              </w:rPr>
              <w:t>Harry N. Pefanis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640" w:type="dxa"/>
            <w:vAlign w:val="bottom"/>
          </w:tcPr>
          <w:p>
            <w:pPr>
              <w:jc w:val="center"/>
              <w:spacing w:after="0"/>
              <w:rPr>
                <w:sz w:val="20"/>
                <w:szCs w:val="20"/>
                <w:color w:val="auto"/>
              </w:rPr>
            </w:pPr>
            <w:r>
              <w:rPr>
                <w:rFonts w:ascii="Arial" w:cs="Arial" w:eastAsia="Arial" w:hAnsi="Arial"/>
                <w:sz w:val="18"/>
                <w:szCs w:val="18"/>
                <w:color w:val="auto"/>
                <w:w w:val="90"/>
              </w:rPr>
              <w:t>/s/ Al Swanson</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w w:val="97"/>
              </w:rPr>
              <w:t>Executive Vice President and Chief Financial Officer of PAA GP Holdings LLC (Principal</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6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880" w:type="dxa"/>
            <w:vAlign w:val="bottom"/>
            <w:gridSpan w:val="2"/>
            <w:vMerge w:val="restart"/>
          </w:tcPr>
          <w:p>
            <w:pPr>
              <w:ind w:left="20"/>
              <w:spacing w:after="0"/>
              <w:rPr>
                <w:sz w:val="20"/>
                <w:szCs w:val="20"/>
                <w:color w:val="auto"/>
              </w:rPr>
            </w:pPr>
            <w:r>
              <w:rPr>
                <w:rFonts w:ascii="Arial" w:cs="Arial" w:eastAsia="Arial" w:hAnsi="Arial"/>
                <w:sz w:val="18"/>
                <w:szCs w:val="18"/>
                <w:color w:val="auto"/>
              </w:rPr>
              <w:t>Financial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2"/>
              </w:rPr>
              <w:t>Al Swanson</w:t>
            </w:r>
          </w:p>
        </w:tc>
        <w:tc>
          <w:tcPr>
            <w:tcW w:w="100" w:type="dxa"/>
            <w:vAlign w:val="bottom"/>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2"/>
        </w:trPr>
        <w:tc>
          <w:tcPr>
            <w:tcW w:w="2640" w:type="dxa"/>
            <w:vAlign w:val="bottom"/>
          </w:tcPr>
          <w:p>
            <w:pPr>
              <w:jc w:val="center"/>
              <w:spacing w:after="0"/>
              <w:rPr>
                <w:sz w:val="20"/>
                <w:szCs w:val="20"/>
                <w:color w:val="auto"/>
              </w:rPr>
            </w:pPr>
            <w:r>
              <w:rPr>
                <w:rFonts w:ascii="Arial" w:cs="Arial" w:eastAsia="Arial" w:hAnsi="Arial"/>
                <w:sz w:val="18"/>
                <w:szCs w:val="18"/>
                <w:color w:val="auto"/>
                <w:w w:val="92"/>
              </w:rPr>
              <w:t>/s/ Chris Herbold</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w w:val="98"/>
              </w:rPr>
              <w:t>Senior Vice President and Chief Accounting Officer of PAA GP Holdings LLC (Principal</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41"/>
        </w:trPr>
        <w:tc>
          <w:tcPr>
            <w:tcW w:w="26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880" w:type="dxa"/>
            <w:vAlign w:val="bottom"/>
            <w:gridSpan w:val="2"/>
            <w:vMerge w:val="restart"/>
          </w:tcPr>
          <w:p>
            <w:pPr>
              <w:ind w:left="20"/>
              <w:spacing w:after="0"/>
              <w:rPr>
                <w:sz w:val="20"/>
                <w:szCs w:val="20"/>
                <w:color w:val="auto"/>
              </w:rPr>
            </w:pPr>
            <w:r>
              <w:rPr>
                <w:rFonts w:ascii="Arial" w:cs="Arial" w:eastAsia="Arial" w:hAnsi="Arial"/>
                <w:sz w:val="18"/>
                <w:szCs w:val="18"/>
                <w:color w:val="auto"/>
              </w:rPr>
              <w:t>Accounting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640" w:type="dxa"/>
            <w:vAlign w:val="bottom"/>
            <w:vMerge w:val="restart"/>
          </w:tcPr>
          <w:p>
            <w:pPr>
              <w:jc w:val="center"/>
              <w:spacing w:after="0"/>
              <w:rPr>
                <w:sz w:val="20"/>
                <w:szCs w:val="20"/>
                <w:color w:val="auto"/>
              </w:rPr>
            </w:pPr>
            <w:r>
              <w:rPr>
                <w:rFonts w:ascii="Arial" w:cs="Arial" w:eastAsia="Arial" w:hAnsi="Arial"/>
                <w:sz w:val="18"/>
                <w:szCs w:val="18"/>
                <w:color w:val="auto"/>
                <w:w w:val="92"/>
              </w:rPr>
              <w:t>Chris Herbold</w:t>
            </w:r>
          </w:p>
        </w:tc>
        <w:tc>
          <w:tcPr>
            <w:tcW w:w="100" w:type="dxa"/>
            <w:vAlign w:val="bottom"/>
            <w:vMerge w:val="continue"/>
          </w:tcPr>
          <w:p>
            <w:pPr>
              <w:spacing w:after="0"/>
              <w:rPr>
                <w:sz w:val="14"/>
                <w:szCs w:val="14"/>
                <w:color w:val="auto"/>
              </w:rPr>
            </w:pPr>
          </w:p>
        </w:tc>
        <w:tc>
          <w:tcPr>
            <w:tcW w:w="6880" w:type="dxa"/>
            <w:vAlign w:val="bottom"/>
            <w:gridSpan w:val="2"/>
            <w:vMerge w:val="continue"/>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2"/>
              </w:rPr>
              <w:t>/s/ Greg L. Armstrong</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3"/>
              </w:rPr>
              <w:t>Greg L. Armstrong</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4"/>
              </w:rPr>
              <w:t>/s/ Victor Burk</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7"/>
              </w:rPr>
              <w:t>Victor Burk</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88"/>
              </w:rPr>
              <w:t>/s/ Everardo Goyanes</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Everardo Goyanes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88"/>
              </w:rPr>
              <w:t>/s/ Gary R. Petersen</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87"/>
              </w:rPr>
              <w:t>Gary R. Petersen</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0"/>
              </w:rPr>
              <w:t>/s/ Alexandra D. Pruner</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1"/>
              </w:rPr>
              <w:t>Alexandra D. Pruner</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/s/ John T. Raymond</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0"/>
              </w:rPr>
              <w:t>John T. Raymond</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0"/>
              </w:rPr>
              <w:t>/s/ Bobby S. Shackouls</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0"/>
              </w:rPr>
              <w:t>Bobby S. Shackouls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0"/>
              </w:rPr>
              <w:t>/s/ Robert V. Sinnott</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1"/>
              </w:rPr>
              <w:t>Robert V. Sinnott</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89"/>
              </w:rPr>
              <w:t>/s/ J. Taft Symonds</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89"/>
              </w:rPr>
              <w:t>J. Taft Symonds</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40" w:type="dxa"/>
            <w:vAlign w:val="bottom"/>
          </w:tcPr>
          <w:p>
            <w:pPr>
              <w:jc w:val="center"/>
              <w:spacing w:after="0"/>
              <w:rPr>
                <w:sz w:val="20"/>
                <w:szCs w:val="20"/>
                <w:color w:val="auto"/>
              </w:rPr>
            </w:pPr>
            <w:r>
              <w:rPr>
                <w:rFonts w:ascii="Arial" w:cs="Arial" w:eastAsia="Arial" w:hAnsi="Arial"/>
                <w:sz w:val="18"/>
                <w:szCs w:val="18"/>
                <w:color w:val="auto"/>
                <w:w w:val="91"/>
              </w:rPr>
              <w:t>/s/ Christopher M. Temple</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1"/>
              </w:rPr>
              <w:t>Christopher M. Temple</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640" w:type="dxa"/>
            <w:vAlign w:val="bottom"/>
          </w:tcPr>
          <w:p>
            <w:pPr>
              <w:jc w:val="center"/>
              <w:spacing w:after="0"/>
              <w:rPr>
                <w:sz w:val="20"/>
                <w:szCs w:val="20"/>
                <w:color w:val="auto"/>
              </w:rPr>
            </w:pPr>
            <w:r>
              <w:rPr>
                <w:rFonts w:ascii="Arial" w:cs="Arial" w:eastAsia="Arial" w:hAnsi="Arial"/>
                <w:sz w:val="18"/>
                <w:szCs w:val="18"/>
                <w:color w:val="auto"/>
                <w:w w:val="91"/>
              </w:rPr>
              <w:t>/s/ Lawrence M. Ziemba</w:t>
            </w:r>
          </w:p>
        </w:tc>
        <w:tc>
          <w:tcPr>
            <w:tcW w:w="100" w:type="dxa"/>
            <w:vAlign w:val="bottom"/>
          </w:tcPr>
          <w:p>
            <w:pPr>
              <w:spacing w:after="0"/>
              <w:rPr>
                <w:sz w:val="24"/>
                <w:szCs w:val="24"/>
                <w:color w:val="auto"/>
              </w:rPr>
            </w:pPr>
          </w:p>
        </w:tc>
        <w:tc>
          <w:tcPr>
            <w:tcW w:w="6880" w:type="dxa"/>
            <w:vAlign w:val="bottom"/>
            <w:gridSpan w:val="2"/>
          </w:tcPr>
          <w:p>
            <w:pPr>
              <w:ind w:left="20"/>
              <w:spacing w:after="0"/>
              <w:rPr>
                <w:sz w:val="20"/>
                <w:szCs w:val="20"/>
                <w:color w:val="auto"/>
              </w:rPr>
            </w:pPr>
            <w:r>
              <w:rPr>
                <w:rFonts w:ascii="Arial" w:cs="Arial" w:eastAsia="Arial" w:hAnsi="Arial"/>
                <w:sz w:val="18"/>
                <w:szCs w:val="18"/>
                <w:color w:val="auto"/>
              </w:rPr>
              <w:t>Director of PAA GP Holdings LLC</w:t>
            </w:r>
          </w:p>
        </w:tc>
        <w:tc>
          <w:tcPr>
            <w:tcW w:w="1780" w:type="dxa"/>
            <w:vAlign w:val="bottom"/>
          </w:tcPr>
          <w:p>
            <w:pPr>
              <w:ind w:left="20"/>
              <w:spacing w:after="0"/>
              <w:rPr>
                <w:sz w:val="20"/>
                <w:szCs w:val="20"/>
                <w:color w:val="auto"/>
              </w:rPr>
            </w:pPr>
            <w:r>
              <w:rPr>
                <w:rFonts w:ascii="Arial" w:cs="Arial" w:eastAsia="Arial" w:hAnsi="Arial"/>
                <w:sz w:val="18"/>
                <w:szCs w:val="18"/>
                <w:color w:val="auto"/>
              </w:rPr>
              <w:t>February 27, 2020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640" w:type="dxa"/>
            <w:vAlign w:val="bottom"/>
          </w:tcPr>
          <w:p>
            <w:pPr>
              <w:jc w:val="center"/>
              <w:spacing w:after="0"/>
              <w:rPr>
                <w:sz w:val="20"/>
                <w:szCs w:val="20"/>
                <w:color w:val="auto"/>
              </w:rPr>
            </w:pPr>
            <w:r>
              <w:rPr>
                <w:rFonts w:ascii="Arial" w:cs="Arial" w:eastAsia="Arial" w:hAnsi="Arial"/>
                <w:sz w:val="18"/>
                <w:szCs w:val="18"/>
                <w:color w:val="auto"/>
                <w:w w:val="92"/>
              </w:rPr>
              <w:t>Lawrence M. Ziemba</w:t>
            </w:r>
          </w:p>
        </w:tc>
        <w:tc>
          <w:tcPr>
            <w:tcW w:w="1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380" w:type="dxa"/>
            <w:vAlign w:val="bottom"/>
            <w:gridSpan w:val="32"/>
          </w:tcPr>
          <w:p>
            <w:pPr>
              <w:spacing w:after="0"/>
              <w:rPr>
                <w:sz w:val="20"/>
                <w:szCs w:val="20"/>
                <w:color w:val="auto"/>
              </w:rPr>
            </w:pPr>
            <w:r>
              <w:rPr>
                <w:rFonts w:ascii="Arial" w:cs="Arial" w:eastAsia="Arial" w:hAnsi="Arial"/>
                <w:sz w:val="18"/>
                <w:szCs w:val="18"/>
                <w:color w:val="auto"/>
              </w:rPr>
              <w:t>Consolidated Financial Statements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900" w:type="dxa"/>
            <w:vAlign w:val="bottom"/>
            <w:tcBorders>
              <w:bottom w:val="single" w:sz="8" w:color="0000FF"/>
            </w:tcBorders>
            <w:gridSpan w:val="25"/>
          </w:tcPr>
          <w:p>
            <w:pPr>
              <w:spacing w:after="0" w:line="190" w:lineRule="exact"/>
              <w:rPr>
                <w:rFonts w:ascii="Arial" w:cs="Arial" w:eastAsia="Arial" w:hAnsi="Arial"/>
                <w:sz w:val="18"/>
                <w:szCs w:val="18"/>
                <w:color w:val="0000FF"/>
                <w:w w:val="91"/>
              </w:rPr>
            </w:pPr>
            <w:hyperlink w:anchor="page124">
              <w:r>
                <w:rPr>
                  <w:rFonts w:ascii="Arial" w:cs="Arial" w:eastAsia="Arial" w:hAnsi="Arial"/>
                  <w:sz w:val="18"/>
                  <w:szCs w:val="18"/>
                  <w:color w:val="0000FF"/>
                  <w:w w:val="91"/>
                </w:rPr>
                <w:t>Management’s Report on Internal Control Over Financial Reporting</w:t>
              </w:r>
            </w:hyperlink>
          </w:p>
        </w:tc>
        <w:tc>
          <w:tcPr>
            <w:tcW w:w="5140" w:type="dxa"/>
            <w:vAlign w:val="bottom"/>
            <w:gridSpan w:val="6"/>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Borders>
              <w:bottom w:val="single" w:sz="8" w:color="0000FF"/>
            </w:tcBorders>
          </w:tcPr>
          <w:p>
            <w:pPr>
              <w:jc w:val="right"/>
              <w:spacing w:after="0" w:line="190" w:lineRule="exact"/>
              <w:rPr>
                <w:rFonts w:ascii="Arial" w:cs="Arial" w:eastAsia="Arial" w:hAnsi="Arial"/>
                <w:sz w:val="18"/>
                <w:szCs w:val="18"/>
                <w:color w:val="0000FF"/>
                <w:w w:val="88"/>
              </w:rPr>
            </w:pPr>
            <w:hyperlink w:anchor="page124">
              <w:r>
                <w:rPr>
                  <w:rFonts w:ascii="Arial" w:cs="Arial" w:eastAsia="Arial" w:hAnsi="Arial"/>
                  <w:sz w:val="18"/>
                  <w:szCs w:val="18"/>
                  <w:color w:val="0000FF"/>
                  <w:w w:val="88"/>
                </w:rPr>
                <w:t>F-2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Report of Independent Registered Public Accounting Firm</w:t>
              </w:r>
            </w:hyperlink>
          </w:p>
        </w:tc>
        <w:tc>
          <w:tcPr>
            <w:tcW w:w="72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8"/>
                <w:szCs w:val="18"/>
                <w:color w:val="0000FF"/>
                <w:w w:val="88"/>
              </w:rPr>
            </w:pPr>
            <w:hyperlink w:anchor="page125">
              <w:r>
                <w:rPr>
                  <w:rFonts w:ascii="Arial" w:cs="Arial" w:eastAsia="Arial" w:hAnsi="Arial"/>
                  <w:sz w:val="18"/>
                  <w:szCs w:val="18"/>
                  <w:color w:val="0000FF"/>
                  <w:w w:val="88"/>
                </w:rPr>
                <w:t>F-3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640" w:type="dxa"/>
            <w:vAlign w:val="bottom"/>
            <w:tcBorders>
              <w:bottom w:val="single" w:sz="8" w:color="0000FF"/>
            </w:tcBorders>
            <w:gridSpan w:val="24"/>
          </w:tcPr>
          <w:p>
            <w:pPr>
              <w:spacing w:after="0"/>
              <w:rPr>
                <w:rFonts w:ascii="Arial" w:cs="Arial" w:eastAsia="Arial" w:hAnsi="Arial"/>
                <w:sz w:val="18"/>
                <w:szCs w:val="18"/>
                <w:color w:val="0000FF"/>
                <w:w w:val="88"/>
              </w:rPr>
            </w:pPr>
            <w:hyperlink w:anchor="page129">
              <w:r>
                <w:rPr>
                  <w:rFonts w:ascii="Arial" w:cs="Arial" w:eastAsia="Arial" w:hAnsi="Arial"/>
                  <w:sz w:val="18"/>
                  <w:szCs w:val="18"/>
                  <w:color w:val="0000FF"/>
                  <w:w w:val="88"/>
                </w:rPr>
                <w:t>Consolidated Balance Sheets as of December 31, 2019 and 2018</w:t>
              </w:r>
            </w:hyperlink>
          </w:p>
        </w:tc>
        <w:tc>
          <w:tcPr>
            <w:tcW w:w="5400" w:type="dxa"/>
            <w:vAlign w:val="bottom"/>
            <w:gridSpan w:val="7"/>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29">
              <w:r>
                <w:rPr>
                  <w:rFonts w:ascii="Arial" w:cs="Arial" w:eastAsia="Arial" w:hAnsi="Arial"/>
                  <w:sz w:val="18"/>
                  <w:szCs w:val="18"/>
                  <w:color w:val="0000FF"/>
                  <w:w w:val="88"/>
                </w:rPr>
                <w:t>F-6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Consolidated Statements of Operations for the years ended December 31, 2019, 2018 and 2017</w:t>
              </w:r>
            </w:hyperlink>
          </w:p>
        </w:tc>
        <w:tc>
          <w:tcPr>
            <w:tcW w:w="72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8"/>
                <w:szCs w:val="18"/>
                <w:color w:val="0000FF"/>
                <w:w w:val="88"/>
              </w:rPr>
            </w:pPr>
            <w:hyperlink w:anchor="page129">
              <w:r>
                <w:rPr>
                  <w:rFonts w:ascii="Arial" w:cs="Arial" w:eastAsia="Arial" w:hAnsi="Arial"/>
                  <w:sz w:val="18"/>
                  <w:szCs w:val="18"/>
                  <w:color w:val="0000FF"/>
                  <w:w w:val="88"/>
                </w:rPr>
                <w:t>F-7</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Consolidated Statements of Comprehensive Income for the years ended December 31, 2019, 2018 and 2017</w:t>
              </w:r>
            </w:hyperlink>
          </w:p>
        </w:tc>
        <w:tc>
          <w:tcPr>
            <w:tcW w:w="72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8"/>
                <w:szCs w:val="18"/>
                <w:color w:val="0000FF"/>
                <w:w w:val="88"/>
              </w:rPr>
            </w:pPr>
            <w:hyperlink w:anchor="page130">
              <w:r>
                <w:rPr>
                  <w:rFonts w:ascii="Arial" w:cs="Arial" w:eastAsia="Arial" w:hAnsi="Arial"/>
                  <w:sz w:val="18"/>
                  <w:szCs w:val="18"/>
                  <w:color w:val="0000FF"/>
                  <w:w w:val="88"/>
                </w:rPr>
                <w:t>F-8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040" w:type="dxa"/>
            <w:vAlign w:val="bottom"/>
            <w:gridSpan w:val="31"/>
          </w:tcPr>
          <w:p>
            <w:pPr>
              <w:spacing w:after="0"/>
              <w:rPr>
                <w:rFonts w:ascii="Arial" w:cs="Arial" w:eastAsia="Arial" w:hAnsi="Arial"/>
                <w:sz w:val="18"/>
                <w:szCs w:val="18"/>
                <w:color w:val="0000FF"/>
                <w:w w:val="91"/>
              </w:rPr>
            </w:pPr>
            <w:hyperlink w:anchor="page131">
              <w:r>
                <w:rPr>
                  <w:rFonts w:ascii="Arial" w:cs="Arial" w:eastAsia="Arial" w:hAnsi="Arial"/>
                  <w:sz w:val="18"/>
                  <w:szCs w:val="18"/>
                  <w:color w:val="0000FF"/>
                  <w:w w:val="91"/>
                </w:rPr>
                <w:t>Consolidated Statements of Changes in Accumulated Other Comprehensive Income/(Loss) for the years ended December 31, 2019, 2018</w:t>
              </w:r>
            </w:hyperlink>
          </w:p>
        </w:tc>
        <w:tc>
          <w:tcPr>
            <w:tcW w:w="720" w:type="dxa"/>
            <w:vAlign w:val="bottom"/>
          </w:tcPr>
          <w:p>
            <w:pPr>
              <w:spacing w:after="0"/>
              <w:rPr>
                <w:sz w:val="18"/>
                <w:szCs w:val="18"/>
                <w:color w:val="auto"/>
              </w:rPr>
            </w:pPr>
          </w:p>
        </w:tc>
        <w:tc>
          <w:tcPr>
            <w:tcW w:w="260" w:type="dxa"/>
            <w:vAlign w:val="bottom"/>
            <w:vMerge w:val="restart"/>
          </w:tcPr>
          <w:p>
            <w:pPr>
              <w:jc w:val="right"/>
              <w:spacing w:after="0"/>
              <w:rPr>
                <w:rFonts w:ascii="Arial" w:cs="Arial" w:eastAsia="Arial" w:hAnsi="Arial"/>
                <w:sz w:val="18"/>
                <w:szCs w:val="18"/>
                <w:color w:val="0000FF"/>
                <w:w w:val="88"/>
              </w:rPr>
            </w:pPr>
            <w:hyperlink w:anchor="page131">
              <w:r>
                <w:rPr>
                  <w:rFonts w:ascii="Arial" w:cs="Arial" w:eastAsia="Arial" w:hAnsi="Arial"/>
                  <w:sz w:val="18"/>
                  <w:szCs w:val="18"/>
                  <w:color w:val="0000FF"/>
                  <w:w w:val="88"/>
                </w:rPr>
                <w:t>F-8</w:t>
              </w:r>
            </w:hyperlink>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6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5"/>
              </w:rPr>
            </w:pPr>
            <w:hyperlink w:anchor="page131">
              <w:r>
                <w:rPr>
                  <w:rFonts w:ascii="Arial" w:cs="Arial" w:eastAsia="Arial" w:hAnsi="Arial"/>
                  <w:sz w:val="18"/>
                  <w:szCs w:val="18"/>
                  <w:color w:val="0000FF"/>
                  <w:w w:val="85"/>
                </w:rPr>
                <w:t>and 2017</w:t>
              </w:r>
            </w:hyperlink>
          </w:p>
        </w:tc>
        <w:tc>
          <w:tcPr>
            <w:tcW w:w="9220" w:type="dxa"/>
            <w:vAlign w:val="bottom"/>
            <w:tcBorders>
              <w:top w:val="single" w:sz="8" w:color="0000FF"/>
            </w:tcBorders>
            <w:gridSpan w:val="26"/>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900" w:type="dxa"/>
            <w:vAlign w:val="bottom"/>
            <w:tcBorders>
              <w:bottom w:val="single" w:sz="8" w:color="0000FF"/>
            </w:tcBorders>
            <w:gridSpan w:val="27"/>
          </w:tcPr>
          <w:p>
            <w:pPr>
              <w:spacing w:after="0"/>
              <w:rPr>
                <w:rFonts w:ascii="Arial" w:cs="Arial" w:eastAsia="Arial" w:hAnsi="Arial"/>
                <w:sz w:val="18"/>
                <w:szCs w:val="18"/>
                <w:color w:val="0000FF"/>
                <w:w w:val="88"/>
              </w:rPr>
            </w:pPr>
            <w:hyperlink w:anchor="page131">
              <w:r>
                <w:rPr>
                  <w:rFonts w:ascii="Arial" w:cs="Arial" w:eastAsia="Arial" w:hAnsi="Arial"/>
                  <w:sz w:val="18"/>
                  <w:szCs w:val="18"/>
                  <w:color w:val="0000FF"/>
                  <w:w w:val="88"/>
                </w:rPr>
                <w:t>Consolidated Statements of Cash Flows for the years ended December 31, 2019, 2018 and 2017</w:t>
              </w:r>
            </w:hyperlink>
          </w:p>
        </w:tc>
        <w:tc>
          <w:tcPr>
            <w:tcW w:w="3140" w:type="dxa"/>
            <w:vAlign w:val="bottom"/>
            <w:gridSpan w:val="4"/>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bottom w:val="single" w:sz="8" w:color="0000FF"/>
            </w:tcBorders>
          </w:tcPr>
          <w:p>
            <w:pPr>
              <w:jc w:val="right"/>
              <w:spacing w:after="0"/>
              <w:rPr>
                <w:rFonts w:ascii="Arial" w:cs="Arial" w:eastAsia="Arial" w:hAnsi="Arial"/>
                <w:sz w:val="18"/>
                <w:szCs w:val="18"/>
                <w:color w:val="0000FF"/>
                <w:w w:val="88"/>
              </w:rPr>
            </w:pPr>
            <w:hyperlink w:anchor="page131">
              <w:r>
                <w:rPr>
                  <w:rFonts w:ascii="Arial" w:cs="Arial" w:eastAsia="Arial" w:hAnsi="Arial"/>
                  <w:sz w:val="18"/>
                  <w:szCs w:val="18"/>
                  <w:color w:val="0000FF"/>
                  <w:w w:val="88"/>
                </w:rPr>
                <w:t>F-9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120" w:type="dxa"/>
            <w:vAlign w:val="bottom"/>
            <w:gridSpan w:val="29"/>
          </w:tcPr>
          <w:p>
            <w:pPr>
              <w:spacing w:after="0"/>
              <w:rPr>
                <w:rFonts w:ascii="Arial" w:cs="Arial" w:eastAsia="Arial" w:hAnsi="Arial"/>
                <w:sz w:val="18"/>
                <w:szCs w:val="18"/>
                <w:color w:val="0000FF"/>
                <w:w w:val="89"/>
              </w:rPr>
            </w:pPr>
            <w:hyperlink w:anchor="page132">
              <w:r>
                <w:rPr>
                  <w:rFonts w:ascii="Arial" w:cs="Arial" w:eastAsia="Arial" w:hAnsi="Arial"/>
                  <w:sz w:val="18"/>
                  <w:szCs w:val="18"/>
                  <w:color w:val="0000FF"/>
                  <w:w w:val="89"/>
                </w:rPr>
                <w:t>Consolidated Statements of Changes in Partners’ Capital for the years ended December 31, 2019, 2018 and 2017</w:t>
              </w:r>
            </w:hyperlink>
          </w:p>
        </w:tc>
        <w:tc>
          <w:tcPr>
            <w:tcW w:w="1920" w:type="dxa"/>
            <w:vAlign w:val="bottom"/>
            <w:gridSpan w:val="2"/>
          </w:tcPr>
          <w:p>
            <w:pPr>
              <w:spacing w:after="0"/>
              <w:rPr>
                <w:sz w:val="18"/>
                <w:szCs w:val="18"/>
                <w:color w:val="auto"/>
              </w:rPr>
            </w:pPr>
          </w:p>
        </w:tc>
        <w:tc>
          <w:tcPr>
            <w:tcW w:w="1000" w:type="dxa"/>
            <w:vAlign w:val="bottom"/>
            <w:gridSpan w:val="3"/>
          </w:tcPr>
          <w:p>
            <w:pPr>
              <w:jc w:val="right"/>
              <w:ind w:right="20"/>
              <w:spacing w:after="0"/>
              <w:rPr>
                <w:rFonts w:ascii="Arial" w:cs="Arial" w:eastAsia="Arial" w:hAnsi="Arial"/>
                <w:sz w:val="18"/>
                <w:szCs w:val="18"/>
                <w:color w:val="0000FF"/>
              </w:rPr>
            </w:pPr>
            <w:hyperlink w:anchor="page132">
              <w:r>
                <w:rPr>
                  <w:rFonts w:ascii="Arial" w:cs="Arial" w:eastAsia="Arial" w:hAnsi="Arial"/>
                  <w:sz w:val="18"/>
                  <w:szCs w:val="18"/>
                  <w:color w:val="0000FF"/>
                </w:rPr>
                <w:t>F-10</w:t>
              </w:r>
            </w:hyperlink>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60" w:type="dxa"/>
            <w:vAlign w:val="bottom"/>
            <w:tcBorders>
              <w:top w:val="single" w:sz="8" w:color="0000FF"/>
            </w:tcBorders>
            <w:gridSpan w:val="18"/>
          </w:tcPr>
          <w:p>
            <w:pPr>
              <w:spacing w:after="0"/>
              <w:rPr>
                <w:rFonts w:ascii="Arial" w:cs="Arial" w:eastAsia="Arial" w:hAnsi="Arial"/>
                <w:sz w:val="18"/>
                <w:szCs w:val="18"/>
                <w:color w:val="0000FF"/>
                <w:w w:val="89"/>
              </w:rPr>
            </w:pPr>
            <w:hyperlink w:anchor="page133">
              <w:r>
                <w:rPr>
                  <w:rFonts w:ascii="Arial" w:cs="Arial" w:eastAsia="Arial" w:hAnsi="Arial"/>
                  <w:sz w:val="18"/>
                  <w:szCs w:val="18"/>
                  <w:color w:val="0000FF"/>
                  <w:w w:val="89"/>
                </w:rPr>
                <w:t>Notes to the Consolidated Financial Statements:</w:t>
              </w:r>
            </w:hyperlink>
          </w:p>
        </w:tc>
        <w:tc>
          <w:tcPr>
            <w:tcW w:w="4660" w:type="dxa"/>
            <w:vAlign w:val="bottom"/>
            <w:tcBorders>
              <w:top w:val="single" w:sz="8" w:color="0000FF"/>
            </w:tcBorders>
            <w:gridSpan w:val="11"/>
          </w:tcPr>
          <w:p>
            <w:pPr>
              <w:spacing w:after="0"/>
              <w:rPr>
                <w:sz w:val="18"/>
                <w:szCs w:val="18"/>
                <w:color w:val="auto"/>
              </w:rPr>
            </w:pPr>
          </w:p>
        </w:tc>
        <w:tc>
          <w:tcPr>
            <w:tcW w:w="192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0000FF"/>
            </w:tcBorders>
          </w:tcPr>
          <w:p>
            <w:pPr>
              <w:jc w:val="right"/>
              <w:spacing w:after="0"/>
              <w:rPr>
                <w:rFonts w:ascii="Arial" w:cs="Arial" w:eastAsia="Arial" w:hAnsi="Arial"/>
                <w:sz w:val="16"/>
                <w:szCs w:val="16"/>
                <w:color w:val="0000FF"/>
                <w:w w:val="72"/>
              </w:rPr>
            </w:pPr>
            <w:hyperlink w:anchor="page133">
              <w:r>
                <w:rPr>
                  <w:rFonts w:ascii="Arial" w:cs="Arial" w:eastAsia="Arial" w:hAnsi="Arial"/>
                  <w:sz w:val="16"/>
                  <w:szCs w:val="16"/>
                  <w:color w:val="0000FF"/>
                  <w:w w:val="72"/>
                </w:rPr>
                <w:t>F-11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60" w:type="dxa"/>
            <w:vAlign w:val="bottom"/>
            <w:gridSpan w:val="2"/>
          </w:tcPr>
          <w:p>
            <w:pPr>
              <w:ind w:left="120"/>
              <w:spacing w:after="0"/>
              <w:rPr>
                <w:rFonts w:ascii="Arial" w:cs="Arial" w:eastAsia="Arial" w:hAnsi="Arial"/>
                <w:sz w:val="18"/>
                <w:szCs w:val="18"/>
                <w:color w:val="0000FF"/>
                <w:w w:val="79"/>
              </w:rPr>
            </w:pPr>
            <w:hyperlink w:anchor="page134">
              <w:r>
                <w:rPr>
                  <w:rFonts w:ascii="Arial" w:cs="Arial" w:eastAsia="Arial" w:hAnsi="Arial"/>
                  <w:sz w:val="18"/>
                  <w:szCs w:val="18"/>
                  <w:color w:val="0000FF"/>
                  <w:w w:val="79"/>
                </w:rPr>
                <w:t>1.</w:t>
              </w:r>
            </w:hyperlink>
          </w:p>
        </w:tc>
        <w:tc>
          <w:tcPr>
            <w:tcW w:w="9780" w:type="dxa"/>
            <w:vAlign w:val="bottom"/>
            <w:gridSpan w:val="29"/>
          </w:tcPr>
          <w:p>
            <w:pPr>
              <w:ind w:left="40"/>
              <w:spacing w:after="0"/>
              <w:rPr>
                <w:rFonts w:ascii="Arial" w:cs="Arial" w:eastAsia="Arial" w:hAnsi="Arial"/>
                <w:sz w:val="18"/>
                <w:szCs w:val="18"/>
                <w:color w:val="0000FF"/>
              </w:rPr>
            </w:pPr>
            <w:hyperlink w:anchor="page134">
              <w:r>
                <w:rPr>
                  <w:rFonts w:ascii="Arial" w:cs="Arial" w:eastAsia="Arial" w:hAnsi="Arial"/>
                  <w:sz w:val="18"/>
                  <w:szCs w:val="18"/>
                  <w:color w:val="0000FF"/>
                </w:rPr>
                <w:t>Organization and Basis of Consolidation and Presentation</w:t>
              </w:r>
            </w:hyperlink>
          </w:p>
        </w:tc>
        <w:tc>
          <w:tcPr>
            <w:tcW w:w="720" w:type="dxa"/>
            <w:vAlign w:val="bottom"/>
          </w:tcPr>
          <w:p>
            <w:pPr>
              <w:spacing w:after="0"/>
              <w:rPr>
                <w:sz w:val="18"/>
                <w:szCs w:val="18"/>
                <w:color w:val="auto"/>
              </w:rPr>
            </w:pPr>
          </w:p>
        </w:tc>
        <w:tc>
          <w:tcPr>
            <w:tcW w:w="280" w:type="dxa"/>
            <w:vAlign w:val="bottom"/>
            <w:gridSpan w:val="2"/>
          </w:tcPr>
          <w:p>
            <w:pPr>
              <w:jc w:val="right"/>
              <w:ind w:right="20"/>
              <w:spacing w:after="0"/>
              <w:rPr>
                <w:rFonts w:ascii="Arial" w:cs="Arial" w:eastAsia="Arial" w:hAnsi="Arial"/>
                <w:sz w:val="16"/>
                <w:szCs w:val="16"/>
                <w:color w:val="0000FF"/>
                <w:w w:val="72"/>
              </w:rPr>
            </w:pPr>
            <w:hyperlink w:anchor="page134">
              <w:r>
                <w:rPr>
                  <w:rFonts w:ascii="Arial" w:cs="Arial" w:eastAsia="Arial" w:hAnsi="Arial"/>
                  <w:sz w:val="16"/>
                  <w:szCs w:val="16"/>
                  <w:color w:val="0000FF"/>
                  <w:w w:val="72"/>
                </w:rPr>
                <w:t>F-11</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36">
              <w:r>
                <w:rPr>
                  <w:rFonts w:ascii="Arial" w:cs="Arial" w:eastAsia="Arial" w:hAnsi="Arial"/>
                  <w:sz w:val="18"/>
                  <w:szCs w:val="18"/>
                  <w:color w:val="0000FF"/>
                  <w:w w:val="79"/>
                </w:rPr>
                <w:t>2.</w:t>
              </w:r>
            </w:hyperlink>
          </w:p>
        </w:tc>
        <w:tc>
          <w:tcPr>
            <w:tcW w:w="9780" w:type="dxa"/>
            <w:vAlign w:val="bottom"/>
            <w:gridSpan w:val="29"/>
          </w:tcPr>
          <w:p>
            <w:pPr>
              <w:ind w:left="40"/>
              <w:spacing w:after="0"/>
              <w:rPr>
                <w:rFonts w:ascii="Arial" w:cs="Arial" w:eastAsia="Arial" w:hAnsi="Arial"/>
                <w:sz w:val="18"/>
                <w:szCs w:val="18"/>
                <w:color w:val="0000FF"/>
              </w:rPr>
            </w:pPr>
            <w:hyperlink w:anchor="page136">
              <w:r>
                <w:rPr>
                  <w:rFonts w:ascii="Arial" w:cs="Arial" w:eastAsia="Arial" w:hAnsi="Arial"/>
                  <w:sz w:val="18"/>
                  <w:szCs w:val="18"/>
                  <w:color w:val="0000FF"/>
                </w:rPr>
                <w:t>Summary of Significant Accounting Policies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36">
              <w:r>
                <w:rPr>
                  <w:rFonts w:ascii="Arial" w:cs="Arial" w:eastAsia="Arial" w:hAnsi="Arial"/>
                  <w:sz w:val="18"/>
                  <w:szCs w:val="18"/>
                  <w:color w:val="0000FF"/>
                </w:rPr>
                <w:t>F-13</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40">
              <w:r>
                <w:rPr>
                  <w:rFonts w:ascii="Arial" w:cs="Arial" w:eastAsia="Arial" w:hAnsi="Arial"/>
                  <w:sz w:val="18"/>
                  <w:szCs w:val="18"/>
                  <w:color w:val="0000FF"/>
                  <w:w w:val="79"/>
                </w:rPr>
                <w:t>3.</w:t>
              </w:r>
            </w:hyperlink>
          </w:p>
        </w:tc>
        <w:tc>
          <w:tcPr>
            <w:tcW w:w="9780" w:type="dxa"/>
            <w:vAlign w:val="bottom"/>
            <w:gridSpan w:val="29"/>
          </w:tcPr>
          <w:p>
            <w:pPr>
              <w:ind w:left="40"/>
              <w:spacing w:after="0"/>
              <w:rPr>
                <w:rFonts w:ascii="Arial" w:cs="Arial" w:eastAsia="Arial" w:hAnsi="Arial"/>
                <w:sz w:val="18"/>
                <w:szCs w:val="18"/>
                <w:color w:val="0000FF"/>
              </w:rPr>
            </w:pPr>
            <w:hyperlink w:anchor="page140">
              <w:r>
                <w:rPr>
                  <w:rFonts w:ascii="Arial" w:cs="Arial" w:eastAsia="Arial" w:hAnsi="Arial"/>
                  <w:sz w:val="18"/>
                  <w:szCs w:val="18"/>
                  <w:color w:val="0000FF"/>
                </w:rPr>
                <w:t>Revenues and Accounts Receivable</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40">
              <w:r>
                <w:rPr>
                  <w:rFonts w:ascii="Arial" w:cs="Arial" w:eastAsia="Arial" w:hAnsi="Arial"/>
                  <w:sz w:val="18"/>
                  <w:szCs w:val="18"/>
                  <w:color w:val="0000FF"/>
                </w:rPr>
                <w:t>F-17</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580" w:type="dxa"/>
            <w:vAlign w:val="bottom"/>
            <w:gridSpan w:val="8"/>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45">
              <w:r>
                <w:rPr>
                  <w:rFonts w:ascii="Arial" w:cs="Arial" w:eastAsia="Arial" w:hAnsi="Arial"/>
                  <w:sz w:val="18"/>
                  <w:szCs w:val="18"/>
                  <w:color w:val="0000FF"/>
                  <w:w w:val="79"/>
                </w:rPr>
                <w:t>4.</w:t>
              </w:r>
            </w:hyperlink>
          </w:p>
        </w:tc>
        <w:tc>
          <w:tcPr>
            <w:tcW w:w="9780" w:type="dxa"/>
            <w:vAlign w:val="bottom"/>
            <w:gridSpan w:val="29"/>
          </w:tcPr>
          <w:p>
            <w:pPr>
              <w:ind w:left="40"/>
              <w:spacing w:after="0"/>
              <w:rPr>
                <w:rFonts w:ascii="Arial" w:cs="Arial" w:eastAsia="Arial" w:hAnsi="Arial"/>
                <w:sz w:val="18"/>
                <w:szCs w:val="18"/>
                <w:color w:val="0000FF"/>
              </w:rPr>
            </w:pPr>
            <w:hyperlink w:anchor="page145">
              <w:r>
                <w:rPr>
                  <w:rFonts w:ascii="Arial" w:cs="Arial" w:eastAsia="Arial" w:hAnsi="Arial"/>
                  <w:sz w:val="18"/>
                  <w:szCs w:val="18"/>
                  <w:color w:val="0000FF"/>
                </w:rPr>
                <w:t>Net Income/(Loss) Per Class A Share</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45">
              <w:r>
                <w:rPr>
                  <w:rFonts w:ascii="Arial" w:cs="Arial" w:eastAsia="Arial" w:hAnsi="Arial"/>
                  <w:sz w:val="18"/>
                  <w:szCs w:val="18"/>
                  <w:color w:val="0000FF"/>
                </w:rPr>
                <w:t>F-22</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46">
              <w:r>
                <w:rPr>
                  <w:rFonts w:ascii="Arial" w:cs="Arial" w:eastAsia="Arial" w:hAnsi="Arial"/>
                  <w:sz w:val="18"/>
                  <w:szCs w:val="18"/>
                  <w:color w:val="0000FF"/>
                  <w:w w:val="79"/>
                </w:rPr>
                <w:t>5.</w:t>
              </w:r>
            </w:hyperlink>
          </w:p>
        </w:tc>
        <w:tc>
          <w:tcPr>
            <w:tcW w:w="9780" w:type="dxa"/>
            <w:vAlign w:val="bottom"/>
            <w:gridSpan w:val="29"/>
          </w:tcPr>
          <w:p>
            <w:pPr>
              <w:ind w:left="40"/>
              <w:spacing w:after="0"/>
              <w:rPr>
                <w:rFonts w:ascii="Arial" w:cs="Arial" w:eastAsia="Arial" w:hAnsi="Arial"/>
                <w:sz w:val="18"/>
                <w:szCs w:val="18"/>
                <w:color w:val="0000FF"/>
              </w:rPr>
            </w:pPr>
            <w:hyperlink w:anchor="page146">
              <w:r>
                <w:rPr>
                  <w:rFonts w:ascii="Arial" w:cs="Arial" w:eastAsia="Arial" w:hAnsi="Arial"/>
                  <w:sz w:val="18"/>
                  <w:szCs w:val="18"/>
                  <w:color w:val="0000FF"/>
                </w:rPr>
                <w:t>Inventory, Linefill and Base Gas and Long-term Inventory</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46">
              <w:r>
                <w:rPr>
                  <w:rFonts w:ascii="Arial" w:cs="Arial" w:eastAsia="Arial" w:hAnsi="Arial"/>
                  <w:sz w:val="18"/>
                  <w:szCs w:val="18"/>
                  <w:color w:val="0000FF"/>
                </w:rPr>
                <w:t>F-23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47">
              <w:r>
                <w:rPr>
                  <w:rFonts w:ascii="Arial" w:cs="Arial" w:eastAsia="Arial" w:hAnsi="Arial"/>
                  <w:sz w:val="18"/>
                  <w:szCs w:val="18"/>
                  <w:color w:val="0000FF"/>
                  <w:w w:val="79"/>
                </w:rPr>
                <w:t>6.</w:t>
              </w:r>
            </w:hyperlink>
          </w:p>
        </w:tc>
        <w:tc>
          <w:tcPr>
            <w:tcW w:w="9780" w:type="dxa"/>
            <w:vAlign w:val="bottom"/>
            <w:gridSpan w:val="29"/>
          </w:tcPr>
          <w:p>
            <w:pPr>
              <w:ind w:left="40"/>
              <w:spacing w:after="0"/>
              <w:rPr>
                <w:rFonts w:ascii="Arial" w:cs="Arial" w:eastAsia="Arial" w:hAnsi="Arial"/>
                <w:sz w:val="18"/>
                <w:szCs w:val="18"/>
                <w:color w:val="0000FF"/>
              </w:rPr>
            </w:pPr>
            <w:hyperlink w:anchor="page147">
              <w:r>
                <w:rPr>
                  <w:rFonts w:ascii="Arial" w:cs="Arial" w:eastAsia="Arial" w:hAnsi="Arial"/>
                  <w:sz w:val="18"/>
                  <w:szCs w:val="18"/>
                  <w:color w:val="0000FF"/>
                </w:rPr>
                <w:t>Property and Equipment</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47">
              <w:r>
                <w:rPr>
                  <w:rFonts w:ascii="Arial" w:cs="Arial" w:eastAsia="Arial" w:hAnsi="Arial"/>
                  <w:sz w:val="18"/>
                  <w:szCs w:val="18"/>
                  <w:color w:val="0000FF"/>
                </w:rPr>
                <w:t>F-24</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49">
              <w:r>
                <w:rPr>
                  <w:rFonts w:ascii="Arial" w:cs="Arial" w:eastAsia="Arial" w:hAnsi="Arial"/>
                  <w:sz w:val="18"/>
                  <w:szCs w:val="18"/>
                  <w:color w:val="0000FF"/>
                  <w:w w:val="79"/>
                </w:rPr>
                <w:t>7.</w:t>
              </w:r>
            </w:hyperlink>
          </w:p>
        </w:tc>
        <w:tc>
          <w:tcPr>
            <w:tcW w:w="9780" w:type="dxa"/>
            <w:vAlign w:val="bottom"/>
            <w:gridSpan w:val="29"/>
          </w:tcPr>
          <w:p>
            <w:pPr>
              <w:ind w:left="40"/>
              <w:spacing w:after="0"/>
              <w:rPr>
                <w:rFonts w:ascii="Arial" w:cs="Arial" w:eastAsia="Arial" w:hAnsi="Arial"/>
                <w:sz w:val="18"/>
                <w:szCs w:val="18"/>
                <w:color w:val="0000FF"/>
              </w:rPr>
            </w:pPr>
            <w:hyperlink w:anchor="page149">
              <w:r>
                <w:rPr>
                  <w:rFonts w:ascii="Arial" w:cs="Arial" w:eastAsia="Arial" w:hAnsi="Arial"/>
                  <w:sz w:val="18"/>
                  <w:szCs w:val="18"/>
                  <w:color w:val="0000FF"/>
                </w:rPr>
                <w:t>Acquisitions and Divestitures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49">
              <w:r>
                <w:rPr>
                  <w:rFonts w:ascii="Arial" w:cs="Arial" w:eastAsia="Arial" w:hAnsi="Arial"/>
                  <w:sz w:val="18"/>
                  <w:szCs w:val="18"/>
                  <w:color w:val="0000FF"/>
                </w:rPr>
                <w:t>F-26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51">
              <w:r>
                <w:rPr>
                  <w:rFonts w:ascii="Arial" w:cs="Arial" w:eastAsia="Arial" w:hAnsi="Arial"/>
                  <w:sz w:val="18"/>
                  <w:szCs w:val="18"/>
                  <w:color w:val="0000FF"/>
                  <w:w w:val="79"/>
                </w:rPr>
                <w:t>8.</w:t>
              </w:r>
            </w:hyperlink>
          </w:p>
        </w:tc>
        <w:tc>
          <w:tcPr>
            <w:tcW w:w="9780" w:type="dxa"/>
            <w:vAlign w:val="bottom"/>
            <w:gridSpan w:val="29"/>
          </w:tcPr>
          <w:p>
            <w:pPr>
              <w:ind w:left="40"/>
              <w:spacing w:after="0"/>
              <w:rPr>
                <w:rFonts w:ascii="Arial" w:cs="Arial" w:eastAsia="Arial" w:hAnsi="Arial"/>
                <w:sz w:val="18"/>
                <w:szCs w:val="18"/>
                <w:color w:val="0000FF"/>
              </w:rPr>
            </w:pPr>
            <w:hyperlink w:anchor="page151">
              <w:r>
                <w:rPr>
                  <w:rFonts w:ascii="Arial" w:cs="Arial" w:eastAsia="Arial" w:hAnsi="Arial"/>
                  <w:sz w:val="18"/>
                  <w:szCs w:val="18"/>
                  <w:color w:val="0000FF"/>
                </w:rPr>
                <w:t>Goodwill</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51">
              <w:r>
                <w:rPr>
                  <w:rFonts w:ascii="Arial" w:cs="Arial" w:eastAsia="Arial" w:hAnsi="Arial"/>
                  <w:sz w:val="18"/>
                  <w:szCs w:val="18"/>
                  <w:color w:val="0000FF"/>
                </w:rPr>
                <w:t>F-28</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3"/>
          </w:tcPr>
          <w:p>
            <w:pPr>
              <w:ind w:left="460"/>
              <w:spacing w:after="0"/>
              <w:rPr>
                <w:rFonts w:ascii="Arial" w:cs="Arial" w:eastAsia="Arial" w:hAnsi="Arial"/>
                <w:sz w:val="18"/>
                <w:szCs w:val="18"/>
                <w:color w:val="0000FF"/>
                <w:w w:val="79"/>
              </w:rPr>
            </w:pPr>
            <w:hyperlink w:anchor="page152">
              <w:r>
                <w:rPr>
                  <w:rFonts w:ascii="Arial" w:cs="Arial" w:eastAsia="Arial" w:hAnsi="Arial"/>
                  <w:sz w:val="18"/>
                  <w:szCs w:val="18"/>
                  <w:color w:val="0000FF"/>
                  <w:w w:val="79"/>
                </w:rPr>
                <w:t>9.</w:t>
              </w:r>
            </w:hyperlink>
          </w:p>
        </w:tc>
        <w:tc>
          <w:tcPr>
            <w:tcW w:w="9780" w:type="dxa"/>
            <w:vAlign w:val="bottom"/>
            <w:gridSpan w:val="29"/>
          </w:tcPr>
          <w:p>
            <w:pPr>
              <w:ind w:left="40"/>
              <w:spacing w:after="0"/>
              <w:rPr>
                <w:rFonts w:ascii="Arial" w:cs="Arial" w:eastAsia="Arial" w:hAnsi="Arial"/>
                <w:sz w:val="18"/>
                <w:szCs w:val="18"/>
                <w:color w:val="0000FF"/>
              </w:rPr>
            </w:pPr>
            <w:hyperlink w:anchor="page152">
              <w:r>
                <w:rPr>
                  <w:rFonts w:ascii="Arial" w:cs="Arial" w:eastAsia="Arial" w:hAnsi="Arial"/>
                  <w:sz w:val="18"/>
                  <w:szCs w:val="18"/>
                  <w:color w:val="0000FF"/>
                </w:rPr>
                <w:t>Investments in Unconsolidated Entities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52">
              <w:r>
                <w:rPr>
                  <w:rFonts w:ascii="Arial" w:cs="Arial" w:eastAsia="Arial" w:hAnsi="Arial"/>
                  <w:sz w:val="18"/>
                  <w:szCs w:val="18"/>
                  <w:color w:val="0000FF"/>
                </w:rPr>
                <w:t>F-29</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rFonts w:ascii="Arial" w:cs="Arial" w:eastAsia="Arial" w:hAnsi="Arial"/>
                <w:sz w:val="18"/>
                <w:szCs w:val="18"/>
                <w:color w:val="0000FF"/>
                <w:w w:val="87"/>
              </w:rPr>
            </w:pPr>
            <w:hyperlink w:anchor="page156">
              <w:r>
                <w:rPr>
                  <w:rFonts w:ascii="Arial" w:cs="Arial" w:eastAsia="Arial" w:hAnsi="Arial"/>
                  <w:sz w:val="18"/>
                  <w:szCs w:val="18"/>
                  <w:color w:val="0000FF"/>
                  <w:w w:val="87"/>
                </w:rPr>
                <w:t>10.</w:t>
              </w:r>
            </w:hyperlink>
          </w:p>
        </w:tc>
        <w:tc>
          <w:tcPr>
            <w:tcW w:w="9680" w:type="dxa"/>
            <w:vAlign w:val="bottom"/>
            <w:gridSpan w:val="28"/>
          </w:tcPr>
          <w:p>
            <w:pPr>
              <w:ind w:left="20"/>
              <w:spacing w:after="0"/>
              <w:rPr>
                <w:rFonts w:ascii="Arial" w:cs="Arial" w:eastAsia="Arial" w:hAnsi="Arial"/>
                <w:sz w:val="18"/>
                <w:szCs w:val="18"/>
                <w:color w:val="0000FF"/>
              </w:rPr>
            </w:pPr>
            <w:hyperlink w:anchor="page156">
              <w:r>
                <w:rPr>
                  <w:rFonts w:ascii="Arial" w:cs="Arial" w:eastAsia="Arial" w:hAnsi="Arial"/>
                  <w:sz w:val="18"/>
                  <w:szCs w:val="18"/>
                  <w:color w:val="0000FF"/>
                </w:rPr>
                <w:t>Other Long-Term Assets, Net</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56">
              <w:r>
                <w:rPr>
                  <w:rFonts w:ascii="Arial" w:cs="Arial" w:eastAsia="Arial" w:hAnsi="Arial"/>
                  <w:sz w:val="18"/>
                  <w:szCs w:val="18"/>
                  <w:color w:val="0000FF"/>
                </w:rPr>
                <w:t>F-33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12"/>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11. Debt</w:t>
              </w:r>
            </w:hyperlink>
          </w:p>
        </w:tc>
        <w:tc>
          <w:tcPr>
            <w:tcW w:w="7520" w:type="dxa"/>
            <w:vAlign w:val="bottom"/>
            <w:gridSpan w:val="18"/>
          </w:tcPr>
          <w:p>
            <w:pPr>
              <w:spacing w:after="0"/>
              <w:rPr>
                <w:sz w:val="18"/>
                <w:szCs w:val="18"/>
                <w:color w:val="auto"/>
              </w:rPr>
            </w:pPr>
          </w:p>
        </w:tc>
        <w:tc>
          <w:tcPr>
            <w:tcW w:w="1000" w:type="dxa"/>
            <w:vAlign w:val="bottom"/>
            <w:gridSpan w:val="3"/>
          </w:tcPr>
          <w:p>
            <w:pPr>
              <w:jc w:val="right"/>
              <w:ind w:right="20"/>
              <w:spacing w:after="0"/>
              <w:rPr>
                <w:rFonts w:ascii="Arial" w:cs="Arial" w:eastAsia="Arial" w:hAnsi="Arial"/>
                <w:sz w:val="18"/>
                <w:szCs w:val="18"/>
                <w:color w:val="0000FF"/>
              </w:rPr>
            </w:pPr>
            <w:hyperlink w:anchor="page156">
              <w:r>
                <w:rPr>
                  <w:rFonts w:ascii="Arial" w:cs="Arial" w:eastAsia="Arial" w:hAnsi="Arial"/>
                  <w:sz w:val="18"/>
                  <w:szCs w:val="18"/>
                  <w:color w:val="0000FF"/>
                </w:rPr>
                <w:t>F-34</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rFonts w:ascii="Arial" w:cs="Arial" w:eastAsia="Arial" w:hAnsi="Arial"/>
                <w:sz w:val="18"/>
                <w:szCs w:val="18"/>
                <w:color w:val="0000FF"/>
                <w:w w:val="87"/>
              </w:rPr>
            </w:pPr>
            <w:hyperlink w:anchor="page160">
              <w:r>
                <w:rPr>
                  <w:rFonts w:ascii="Arial" w:cs="Arial" w:eastAsia="Arial" w:hAnsi="Arial"/>
                  <w:sz w:val="18"/>
                  <w:szCs w:val="18"/>
                  <w:color w:val="0000FF"/>
                  <w:w w:val="87"/>
                </w:rPr>
                <w:t>12.</w:t>
              </w:r>
            </w:hyperlink>
          </w:p>
        </w:tc>
        <w:tc>
          <w:tcPr>
            <w:tcW w:w="9680" w:type="dxa"/>
            <w:vAlign w:val="bottom"/>
            <w:gridSpan w:val="28"/>
          </w:tcPr>
          <w:p>
            <w:pPr>
              <w:ind w:left="20"/>
              <w:spacing w:after="0"/>
              <w:rPr>
                <w:rFonts w:ascii="Arial" w:cs="Arial" w:eastAsia="Arial" w:hAnsi="Arial"/>
                <w:sz w:val="18"/>
                <w:szCs w:val="18"/>
                <w:color w:val="0000FF"/>
              </w:rPr>
            </w:pPr>
            <w:hyperlink w:anchor="page160">
              <w:r>
                <w:rPr>
                  <w:rFonts w:ascii="Arial" w:cs="Arial" w:eastAsia="Arial" w:hAnsi="Arial"/>
                  <w:sz w:val="18"/>
                  <w:szCs w:val="18"/>
                  <w:color w:val="0000FF"/>
                </w:rPr>
                <w:t>Partners’ Capital and Distributions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60">
              <w:r>
                <w:rPr>
                  <w:rFonts w:ascii="Arial" w:cs="Arial" w:eastAsia="Arial" w:hAnsi="Arial"/>
                  <w:sz w:val="18"/>
                  <w:szCs w:val="18"/>
                  <w:color w:val="0000FF"/>
                </w:rPr>
                <w:t>F-38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rFonts w:ascii="Arial" w:cs="Arial" w:eastAsia="Arial" w:hAnsi="Arial"/>
                <w:sz w:val="18"/>
                <w:szCs w:val="18"/>
                <w:color w:val="0000FF"/>
                <w:w w:val="87"/>
              </w:rPr>
            </w:pPr>
            <w:hyperlink w:anchor="page166">
              <w:r>
                <w:rPr>
                  <w:rFonts w:ascii="Arial" w:cs="Arial" w:eastAsia="Arial" w:hAnsi="Arial"/>
                  <w:sz w:val="18"/>
                  <w:szCs w:val="18"/>
                  <w:color w:val="0000FF"/>
                  <w:w w:val="87"/>
                </w:rPr>
                <w:t>13.</w:t>
              </w:r>
            </w:hyperlink>
          </w:p>
        </w:tc>
        <w:tc>
          <w:tcPr>
            <w:tcW w:w="9680" w:type="dxa"/>
            <w:vAlign w:val="bottom"/>
            <w:gridSpan w:val="28"/>
          </w:tcPr>
          <w:p>
            <w:pPr>
              <w:ind w:left="20"/>
              <w:spacing w:after="0"/>
              <w:rPr>
                <w:rFonts w:ascii="Arial" w:cs="Arial" w:eastAsia="Arial" w:hAnsi="Arial"/>
                <w:sz w:val="18"/>
                <w:szCs w:val="18"/>
                <w:color w:val="0000FF"/>
              </w:rPr>
            </w:pPr>
            <w:hyperlink w:anchor="page166">
              <w:r>
                <w:rPr>
                  <w:rFonts w:ascii="Arial" w:cs="Arial" w:eastAsia="Arial" w:hAnsi="Arial"/>
                  <w:sz w:val="18"/>
                  <w:szCs w:val="18"/>
                  <w:color w:val="0000FF"/>
                </w:rPr>
                <w:t>Derivatives and Risk Management Activities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66">
              <w:r>
                <w:rPr>
                  <w:rFonts w:ascii="Arial" w:cs="Arial" w:eastAsia="Arial" w:hAnsi="Arial"/>
                  <w:sz w:val="18"/>
                  <w:szCs w:val="18"/>
                  <w:color w:val="0000FF"/>
                </w:rPr>
                <w:t>F-43</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rFonts w:ascii="Arial" w:cs="Arial" w:eastAsia="Arial" w:hAnsi="Arial"/>
                <w:sz w:val="18"/>
                <w:szCs w:val="18"/>
                <w:color w:val="0000FF"/>
                <w:w w:val="87"/>
              </w:rPr>
            </w:pPr>
            <w:hyperlink w:anchor="page173">
              <w:r>
                <w:rPr>
                  <w:rFonts w:ascii="Arial" w:cs="Arial" w:eastAsia="Arial" w:hAnsi="Arial"/>
                  <w:sz w:val="18"/>
                  <w:szCs w:val="18"/>
                  <w:color w:val="0000FF"/>
                  <w:w w:val="87"/>
                </w:rPr>
                <w:t>14.</w:t>
              </w:r>
            </w:hyperlink>
          </w:p>
        </w:tc>
        <w:tc>
          <w:tcPr>
            <w:tcW w:w="9680" w:type="dxa"/>
            <w:vAlign w:val="bottom"/>
            <w:gridSpan w:val="28"/>
          </w:tcPr>
          <w:p>
            <w:pPr>
              <w:ind w:left="20"/>
              <w:spacing w:after="0"/>
              <w:rPr>
                <w:rFonts w:ascii="Arial" w:cs="Arial" w:eastAsia="Arial" w:hAnsi="Arial"/>
                <w:sz w:val="18"/>
                <w:szCs w:val="18"/>
                <w:color w:val="0000FF"/>
              </w:rPr>
            </w:pPr>
            <w:hyperlink w:anchor="page173">
              <w:r>
                <w:rPr>
                  <w:rFonts w:ascii="Arial" w:cs="Arial" w:eastAsia="Arial" w:hAnsi="Arial"/>
                  <w:sz w:val="18"/>
                  <w:szCs w:val="18"/>
                  <w:color w:val="0000FF"/>
                </w:rPr>
                <w:t>Leases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73">
              <w:r>
                <w:rPr>
                  <w:rFonts w:ascii="Arial" w:cs="Arial" w:eastAsia="Arial" w:hAnsi="Arial"/>
                  <w:sz w:val="18"/>
                  <w:szCs w:val="18"/>
                  <w:color w:val="0000FF"/>
                </w:rPr>
                <w:t>F-50</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sz w:val="20"/>
                <w:szCs w:val="20"/>
                <w:color w:val="auto"/>
              </w:rPr>
            </w:pPr>
            <w:r>
              <w:rPr>
                <w:rFonts w:ascii="Arial" w:cs="Arial" w:eastAsia="Arial" w:hAnsi="Arial"/>
                <w:sz w:val="18"/>
                <w:szCs w:val="18"/>
                <w:color w:val="0000FF"/>
                <w:w w:val="87"/>
              </w:rPr>
              <w:t>15.</w:t>
            </w:r>
          </w:p>
        </w:tc>
        <w:tc>
          <w:tcPr>
            <w:tcW w:w="9680" w:type="dxa"/>
            <w:vAlign w:val="bottom"/>
            <w:gridSpan w:val="28"/>
          </w:tcPr>
          <w:p>
            <w:pPr>
              <w:ind w:left="20"/>
              <w:spacing w:after="0"/>
              <w:rPr>
                <w:rFonts w:ascii="Arial" w:cs="Arial" w:eastAsia="Arial" w:hAnsi="Arial"/>
                <w:sz w:val="18"/>
                <w:szCs w:val="18"/>
                <w:color w:val="0000FF"/>
              </w:rPr>
            </w:pPr>
            <w:hyperlink w:anchor="page176">
              <w:r>
                <w:rPr>
                  <w:rFonts w:ascii="Arial" w:cs="Arial" w:eastAsia="Arial" w:hAnsi="Arial"/>
                  <w:sz w:val="18"/>
                  <w:szCs w:val="18"/>
                  <w:color w:val="0000FF"/>
                </w:rPr>
                <w:t>Income Taxes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76">
              <w:r>
                <w:rPr>
                  <w:rFonts w:ascii="Arial" w:cs="Arial" w:eastAsia="Arial" w:hAnsi="Arial"/>
                  <w:sz w:val="18"/>
                  <w:szCs w:val="18"/>
                  <w:color w:val="0000FF"/>
                </w:rPr>
                <w:t>F-53</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sz w:val="20"/>
                <w:szCs w:val="20"/>
                <w:color w:val="auto"/>
              </w:rPr>
            </w:pPr>
            <w:r>
              <w:rPr>
                <w:rFonts w:ascii="Arial" w:cs="Arial" w:eastAsia="Arial" w:hAnsi="Arial"/>
                <w:sz w:val="18"/>
                <w:szCs w:val="18"/>
                <w:color w:val="0000FF"/>
                <w:w w:val="87"/>
              </w:rPr>
              <w:t>16.</w:t>
            </w:r>
          </w:p>
        </w:tc>
        <w:tc>
          <w:tcPr>
            <w:tcW w:w="9680" w:type="dxa"/>
            <w:vAlign w:val="bottom"/>
            <w:gridSpan w:val="28"/>
          </w:tcPr>
          <w:p>
            <w:pPr>
              <w:ind w:left="20"/>
              <w:spacing w:after="0"/>
              <w:rPr>
                <w:rFonts w:ascii="Arial" w:cs="Arial" w:eastAsia="Arial" w:hAnsi="Arial"/>
                <w:sz w:val="18"/>
                <w:szCs w:val="18"/>
                <w:color w:val="0000FF"/>
              </w:rPr>
            </w:pPr>
            <w:hyperlink w:anchor="page179">
              <w:r>
                <w:rPr>
                  <w:rFonts w:ascii="Arial" w:cs="Arial" w:eastAsia="Arial" w:hAnsi="Arial"/>
                  <w:sz w:val="18"/>
                  <w:szCs w:val="18"/>
                  <w:color w:val="0000FF"/>
                </w:rPr>
                <w:t>Major Customers and Concentration of Credit Risk</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79">
              <w:r>
                <w:rPr>
                  <w:rFonts w:ascii="Arial" w:cs="Arial" w:eastAsia="Arial" w:hAnsi="Arial"/>
                  <w:sz w:val="18"/>
                  <w:szCs w:val="18"/>
                  <w:color w:val="0000FF"/>
                </w:rPr>
                <w:t>F-56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sz w:val="20"/>
                <w:szCs w:val="20"/>
                <w:color w:val="auto"/>
              </w:rPr>
            </w:pPr>
            <w:r>
              <w:rPr>
                <w:rFonts w:ascii="Arial" w:cs="Arial" w:eastAsia="Arial" w:hAnsi="Arial"/>
                <w:sz w:val="18"/>
                <w:szCs w:val="18"/>
                <w:color w:val="0000FF"/>
                <w:w w:val="87"/>
              </w:rPr>
              <w:t>17.</w:t>
            </w:r>
          </w:p>
        </w:tc>
        <w:tc>
          <w:tcPr>
            <w:tcW w:w="9680" w:type="dxa"/>
            <w:vAlign w:val="bottom"/>
            <w:gridSpan w:val="28"/>
          </w:tcPr>
          <w:p>
            <w:pPr>
              <w:ind w:left="20"/>
              <w:spacing w:after="0"/>
              <w:rPr>
                <w:rFonts w:ascii="Arial" w:cs="Arial" w:eastAsia="Arial" w:hAnsi="Arial"/>
                <w:sz w:val="18"/>
                <w:szCs w:val="18"/>
                <w:color w:val="0000FF"/>
              </w:rPr>
            </w:pPr>
            <w:hyperlink w:anchor="page179">
              <w:r>
                <w:rPr>
                  <w:rFonts w:ascii="Arial" w:cs="Arial" w:eastAsia="Arial" w:hAnsi="Arial"/>
                  <w:sz w:val="18"/>
                  <w:szCs w:val="18"/>
                  <w:color w:val="0000FF"/>
                </w:rPr>
                <w:t>Related Party Transactions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79">
              <w:r>
                <w:rPr>
                  <w:rFonts w:ascii="Arial" w:cs="Arial" w:eastAsia="Arial" w:hAnsi="Arial"/>
                  <w:sz w:val="18"/>
                  <w:szCs w:val="18"/>
                  <w:color w:val="0000FF"/>
                </w:rPr>
                <w:t>F-56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sz w:val="20"/>
                <w:szCs w:val="20"/>
                <w:color w:val="auto"/>
              </w:rPr>
            </w:pPr>
            <w:r>
              <w:rPr>
                <w:rFonts w:ascii="Arial" w:cs="Arial" w:eastAsia="Arial" w:hAnsi="Arial"/>
                <w:sz w:val="18"/>
                <w:szCs w:val="18"/>
                <w:color w:val="0000FF"/>
                <w:w w:val="87"/>
              </w:rPr>
              <w:t>18.</w:t>
            </w:r>
          </w:p>
        </w:tc>
        <w:tc>
          <w:tcPr>
            <w:tcW w:w="9680" w:type="dxa"/>
            <w:vAlign w:val="bottom"/>
            <w:gridSpan w:val="28"/>
          </w:tcPr>
          <w:p>
            <w:pPr>
              <w:ind w:left="20"/>
              <w:spacing w:after="0"/>
              <w:rPr>
                <w:rFonts w:ascii="Arial" w:cs="Arial" w:eastAsia="Arial" w:hAnsi="Arial"/>
                <w:sz w:val="18"/>
                <w:szCs w:val="18"/>
                <w:color w:val="0000FF"/>
              </w:rPr>
            </w:pPr>
            <w:hyperlink w:anchor="page181">
              <w:r>
                <w:rPr>
                  <w:rFonts w:ascii="Arial" w:cs="Arial" w:eastAsia="Arial" w:hAnsi="Arial"/>
                  <w:sz w:val="18"/>
                  <w:szCs w:val="18"/>
                  <w:color w:val="0000FF"/>
                </w:rPr>
                <w:t>Equity-Indexed Compensation Plans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81">
              <w:r>
                <w:rPr>
                  <w:rFonts w:ascii="Arial" w:cs="Arial" w:eastAsia="Arial" w:hAnsi="Arial"/>
                  <w:sz w:val="18"/>
                  <w:szCs w:val="18"/>
                  <w:color w:val="0000FF"/>
                </w:rPr>
                <w:t>F-58</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sz w:val="20"/>
                <w:szCs w:val="20"/>
                <w:color w:val="auto"/>
              </w:rPr>
            </w:pPr>
            <w:r>
              <w:rPr>
                <w:rFonts w:ascii="Arial" w:cs="Arial" w:eastAsia="Arial" w:hAnsi="Arial"/>
                <w:sz w:val="18"/>
                <w:szCs w:val="18"/>
                <w:color w:val="0000FF"/>
                <w:w w:val="87"/>
              </w:rPr>
              <w:t>19.</w:t>
            </w:r>
          </w:p>
        </w:tc>
        <w:tc>
          <w:tcPr>
            <w:tcW w:w="9680" w:type="dxa"/>
            <w:vAlign w:val="bottom"/>
            <w:gridSpan w:val="28"/>
          </w:tcPr>
          <w:p>
            <w:pPr>
              <w:ind w:left="20"/>
              <w:spacing w:after="0"/>
              <w:rPr>
                <w:rFonts w:ascii="Arial" w:cs="Arial" w:eastAsia="Arial" w:hAnsi="Arial"/>
                <w:sz w:val="18"/>
                <w:szCs w:val="18"/>
                <w:color w:val="0000FF"/>
              </w:rPr>
            </w:pPr>
            <w:hyperlink w:anchor="page183">
              <w:r>
                <w:rPr>
                  <w:rFonts w:ascii="Arial" w:cs="Arial" w:eastAsia="Arial" w:hAnsi="Arial"/>
                  <w:sz w:val="18"/>
                  <w:szCs w:val="18"/>
                  <w:color w:val="0000FF"/>
                </w:rPr>
                <w:t>Commitments and Contingencies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83">
              <w:r>
                <w:rPr>
                  <w:rFonts w:ascii="Arial" w:cs="Arial" w:eastAsia="Arial" w:hAnsi="Arial"/>
                  <w:sz w:val="18"/>
                  <w:szCs w:val="18"/>
                  <w:color w:val="0000FF"/>
                </w:rPr>
                <w:t>F-60</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rFonts w:ascii="Arial" w:cs="Arial" w:eastAsia="Arial" w:hAnsi="Arial"/>
                <w:sz w:val="18"/>
                <w:szCs w:val="18"/>
                <w:color w:val="0000FF"/>
                <w:w w:val="87"/>
              </w:rPr>
            </w:pPr>
            <w:hyperlink w:anchor="page189">
              <w:r>
                <w:rPr>
                  <w:rFonts w:ascii="Arial" w:cs="Arial" w:eastAsia="Arial" w:hAnsi="Arial"/>
                  <w:sz w:val="18"/>
                  <w:szCs w:val="18"/>
                  <w:color w:val="0000FF"/>
                  <w:w w:val="87"/>
                </w:rPr>
                <w:t>20.</w:t>
              </w:r>
            </w:hyperlink>
          </w:p>
        </w:tc>
        <w:tc>
          <w:tcPr>
            <w:tcW w:w="9680" w:type="dxa"/>
            <w:vAlign w:val="bottom"/>
            <w:gridSpan w:val="28"/>
          </w:tcPr>
          <w:p>
            <w:pPr>
              <w:ind w:left="20"/>
              <w:spacing w:after="0"/>
              <w:rPr>
                <w:rFonts w:ascii="Arial" w:cs="Arial" w:eastAsia="Arial" w:hAnsi="Arial"/>
                <w:sz w:val="18"/>
                <w:szCs w:val="18"/>
                <w:color w:val="0000FF"/>
              </w:rPr>
            </w:pPr>
            <w:hyperlink w:anchor="page189">
              <w:r>
                <w:rPr>
                  <w:rFonts w:ascii="Arial" w:cs="Arial" w:eastAsia="Arial" w:hAnsi="Arial"/>
                  <w:sz w:val="18"/>
                  <w:szCs w:val="18"/>
                  <w:color w:val="0000FF"/>
                </w:rPr>
                <w:t>Quarterly Financial Data (Unaudited)</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89">
              <w:r>
                <w:rPr>
                  <w:rFonts w:ascii="Arial" w:cs="Arial" w:eastAsia="Arial" w:hAnsi="Arial"/>
                  <w:sz w:val="18"/>
                  <w:szCs w:val="18"/>
                  <w:color w:val="0000FF"/>
                </w:rPr>
                <w:t>F-66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gridSpan w:val="4"/>
          </w:tcPr>
          <w:p>
            <w:pPr>
              <w:ind w:left="460"/>
              <w:spacing w:after="0"/>
              <w:rPr>
                <w:sz w:val="20"/>
                <w:szCs w:val="20"/>
                <w:color w:val="auto"/>
              </w:rPr>
            </w:pPr>
            <w:r>
              <w:rPr>
                <w:rFonts w:ascii="Arial" w:cs="Arial" w:eastAsia="Arial" w:hAnsi="Arial"/>
                <w:sz w:val="18"/>
                <w:szCs w:val="18"/>
                <w:color w:val="0000FF"/>
                <w:w w:val="87"/>
              </w:rPr>
              <w:t>21.</w:t>
            </w:r>
          </w:p>
        </w:tc>
        <w:tc>
          <w:tcPr>
            <w:tcW w:w="9680" w:type="dxa"/>
            <w:vAlign w:val="bottom"/>
            <w:gridSpan w:val="28"/>
          </w:tcPr>
          <w:p>
            <w:pPr>
              <w:ind w:left="20"/>
              <w:spacing w:after="0"/>
              <w:rPr>
                <w:rFonts w:ascii="Arial" w:cs="Arial" w:eastAsia="Arial" w:hAnsi="Arial"/>
                <w:sz w:val="18"/>
                <w:szCs w:val="18"/>
                <w:color w:val="0000FF"/>
              </w:rPr>
            </w:pPr>
            <w:hyperlink w:anchor="page189">
              <w:r>
                <w:rPr>
                  <w:rFonts w:ascii="Arial" w:cs="Arial" w:eastAsia="Arial" w:hAnsi="Arial"/>
                  <w:sz w:val="18"/>
                  <w:szCs w:val="18"/>
                  <w:color w:val="0000FF"/>
                </w:rPr>
                <w:t>Operating Segments</w:t>
              </w:r>
            </w:hyperlink>
          </w:p>
        </w:tc>
        <w:tc>
          <w:tcPr>
            <w:tcW w:w="1000" w:type="dxa"/>
            <w:vAlign w:val="bottom"/>
            <w:gridSpan w:val="3"/>
          </w:tcPr>
          <w:p>
            <w:pPr>
              <w:jc w:val="right"/>
              <w:ind w:right="20"/>
              <w:spacing w:after="0"/>
              <w:rPr>
                <w:rFonts w:ascii="Arial" w:cs="Arial" w:eastAsia="Arial" w:hAnsi="Arial"/>
                <w:sz w:val="18"/>
                <w:szCs w:val="18"/>
                <w:color w:val="0000FF"/>
              </w:rPr>
            </w:pPr>
            <w:hyperlink w:anchor="page189">
              <w:r>
                <w:rPr>
                  <w:rFonts w:ascii="Arial" w:cs="Arial" w:eastAsia="Arial" w:hAnsi="Arial"/>
                  <w:sz w:val="18"/>
                  <w:szCs w:val="18"/>
                  <w:color w:val="0000FF"/>
                </w:rPr>
                <w:t>F-66</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Plains GP Holdings, L.P.’s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20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Management has used the framework set forth in the report entitled “Internal Control—Integrated Framework” (2013) issued by the Committee of Sponsoring Organizations of the Treadway Commission (“COSO”) to evaluate the effectiveness of the Partnership’s internal control over financial reporting. Based on that evaluation, management has concluded that the Partnership’s internal control over financial reporting was effective as of December 31, 2019.</w:t>
      </w:r>
    </w:p>
    <w:p>
      <w:pPr>
        <w:spacing w:after="0" w:line="174" w:lineRule="exact"/>
        <w:rPr>
          <w:sz w:val="20"/>
          <w:szCs w:val="20"/>
          <w:color w:val="auto"/>
        </w:rPr>
      </w:pPr>
    </w:p>
    <w:p>
      <w:pPr>
        <w:jc w:val="both"/>
        <w:ind w:right="1780" w:firstLine="648"/>
        <w:spacing w:after="0" w:line="342" w:lineRule="auto"/>
        <w:rPr>
          <w:sz w:val="20"/>
          <w:szCs w:val="20"/>
          <w:color w:val="auto"/>
        </w:rPr>
      </w:pPr>
      <w:r>
        <w:rPr>
          <w:rFonts w:ascii="Arial" w:cs="Arial" w:eastAsia="Arial" w:hAnsi="Arial"/>
          <w:sz w:val="16"/>
          <w:szCs w:val="16"/>
          <w:color w:val="auto"/>
        </w:rPr>
        <w:t>The effectiveness of the Partnership’s internal control over financial reporting as of December 31, 2019 has been audited by PricewaterhouseCoopers LLP, an independent registered public accounting firm, as stated in their report which appears on Page F-3.</w:t>
      </w:r>
    </w:p>
    <w:p>
      <w:pPr>
        <w:spacing w:after="0" w:line="20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31750</wp:posOffset>
            </wp:positionV>
            <wp:extent cx="50253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3">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pacing w:after="0" w:line="5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Chairman of the Board and Chief Executive Officer of PAA GP Holdings LLC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(Principal Executive Officer)</w:t>
      </w:r>
    </w:p>
    <w:p>
      <w:pPr>
        <w:spacing w:after="0" w:line="320"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31750</wp:posOffset>
            </wp:positionV>
            <wp:extent cx="50253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4">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pacing w:after="0" w:line="57"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Executive Vice President and Chief Financial Officer of PAA GP Holdings LLC</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i w:val="1"/>
          <w:iCs w:val="1"/>
          <w:color w:val="auto"/>
        </w:rPr>
        <w:t>(Principal Financial Officer)</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Arial" w:cs="Arial" w:eastAsia="Arial" w:hAnsi="Arial"/>
          <w:sz w:val="17"/>
          <w:szCs w:val="17"/>
          <w:b w:val="1"/>
          <w:bCs w:val="1"/>
          <w:i w:val="1"/>
          <w:i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of PAA GP Holdings LLC and Shareholders of Plains GP Holdings, L.P.</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115"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 xml:space="preserve">We have audited the accompanying consolidated balance sheets of Plains GP Holdings, L.P. and its subsidiaries (the “Partnership”) as of December 31, 2019 and 2018, and the related consolidated statements of operations, of comprehensive income, of changes in accumulated other comprehensive income/(loss), of changes in partners’ capital and of cash flows for each of the three years in the period ended December 31, 2019, including the related notes (collectively referred to as the “consolidated financial statements”). We also have audited the Partnership’s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54" w:lineRule="exact"/>
        <w:rPr>
          <w:sz w:val="20"/>
          <w:szCs w:val="20"/>
          <w:color w:val="auto"/>
        </w:rPr>
      </w:pPr>
    </w:p>
    <w:p>
      <w:pPr>
        <w:ind w:right="140"/>
        <w:spacing w:after="0" w:line="302"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Partnership as of December 31, 2019 and 2018</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its operations and its cash flows for each of the three years in the period ended December 31, 2019 in conformity with accounting principles generally accepted in the United States of America. Also in our opinion, the Partnership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8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15"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r>
        <w:rPr>
          <w:rFonts w:ascii="Arial" w:cs="Arial" w:eastAsia="Arial" w:hAnsi="Arial"/>
          <w:sz w:val="18"/>
          <w:szCs w:val="18"/>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Goodwill Impairment Assessment </w:t>
      </w:r>
      <w:r>
        <w:rPr>
          <w:rFonts w:ascii="Arial" w:cs="Arial" w:eastAsia="Arial" w:hAnsi="Arial"/>
          <w:sz w:val="18"/>
          <w:szCs w:val="18"/>
          <w:i w:val="1"/>
          <w:iCs w:val="1"/>
          <w:color w:val="auto"/>
        </w:rPr>
        <w:t>—</w:t>
      </w:r>
      <w:r>
        <w:rPr>
          <w:rFonts w:ascii="Arial" w:cs="Arial" w:eastAsia="Arial" w:hAnsi="Arial"/>
          <w:sz w:val="17"/>
          <w:szCs w:val="17"/>
          <w:i w:val="1"/>
          <w:iCs w:val="1"/>
          <w:color w:val="auto"/>
        </w:rPr>
        <w:t xml:space="preserve"> Facilities and Supply and Logistics Segments</w:t>
      </w:r>
    </w:p>
    <w:p>
      <w:pPr>
        <w:spacing w:after="0" w:line="100"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As described in Note 8 to the consolidated financial statements, the Partnership’s consolidated goodwill balance was $2,540 million as of December 31, 2019, which includes $1,488 million of goodwill related to the Facilities and Supply and Logistics segments. Goodwill is tested for impairment at a level of reporting referred to as a reporting unit. A reporting unit is an operating segment or one level below an operating segment for which discrete financial information is available and regularly reviewed by segment management. Management tests goodwill to determine whether an impairment has occurred at least annually (as of June 30) and on an interim basis if it is more likely than not that a reporting unit’s fair value is less than its carrying value. In the quantitative test, management compares the fair value of the reporting unit with the respective book values, including goodwill, by using an income approach based on a discounted cash flow analysis. This approach requires management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 is determined using significant unobservable inputs, or Level 3 inputs in the fair value hierarchy.</w:t>
      </w:r>
    </w:p>
    <w:p>
      <w:pPr>
        <w:spacing w:after="0" w:line="62"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principal considerations for our determination that performing procedures relating to the goodwill impairment assessment – Facilities and Supply and Logistics segments is a critical audit matter are there was significant judgment by management when developing the fair value measurement of the reporting units. This in turn led to a high degree of auditor judgment, subjectivity, and effort in performing procedures and evaluating management’s significant assumptions for net revenues and the weighted average cost of capital. In addition, the audit effort involved the use of professionals with specialized skill and knowledge to assist in performing these procedures and evaluating the audit evidence obtained from these procedures.</w:t>
      </w:r>
    </w:p>
    <w:p>
      <w:pPr>
        <w:spacing w:after="0" w:line="7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Partnership’s reporting units. These procedures also included, among others, testing management’s process for developing the fair value estimate; evaluating the appropriateness of the discounted cash flow models; testing the completeness, accuracy, and relevance of underlying data used in the models; and evaluating the reasonableness of significant assumptions used by management, including net revenues and the weighted average cost of capital. Evaluating management’s assumptions related to the forecast of net revenues involved evaluating whether the assumptions used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the Partnership’s discounted cash flow models and certain significant assumptions, including the weighted average cost of capital.</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Investment in Capline LLC</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As described in Note 9 to the consolidated financial statements, during the first quarter of 2019, the owners of the Capline pipeline system contributed their undivided joint interests in the system for equity interests in a legal entity, Capline Pipeline Company LLC (“Capline LLC”). Although the Partnership owns a majority of Capline LLC’s equity, the Partnership does not have a controlling financial interest in Capline LLC because the other members have substantive participating rights. Therefore, management accounts for its ownership interest in Capline LLC as an equity method investment. The transaction resulted in a “loss of control” of the undivided joint interest, which was derecognized and contributed to Capline LLC. The loss of control required management to measure the equity investment in Capline LLC at fair value. At the time of the transaction, the Partnership’s 54% undivided joint interest in the Capline pipeline system had a carrying value of $175 million. Management determined the fair value of the investment in Capline LLC to be approximately $444 million, resulting in the recognition of a gain of $269 million during the year ended December 31, 2019. The fair value of the investment was determined using significant unobservable inputs, or Level 3 inputs in the fair value hierarchy. The fair value of the Partnership’s investment in Capline LLC was based on an income approach utilizing a discounted cash flow analysis. Those cash flow forecasts require the use of various assumptions and estimates, which include those related to the timing and amount of capital expenditures, expected tariff rates, volumes of crude oil, and the terminal value. Management probability-weighted various forecasted cash flow scenarios in the analysis to consider the possible outcomes and used a discount rate representing the estimate of the risk adjusted discount rate that would be used by market participants.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principal considerations for our determination that performing procedures relating to the fair value of the investment in Capline LLC is a critical audit matter are there was significant judgment by management when developing the fair value estimate of the equity investment. This in turn led to a high degree of auditor judgment, subjectivity, and effort in performing procedures and evaluating management’s fair value estimate of the investment in Capline LLC and significant assumptions, including expected tariff rates, volumes of crude oil, terminal value and the discount rate. In addition, the audit effort involved the use of professionals with specialized skill and knowledge to assist in performing these procedures and evaluating the audit evidence obtained from these procedures.</w:t>
      </w:r>
    </w:p>
    <w:p>
      <w:pPr>
        <w:spacing w:after="0" w:line="71"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determination of the fair value of the Partnership’s investment in Capline LLC. These procedures also included, among others, testing management’s process for developing the fair value estimate of the investment in Capline LLC; evaluating the appropriateness of the discounted cash flow model; testing the completeness, accuracy and relevance of underlying data used in the model; and evaluating the reasonableness of significant assumptions, including expected tariff rates, volumes of crude oil, terminal value and discount rate. Evaluating management’s assumptions related to the forecasted volumes of crude oil and expected tariff rates involved evaluating whether the assumptions used were reasonable considering (i) relevant industry forecasts and macroeconomic conditions; (ii) consistency with external market and industry data; and (iii) whether these assumptions were consistent with evidence obtained in other areas of the audit. Professionals with specialized skill and knowledge were used to assist in the evaluation of the Partnership’s discounted cash flow model and certain significant assumptions, including the terminal value and the discount rate.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PricewaterhouseCoopers LLP</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Houston, Texas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February 27, 2020</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Partnership’s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2019</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December 31, 2018</w:t>
            </w:r>
          </w:p>
        </w:tc>
      </w:tr>
      <w:tr>
        <w:trPr>
          <w:trHeight w:val="236"/>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6"/>
        </w:trPr>
        <w:tc>
          <w:tcPr>
            <w:tcW w:w="8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69</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Trade accounts receivable and other receivables, net</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3,614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2,454</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640</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373</w:t>
            </w:r>
          </w:p>
        </w:tc>
      </w:tr>
      <w:tr>
        <w:trPr>
          <w:trHeight w:val="27"/>
        </w:trPr>
        <w:tc>
          <w:tcPr>
            <w:tcW w:w="8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4,614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3,536</w:t>
            </w:r>
          </w:p>
        </w:tc>
      </w:tr>
      <w:tr>
        <w:trPr>
          <w:trHeight w:val="196"/>
        </w:trPr>
        <w:tc>
          <w:tcPr>
            <w:tcW w:w="8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17,905</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3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(3,103)</w:t>
            </w:r>
          </w:p>
        </w:tc>
      </w:tr>
      <w:tr>
        <w:trPr>
          <w:trHeight w:val="27"/>
        </w:trPr>
        <w:tc>
          <w:tcPr>
            <w:tcW w:w="8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15,367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14,802</w:t>
            </w:r>
          </w:p>
        </w:tc>
      </w:tr>
      <w:tr>
        <w:trPr>
          <w:trHeight w:val="196"/>
        </w:trPr>
        <w:tc>
          <w:tcPr>
            <w:tcW w:w="8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2,521</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2,702</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1,304</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Linefill and base gas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916</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Long-term operating lease right-of-use assets, net</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inventory</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long-term assets, net</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913</w:t>
            </w:r>
          </w:p>
        </w:tc>
      </w:tr>
      <w:tr>
        <w:trPr>
          <w:trHeight w:val="27"/>
        </w:trPr>
        <w:tc>
          <w:tcPr>
            <w:tcW w:w="8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9"/>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29,969</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26,830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PARTNERS’ CAPITAL</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16"/>
        </w:trPr>
        <w:tc>
          <w:tcPr>
            <w:tcW w:w="8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Trade accounts payable</w:t>
            </w:r>
          </w:p>
        </w:tc>
        <w:tc>
          <w:tcPr>
            <w:tcW w:w="380" w:type="dxa"/>
            <w:vAlign w:val="bottom"/>
          </w:tcPr>
          <w:p>
            <w:pPr>
              <w:jc w:val="right"/>
              <w:ind w:right="19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2,705</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687</w:t>
            </w:r>
          </w:p>
        </w:tc>
      </w:tr>
      <w:tr>
        <w:trPr>
          <w:trHeight w:val="27"/>
        </w:trPr>
        <w:tc>
          <w:tcPr>
            <w:tcW w:w="8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3,458</w:t>
            </w:r>
          </w:p>
        </w:tc>
      </w:tr>
      <w:tr>
        <w:trPr>
          <w:trHeight w:val="196"/>
        </w:trPr>
        <w:tc>
          <w:tcPr>
            <w:tcW w:w="86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Senior notes, net</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8,941</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debt, net</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910</w:t>
            </w:r>
          </w:p>
        </w:tc>
      </w:tr>
      <w:tr>
        <w:trPr>
          <w:trHeight w:val="237"/>
        </w:trPr>
        <w:tc>
          <w:tcPr>
            <w:tcW w:w="8620" w:type="dxa"/>
            <w:vAlign w:val="bottom"/>
          </w:tcPr>
          <w:p>
            <w:pPr>
              <w:ind w:left="120"/>
              <w:spacing w:after="0"/>
              <w:rPr>
                <w:sz w:val="20"/>
                <w:szCs w:val="20"/>
                <w:color w:val="auto"/>
              </w:rPr>
            </w:pPr>
            <w:r>
              <w:rPr>
                <w:rFonts w:ascii="Arial" w:cs="Arial" w:eastAsia="Arial" w:hAnsi="Arial"/>
                <w:sz w:val="18"/>
                <w:szCs w:val="18"/>
                <w:color w:val="auto"/>
              </w:rPr>
              <w:t>Total long-term liabilities</w:t>
            </w:r>
          </w:p>
        </w:tc>
        <w:tc>
          <w:tcPr>
            <w:tcW w:w="3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10,053</w:t>
            </w:r>
          </w:p>
        </w:tc>
      </w:tr>
      <w:tr>
        <w:trPr>
          <w:trHeight w:val="27"/>
        </w:trPr>
        <w:tc>
          <w:tcPr>
            <w:tcW w:w="8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19)</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6"/>
        </w:trPr>
        <w:tc>
          <w:tcPr>
            <w:tcW w:w="8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b w:val="1"/>
                <w:bCs w:val="1"/>
                <w:color w:val="auto"/>
              </w:rPr>
              <w:t>PARTNERS’ CAPITAL</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Class A shareholders (182,138,592 and 159,485,588 shares outstanding,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1,846</w:t>
            </w: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12,330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11,473</w:t>
            </w:r>
          </w:p>
        </w:tc>
      </w:tr>
      <w:tr>
        <w:trPr>
          <w:trHeight w:val="27"/>
        </w:trPr>
        <w:tc>
          <w:tcPr>
            <w:tcW w:w="8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partners’ capital</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13,319</w:t>
            </w:r>
          </w:p>
        </w:tc>
      </w:tr>
      <w:tr>
        <w:trPr>
          <w:trHeight w:val="237"/>
        </w:trPr>
        <w:tc>
          <w:tcPr>
            <w:tcW w:w="8620" w:type="dxa"/>
            <w:vAlign w:val="bottom"/>
          </w:tcPr>
          <w:p>
            <w:pPr>
              <w:ind w:left="120"/>
              <w:spacing w:after="0"/>
              <w:rPr>
                <w:sz w:val="20"/>
                <w:szCs w:val="20"/>
                <w:color w:val="auto"/>
              </w:rPr>
            </w:pPr>
            <w:r>
              <w:rPr>
                <w:rFonts w:ascii="Arial" w:cs="Arial" w:eastAsia="Arial" w:hAnsi="Arial"/>
                <w:sz w:val="18"/>
                <w:szCs w:val="18"/>
                <w:color w:val="auto"/>
              </w:rPr>
              <w:t>Total liabilities and partners’ capital</w:t>
            </w:r>
          </w:p>
        </w:tc>
        <w:tc>
          <w:tcPr>
            <w:tcW w:w="38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29,969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26,830</w:t>
            </w:r>
          </w:p>
        </w:tc>
      </w:tr>
      <w:tr>
        <w:trPr>
          <w:trHeight w:val="27"/>
        </w:trPr>
        <w:tc>
          <w:tcPr>
            <w:tcW w:w="8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
        </w:trPr>
        <w:tc>
          <w:tcPr>
            <w:tcW w:w="8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80"/>
          </w:cols>
          <w:pgMar w:left="240" w:top="125" w:right="279" w:bottom="101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016" w:gutter="0" w:footer="0" w:header="0"/>
          <w:type w:val="continuous"/>
        </w:sectPr>
      </w:pPr>
    </w:p>
    <w:bookmarkStart w:id="129" w:name="page130"/>
    <w:bookmarkEnd w:id="1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except per share data)</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4"/>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r>
      <w:tr>
        <w:trPr>
          <w:trHeight w:val="236"/>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Supply and Logistics segment revenues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32,272</w:t>
            </w:r>
          </w:p>
        </w:tc>
        <w:tc>
          <w:tcPr>
            <w:tcW w:w="5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32,819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25,056</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 segment revenues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612</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Facilities segment revenues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588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555</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33,669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26,223</w:t>
            </w:r>
          </w:p>
        </w:tc>
      </w:t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Purchases and related costs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29,793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22,985</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Field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1,183</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280</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519</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109</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31,783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25,076</w:t>
            </w:r>
          </w:p>
        </w:tc>
      </w:tr>
      <w:tr>
        <w:trPr>
          <w:trHeight w:val="257"/>
        </w:trPr>
        <w:tc>
          <w:tcPr>
            <w:tcW w:w="7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1,147</w:t>
            </w:r>
          </w:p>
        </w:tc>
      </w:tr>
      <w:tr>
        <w:trPr>
          <w:trHeight w:val="216"/>
        </w:trPr>
        <w:tc>
          <w:tcPr>
            <w:tcW w:w="7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290</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 of $34, $30 and $35, respectively)</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(510)</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37"/>
        </w:trPr>
        <w:tc>
          <w:tcPr>
            <w:tcW w:w="7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896</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Current income tax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r>
      <w:tr>
        <w:trPr>
          <w:trHeight w:val="250"/>
        </w:trPr>
        <w:tc>
          <w:tcPr>
            <w:tcW w:w="72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(690)</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INCOME/(LOSS) ATTRIBUTABLE TO PAGP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9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INCOME/(LOSS) PER CLASS A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9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9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7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9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WEIGHTED AVERAGE CLASS A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4"/>
              </w:rPr>
              <w:t>Year Ended December 31,</w:t>
            </w:r>
          </w:p>
        </w:tc>
        <w:tc>
          <w:tcPr>
            <w:tcW w:w="1020" w:type="dxa"/>
            <w:vAlign w:val="bottom"/>
            <w:tcBorders>
              <w:bottom w:val="single" w:sz="8" w:color="auto"/>
            </w:tcBorders>
          </w:tcPr>
          <w:p>
            <w:pPr>
              <w:spacing w:after="0"/>
              <w:rPr>
                <w:sz w:val="16"/>
                <w:szCs w:val="16"/>
                <w:color w:val="auto"/>
              </w:rPr>
            </w:pPr>
          </w:p>
        </w:tc>
      </w:tr>
      <w:tr>
        <w:trPr>
          <w:trHeight w:val="196"/>
        </w:trPr>
        <w:tc>
          <w:tcPr>
            <w:tcW w:w="7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239</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198</w:t>
            </w: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(881)</w:t>
            </w:r>
          </w:p>
        </w:tc>
      </w:tr>
      <w:tr>
        <w:trPr>
          <w:trHeight w:val="27"/>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income/(loss) attributable to PAGP</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5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CHANGES IN ACCUMULATED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COMPREHENSIVE INCOME/(LOSS)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Translation</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18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8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6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Unrealized loss on hedges</w:t>
            </w:r>
          </w:p>
        </w:tc>
        <w:tc>
          <w:tcPr>
            <w:tcW w:w="18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6160" w:type="dxa"/>
            <w:vAlign w:val="bottom"/>
          </w:tcPr>
          <w:p>
            <w:pPr>
              <w:ind w:left="120"/>
              <w:spacing w:after="0"/>
              <w:rPr>
                <w:sz w:val="20"/>
                <w:szCs w:val="20"/>
                <w:color w:val="auto"/>
              </w:rPr>
            </w:pPr>
            <w:r>
              <w:rPr>
                <w:rFonts w:ascii="Arial" w:cs="Arial" w:eastAsia="Arial" w:hAnsi="Arial"/>
                <w:sz w:val="18"/>
                <w:szCs w:val="18"/>
                <w:color w:val="auto"/>
              </w:rPr>
              <w:t>2017 Activity</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Unrealized gain on hedges</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2018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Reclassification adjustments</w:t>
            </w:r>
          </w:p>
        </w:tc>
        <w:tc>
          <w:tcPr>
            <w:tcW w:w="18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loss on hedges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8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2019 Activity</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6"/>
                <w:szCs w:val="16"/>
                <w:color w:val="auto"/>
              </w:rPr>
            </w:pPr>
          </w:p>
        </w:tc>
      </w:tr>
      <w:tr>
        <w:trPr>
          <w:trHeight w:val="196"/>
        </w:trPr>
        <w:tc>
          <w:tcPr>
            <w:tcW w:w="75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23"/>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Net income/(loss)</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2,062</w:t>
            </w:r>
          </w:p>
        </w:tc>
        <w:tc>
          <w:tcPr>
            <w:tcW w:w="4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Reconciliation of net income to net cash provided by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519</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(Gains)/losses on asset sales and asset impairments, net</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Equity-indexed compensation expense</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Inventory valuation adjustments (Note 5)</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w:t>
            </w: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Deferred income tax expense/(benefit)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909</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Settlement of terminated interest rate hedging instruments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Equity earnings in unconsolidated entities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(290)</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Distributions on earnings from unconsolidated entities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w:t>
            </w: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Gain on investment in unconsolidated entities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Changes in assets and liabilities, net of acquisitions: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accounts receivable and other</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605</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Trade accounts payable and other</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848</w:t>
            </w:r>
          </w:p>
        </w:tc>
      </w:tr>
      <w:tr>
        <w:trPr>
          <w:trHeight w:val="217"/>
        </w:trPr>
        <w:tc>
          <w:tcPr>
            <w:tcW w:w="750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2,604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2,496</w:t>
            </w:r>
          </w:p>
        </w:tc>
      </w:tr>
      <w:tr>
        <w:trPr>
          <w:trHeight w:val="3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88"/>
        </w:trPr>
        <w:tc>
          <w:tcPr>
            <w:tcW w:w="75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in connection with acquisitions, net of cash acquired (Note 7)</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Investments in unconsolidated entities (Note 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(416)</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to property, equipment and other</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Proceeds from sales of assets (Note 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1,083</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Return of investment from unconsolidated entities (Note 9)</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Cash received from sales of linefill and base gas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49</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purchases of linefill and base gas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w:t>
            </w:r>
          </w:p>
        </w:tc>
      </w:tr>
      <w:tr>
        <w:trPr>
          <w:trHeight w:val="88"/>
        </w:trPr>
        <w:tc>
          <w:tcPr>
            <w:tcW w:w="75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Net borrowings/(repayments) under PAA commercial paper program (Note 11)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(690)</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borrowings/(repayments) under PAA senior secured hedged inventory facility (Note 11)</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Proceeds from PAA GO Zone term loans (Note 11)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issuance of PAA senior notes (Note 11)</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Repayments of PAA senior notes (Note 11)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(1,350)</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the sale of Class A shares (Note 12)</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1,535</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Net proceeds from the sale of preferred units by a subsidiary (Note 12)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788</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proceeds from the sale of common units by a subsidiary (Note 12)</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Distributions paid to Class A shareholders (Note 12)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(271)</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paid to noncontrolling interests (Note 12)</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(1,122)</w:t>
            </w: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Sale of noncontrolling interest in a subsidiary (Note 12)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r>
      <w:tr>
        <w:trPr>
          <w:trHeight w:val="217"/>
        </w:trPr>
        <w:tc>
          <w:tcPr>
            <w:tcW w:w="7500" w:type="dxa"/>
            <w:vAlign w:val="bottom"/>
          </w:tcPr>
          <w:p>
            <w:pPr>
              <w:ind w:left="3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(717)</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(940)</w:t>
            </w:r>
          </w:p>
        </w:tc>
      </w:tr>
      <w:tr>
        <w:trPr>
          <w:trHeight w:val="33"/>
        </w:trPr>
        <w:tc>
          <w:tcPr>
            <w:tcW w:w="7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88"/>
        </w:trPr>
        <w:tc>
          <w:tcPr>
            <w:tcW w:w="75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Effect of translation adjustment on cash</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08"/>
        </w:trPr>
        <w:tc>
          <w:tcPr>
            <w:tcW w:w="75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Net increase/(decrease) in cash and cash equivalents and restricted cash</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beginning of period</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w:t>
            </w:r>
          </w:p>
        </w:tc>
      </w:tr>
      <w:tr>
        <w:trPr>
          <w:trHeight w:val="217"/>
        </w:trPr>
        <w:tc>
          <w:tcPr>
            <w:tcW w:w="7500" w:type="dxa"/>
            <w:vAlign w:val="bottom"/>
          </w:tcPr>
          <w:p>
            <w:pPr>
              <w:ind w:left="20"/>
              <w:spacing w:after="0"/>
              <w:rPr>
                <w:sz w:val="20"/>
                <w:szCs w:val="20"/>
                <w:color w:val="auto"/>
              </w:rPr>
            </w:pPr>
            <w:r>
              <w:rPr>
                <w:rFonts w:ascii="Arial" w:cs="Arial" w:eastAsia="Arial" w:hAnsi="Arial"/>
                <w:sz w:val="16"/>
                <w:szCs w:val="16"/>
                <w:color w:val="auto"/>
              </w:rPr>
              <w:t>Cash and cash equivalents and restricted cash, end of period</w:t>
            </w: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r>
      <w:tr>
        <w:trPr>
          <w:trHeight w:val="33"/>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
        </w:trPr>
        <w:tc>
          <w:tcPr>
            <w:tcW w:w="75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224"/>
        </w:trPr>
        <w:tc>
          <w:tcPr>
            <w:tcW w:w="7500" w:type="dxa"/>
            <w:vAlign w:val="bottom"/>
          </w:tcPr>
          <w:p>
            <w:pPr>
              <w:ind w:left="20"/>
              <w:spacing w:after="0"/>
              <w:rPr>
                <w:sz w:val="20"/>
                <w:szCs w:val="20"/>
                <w:color w:val="auto"/>
              </w:rPr>
            </w:pPr>
            <w:r>
              <w:rPr>
                <w:rFonts w:ascii="Arial" w:cs="Arial" w:eastAsia="Arial" w:hAnsi="Arial"/>
                <w:sz w:val="16"/>
                <w:szCs w:val="16"/>
                <w:color w:val="auto"/>
              </w:rPr>
              <w:t>Cash paid for:</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7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net of amounts capitalized</w:t>
            </w: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4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486</w:t>
            </w:r>
          </w:p>
        </w:tc>
      </w:tr>
      <w:tr>
        <w:trPr>
          <w:trHeight w:val="224"/>
        </w:trPr>
        <w:tc>
          <w:tcPr>
            <w:tcW w:w="7500" w:type="dxa"/>
            <w:vAlign w:val="bottom"/>
          </w:tcPr>
          <w:p>
            <w:pPr>
              <w:ind w:left="120"/>
              <w:spacing w:after="0"/>
              <w:rPr>
                <w:sz w:val="20"/>
                <w:szCs w:val="20"/>
                <w:color w:val="auto"/>
              </w:rPr>
            </w:pPr>
            <w:r>
              <w:rPr>
                <w:rFonts w:ascii="Arial" w:cs="Arial" w:eastAsia="Arial" w:hAnsi="Arial"/>
                <w:sz w:val="16"/>
                <w:szCs w:val="16"/>
                <w:color w:val="auto"/>
              </w:rPr>
              <w:t>Income taxes, net of amounts refunded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w:t>
            </w:r>
          </w:p>
        </w:tc>
        <w:tc>
          <w:tcPr>
            <w:tcW w:w="48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w:t>
            </w:r>
          </w:p>
        </w:tc>
      </w:tr>
    </w:tbl>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5" w:right="259" w:bottom="1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7" w:gutter="0" w:footer="0" w:header="0"/>
          <w:type w:val="continuous"/>
        </w:sectPr>
      </w:pPr>
    </w:p>
    <w:bookmarkStart w:id="132" w:name="page133"/>
    <w:bookmarkEnd w:id="1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280" w:right="2640"/>
        <w:spacing w:after="0" w:line="275" w:lineRule="auto"/>
        <w:rPr>
          <w:sz w:val="20"/>
          <w:szCs w:val="20"/>
          <w:color w:val="auto"/>
        </w:rPr>
      </w:pPr>
      <w:r>
        <w:rPr>
          <w:rFonts w:ascii="Arial" w:cs="Arial" w:eastAsia="Arial" w:hAnsi="Arial"/>
          <w:sz w:val="18"/>
          <w:szCs w:val="18"/>
          <w:b w:val="1"/>
          <w:bCs w:val="1"/>
          <w:color w:val="auto"/>
        </w:rPr>
        <w:t>PLAINS GP HOLDINGS, L.P. AND SUBSIDIARIES CONSOLIDATED STATEMENTS OF CHANGES IN PARTNERS’ CAPITAL (in millions)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Class A</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4"/>
                <w:szCs w:val="14"/>
                <w:color w:val="auto"/>
              </w:rPr>
            </w:pPr>
          </w:p>
        </w:tc>
        <w:tc>
          <w:tcPr>
            <w:tcW w:w="118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Total Partners’</w:t>
            </w:r>
          </w:p>
        </w:tc>
        <w:tc>
          <w:tcPr>
            <w:tcW w:w="0" w:type="dxa"/>
            <w:vAlign w:val="bottom"/>
          </w:tcPr>
          <w:p>
            <w:pPr>
              <w:spacing w:after="0"/>
              <w:rPr>
                <w:sz w:val="1"/>
                <w:szCs w:val="1"/>
                <w:color w:val="auto"/>
              </w:rPr>
            </w:pPr>
          </w:p>
        </w:tc>
      </w:tr>
      <w:tr>
        <w:trPr>
          <w:trHeight w:val="192"/>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Shareholders</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6"/>
                <w:szCs w:val="16"/>
                <w:color w:val="auto"/>
              </w:rPr>
            </w:pPr>
          </w:p>
        </w:tc>
        <w:tc>
          <w:tcPr>
            <w:tcW w:w="1180" w:type="dxa"/>
            <w:vAlign w:val="bottom"/>
          </w:tcPr>
          <w:p>
            <w:pPr>
              <w:jc w:val="right"/>
              <w:ind w:right="351"/>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95"/>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8,970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10,707</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income/(loss)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 (Note 15)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Sales of Class A shares (Note 12)</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Sale of Series B preferred units by a subsidiary</w:t>
            </w: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Sales of common units by a subsidiary</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76"/>
        </w:trPr>
        <w:tc>
          <w:tcPr>
            <w:tcW w:w="7200" w:type="dxa"/>
            <w:vAlign w:val="bottom"/>
          </w:tcPr>
          <w:p>
            <w:pPr>
              <w:ind w:left="140"/>
              <w:spacing w:after="0" w:line="176" w:lineRule="exact"/>
              <w:rPr>
                <w:sz w:val="20"/>
                <w:szCs w:val="20"/>
                <w:color w:val="auto"/>
              </w:rPr>
            </w:pPr>
            <w:r>
              <w:rPr>
                <w:rFonts w:ascii="Arial" w:cs="Arial" w:eastAsia="Arial" w:hAnsi="Arial"/>
                <w:sz w:val="18"/>
                <w:szCs w:val="18"/>
                <w:color w:val="auto"/>
                <w:w w:val="93"/>
              </w:rPr>
              <w:t>Issuance of common units by a subsidiary for acquisition of interest in Advantage Joint Venture</w:t>
            </w:r>
          </w:p>
        </w:tc>
        <w:tc>
          <w:tcPr>
            <w:tcW w:w="180" w:type="dxa"/>
            <w:vAlign w:val="bottom"/>
          </w:tcPr>
          <w:p>
            <w:pPr>
              <w:spacing w:after="0"/>
              <w:rPr>
                <w:sz w:val="15"/>
                <w:szCs w:val="15"/>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5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ind w:right="7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7200" w:type="dxa"/>
            <w:vAlign w:val="bottom"/>
          </w:tcPr>
          <w:p>
            <w:pPr>
              <w:ind w:left="480"/>
              <w:spacing w:after="0"/>
              <w:rPr>
                <w:sz w:val="20"/>
                <w:szCs w:val="20"/>
                <w:color w:val="auto"/>
              </w:rPr>
            </w:pPr>
            <w:r>
              <w:rPr>
                <w:rFonts w:ascii="Arial" w:cs="Arial" w:eastAsia="Arial" w:hAnsi="Arial"/>
                <w:sz w:val="18"/>
                <w:szCs w:val="18"/>
                <w:color w:val="auto"/>
              </w:rPr>
              <w:t>(Note 7)</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 of interest in SLC Pipeline LLC by a subsidiary (Note 12)</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Other comprehensive income (Note 12)</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10,663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12,358</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Impact of adoption of ASU 2017-05</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Balance at January 1, 2018</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10,752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12,471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Distributions (Note 12)</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 (Note 15)</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comprehensive loss (Note 12)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11,473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Distributions (Note 12)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Deferred tax asset (Note 15)</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ownership interest in connection with Exchange Right exercises (Note 12)</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Other comprehensive income (Note 12)</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Equity-indexed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200" w:type="dxa"/>
            <w:vAlign w:val="bottom"/>
          </w:tcPr>
          <w:p>
            <w:pPr>
              <w:ind w:left="120"/>
              <w:spacing w:after="0"/>
              <w:rPr>
                <w:sz w:val="20"/>
                <w:szCs w:val="20"/>
                <w:color w:val="auto"/>
              </w:rPr>
            </w:pPr>
            <w:r>
              <w:rPr>
                <w:rFonts w:ascii="Arial" w:cs="Arial" w:eastAsia="Arial" w:hAnsi="Arial"/>
                <w:sz w:val="18"/>
                <w:szCs w:val="18"/>
                <w:color w:val="auto"/>
              </w:rPr>
              <w:t>Sale of noncontrolling interest in a subsidiary (Note 12)</w:t>
            </w:r>
          </w:p>
        </w:tc>
        <w:tc>
          <w:tcPr>
            <w:tcW w:w="18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20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12,330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14,485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33" w:name="page134"/>
    <w:bookmarkEnd w:id="1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Plains GP Holdings, L.P. (“PAGP”) is a Delaware limited partnership formed in 2013 that has elected to be taxed as a corporation for United States federal income tax purposes. PAGP does not directly own any operating assets; as of December 31, 2019, its principal sources of cash flow are derived from an indirect investment in Plains All American Pipeline, L.P. (“PAA”), a publicly traded Delaware limited partnership. As used in this Form 10-K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200"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As of December 31, 2019, PAGP owned (i) a 100% managing member interest in Plains All American GP LLC (“GP LLC”), an entity that has also elected to be taxed as a corporation for United States federal income tax purposes and (ii) an approximate 73% limited partner interest in Plains AAP, L.P. (“AAP”) through our direct ownership of approximately 181.1 million Class A units of AAP (“AAP units”) and indirect ownership of approximately 1.0 million AAP units through GP LLC. GP LLC is a Delaware limited liability company that also holds the non-economic general partner interest in AAP. AAP is a Delaware limited partnership that, as of December 31, 2019, directly owned a limited partner interest in PAA through its ownership of approximately 249.6 million PAA common units (approximately 31% of PAA’s total outstanding common units and Series A preferred units combined (together, “PAA Common Unit Equivalents”)). AAP is the sole member of PAA GP LLC (“PAA GP”), a Delaware limited liability company that directly holds the non-economic general partner interest in PAA.</w:t>
      </w:r>
    </w:p>
    <w:p>
      <w:pPr>
        <w:spacing w:after="0" w:line="21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primarily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21 for further discussion of our operating segments.</w:t>
      </w:r>
    </w:p>
    <w:p>
      <w:pPr>
        <w:spacing w:after="0" w:line="21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to the “Plains Entities” include us, our general partner, GP LLC, AAP, PAA GP and PAA and its subsidiaries.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the following notes and shall have the meanings indicated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AOCI</w:t>
            </w: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    Accumulated other comprehensive income/(loss)</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ASC</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180" w:type="dxa"/>
            <w:vAlign w:val="bottom"/>
          </w:tcPr>
          <w:p>
            <w:pPr>
              <w:ind w:left="140"/>
              <w:spacing w:after="0"/>
              <w:rPr>
                <w:sz w:val="20"/>
                <w:szCs w:val="20"/>
                <w:color w:val="auto"/>
              </w:rPr>
            </w:pPr>
            <w:r>
              <w:rPr>
                <w:rFonts w:ascii="Arial" w:cs="Arial" w:eastAsia="Arial" w:hAnsi="Arial"/>
                <w:sz w:val="18"/>
                <w:szCs w:val="18"/>
                <w:color w:val="auto"/>
              </w:rPr>
              <w:t>Accounting Standards Codification</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ASU</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180" w:type="dxa"/>
            <w:vAlign w:val="bottom"/>
          </w:tcPr>
          <w:p>
            <w:pPr>
              <w:ind w:left="140"/>
              <w:spacing w:after="0"/>
              <w:rPr>
                <w:sz w:val="20"/>
                <w:szCs w:val="20"/>
                <w:color w:val="auto"/>
              </w:rPr>
            </w:pPr>
            <w:r>
              <w:rPr>
                <w:rFonts w:ascii="Arial" w:cs="Arial" w:eastAsia="Arial" w:hAnsi="Arial"/>
                <w:sz w:val="18"/>
                <w:szCs w:val="18"/>
                <w:color w:val="auto"/>
              </w:rPr>
              <w:t>Accounting Standards Update</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Bcf</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180" w:type="dxa"/>
            <w:vAlign w:val="bottom"/>
          </w:tcPr>
          <w:p>
            <w:pPr>
              <w:ind w:left="140"/>
              <w:spacing w:after="0"/>
              <w:rPr>
                <w:sz w:val="20"/>
                <w:szCs w:val="20"/>
                <w:color w:val="auto"/>
              </w:rPr>
            </w:pPr>
            <w:r>
              <w:rPr>
                <w:rFonts w:ascii="Arial" w:cs="Arial" w:eastAsia="Arial" w:hAnsi="Arial"/>
                <w:sz w:val="18"/>
                <w:szCs w:val="18"/>
                <w:color w:val="auto"/>
              </w:rPr>
              <w:t>Billion cubic feet</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CAD</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180" w:type="dxa"/>
            <w:vAlign w:val="bottom"/>
          </w:tcPr>
          <w:p>
            <w:pPr>
              <w:ind w:left="140"/>
              <w:spacing w:after="0"/>
              <w:rPr>
                <w:sz w:val="20"/>
                <w:szCs w:val="20"/>
                <w:color w:val="auto"/>
              </w:rPr>
            </w:pPr>
            <w:r>
              <w:rPr>
                <w:rFonts w:ascii="Arial" w:cs="Arial" w:eastAsia="Arial" w:hAnsi="Arial"/>
                <w:sz w:val="18"/>
                <w:szCs w:val="18"/>
                <w:color w:val="auto"/>
              </w:rPr>
              <w:t>Canadian dollar</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CODM</w:t>
            </w: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    Chief Operating Decision Maker</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DERs</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9180" w:type="dxa"/>
            <w:vAlign w:val="bottom"/>
          </w:tcPr>
          <w:p>
            <w:pPr>
              <w:ind w:left="140"/>
              <w:spacing w:after="0"/>
              <w:rPr>
                <w:sz w:val="20"/>
                <w:szCs w:val="20"/>
                <w:color w:val="auto"/>
              </w:rPr>
            </w:pPr>
            <w:r>
              <w:rPr>
                <w:rFonts w:ascii="Arial" w:cs="Arial" w:eastAsia="Arial" w:hAnsi="Arial"/>
                <w:sz w:val="18"/>
                <w:szCs w:val="18"/>
                <w:color w:val="auto"/>
              </w:rPr>
              <w:t>Distribution equivalent rights</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EBITDA</w:t>
            </w: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    Earnings before interest, taxes, depreciation and amortization</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EPA</w:t>
            </w: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    United States Environmental Protection Agency</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FASB</w:t>
            </w: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    Financial Accounting Standards Board</w:t>
            </w:r>
          </w:p>
        </w:tc>
      </w:tr>
      <w:tr>
        <w:trPr>
          <w:trHeight w:val="270"/>
        </w:trPr>
        <w:tc>
          <w:tcPr>
            <w:tcW w:w="1340" w:type="dxa"/>
            <w:vAlign w:val="bottom"/>
          </w:tcPr>
          <w:p>
            <w:pPr>
              <w:ind w:left="20"/>
              <w:spacing w:after="0"/>
              <w:rPr>
                <w:sz w:val="20"/>
                <w:szCs w:val="20"/>
                <w:color w:val="auto"/>
              </w:rPr>
            </w:pPr>
            <w:r>
              <w:rPr>
                <w:rFonts w:ascii="Arial" w:cs="Arial" w:eastAsia="Arial" w:hAnsi="Arial"/>
                <w:sz w:val="18"/>
                <w:szCs w:val="18"/>
                <w:color w:val="auto"/>
              </w:rPr>
              <w:t>GAAP</w:t>
            </w:r>
          </w:p>
        </w:tc>
        <w:tc>
          <w:tcPr>
            <w:tcW w:w="10080" w:type="dxa"/>
            <w:vAlign w:val="bottom"/>
            <w:gridSpan w:val="2"/>
          </w:tcPr>
          <w:p>
            <w:pPr>
              <w:ind w:left="640"/>
              <w:spacing w:after="0"/>
              <w:rPr>
                <w:sz w:val="20"/>
                <w:szCs w:val="20"/>
                <w:color w:val="auto"/>
              </w:rPr>
            </w:pPr>
            <w:r>
              <w:rPr>
                <w:rFonts w:ascii="Arial" w:cs="Arial" w:eastAsia="Arial" w:hAnsi="Arial"/>
                <w:sz w:val="18"/>
                <w:szCs w:val="18"/>
                <w:color w:val="auto"/>
              </w:rPr>
              <w:t>=    Generally accepted accounting principles in the United States</w:t>
            </w:r>
          </w:p>
        </w:tc>
      </w:tr>
      <w:tr>
        <w:trPr>
          <w:trHeight w:val="905"/>
        </w:trPr>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80" w:type="dxa"/>
            <w:vAlign w:val="bottom"/>
          </w:tcPr>
          <w:p>
            <w:pPr>
              <w:ind w:left="3300"/>
              <w:spacing w:after="0"/>
              <w:rPr>
                <w:sz w:val="20"/>
                <w:szCs w:val="20"/>
                <w:color w:val="auto"/>
              </w:rPr>
            </w:pPr>
            <w:r>
              <w:rPr>
                <w:rFonts w:ascii="Arial" w:cs="Arial" w:eastAsia="Arial" w:hAnsi="Arial"/>
                <w:sz w:val="18"/>
                <w:szCs w:val="18"/>
                <w:color w:val="auto"/>
              </w:rPr>
              <w:t>F-11</w:t>
            </w:r>
          </w:p>
        </w:tc>
      </w:tr>
      <w:tr>
        <w:trPr>
          <w:trHeight w:val="115"/>
        </w:trPr>
        <w:tc>
          <w:tcPr>
            <w:tcW w:w="1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9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40" w:type="dxa"/>
            <w:vAlign w:val="bottom"/>
          </w:tcPr>
          <w:p>
            <w:pPr>
              <w:ind w:left="1420"/>
              <w:spacing w:after="0"/>
              <w:rPr>
                <w:sz w:val="20"/>
                <w:szCs w:val="20"/>
                <w:color w:val="auto"/>
              </w:rPr>
            </w:pPr>
            <w:r>
              <w:rPr>
                <w:rFonts w:ascii="Arial" w:cs="Arial" w:eastAsia="Arial" w:hAnsi="Arial"/>
                <w:sz w:val="18"/>
                <w:szCs w:val="18"/>
                <w:b w:val="1"/>
                <w:bCs w:val="1"/>
                <w:color w:val="auto"/>
              </w:rPr>
              <w:t>PLAINS GP HOLDINGS, L.P. AND SUBSIDIARIES</w:t>
            </w:r>
          </w:p>
        </w:tc>
      </w:tr>
      <w:tr>
        <w:trPr>
          <w:trHeight w:val="234"/>
        </w:trPr>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40" w:type="dxa"/>
            <w:vAlign w:val="bottom"/>
          </w:tcPr>
          <w:p>
            <w:pPr>
              <w:ind w:left="900"/>
              <w:spacing w:after="0"/>
              <w:rPr>
                <w:sz w:val="20"/>
                <w:szCs w:val="20"/>
                <w:color w:val="auto"/>
              </w:rPr>
            </w:pPr>
            <w:r>
              <w:rPr>
                <w:rFonts w:ascii="Arial" w:cs="Arial" w:eastAsia="Arial" w:hAnsi="Arial"/>
                <w:sz w:val="18"/>
                <w:szCs w:val="18"/>
                <w:b w:val="1"/>
                <w:bCs w:val="1"/>
                <w:color w:val="auto"/>
              </w:rPr>
              <w:t>NOTES TO THE CONSOLIDATED FINANCIAL STATEMENTS</w:t>
            </w:r>
          </w:p>
        </w:tc>
      </w:tr>
      <w:tr>
        <w:trPr>
          <w:trHeight w:val="716"/>
        </w:trPr>
        <w:tc>
          <w:tcPr>
            <w:tcW w:w="1320" w:type="dxa"/>
            <w:vAlign w:val="bottom"/>
          </w:tcPr>
          <w:p>
            <w:pPr>
              <w:spacing w:after="0"/>
              <w:rPr>
                <w:sz w:val="20"/>
                <w:szCs w:val="20"/>
                <w:color w:val="auto"/>
              </w:rPr>
            </w:pPr>
            <w:r>
              <w:rPr>
                <w:rFonts w:ascii="Arial" w:cs="Arial" w:eastAsia="Arial" w:hAnsi="Arial"/>
                <w:sz w:val="18"/>
                <w:szCs w:val="18"/>
                <w:color w:val="auto"/>
              </w:rPr>
              <w:t>ICE</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Intercontinental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ISDA</w:t>
            </w:r>
          </w:p>
        </w:tc>
        <w:tc>
          <w:tcPr>
            <w:tcW w:w="6940" w:type="dxa"/>
            <w:vAlign w:val="bottom"/>
            <w:gridSpan w:val="2"/>
          </w:tcPr>
          <w:p>
            <w:pPr>
              <w:ind w:left="640"/>
              <w:spacing w:after="0"/>
              <w:rPr>
                <w:sz w:val="20"/>
                <w:szCs w:val="20"/>
                <w:color w:val="auto"/>
              </w:rPr>
            </w:pPr>
            <w:r>
              <w:rPr>
                <w:rFonts w:ascii="Arial" w:cs="Arial" w:eastAsia="Arial" w:hAnsi="Arial"/>
                <w:sz w:val="18"/>
                <w:szCs w:val="18"/>
                <w:color w:val="auto"/>
              </w:rPr>
              <w:t>=    International Swaps and Derivatives Association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LIBOR</w:t>
            </w:r>
          </w:p>
        </w:tc>
        <w:tc>
          <w:tcPr>
            <w:tcW w:w="6940" w:type="dxa"/>
            <w:vAlign w:val="bottom"/>
            <w:gridSpan w:val="2"/>
          </w:tcPr>
          <w:p>
            <w:pPr>
              <w:ind w:left="640"/>
              <w:spacing w:after="0"/>
              <w:rPr>
                <w:sz w:val="20"/>
                <w:szCs w:val="20"/>
                <w:color w:val="auto"/>
              </w:rPr>
            </w:pPr>
            <w:r>
              <w:rPr>
                <w:rFonts w:ascii="Arial" w:cs="Arial" w:eastAsia="Arial" w:hAnsi="Arial"/>
                <w:sz w:val="18"/>
                <w:szCs w:val="18"/>
                <w:color w:val="auto"/>
              </w:rPr>
              <w:t>=    London Interbank Offered Rate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Long-term incentive plan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Mcf</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Thousand cubic feet</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MMbls</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Million barrels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NGL</w:t>
            </w:r>
          </w:p>
        </w:tc>
        <w:tc>
          <w:tcPr>
            <w:tcW w:w="6940" w:type="dxa"/>
            <w:vAlign w:val="bottom"/>
            <w:gridSpan w:val="2"/>
          </w:tcPr>
          <w:p>
            <w:pPr>
              <w:ind w:left="640"/>
              <w:spacing w:after="0"/>
              <w:rPr>
                <w:sz w:val="20"/>
                <w:szCs w:val="20"/>
                <w:color w:val="auto"/>
              </w:rPr>
            </w:pPr>
            <w:r>
              <w:rPr>
                <w:rFonts w:ascii="Arial" w:cs="Arial" w:eastAsia="Arial" w:hAnsi="Arial"/>
                <w:sz w:val="18"/>
                <w:szCs w:val="18"/>
                <w:color w:val="auto"/>
              </w:rPr>
              <w:t>=    Natural gas liquids, including ethane, propane and butane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NYMEX</w:t>
            </w:r>
          </w:p>
        </w:tc>
        <w:tc>
          <w:tcPr>
            <w:tcW w:w="6940" w:type="dxa"/>
            <w:vAlign w:val="bottom"/>
            <w:gridSpan w:val="2"/>
          </w:tcPr>
          <w:p>
            <w:pPr>
              <w:ind w:left="640"/>
              <w:spacing w:after="0"/>
              <w:rPr>
                <w:sz w:val="20"/>
                <w:szCs w:val="20"/>
                <w:color w:val="auto"/>
              </w:rPr>
            </w:pPr>
            <w:r>
              <w:rPr>
                <w:rFonts w:ascii="Arial" w:cs="Arial" w:eastAsia="Arial" w:hAnsi="Arial"/>
                <w:sz w:val="18"/>
                <w:szCs w:val="18"/>
                <w:color w:val="auto"/>
              </w:rPr>
              <w:t>=    New York Mercantile Exchange</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Oxy</w:t>
            </w:r>
          </w:p>
        </w:tc>
        <w:tc>
          <w:tcPr>
            <w:tcW w:w="6940" w:type="dxa"/>
            <w:vAlign w:val="bottom"/>
            <w:gridSpan w:val="2"/>
          </w:tcPr>
          <w:p>
            <w:pPr>
              <w:ind w:left="640"/>
              <w:spacing w:after="0"/>
              <w:rPr>
                <w:sz w:val="20"/>
                <w:szCs w:val="20"/>
                <w:color w:val="auto"/>
              </w:rPr>
            </w:pPr>
            <w:r>
              <w:rPr>
                <w:rFonts w:ascii="Arial" w:cs="Arial" w:eastAsia="Arial" w:hAnsi="Arial"/>
                <w:sz w:val="18"/>
                <w:szCs w:val="18"/>
                <w:color w:val="auto"/>
              </w:rPr>
              <w:t>=    Occidental Petroleum Corporation or its subsidiaries</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w:t>
            </w:r>
          </w:p>
        </w:tc>
        <w:tc>
          <w:tcPr>
            <w:tcW w:w="6940" w:type="dxa"/>
            <w:vAlign w:val="bottom"/>
            <w:gridSpan w:val="2"/>
          </w:tcPr>
          <w:p>
            <w:pPr>
              <w:ind w:left="640"/>
              <w:spacing w:after="0"/>
              <w:rPr>
                <w:sz w:val="20"/>
                <w:szCs w:val="20"/>
                <w:color w:val="auto"/>
              </w:rPr>
            </w:pPr>
            <w:r>
              <w:rPr>
                <w:rFonts w:ascii="Arial" w:cs="Arial" w:eastAsia="Arial" w:hAnsi="Arial"/>
                <w:sz w:val="18"/>
                <w:szCs w:val="18"/>
                <w:color w:val="auto"/>
              </w:rPr>
              <w:t>=    United States Securities and Exchange Commission</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TWh</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Terawatt hour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USD</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United States dollar</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WTI</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6040" w:type="dxa"/>
            <w:vAlign w:val="bottom"/>
          </w:tcPr>
          <w:p>
            <w:pPr>
              <w:ind w:left="140"/>
              <w:spacing w:after="0"/>
              <w:rPr>
                <w:sz w:val="20"/>
                <w:szCs w:val="20"/>
                <w:color w:val="auto"/>
              </w:rPr>
            </w:pPr>
            <w:r>
              <w:rPr>
                <w:rFonts w:ascii="Arial" w:cs="Arial" w:eastAsia="Arial" w:hAnsi="Arial"/>
                <w:sz w:val="18"/>
                <w:szCs w:val="18"/>
                <w:color w:val="auto"/>
              </w:rPr>
              <w:t>West Texas Intermediate</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2019 and 2018, and the consolidated results of our operations, cash flows, changes in partners’ capital, comprehensive income and changes in accumulated other comprehensive income/(loss) for the years ended December 31, 2019, 2018 and 2017. All significant intercompany transactions have been eliminated in consolidation, and certain reclassifications have been made to information from previous years to conform to the current presentation.</w:t>
      </w:r>
    </w:p>
    <w:p>
      <w:pPr>
        <w:spacing w:after="0" w:line="19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determined that our subsidiaries, PAA and AAP, are VIEs and should be consolidated by PAGP because:</w:t>
      </w:r>
    </w:p>
    <w:p>
      <w:pPr>
        <w:spacing w:after="0" w:line="252" w:lineRule="exact"/>
        <w:rPr>
          <w:sz w:val="20"/>
          <w:szCs w:val="20"/>
          <w:color w:val="auto"/>
        </w:rPr>
      </w:pPr>
    </w:p>
    <w:p>
      <w:pPr>
        <w:ind w:left="980" w:right="380" w:hanging="324"/>
        <w:spacing w:after="0" w:line="264"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208"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97"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With the exception of a deferred tax asset of $1.280 billion and $1.304 billion as of December 31, 2019 and 2018, respectively, substantially all assets and liabilities presented on PAGP’s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2019, 2018 or 2017. See Note 17 for information regarding the Omnibus Agreement entered into by the Plains Entities on November 15, 2016.</w:t>
      </w:r>
    </w:p>
    <w:p>
      <w:pPr>
        <w:spacing w:after="0" w:line="21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as well as the disclosure of contingent assets and liabilities at the date of the financial statements. Such estimates and assumptions also affect the reported amounts of revenues and expenses during the reporting period. We make significant estimates with respect to (i) estimated fair value of assets and liabilities acquired and identification of associated goodwill and intangible assets, (ii) impairment assessments of goodwill and intangible assets,</w:t>
      </w:r>
    </w:p>
    <w:p>
      <w:pPr>
        <w:spacing w:after="0" w:line="2" w:lineRule="exact"/>
        <w:rPr>
          <w:sz w:val="20"/>
          <w:szCs w:val="20"/>
          <w:color w:val="auto"/>
        </w:rPr>
      </w:pPr>
    </w:p>
    <w:p>
      <w:pPr>
        <w:ind w:firstLine="8"/>
        <w:spacing w:after="0" w:line="255" w:lineRule="auto"/>
        <w:tabs>
          <w:tab w:leader="none" w:pos="3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fair value of derivatives, (iv) accruals and contingent liabilities, (v) equity-indexed compensation plan accruals, (vi) property and equipment, depreciation and amortization expense, asset retirement obligations and impairments, (vii) allowance for doubtful accounts and (viii) inventory valuations. Although we believe these estimates are reasonable, actual results could differ from these estimates.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and Related Costs</w:t>
      </w:r>
    </w:p>
    <w:p>
      <w:pPr>
        <w:spacing w:after="0" w:line="252"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Purchases and related costs include (i) the weighted average cost of crude oil, NGL and natural gas sold to customers, (ii) fees incurred for storage and transportation, whether by pipeline, truck, rail, ship or barge and (iii) performance-related bonus costs. These costs are recognized when incurred except in the case of products sold, which are recognized at the time title transfers to our customers. Inventory exchanges under buy/sell transactions are presented net in “Purchases and related costs” in our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Operating Costs and General and Administrative Expenses</w:t>
      </w:r>
    </w:p>
    <w:p>
      <w:pPr>
        <w:spacing w:after="0" w:line="25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Field operating costs consist of various field operating expenses, including payroll, compensation and benefits costs for operations personnel; fuel and power costs (including the impact of gains and losses from derivative related activities); third-party trucking transportation costs for our U.S. crude oil operations; maintenance and integrity management costs; regulatory compliance; environmental remediation; insurance; costs for usage of third-party owned pipeline, rail and storage assets; vehicle leases; and property taxes. General and administrative expenses consist primarily of payroll, compensation and benefits costs; certain information systems and legal costs; office rent; contract and consultant costs; and audit and tax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Transactions/Translation</w:t>
      </w:r>
    </w:p>
    <w:p>
      <w:pPr>
        <w:spacing w:after="0" w:line="252"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Certain of our subsidiaries use the Canadian dollar as their functional currency. Assets and liabilities of subsidiaries with a Canadian dollar functional currency are translated at period-end rates of exchange, and revenues and expenses are translated at average exchange rates prevailing for each month. The resulting translation adjustments are made directly to a separate component of other comprehensive income, which is reflected in Partners’ Capital on our Consolidated Balance Sheets.</w:t>
      </w:r>
    </w:p>
    <w:p>
      <w:pPr>
        <w:spacing w:after="0" w:line="214"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Certain of our subsidiaries also enter into transactions and have monetary assets and liabilities that are denominated in a currency other than the entities’ respective functional currencies. Gains and losses from the revaluation of foreign currency transactions and monetary assets and liabilities are generally included in the Consolidated Statements of Operations. However, gains and losses arising from intercompany foreign currency transactions that are of a long-term investment nature are reported in the same manner as translation adjustments. The revaluation of foreign currency transactions and monetary assets and liabilities resulted in amounts recorded to the Consolidated Statements of Operations of a net gain of $1 million in each of the years ended December 31, 2019 and 2018 and a net gain of $21 million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25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Cash and cash equivalents consist of all unrestricted demand deposits and funds invested in highly liquid instruments with original maturities of three months or less and typically exceed federally insured limits. We periodically assess the financial condition of the institutions where these funds are held and believe that our credit risk is minimal.</w:t>
      </w:r>
    </w:p>
    <w:p>
      <w:pPr>
        <w:spacing w:after="0" w:line="20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 accordance with our policy, unless they may be covered by funds on deposit, outstanding checks are classified as trade accounts payable rather than negative cash. As of December 31, 2019 and 2018, trade accounts payable included $39 million and $57 million, respectively, of outstanding checks that were reclassified from cash and cash equivalents.</w:t>
      </w:r>
    </w:p>
    <w:p>
      <w:pPr>
        <w:spacing w:after="0" w:line="20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Consolidated Balance Sheet that sum to the total of the amount shown on our Consolidated Statement of Cash Flows as of December 31, 2019 (in millions):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December 31, 2019</w:t>
            </w:r>
          </w:p>
        </w:tc>
      </w:tr>
      <w:tr>
        <w:trPr>
          <w:trHeight w:val="25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w:t>
            </w:r>
          </w:p>
        </w:tc>
      </w:tr>
      <w:tr>
        <w:trPr>
          <w:trHeight w:val="243"/>
        </w:trPr>
        <w:tc>
          <w:tcPr>
            <w:tcW w:w="96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580" w:type="dxa"/>
            <w:vAlign w:val="bottom"/>
          </w:tcPr>
          <w:p>
            <w:pPr>
              <w:jc w:val="right"/>
              <w:ind w:right="74"/>
              <w:spacing w:after="0"/>
              <w:rPr>
                <w:sz w:val="20"/>
                <w:szCs w:val="20"/>
                <w:color w:val="auto"/>
              </w:rPr>
            </w:pPr>
            <w:r>
              <w:rPr>
                <w:rFonts w:ascii="Arial" w:cs="Arial" w:eastAsia="Arial" w:hAnsi="Arial"/>
                <w:sz w:val="18"/>
                <w:szCs w:val="18"/>
                <w:color w:val="auto"/>
              </w:rPr>
              <w:t>37</w:t>
            </w:r>
          </w:p>
        </w:tc>
      </w:tr>
      <w:tr>
        <w:trPr>
          <w:trHeight w:val="27"/>
        </w:trPr>
        <w:tc>
          <w:tcPr>
            <w:tcW w:w="9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9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cash and cash equivalents and restricted cash</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restricted cash as of December 31,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Noncontrolling interest represents the portion of assets and liabilities in a consolidated subsidiary that is owned by a third party. FASB guidance requires all entities to report noncontrolling interests in subsidiaries as a component of equity in the consolidated financial statements. See Note 12 for additional discussion regarding our noncontrolling interests.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FASB guidance establishes accounting requirements for retirement obligations associated with tangible long-lived assets, including estimates related to (i) the time of the liability recognition, (ii) initial measurement of the liability, (iii) allocation of asset retirement cost to expense, (iv) subsequent measurement of the liability and (v) financial statement disclosures. FASB guidance also requires that the cost for asset retirement should be capitalized as part of the cost of the related long-lived asset and subsequently allocated to expense using a systematic and rational method.</w:t>
      </w:r>
    </w:p>
    <w:p>
      <w:pPr>
        <w:spacing w:after="0" w:line="19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Some of our assets, primarily related to our Transportation and Facilities segments, have contractual or regulatory obligations to perform remediation and, in some instances, dismantlement and removal activities when the assets are abandoned. These obligations include varying levels of activity including disconnecting inactive assets from active assets, cleaning and purging assets, and in some cases, completely removing the assets and returning the land to its original state. These assets have been in existence for many years and with regular maintenance will continue to be in service for many years to come. It is not possible to predict when demand for these transportation or storage services will cease, and we do not believe that such demand will cease for the foreseeable future. Accordingly, we believe the date when these assets will be abandoned is indeterminate. With no reasonably determinable abandonment date, we cannot reasonably estimate the fair value of the associated asset retirement obligations. We will record asset retirement obligations for these assets in the period in which sufficient information becomes available for us to reasonably determine the settlement dates.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small portion of our contractual or regulatory obligations is related to assets that are inactive or that we plan to take out of service and, although the ultimate timing and costs to settle these obligations are not known with certainty, we have recorded a reasonable estimate of these obligations. The following table presents the change in the liability for asset retirement obligations, of which $135 million, $107 million and $99 million were reflected in “Other long-term liabilities and deferred credits” with the remaining portion reflected in “Other current liabilities” on our Consolidated Balance Sheets as of December 31, 2019, 2018 and 2017, respectively (in millions):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6"/>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w:t>
            </w: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Liabilities incurred</w:t>
            </w:r>
          </w:p>
        </w:tc>
        <w:tc>
          <w:tcPr>
            <w:tcW w:w="7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33</w:t>
            </w: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 settled</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Accretion expense</w:t>
            </w:r>
          </w:p>
        </w:tc>
        <w:tc>
          <w:tcPr>
            <w:tcW w:w="780" w:type="dxa"/>
            <w:vAlign w:val="bottom"/>
          </w:tcPr>
          <w:p>
            <w:pPr>
              <w:spacing w:after="0"/>
              <w:rPr>
                <w:sz w:val="21"/>
                <w:szCs w:val="21"/>
                <w:color w:val="auto"/>
              </w:rPr>
            </w:pP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Revisions in estimated cash flows</w:t>
            </w:r>
          </w:p>
        </w:tc>
        <w:tc>
          <w:tcPr>
            <w:tcW w:w="7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w:t>
            </w:r>
          </w:p>
        </w:tc>
      </w:tr>
      <w:tr>
        <w:trPr>
          <w:trHeight w:val="264"/>
        </w:trPr>
        <w:tc>
          <w:tcPr>
            <w:tcW w:w="74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78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6"/>
              </w:rPr>
              <w:t>137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103</w:t>
            </w:r>
          </w:p>
        </w:tc>
      </w:tr>
      <w:tr>
        <w:trPr>
          <w:trHeight w:val="21"/>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5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Our assessment of the significance of a particular input to the fair value measurement requires judgment, which affects the placement of assets and liabilities within the fair value hierarchy levels. The determination of the fair values includes not only the credit standing of the counterparties involved and the impact of credit enhancements (such as cash deposits and letters of credit) but also the impact of our nonperformance risk on our liabilities. The fair value of our commodity derivatives, interest rate derivatives and foreign currency derivatives includes adjustments for credit risk. Our credit adjustment methodology uses market observable inputs and requires judgment. There were no changes to any of our valuation techniques during the period. See Note 13 for further discussion.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Significant Accounting Policies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the respective footnotes for our accounting policies regarding (i) revenues and accounts receivable, (ii) net income per Class A share,</w:t>
      </w:r>
    </w:p>
    <w:p>
      <w:pPr>
        <w:spacing w:after="0" w:line="35" w:lineRule="exact"/>
        <w:rPr>
          <w:sz w:val="20"/>
          <w:szCs w:val="20"/>
          <w:color w:val="auto"/>
        </w:rPr>
      </w:pPr>
    </w:p>
    <w:p>
      <w:pPr>
        <w:ind w:right="40" w:firstLine="8"/>
        <w:spacing w:after="0" w:line="281" w:lineRule="auto"/>
        <w:tabs>
          <w:tab w:leader="none" w:pos="3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inventory, linefill and base gas and long-term inventory, (iv) property and equipment, (v) acquisitions, (vi) goodwill, (vii) investments in unconsolidated entities, (viii) other long-term assets, net, (ix) derivatives and risk management activities, (x) leases, (xi) income taxes, (xii) equity-indexed compensation and</w:t>
      </w:r>
    </w:p>
    <w:p>
      <w:pPr>
        <w:spacing w:after="0" w:line="1" w:lineRule="exact"/>
        <w:rPr>
          <w:rFonts w:ascii="Arial" w:cs="Arial" w:eastAsia="Arial" w:hAnsi="Arial"/>
          <w:sz w:val="16"/>
          <w:szCs w:val="16"/>
          <w:color w:val="auto"/>
        </w:rPr>
      </w:pPr>
    </w:p>
    <w:p>
      <w:pPr>
        <w:ind w:left="420" w:hanging="412"/>
        <w:spacing w:after="0"/>
        <w:tabs>
          <w:tab w:leader="none" w:pos="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legal and environmental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In December 2019, the FASB issued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to simplify the accounting for income taxes based on changes suggested by stakeholders as part of the FASB’s simplification initiative. This guidance is effective for interim and annual periods beginning after December 15, 2020, with early adoption permitted. We expect to adopt this guidance on January 1, 2021, and we are currently evaluating the effect that our adoption of this guidance will have on our financial position, results of operations and cash flows.</w:t>
      </w:r>
    </w:p>
    <w:p>
      <w:pPr>
        <w:spacing w:after="0" w:line="198"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 xml:space="preserve">In April 2019, the FASB issued 2019-04, </w:t>
      </w:r>
      <w:r>
        <w:rPr>
          <w:rFonts w:ascii="Arial" w:cs="Arial" w:eastAsia="Arial" w:hAnsi="Arial"/>
          <w:sz w:val="18"/>
          <w:szCs w:val="18"/>
          <w:i w:val="1"/>
          <w:iCs w:val="1"/>
          <w:color w:val="auto"/>
        </w:rPr>
        <w:t>Codification Improvements to Topic 326, Financial Instruments—Credit Losses, Topic 815,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and Topic 825, Financial Instruments</w:t>
      </w:r>
      <w:r>
        <w:rPr>
          <w:rFonts w:ascii="Arial" w:cs="Arial" w:eastAsia="Arial" w:hAnsi="Arial"/>
          <w:sz w:val="18"/>
          <w:szCs w:val="18"/>
          <w:color w:val="auto"/>
        </w:rPr>
        <w:t>, which clarifies certain aspects of accounting for credit losses, hedging activities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adopt this guidance effective January 1, 2020, and do not anticipate that the adoption will have a material impact on our financial position, results of operations or cash flows.</w:t>
      </w:r>
    </w:p>
    <w:p>
      <w:pPr>
        <w:spacing w:after="0" w:line="21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In October 2018, the FASB issued ASU 2018-17, </w:t>
      </w:r>
      <w:r>
        <w:rPr>
          <w:rFonts w:ascii="Arial" w:cs="Arial" w:eastAsia="Arial" w:hAnsi="Arial"/>
          <w:sz w:val="16"/>
          <w:szCs w:val="16"/>
          <w:i w:val="1"/>
          <w:iCs w:val="1"/>
          <w:color w:val="auto"/>
        </w:rPr>
        <w:t>Consolidation (Topic 810): Targeted Improvements to Related Party Guidance for Variable Interest</w:t>
      </w:r>
      <w:r>
        <w:rPr>
          <w:rFonts w:ascii="Arial" w:cs="Arial" w:eastAsia="Arial" w:hAnsi="Arial"/>
          <w:sz w:val="16"/>
          <w:szCs w:val="16"/>
          <w:color w:val="auto"/>
        </w:rPr>
        <w:t xml:space="preserve"> </w:t>
      </w:r>
      <w:r>
        <w:rPr>
          <w:rFonts w:ascii="Arial" w:cs="Arial" w:eastAsia="Arial" w:hAnsi="Arial"/>
          <w:sz w:val="16"/>
          <w:szCs w:val="16"/>
          <w:i w:val="1"/>
          <w:iCs w:val="1"/>
          <w:color w:val="auto"/>
        </w:rPr>
        <w:t>Entities</w:t>
      </w:r>
      <w:r>
        <w:rPr>
          <w:rFonts w:ascii="Arial" w:cs="Arial" w:eastAsia="Arial" w:hAnsi="Arial"/>
          <w:sz w:val="16"/>
          <w:szCs w:val="16"/>
          <w:color w:val="auto"/>
        </w:rPr>
        <w:t>, in response to stakeholder observations that improvements could be made by requiring reporting entities to consider indirect interests held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parties under common control on a proportional basis rather than as the equivalent of a direct interest in its entirety as currently required in GAAP. This guidance is effective for interim and annual periods beginning after December 15, 2019, with early adoption permitted. We will adopt this guidance effective January 1, 2020, and do not anticipate that the adoption will have a material impact on our financial position, results of operations or cash flows.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October 2018, the FASB issued ASU 2018-16, </w:t>
      </w:r>
      <w:r>
        <w:rPr>
          <w:rFonts w:ascii="Arial" w:cs="Arial" w:eastAsia="Arial" w:hAnsi="Arial"/>
          <w:sz w:val="16"/>
          <w:szCs w:val="16"/>
          <w:i w:val="1"/>
          <w:iCs w:val="1"/>
          <w:color w:val="auto"/>
        </w:rPr>
        <w:t>Derivatives and Hedging (Topic 815): Inclusion of the Secured Overnight Financing Rate (SOFR)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Overnight Index Swap (OIS) Rate as a Benchmark Interest Rate for Hedge Accounting Purposes, </w:t>
      </w:r>
      <w:r>
        <w:rPr>
          <w:rFonts w:ascii="Arial" w:cs="Arial" w:eastAsia="Arial" w:hAnsi="Arial"/>
          <w:sz w:val="16"/>
          <w:szCs w:val="16"/>
          <w:color w:val="auto"/>
        </w:rPr>
        <w:t>to include the OIS rate based on SOFR as an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benchmark interest rate during the early stages of the marketplace transition to facilitate the LIBOR to SOFR transition and provide sufficient lead time for entities to prepare for changes to interest rate risk hedging strategies for both risk management and hedge accounting purposes</w:t>
      </w:r>
      <w:r>
        <w:rPr>
          <w:rFonts w:ascii="Arial" w:cs="Arial" w:eastAsia="Arial" w:hAnsi="Arial"/>
          <w:sz w:val="16"/>
          <w:szCs w:val="16"/>
          <w:i w:val="1"/>
          <w:iCs w:val="1"/>
          <w:color w:val="auto"/>
        </w:rPr>
        <w:t>.</w:t>
      </w:r>
      <w:r>
        <w:rPr>
          <w:rFonts w:ascii="Arial" w:cs="Arial" w:eastAsia="Arial" w:hAnsi="Arial"/>
          <w:sz w:val="16"/>
          <w:szCs w:val="16"/>
          <w:color w:val="auto"/>
        </w:rPr>
        <w:t xml:space="preserve"> This guidance is effective for interim and annual periods beginning after December 15, 2018, and must be adopted concurrently with the amendments in ASU 2017-12 (see below). We adopted this guidance effective January 1, 2019, and our adoption did not have a material impact on our financial position, results of operations or cash flows.</w:t>
      </w:r>
    </w:p>
    <w:p>
      <w:pPr>
        <w:spacing w:after="0" w:line="19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(a consensus of the FASB Emerging Issues Task Force), to address the accounting for implementation costs of a hosting arrangement that is a service contract and to align the accounting for implementation costs for hosting arrangements, regardless of whether they convey a license to the hosted software. This guidance is effective for interim and annual periods beginning after December 15, 2019, with early adoption permitted. We will adopt this guidance effective January 1, 2020, and do not anticipate that the adoption will have a material impact on our financial position, results of operations or cash flows.</w:t>
      </w:r>
    </w:p>
    <w:p>
      <w:pPr>
        <w:spacing w:after="0" w:line="2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modifying the disclosure requirements on fair value measurements in Topic 820. This guidance is effective for interim and annual periods beginning after December 15, 2019, with early adoption permitted. We will adopt this guidance effective January 1, 2020, and will apply the new guidance to any applicable disclosures.</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July 2018, the FASB issued ASU 2018-09, Codification Improvements, which makes updates for clarifications, technical corrections and other minor improvements to a wide variety of Topics to make the ASC easier to understand and to apply. The transition and effective date is based on the facts and circumstances of each amendment with some amendments effective upon issuance. The remaining amendments are effective for annual periods beginning after December 15, 2018. We adopted this guidance effective January 1, 2019, and our adoption did not have a material impact on our financial position, results of operations or cash flows.</w:t>
      </w:r>
    </w:p>
    <w:p>
      <w:pPr>
        <w:spacing w:after="0" w:line="21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June 2018, the FASB issued ASU 2018-07, Compensation—Stock Compensation (Topic 718): Improvements to Nonemployee Share-Based Payment Accounting, which expands the scope of Topic 718 to include share-based payment awards to nonemployees and eliminates the classification differences for employee and nonemployee share-based payment awards. This guidance is effective for interim and annual periods beginning after December 15, 2018, with early adoption permitted. We adopted this guidance effective January 1, 2019, and our adoption did not have a material impact on our financial position, results of operations or cash flows.</w:t>
      </w:r>
    </w:p>
    <w:p>
      <w:pPr>
        <w:spacing w:after="0" w:line="21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August 2017, the FASB issued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xml:space="preserve"> to better align an entity’s risk management activities and financial reporting for hedging relationships through changes to both the designation and measurement guidance for qualifying hedging relationships and the presentation of hedge results. Under the new guidance, (i) more financial and nonfinancial hedging strategies will be eligible for hedge accounting, (ii) presentation and disclosure requirements are amended and (iii) companies will change the way they assess effectiveness. This guidance is effective for interim and annual periods beginning after December 15, 2018, with early adoption permitted. We adopted this guidance effective January 1, 2019, and our adoption did not have a material impact on our financial position, results of operations or cash flows.</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(followed by a series of related accounting standard updates), which amends guidance on the impairment of financial instruments and adds an</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(known as the current expected credit loss (or CECL) model) that is based on expected losses rather than incurred losses. This guidance will become effective for interim and annual periods beginning after December 15, 2019, with early adoption permitted by one year. We will adopt this guidance effective January 1, 2020, and do not anticipate that the adoption will have a material impact on our financial position, results of operations or cash flows.</w:t>
      </w:r>
    </w:p>
    <w:p>
      <w:pPr>
        <w:spacing w:after="0" w:line="22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(followed by a series of related accounting standard updates (collectively referred to as “Topic 842”)), that revises the current accounting model for leases. The most significant changes are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 and $570 million, respectively, on January 1, 2019, and did not have a material impact on our results of operations or cash flows.</w:t>
      </w:r>
    </w:p>
    <w:p>
      <w:pPr>
        <w:spacing w:after="0" w:line="18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Note 14 for information about our leases.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3—Revenues and Accounts Receivable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 xml:space="preserve">On January 1, 2018, we adopted Revenues from Contracts with Customers (“Topic 606”) using the modified retrospective approach applied to those contracts which were not completed as of January 1, 2018. Results for reporting periods beginning after January 1, 2018 are presented under Topic 606, while prior period amounts are not adjusted and continue to be reported in accordance with our historic accounting under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w:t>
      </w:r>
    </w:p>
    <w:p>
      <w:pPr>
        <w:spacing w:after="0" w:line="17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Under Topic 606, we disaggregate our revenues by segment and type of activity. These categories depict how the nature, amount, timing and uncertainty of revenues and cash flows are affected by economic factors.</w:t>
      </w:r>
    </w:p>
    <w:p>
      <w:pPr>
        <w:spacing w:after="0" w:line="19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i w:val="1"/>
          <w:iCs w:val="1"/>
          <w:color w:val="auto"/>
        </w:rPr>
        <w:t xml:space="preserve">Supply and Logistics Segment Revenues from Contracts with Customers. </w:t>
      </w:r>
      <w:r>
        <w:rPr>
          <w:rFonts w:ascii="Arial" w:cs="Arial" w:eastAsia="Arial" w:hAnsi="Arial"/>
          <w:sz w:val="18"/>
          <w:szCs w:val="18"/>
          <w:color w:val="auto"/>
        </w:rPr>
        <w:t>The following table presents our Supply and Logistics segment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from contracts with customers disaggregated by type of activity (in millions):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9"/>
              </w:rPr>
              <w:t>2018</w:t>
            </w:r>
          </w:p>
        </w:tc>
      </w:tr>
      <w:tr>
        <w:trPr>
          <w:trHeight w:val="23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Supply and Logistics segment revenues from contracts with customers</w:t>
            </w:r>
          </w:p>
        </w:tc>
        <w:tc>
          <w:tcPr>
            <w:tcW w:w="10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700" w:type="dxa"/>
            <w:vAlign w:val="bottom"/>
          </w:tcPr>
          <w:p>
            <w:pPr>
              <w:ind w:left="120"/>
              <w:spacing w:after="0"/>
              <w:rPr>
                <w:sz w:val="20"/>
                <w:szCs w:val="20"/>
                <w:color w:val="auto"/>
              </w:rPr>
            </w:pPr>
            <w:r>
              <w:rPr>
                <w:rFonts w:ascii="Arial" w:cs="Arial" w:eastAsia="Arial" w:hAnsi="Arial"/>
                <w:sz w:val="18"/>
                <w:szCs w:val="18"/>
                <w:color w:val="auto"/>
              </w:rPr>
              <w:t>Crude oil transactions</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30,082</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29,592</w:t>
            </w:r>
          </w:p>
        </w:tc>
      </w:tr>
      <w:tr>
        <w:trPr>
          <w:trHeight w:val="27"/>
        </w:trPr>
        <w:tc>
          <w:tcPr>
            <w:tcW w:w="7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other transactions</w:t>
            </w:r>
          </w:p>
        </w:tc>
        <w:tc>
          <w:tcPr>
            <w:tcW w:w="10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1,884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3,108</w:t>
            </w:r>
          </w:p>
        </w:tc>
      </w:tr>
      <w:tr>
        <w:trPr>
          <w:trHeight w:val="264"/>
        </w:trPr>
        <w:tc>
          <w:tcPr>
            <w:tcW w:w="7700" w:type="dxa"/>
            <w:vAlign w:val="bottom"/>
          </w:tcPr>
          <w:p>
            <w:pPr>
              <w:ind w:left="20"/>
              <w:spacing w:after="0"/>
              <w:rPr>
                <w:sz w:val="20"/>
                <w:szCs w:val="20"/>
                <w:color w:val="auto"/>
              </w:rPr>
            </w:pPr>
            <w:r>
              <w:rPr>
                <w:rFonts w:ascii="Arial" w:cs="Arial" w:eastAsia="Arial" w:hAnsi="Arial"/>
                <w:sz w:val="18"/>
                <w:szCs w:val="18"/>
                <w:color w:val="auto"/>
              </w:rPr>
              <w:t>Total Supply and Logistics segment revenues from contracts with customers</w:t>
            </w:r>
          </w:p>
        </w:tc>
        <w:tc>
          <w:tcPr>
            <w:tcW w:w="1040" w:type="dxa"/>
            <w:vAlign w:val="bottom"/>
            <w:tcBorders>
              <w:top w:val="single" w:sz="8" w:color="auto"/>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31,966</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32,700</w:t>
            </w:r>
          </w:p>
        </w:tc>
      </w:tr>
      <w:tr>
        <w:trPr>
          <w:trHeight w:val="21"/>
        </w:trPr>
        <w:tc>
          <w:tcPr>
            <w:tcW w:w="7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Revenues from sales of crude oil, NGL and natural gas are recognized at the time title to the product sold transfers to the purchaser, which occurs upon delivery of the product to the purchaser or its designee. Sales of crude oil and NGL consist of outright sales contracts. The consideration received under these contracts is variable based on commodity prices. Inventory exchanges under buy/sell transactions are excluded from Supply and Logistics segment revenues in our Consolidated Statements of Operations. Revenues recognized by our Supply and Logistics segment primarily represent margin based activities.</w:t>
      </w:r>
    </w:p>
    <w:p>
      <w:pPr>
        <w:spacing w:after="0" w:line="21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In addition, we have certain crude oil sales agreements that are entered into in conjunction with storage arrangements and future inventory exchanges. The revenues under these agreements are deferred until all performance obligations associated with the related agreements are completed. The inventory that has been sold under these crude oil sales agreements is reflected in “Other current assets” on our Consolidated Balance Sheet until all of our performance obligations are complete. At that time,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inventory that has been sold is removed from our Consolidated Balance Sheet and recorded as “Purchases and related costs” in our Consolidated Statement of Operations. At December 31, 2019, other current assets and deferred revenue associated with these agreements were approximately $142 million and $155 million, respectively. At December 31, 2018, other current assets and deferred revenue associated with these agreements was approximately $115 million and $116 million, respectively. See Contract Balances below for further discussion of contract liabilities associated with these agreements.</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We may also utilize derivatives in connection with the transactions described above. Derivative revenue is not included as a component of revenue from contracts with customers, but is included in other items in revenue. The change in the fair value of derivatives that are not designated or do not qualify for hedge accounting is recognized in revenues each period.</w:t>
      </w:r>
    </w:p>
    <w:p>
      <w:pPr>
        <w:spacing w:after="0" w:line="20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Transportation Segment Revenues from Contracts with Customers. </w:t>
      </w:r>
      <w:r>
        <w:rPr>
          <w:rFonts w:ascii="Arial" w:cs="Arial" w:eastAsia="Arial" w:hAnsi="Arial"/>
          <w:sz w:val="18"/>
          <w:szCs w:val="18"/>
          <w:color w:val="auto"/>
        </w:rPr>
        <w:t>The following table presents our Transportation segment revenues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disaggregated by type of activity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w w:val="89"/>
              </w:rPr>
              <w:t>2018</w:t>
            </w:r>
          </w:p>
        </w:tc>
      </w:tr>
      <w:tr>
        <w:trPr>
          <w:trHeight w:val="236"/>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Transportation segment revenues from contracts with customers</w:t>
            </w:r>
          </w:p>
        </w:tc>
        <w:tc>
          <w:tcPr>
            <w:tcW w:w="10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700" w:type="dxa"/>
            <w:vAlign w:val="bottom"/>
          </w:tcPr>
          <w:p>
            <w:pPr>
              <w:ind w:left="100"/>
              <w:spacing w:after="0"/>
              <w:rPr>
                <w:sz w:val="20"/>
                <w:szCs w:val="20"/>
                <w:color w:val="auto"/>
              </w:rPr>
            </w:pPr>
            <w:r>
              <w:rPr>
                <w:rFonts w:ascii="Arial" w:cs="Arial" w:eastAsia="Arial" w:hAnsi="Arial"/>
                <w:sz w:val="18"/>
                <w:szCs w:val="18"/>
                <w:color w:val="auto"/>
              </w:rPr>
              <w:t>Tariff activities:</w:t>
            </w: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Crude oil pipelines</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1,724</w:t>
            </w:r>
          </w:p>
        </w:tc>
      </w:tr>
      <w:tr>
        <w:trPr>
          <w:trHeight w:val="243"/>
        </w:trPr>
        <w:tc>
          <w:tcPr>
            <w:tcW w:w="7700" w:type="dxa"/>
            <w:vAlign w:val="bottom"/>
          </w:tcPr>
          <w:p>
            <w:pPr>
              <w:ind w:left="200"/>
              <w:spacing w:after="0"/>
              <w:rPr>
                <w:sz w:val="20"/>
                <w:szCs w:val="20"/>
                <w:color w:val="auto"/>
              </w:rPr>
            </w:pPr>
            <w:r>
              <w:rPr>
                <w:rFonts w:ascii="Arial" w:cs="Arial" w:eastAsia="Arial" w:hAnsi="Arial"/>
                <w:sz w:val="18"/>
                <w:szCs w:val="18"/>
                <w:color w:val="auto"/>
              </w:rPr>
              <w:t>NGL pipelines</w:t>
            </w:r>
          </w:p>
        </w:tc>
        <w:tc>
          <w:tcPr>
            <w:tcW w:w="10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103</w:t>
            </w:r>
          </w:p>
        </w:tc>
      </w:tr>
      <w:tr>
        <w:trPr>
          <w:trHeight w:val="27"/>
        </w:trPr>
        <w:tc>
          <w:tcPr>
            <w:tcW w:w="7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tariff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2,138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1,827</w:t>
            </w:r>
          </w:p>
        </w:tc>
      </w:tr>
      <w:tr>
        <w:trPr>
          <w:trHeight w:val="243"/>
        </w:trPr>
        <w:tc>
          <w:tcPr>
            <w:tcW w:w="7700" w:type="dxa"/>
            <w:vAlign w:val="bottom"/>
          </w:tcPr>
          <w:p>
            <w:pPr>
              <w:ind w:left="100"/>
              <w:spacing w:after="0"/>
              <w:rPr>
                <w:sz w:val="20"/>
                <w:szCs w:val="20"/>
                <w:color w:val="auto"/>
              </w:rPr>
            </w:pPr>
            <w:r>
              <w:rPr>
                <w:rFonts w:ascii="Arial" w:cs="Arial" w:eastAsia="Arial" w:hAnsi="Arial"/>
                <w:sz w:val="18"/>
                <w:szCs w:val="18"/>
                <w:color w:val="auto"/>
              </w:rPr>
              <w:t>Trucking</w:t>
            </w:r>
          </w:p>
        </w:tc>
        <w:tc>
          <w:tcPr>
            <w:tcW w:w="1020" w:type="dxa"/>
            <w:vAlign w:val="bottom"/>
          </w:tcPr>
          <w:p>
            <w:pPr>
              <w:spacing w:after="0"/>
              <w:rPr>
                <w:sz w:val="21"/>
                <w:szCs w:val="21"/>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jc w:val="right"/>
              <w:ind w:right="73"/>
              <w:spacing w:after="0"/>
              <w:rPr>
                <w:sz w:val="20"/>
                <w:szCs w:val="20"/>
                <w:color w:val="auto"/>
              </w:rPr>
            </w:pPr>
            <w:r>
              <w:rPr>
                <w:rFonts w:ascii="Arial" w:cs="Arial" w:eastAsia="Arial" w:hAnsi="Arial"/>
                <w:sz w:val="18"/>
                <w:szCs w:val="18"/>
                <w:color w:val="auto"/>
              </w:rPr>
              <w:t>149</w:t>
            </w:r>
          </w:p>
        </w:tc>
      </w:tr>
      <w:tr>
        <w:trPr>
          <w:trHeight w:val="27"/>
        </w:trPr>
        <w:tc>
          <w:tcPr>
            <w:tcW w:w="7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Transportation segment revenues from contracts with customers</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1,976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and trucks. Revenues from pipeline tariffs and fees are associated with the transportation of crude oil and NGL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0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Facilities Segment Revenues from Contracts with Customers. </w:t>
      </w:r>
      <w:r>
        <w:rPr>
          <w:rFonts w:ascii="Arial" w:cs="Arial" w:eastAsia="Arial" w:hAnsi="Arial"/>
          <w:sz w:val="18"/>
          <w:szCs w:val="18"/>
          <w:color w:val="auto"/>
        </w:rPr>
        <w:t>The following table presents our Facilities segment revenues from contracts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disaggregated by type of activity (in millions):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40" w:type="dxa"/>
            <w:vAlign w:val="bottom"/>
            <w:tcBorders>
              <w:bottom w:val="single" w:sz="8" w:color="auto"/>
            </w:tcBorders>
          </w:tcPr>
          <w:p>
            <w:pPr>
              <w:spacing w:after="0"/>
              <w:rPr>
                <w:sz w:val="16"/>
                <w:szCs w:val="16"/>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9"/>
              </w:rPr>
              <w:t>2018</w:t>
            </w:r>
          </w:p>
        </w:tc>
      </w:tr>
      <w:tr>
        <w:trPr>
          <w:trHeight w:val="236"/>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Facilities segment revenues from contracts with customers</w:t>
            </w:r>
          </w:p>
        </w:tc>
        <w:tc>
          <w:tcPr>
            <w:tcW w:w="10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700" w:type="dxa"/>
            <w:vAlign w:val="bottom"/>
          </w:tcPr>
          <w:p>
            <w:pPr>
              <w:ind w:left="120"/>
              <w:spacing w:after="0"/>
              <w:rPr>
                <w:sz w:val="20"/>
                <w:szCs w:val="20"/>
                <w:color w:val="auto"/>
              </w:rPr>
            </w:pPr>
            <w:r>
              <w:rPr>
                <w:rFonts w:ascii="Arial" w:cs="Arial" w:eastAsia="Arial" w:hAnsi="Arial"/>
                <w:sz w:val="18"/>
                <w:szCs w:val="18"/>
                <w:color w:val="auto"/>
              </w:rPr>
              <w:t>Crude oil, NGL and other terminalling and storage</w:t>
            </w:r>
          </w:p>
        </w:tc>
        <w:tc>
          <w:tcPr>
            <w:tcW w:w="1040" w:type="dxa"/>
            <w:vAlign w:val="bottom"/>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688</w:t>
            </w:r>
          </w:p>
        </w:tc>
      </w:tr>
      <w:tr>
        <w:trPr>
          <w:trHeight w:val="27"/>
        </w:trPr>
        <w:tc>
          <w:tcPr>
            <w:tcW w:w="7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NGL and natural gas processing and fractionation</w:t>
            </w:r>
          </w:p>
        </w:tc>
        <w:tc>
          <w:tcPr>
            <w:tcW w:w="10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364</w:t>
            </w:r>
          </w:p>
        </w:tc>
      </w:tr>
      <w:tr>
        <w:trPr>
          <w:trHeight w:val="243"/>
        </w:trPr>
        <w:tc>
          <w:tcPr>
            <w:tcW w:w="7700" w:type="dxa"/>
            <w:vAlign w:val="bottom"/>
          </w:tcPr>
          <w:p>
            <w:pPr>
              <w:ind w:left="120"/>
              <w:spacing w:after="0"/>
              <w:rPr>
                <w:sz w:val="20"/>
                <w:szCs w:val="20"/>
                <w:color w:val="auto"/>
              </w:rPr>
            </w:pPr>
            <w:r>
              <w:rPr>
                <w:rFonts w:ascii="Arial" w:cs="Arial" w:eastAsia="Arial" w:hAnsi="Arial"/>
                <w:sz w:val="18"/>
                <w:szCs w:val="18"/>
                <w:color w:val="auto"/>
              </w:rPr>
              <w:t>Rail load / unload</w:t>
            </w:r>
          </w:p>
        </w:tc>
        <w:tc>
          <w:tcPr>
            <w:tcW w:w="1040" w:type="dxa"/>
            <w:vAlign w:val="bottom"/>
          </w:tcPr>
          <w:p>
            <w:pPr>
              <w:spacing w:after="0"/>
              <w:rPr>
                <w:sz w:val="21"/>
                <w:szCs w:val="21"/>
                <w:color w:val="auto"/>
              </w:rPr>
            </w:pPr>
          </w:p>
        </w:tc>
        <w:tc>
          <w:tcPr>
            <w:tcW w:w="740" w:type="dxa"/>
            <w:vAlign w:val="bottom"/>
          </w:tcPr>
          <w:p>
            <w:pPr>
              <w:jc w:val="right"/>
              <w:ind w:right="7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color w:val="auto"/>
              </w:rPr>
              <w:t>84</w:t>
            </w:r>
          </w:p>
        </w:tc>
      </w:tr>
      <w:tr>
        <w:trPr>
          <w:trHeight w:val="27"/>
        </w:trPr>
        <w:tc>
          <w:tcPr>
            <w:tcW w:w="7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Facilities segment revenues from contracts with customers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1,136</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Revenues generated in this segment include (i) fees that are generated when we receive liquids from one connecting source and deliver the applicable product to another connecting carrier, fees from storage capacity agreements and fees associated with natural gas storage related activities (collectively “Crude oil, NGL and other terminalling and storage”), (ii) fees from natural gas and condensate processing services and from NGL fractionation and isomerization services (collectively, “NGL and natural gas processing and fractionation”) and (iii) loading and unloading fees at our rail terminals.</w:t>
      </w:r>
    </w:p>
    <w:p>
      <w:pPr>
        <w:spacing w:after="0" w:line="19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41" w:name="page142"/>
    <w:bookmarkEnd w:id="1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(including throughput and rail fees) are recognized as the liquids enter or exit the terminal and are received from or delivered to the connecting carrier or third-party terminal, as applicable. Fees from NGL fractionation and isomerization services and gas processing services are recognized in the period when the services are performed. Natural gas storage related activities fees are recognized in the period the natural gas moves across our header system. We recognize rail loading and unloading fees when the volumes are delivered or received.</w:t>
      </w:r>
    </w:p>
    <w:p>
      <w:pPr>
        <w:spacing w:after="0" w:line="21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Reconciliation to Total Revenues of Reportable Segments. </w:t>
      </w:r>
      <w:r>
        <w:rPr>
          <w:rFonts w:ascii="Arial" w:cs="Arial" w:eastAsia="Arial" w:hAnsi="Arial"/>
          <w:sz w:val="18"/>
          <w:szCs w:val="18"/>
          <w:color w:val="auto"/>
        </w:rPr>
        <w:t>Topic 606 requires us to provide information about the relationship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disaggregated revenues presented above and segment revenues. These disclosures only include information regarding revenues associated with consolidated entities, and revenues from entities accounted for by the equity method are not included in the disclosures. The following tables present the reconciliation of our revenues from contracts with customers (as described above for each segment) to segment revenues and total revenues as disclosed in our Consolidated Statements of Operations (in millions):</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 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Supply and 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31,966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35,371</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32,276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4"/>
                <w:szCs w:val="14"/>
                <w:b w:val="1"/>
                <w:bCs w:val="1"/>
                <w:color w:val="auto"/>
              </w:rPr>
              <w:t>Supply and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5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Ended December 31, 2018</w:t>
            </w:r>
          </w:p>
        </w:tc>
        <w:tc>
          <w:tcPr>
            <w:tcW w:w="1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Transportation</w:t>
            </w:r>
          </w:p>
        </w:tc>
        <w:tc>
          <w:tcPr>
            <w:tcW w:w="1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Facilities</w:t>
            </w:r>
          </w:p>
        </w:tc>
        <w:tc>
          <w:tcPr>
            <w:tcW w:w="12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 from contracts with customers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35,812</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Other items in revenues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53"/>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32,822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37"/>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Minimum Volume Commitments. </w:t>
      </w:r>
      <w:r>
        <w:rPr>
          <w:rFonts w:ascii="Arial" w:cs="Arial" w:eastAsia="Arial" w:hAnsi="Arial"/>
          <w:sz w:val="17"/>
          <w:szCs w:val="17"/>
          <w:color w:val="auto"/>
        </w:rPr>
        <w:t>We have certain agreements that require counterparties to transport or throughput a minimum volume over an</w:t>
      </w:r>
      <w:r>
        <w:rPr>
          <w:rFonts w:ascii="Arial" w:cs="Arial" w:eastAsia="Arial" w:hAnsi="Arial"/>
          <w:sz w:val="17"/>
          <w:szCs w:val="17"/>
          <w:i w:val="1"/>
          <w:iCs w:val="1"/>
          <w:color w:val="auto"/>
        </w:rPr>
        <w:t xml:space="preserve"> </w:t>
      </w:r>
      <w:r>
        <w:rPr>
          <w:rFonts w:ascii="Arial" w:cs="Arial" w:eastAsia="Arial" w:hAnsi="Arial"/>
          <w:sz w:val="17"/>
          <w:szCs w:val="17"/>
          <w:color w:val="auto"/>
        </w:rPr>
        <w:t>agreed upon period.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as a contract liability and subsequently recognize the revenue at the earlier of when the deficiency volume is delivered or shipped, when the make-up right expires or when it is determined that the counterparty’s ability to utilize the make-up right is remote.</w:t>
      </w:r>
    </w:p>
    <w:p>
      <w:pPr>
        <w:spacing w:after="0" w:line="20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December 31, 2019 and December 31, 2018, counterparty deficiencies associated with contracts with customers and buy/sell arrangements that include minimum volume commitments totaled $42 million and $62 million, respectively, of which $22 million and $40 million, respectively, was recorded as a contract liability. The remaining balance of $20 million and $22 million at December 31, 2019 and December 31, 2018, respectively, was related to deficiencies for which the counterparties had not met their contractual minimum commitments and were not reflected in our Consolidated Financial Statements as we had not yet billed or collected such amounts.</w:t>
      </w:r>
    </w:p>
    <w:p>
      <w:pPr>
        <w:spacing w:after="0" w:line="21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i w:val="1"/>
          <w:iCs w:val="1"/>
          <w:color w:val="auto"/>
        </w:rPr>
        <w:t>Contract Balances</w:t>
      </w:r>
      <w:r>
        <w:rPr>
          <w:rFonts w:ascii="Arial" w:cs="Arial" w:eastAsia="Arial" w:hAnsi="Arial"/>
          <w:sz w:val="18"/>
          <w:szCs w:val="18"/>
          <w:color w:val="auto"/>
        </w:rPr>
        <w:t>. Our contract balances consist of amounts received associated with services or sales for which we have not yet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performance obligation. The following table presents the changes in the contract liability balance (in millions):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6800" w:type="dxa"/>
            <w:vAlign w:val="bottom"/>
            <w:gridSpan w:val="2"/>
          </w:tcPr>
          <w:p>
            <w:pPr>
              <w:jc w:val="right"/>
              <w:ind w:right="1840"/>
              <w:spacing w:after="0"/>
              <w:rPr>
                <w:sz w:val="20"/>
                <w:szCs w:val="20"/>
                <w:color w:val="auto"/>
              </w:rPr>
            </w:pPr>
            <w:r>
              <w:rPr>
                <w:rFonts w:ascii="Arial" w:cs="Arial" w:eastAsia="Arial" w:hAnsi="Arial"/>
                <w:sz w:val="18"/>
                <w:szCs w:val="18"/>
                <w:b w:val="1"/>
                <w:bCs w:val="1"/>
                <w:color w:val="auto"/>
              </w:rPr>
              <w:t>PLAINS GP HOLDINGS, L.P. AND SUBSIDIARIES</w:t>
            </w:r>
          </w:p>
        </w:tc>
        <w:tc>
          <w:tcPr>
            <w:tcW w:w="1740" w:type="dxa"/>
            <w:vAlign w:val="bottom"/>
          </w:tcPr>
          <w:p>
            <w:pPr>
              <w:spacing w:after="0"/>
              <w:rPr>
                <w:sz w:val="17"/>
                <w:szCs w:val="17"/>
                <w:color w:val="auto"/>
              </w:rPr>
            </w:pPr>
          </w:p>
        </w:tc>
      </w:tr>
      <w:tr>
        <w:trPr>
          <w:trHeight w:val="234"/>
        </w:trPr>
        <w:tc>
          <w:tcPr>
            <w:tcW w:w="2740" w:type="dxa"/>
            <w:vAlign w:val="bottom"/>
          </w:tcPr>
          <w:p>
            <w:pPr>
              <w:spacing w:after="0"/>
              <w:rPr>
                <w:sz w:val="20"/>
                <w:szCs w:val="20"/>
                <w:color w:val="auto"/>
              </w:rPr>
            </w:pPr>
          </w:p>
        </w:tc>
        <w:tc>
          <w:tcPr>
            <w:tcW w:w="6800" w:type="dxa"/>
            <w:vAlign w:val="bottom"/>
            <w:gridSpan w:val="2"/>
          </w:tcPr>
          <w:p>
            <w:pPr>
              <w:jc w:val="right"/>
              <w:ind w:right="134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740" w:type="dxa"/>
            <w:vAlign w:val="bottom"/>
          </w:tcPr>
          <w:p>
            <w:pPr>
              <w:spacing w:after="0"/>
              <w:rPr>
                <w:sz w:val="20"/>
                <w:szCs w:val="20"/>
                <w:color w:val="auto"/>
              </w:rPr>
            </w:pPr>
          </w:p>
        </w:tc>
      </w:tr>
      <w:tr>
        <w:trPr>
          <w:trHeight w:val="669"/>
        </w:trPr>
        <w:tc>
          <w:tcPr>
            <w:tcW w:w="2740" w:type="dxa"/>
            <w:vAlign w:val="bottom"/>
            <w:tcBorders>
              <w:bottom w:val="single" w:sz="8" w:color="CCEEFF"/>
            </w:tcBorders>
          </w:tcPr>
          <w:p>
            <w:pPr>
              <w:spacing w:after="0"/>
              <w:rPr>
                <w:sz w:val="24"/>
                <w:szCs w:val="24"/>
                <w:color w:val="auto"/>
              </w:rPr>
            </w:pPr>
          </w:p>
        </w:tc>
        <w:tc>
          <w:tcPr>
            <w:tcW w:w="65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Contract Liabilities</w:t>
            </w:r>
          </w:p>
        </w:tc>
      </w:tr>
      <w:tr>
        <w:trPr>
          <w:trHeight w:val="29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740" w:type="dxa"/>
            <w:vAlign w:val="bottom"/>
          </w:tcPr>
          <w:p>
            <w:pPr>
              <w:ind w:left="120"/>
              <w:spacing w:after="0"/>
              <w:rPr>
                <w:sz w:val="20"/>
                <w:szCs w:val="20"/>
                <w:color w:val="auto"/>
              </w:rPr>
            </w:pPr>
            <w:r>
              <w:rPr>
                <w:rFonts w:ascii="Arial" w:cs="Arial" w:eastAsia="Arial" w:hAnsi="Arial"/>
                <w:sz w:val="18"/>
                <w:szCs w:val="18"/>
                <w:color w:val="auto"/>
              </w:rPr>
              <w:t>Amounts recognized as revenue</w:t>
            </w:r>
          </w:p>
        </w:tc>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(81)</w:t>
            </w:r>
          </w:p>
        </w:tc>
      </w:tr>
      <w:tr>
        <w:trPr>
          <w:trHeight w:val="27"/>
        </w:trPr>
        <w:tc>
          <w:tcPr>
            <w:tcW w:w="27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 (2)</w:t>
            </w:r>
          </w:p>
        </w:tc>
        <w:tc>
          <w:tcPr>
            <w:tcW w:w="6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332</w:t>
            </w:r>
          </w:p>
        </w:tc>
      </w:tr>
      <w:tr>
        <w:trPr>
          <w:trHeight w:val="243"/>
        </w:trPr>
        <w:tc>
          <w:tcPr>
            <w:tcW w:w="2740" w:type="dxa"/>
            <w:vAlign w:val="bottom"/>
          </w:tcPr>
          <w:p>
            <w:pPr>
              <w:ind w:left="120"/>
              <w:spacing w:after="0"/>
              <w:rPr>
                <w:sz w:val="20"/>
                <w:szCs w:val="20"/>
                <w:color w:val="auto"/>
              </w:rPr>
            </w:pPr>
            <w:r>
              <w:rPr>
                <w:rFonts w:ascii="Arial" w:cs="Arial" w:eastAsia="Arial" w:hAnsi="Arial"/>
                <w:sz w:val="18"/>
                <w:szCs w:val="18"/>
                <w:color w:val="auto"/>
              </w:rPr>
              <w:t>Other</w:t>
            </w:r>
          </w:p>
        </w:tc>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274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4"/>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6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338</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740" w:type="dxa"/>
            <w:vAlign w:val="bottom"/>
          </w:tcPr>
          <w:p>
            <w:pPr>
              <w:ind w:left="120"/>
              <w:spacing w:after="0"/>
              <w:rPr>
                <w:sz w:val="20"/>
                <w:szCs w:val="20"/>
                <w:color w:val="auto"/>
              </w:rPr>
            </w:pPr>
            <w:r>
              <w:rPr>
                <w:rFonts w:ascii="Arial" w:cs="Arial" w:eastAsia="Arial" w:hAnsi="Arial"/>
                <w:sz w:val="18"/>
                <w:szCs w:val="18"/>
                <w:color w:val="auto"/>
              </w:rPr>
              <w:t>Amounts recognized as revenue</w:t>
            </w:r>
          </w:p>
        </w:tc>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274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(3)</w:t>
            </w:r>
          </w:p>
        </w:tc>
        <w:tc>
          <w:tcPr>
            <w:tcW w:w="6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244</w:t>
            </w:r>
          </w:p>
        </w:tc>
      </w:tr>
      <w:tr>
        <w:trPr>
          <w:trHeight w:val="243"/>
        </w:trPr>
        <w:tc>
          <w:tcPr>
            <w:tcW w:w="2740" w:type="dxa"/>
            <w:vAlign w:val="bottom"/>
          </w:tcPr>
          <w:p>
            <w:pPr>
              <w:ind w:left="120"/>
              <w:spacing w:after="0"/>
              <w:rPr>
                <w:sz w:val="20"/>
                <w:szCs w:val="20"/>
                <w:color w:val="auto"/>
              </w:rPr>
            </w:pPr>
            <w:r>
              <w:rPr>
                <w:rFonts w:ascii="Arial" w:cs="Arial" w:eastAsia="Arial" w:hAnsi="Arial"/>
                <w:sz w:val="18"/>
                <w:szCs w:val="18"/>
                <w:color w:val="auto"/>
              </w:rPr>
              <w:t>Other</w:t>
            </w:r>
          </w:p>
        </w:tc>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2740" w:type="dxa"/>
            <w:vAlign w:val="bottom"/>
            <w:tcBorders>
              <w:bottom w:val="single" w:sz="8" w:color="CCEEFF"/>
            </w:tcBorders>
          </w:tcPr>
          <w:p>
            <w:pPr>
              <w:spacing w:after="0"/>
              <w:rPr>
                <w:sz w:val="2"/>
                <w:szCs w:val="2"/>
                <w:color w:val="auto"/>
              </w:rPr>
            </w:pPr>
          </w:p>
        </w:tc>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84"/>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5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200" w:hanging="652"/>
        <w:spacing w:after="0" w:line="282" w:lineRule="auto"/>
        <w:tabs>
          <w:tab w:leader="none" w:pos="177"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Includes approximately $116 million associated with crude oil sales agreements that are entered into in conjunction with storage arrangements and future inventory exchanges. Such amount was recognized as revenue in the first quarter of 2019.</w:t>
      </w:r>
    </w:p>
    <w:p>
      <w:pPr>
        <w:spacing w:after="0" w:line="42" w:lineRule="exact"/>
        <w:rPr>
          <w:rFonts w:ascii="Arial" w:cs="Arial" w:eastAsia="Arial" w:hAnsi="Arial"/>
          <w:sz w:val="20"/>
          <w:szCs w:val="20"/>
          <w:color w:val="auto"/>
          <w:vertAlign w:val="superscript"/>
        </w:rPr>
      </w:pPr>
    </w:p>
    <w:p>
      <w:pPr>
        <w:ind w:left="180" w:hanging="172"/>
        <w:spacing w:after="0"/>
        <w:tabs>
          <w:tab w:leader="none" w:pos="180" w:val="left"/>
        </w:tabs>
        <w:numPr>
          <w:ilvl w:val="0"/>
          <w:numId w:val="81"/>
        </w:numPr>
        <w:rPr>
          <w:rFonts w:ascii="Arial" w:cs="Arial" w:eastAsia="Arial" w:hAnsi="Arial"/>
          <w:sz w:val="21"/>
          <w:szCs w:val="21"/>
          <w:color w:val="auto"/>
          <w:vertAlign w:val="superscript"/>
        </w:rPr>
      </w:pPr>
      <w:r>
        <w:rPr>
          <w:rFonts w:ascii="Arial" w:cs="Arial" w:eastAsia="Arial" w:hAnsi="Arial"/>
          <w:sz w:val="16"/>
          <w:szCs w:val="16"/>
          <w:color w:val="auto"/>
        </w:rPr>
        <w:t>Includes $100 million associated with long-term capacity agreements with Cactus II Pipeline LLC. See Note 9 for additional information.</w:t>
      </w:r>
    </w:p>
    <w:p>
      <w:pPr>
        <w:spacing w:after="0" w:line="55" w:lineRule="exact"/>
        <w:rPr>
          <w:rFonts w:ascii="Arial" w:cs="Arial" w:eastAsia="Arial" w:hAnsi="Arial"/>
          <w:sz w:val="21"/>
          <w:szCs w:val="21"/>
          <w:color w:val="auto"/>
          <w:vertAlign w:val="superscript"/>
        </w:rPr>
      </w:pPr>
    </w:p>
    <w:p>
      <w:pPr>
        <w:ind w:left="660" w:right="180" w:hanging="652"/>
        <w:spacing w:after="0" w:line="261" w:lineRule="auto"/>
        <w:tabs>
          <w:tab w:leader="none" w:pos="177" w:val="left"/>
        </w:tabs>
        <w:numPr>
          <w:ilvl w:val="0"/>
          <w:numId w:val="81"/>
        </w:numPr>
        <w:rPr>
          <w:rFonts w:ascii="Arial" w:cs="Arial" w:eastAsia="Arial" w:hAnsi="Arial"/>
          <w:sz w:val="20"/>
          <w:szCs w:val="20"/>
          <w:color w:val="auto"/>
          <w:vertAlign w:val="superscript"/>
        </w:rPr>
      </w:pPr>
      <w:r>
        <w:rPr>
          <w:rFonts w:ascii="Arial" w:cs="Arial" w:eastAsia="Arial" w:hAnsi="Arial"/>
          <w:sz w:val="16"/>
          <w:szCs w:val="16"/>
          <w:color w:val="auto"/>
        </w:rPr>
        <w:t>Includes approximately $155 million associated with crude oil sales agreements that are entered into in conjunction with storage arrangements and future inventory exchanges. Such amount is expected to be recognized as revenue in the first quarter of 2020.</w:t>
      </w:r>
    </w:p>
    <w:p>
      <w:pPr>
        <w:spacing w:after="0" w:line="20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i w:val="1"/>
          <w:iCs w:val="1"/>
          <w:color w:val="auto"/>
        </w:rPr>
        <w:t>Remaining Performance Obligations</w:t>
      </w:r>
      <w:r>
        <w:rPr>
          <w:rFonts w:ascii="Arial" w:cs="Arial" w:eastAsia="Arial" w:hAnsi="Arial"/>
          <w:sz w:val="17"/>
          <w:szCs w:val="17"/>
          <w:color w:val="auto"/>
        </w:rPr>
        <w:t>. Topic 606 requires a presentation of information about partially and wholly unsatisfied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December 31, 2019 (in millions):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2025 and</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62"/>
        </w:trPr>
        <w:tc>
          <w:tcPr>
            <w:tcW w:w="434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rPr>
              <w:t>Pipeline revenues supported by minimum volume</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commitments and capacity agreements </w:t>
            </w:r>
            <w:r>
              <w:rPr>
                <w:rFonts w:ascii="Arial" w:cs="Arial" w:eastAsia="Arial" w:hAnsi="Arial"/>
                <w:sz w:val="23"/>
                <w:szCs w:val="23"/>
                <w:color w:val="auto"/>
                <w:vertAlign w:val="superscript"/>
              </w:rPr>
              <w:t>(1)</w:t>
            </w: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3"/>
              </w:rPr>
              <w:t>Storage, terminalling and throughput agreement revenues</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404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89"/>
        </w:trPr>
        <w:tc>
          <w:tcPr>
            <w:tcW w:w="43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5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21"/>
          <w:szCs w:val="21"/>
          <w:color w:val="auto"/>
          <w:vertAlign w:val="superscript"/>
        </w:rPr>
      </w:pPr>
      <w:r>
        <w:rPr>
          <w:rFonts w:ascii="Arial" w:cs="Arial" w:eastAsia="Arial" w:hAnsi="Arial"/>
          <w:sz w:val="16"/>
          <w:szCs w:val="16"/>
          <w:color w:val="auto"/>
        </w:rPr>
        <w:t>Calculated as volumes committed under contracts multiplied by the current applicable tariff rate.</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spacing w:after="0" w:line="185" w:lineRule="exact"/>
        <w:rPr>
          <w:sz w:val="20"/>
          <w:szCs w:val="20"/>
          <w:color w:val="auto"/>
        </w:rPr>
      </w:pPr>
    </w:p>
    <w:p>
      <w:pPr>
        <w:ind w:left="820" w:hanging="164"/>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Minimum volume commitments on certain of our joint venture pipeline systems;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Acreage dedications;</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Supply and Logistics buy/sell arrangements with future committed volumes;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820" w:right="200" w:hanging="164"/>
        <w:spacing w:after="0" w:line="277" w:lineRule="auto"/>
        <w:tabs>
          <w:tab w:leader="none" w:pos="8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 other Supply and Logistics contracts, due to the election of practical expedients related to variable consideration and short-term contracts, as discussed below;</w:t>
      </w:r>
    </w:p>
    <w:p>
      <w:pPr>
        <w:spacing w:after="0" w:line="62"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Transportation and Facilities contracts that are short-term, as discussed below;</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820" w:hanging="164"/>
        <w:spacing w:after="0"/>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Contracts within the scope of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w:t>
      </w:r>
    </w:p>
    <w:p>
      <w:pPr>
        <w:spacing w:after="0" w:line="36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have elected practical expedients to exclude the presentation of remaining performance obligations for variable consideration which relates to wholly unsatisfied performance obligations. Certain contracts do not meet the requirements for presentation of remaining performance obligations under Topic 606 due to variability in amount of performance obligation remaining, variability in the timing of recognition or variability in consideration. Acreage dedications do require us to perform future services but do not contain a minimum level of services and are therefore excluded from this presentation. Long-term supply and logistics arrangements contain variable timing, volumes and/or consideration and are excluded from this presentation. The duration of these contracts varies across the periods presented above.</w:t>
      </w:r>
    </w:p>
    <w:p>
      <w:pPr>
        <w:spacing w:after="0" w:line="220" w:lineRule="exact"/>
        <w:rPr>
          <w:sz w:val="20"/>
          <w:szCs w:val="20"/>
          <w:color w:val="auto"/>
        </w:rPr>
      </w:pPr>
    </w:p>
    <w:p>
      <w:pPr>
        <w:jc w:val="both"/>
        <w:ind w:right="440" w:firstLine="648"/>
        <w:spacing w:after="0" w:line="312" w:lineRule="auto"/>
        <w:rPr>
          <w:sz w:val="20"/>
          <w:szCs w:val="20"/>
          <w:color w:val="auto"/>
        </w:rPr>
      </w:pPr>
      <w:r>
        <w:rPr>
          <w:rFonts w:ascii="Arial" w:cs="Arial" w:eastAsia="Arial" w:hAnsi="Arial"/>
          <w:sz w:val="16"/>
          <w:szCs w:val="16"/>
          <w:color w:val="auto"/>
        </w:rPr>
        <w:t>Additionally, we have elected practical expedients to exclude contracts with terms of one year or less, and therefore exclude the presentation of remaining performance obligations for short-term transportation, storage and processing services, supply and logistics arrangements, including the non-cancelable period of evergreen arrangements, and any other types of arrangements with terms of one year or 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Other Receivables, Net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accounts receivable are primarily from purchasers and shippers of crude oil and, to a lesser extent, purchasers of NGL. These purchasers include, but are not limited to, refiners, producers, marketing and trading companies and financial institutions. The majority of our accounts receivable relate to our crude oil supply and logistics activities that can generally be described as high volume and low margin activities, in many cases involving exchanges of crude oil volumes.</w:t>
      </w:r>
    </w:p>
    <w:p>
      <w:pPr>
        <w:spacing w:after="0" w:line="21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spacing w:after="0" w:line="16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Accounts receivable from the sale of crude oil are generally settled with counterparties on the industry settlement date, which is typically in the month following the month in which the title transfers. Otherwise, we generally invoice customers within 30 days of when the products or services were provided and generally require payment within 30 days 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December 31, 2019 and December 31, 2018, substantially all of our trade accounts receivable (net of allowance for doubtful accounts) were less than 30 days past their scheduled invoice date. Our allowance for doubtful accounts receivable totaled $3 million at both December 31, 2019 and December 31, 2018. Although we consider our allowance for doubtful accounts receivable to be adequate, actual amounts could vary significantly from estimated amounts.</w:t>
      </w:r>
    </w:p>
    <w:p>
      <w:pPr>
        <w:spacing w:after="0" w:line="21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is a reconciliation of trade accounts receivable from revenues from contracts with customers to total Trade accounts receivable and other receivables, net as presented on our Consolidated Balance Sheets (in millions):</w:t>
      </w:r>
    </w:p>
    <w:tbl>
      <w:tblPr>
        <w:tblLayout w:type="fixed"/>
        <w:tblInd w:w="6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r>
      <w:tr>
        <w:trPr>
          <w:trHeight w:val="196"/>
        </w:trPr>
        <w:tc>
          <w:tcPr>
            <w:tcW w:w="74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2018</w:t>
            </w: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arising from revenues from contracts with customers</w:t>
            </w:r>
          </w:p>
        </w:tc>
        <w:tc>
          <w:tcPr>
            <w:tcW w:w="116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3,381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88"/>
              </w:rPr>
              <w:t>2,277</w:t>
            </w:r>
          </w:p>
        </w:tc>
      </w:tr>
      <w:tr>
        <w:trPr>
          <w:trHeight w:val="270"/>
        </w:trPr>
        <w:tc>
          <w:tcPr>
            <w:tcW w:w="7460" w:type="dxa"/>
            <w:vAlign w:val="bottom"/>
          </w:tcPr>
          <w:p>
            <w:pPr>
              <w:ind w:left="20"/>
              <w:spacing w:after="0"/>
              <w:rPr>
                <w:sz w:val="20"/>
                <w:szCs w:val="20"/>
                <w:color w:val="auto"/>
              </w:rPr>
            </w:pPr>
            <w:r>
              <w:rPr>
                <w:rFonts w:ascii="Arial" w:cs="Arial" w:eastAsia="Arial" w:hAnsi="Arial"/>
                <w:sz w:val="18"/>
                <w:szCs w:val="18"/>
                <w:color w:val="auto"/>
              </w:rPr>
              <w:t xml:space="preserve">Other trade accounts receivables and other receivables </w:t>
            </w:r>
            <w:r>
              <w:rPr>
                <w:rFonts w:ascii="Arial" w:cs="Arial" w:eastAsia="Arial" w:hAnsi="Arial"/>
                <w:sz w:val="23"/>
                <w:szCs w:val="23"/>
                <w:color w:val="auto"/>
                <w:vertAlign w:val="superscript"/>
              </w:rPr>
              <w:t>(1)</w:t>
            </w:r>
          </w:p>
        </w:tc>
        <w:tc>
          <w:tcPr>
            <w:tcW w:w="116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3,576</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300" w:type="dxa"/>
            <w:vAlign w:val="bottom"/>
          </w:tcPr>
          <w:p>
            <w:pPr>
              <w:jc w:val="center"/>
              <w:ind w:left="494"/>
              <w:spacing w:after="0"/>
              <w:rPr>
                <w:sz w:val="20"/>
                <w:szCs w:val="20"/>
                <w:color w:val="auto"/>
              </w:rPr>
            </w:pPr>
            <w:r>
              <w:rPr>
                <w:rFonts w:ascii="Arial" w:cs="Arial" w:eastAsia="Arial" w:hAnsi="Arial"/>
                <w:sz w:val="18"/>
                <w:szCs w:val="18"/>
                <w:color w:val="auto"/>
                <w:w w:val="88"/>
              </w:rPr>
              <w:t>2,732</w:t>
            </w: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due to contractual rights of offset with counterparties</w:t>
            </w:r>
          </w:p>
        </w:tc>
        <w:tc>
          <w:tcPr>
            <w:tcW w:w="1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(3,343)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91"/>
              </w:rPr>
              <w:t>(2,555)</w:t>
            </w:r>
          </w:p>
        </w:tc>
      </w:tr>
      <w:tr>
        <w:trPr>
          <w:trHeight w:val="264"/>
        </w:trPr>
        <w:tc>
          <w:tcPr>
            <w:tcW w:w="7460" w:type="dxa"/>
            <w:vAlign w:val="bottom"/>
          </w:tcPr>
          <w:p>
            <w:pPr>
              <w:ind w:left="120"/>
              <w:spacing w:after="0"/>
              <w:rPr>
                <w:sz w:val="20"/>
                <w:szCs w:val="20"/>
                <w:color w:val="auto"/>
              </w:rPr>
            </w:pPr>
            <w:r>
              <w:rPr>
                <w:rFonts w:ascii="Arial" w:cs="Arial" w:eastAsia="Arial" w:hAnsi="Arial"/>
                <w:sz w:val="18"/>
                <w:szCs w:val="18"/>
                <w:color w:val="auto"/>
              </w:rPr>
              <w:t>Trade accounts receivable and other receivables, net</w:t>
            </w:r>
          </w:p>
        </w:tc>
        <w:tc>
          <w:tcPr>
            <w:tcW w:w="116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3,614</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8"/>
                <w:szCs w:val="18"/>
                <w:color w:val="auto"/>
                <w:w w:val="88"/>
              </w:rPr>
              <w:t>2,454</w:t>
            </w:r>
          </w:p>
        </w:tc>
      </w:tr>
      <w:tr>
        <w:trPr>
          <w:trHeight w:val="21"/>
        </w:trPr>
        <w:tc>
          <w:tcPr>
            <w:tcW w:w="74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44" w:name="page145"/>
    <w:bookmarkEnd w:id="1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249555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80" w:hanging="172"/>
        <w:spacing w:after="0"/>
        <w:tabs>
          <w:tab w:leader="none" w:pos="180" w:val="left"/>
        </w:tabs>
        <w:numPr>
          <w:ilvl w:val="0"/>
          <w:numId w:val="85"/>
        </w:numPr>
        <w:rPr>
          <w:rFonts w:ascii="Arial" w:cs="Arial" w:eastAsia="Arial" w:hAnsi="Arial"/>
          <w:sz w:val="21"/>
          <w:szCs w:val="21"/>
          <w:color w:val="auto"/>
          <w:vertAlign w:val="superscript"/>
        </w:rPr>
      </w:pPr>
      <w:r>
        <w:rPr>
          <w:rFonts w:ascii="Arial" w:cs="Arial" w:eastAsia="Arial" w:hAnsi="Arial"/>
          <w:sz w:val="16"/>
          <w:szCs w:val="16"/>
          <w:color w:val="auto"/>
        </w:rPr>
        <w:t>The balance is comprised primarily of accounts receivable associated with buy/sell arrangements that are not within the scope of Topic 606.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4—Net Income/(Loss) Per Class A Share</w:t>
      </w:r>
    </w:p>
    <w:p>
      <w:pPr>
        <w:spacing w:after="0" w:line="25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Basic net income/(loss) per Class A share is determined by dividing net income/(loss) attributable to PAGP by the weighted average number of Class A shares outstanding during the period. Our Class B and Class C shares do not share in the earnings of the Partnership; accordingly, basic and diluted net income/(loss) per Class B and Class C share has not been presented.</w:t>
      </w:r>
    </w:p>
    <w:p>
      <w:pPr>
        <w:spacing w:after="0" w:line="20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Diluted net income/(loss) per Class A share is determined by dividing net income/(loss) attributable to PAGP by the diluted weighted average number of Class A shares outstanding during the period. For purposes of calculating diluted net income/(loss) per Class A share, both the net income/(loss) attributable to PAGP and the diluted weighted 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 average number of Class A shares outstanding considers the effect of potentially dilutive awards under the Plains GP Holdings, L.P. Long-Term Incentive Plan (the “PAGP LTIP”).</w:t>
      </w:r>
    </w:p>
    <w:p>
      <w:pPr>
        <w:spacing w:after="0" w:line="20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for information regarding exchanges of AAP units and AAP Management Units. PAGP LTIP awards that are deemed to be dilutive are reduced by a hypothetical share repurchase based on the remaining unamortized fair value, as prescribed by the treasury stock method in guidance issued by the FASB. See Note 18 for information regarding PAGP LTIP awards.</w:t>
      </w:r>
    </w:p>
    <w:p>
      <w:pPr>
        <w:spacing w:after="0" w:line="20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For the year ended December 31, 2018, the possible exchange of AAP units would have had a dilutive effect on basic net income per Class A share. For the years ended December 31, 2019 and 2018, the possible exchange of AAP Management Units would have had a dilutive effect on basic net income per Class A share. For the years ended December 31, 2019 and 2018 our PAGP LTIP awards were dilutive; however, there were less than 0.1 million dilutive LTIP awards for each period, which did not change the presentation of weighted average Class A shares outstanding or net income per Class A share.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net income/(loss) per Class A share (in millions,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w w:val="93"/>
              </w:rPr>
              <w:t>Year Ended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Basic Net Income/(Loss) per Class A Share</w:t>
            </w: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60"/>
              <w:spacing w:after="0"/>
              <w:rPr>
                <w:sz w:val="20"/>
                <w:szCs w:val="20"/>
                <w:color w:val="auto"/>
              </w:rPr>
            </w:pPr>
            <w:r>
              <w:rPr>
                <w:rFonts w:ascii="Arial" w:cs="Arial" w:eastAsia="Arial" w:hAnsi="Arial"/>
                <w:sz w:val="18"/>
                <w:szCs w:val="18"/>
                <w:color w:val="auto"/>
              </w:rPr>
              <w:t>Net income/(loss) attributable to PAGP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7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Basic net income/(loss) per Class A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Income/(Loss) per Class A Share</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8"/>
                <w:szCs w:val="18"/>
                <w:color w:val="auto"/>
              </w:rPr>
              <w:t>Net income/(loss) attributable to PAGP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331</w:t>
            </w: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76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Incremental net income attributable to PAGP resulting from assumed exchange of AAP units</w:t>
            </w: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AAP Management Units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7660" w:type="dxa"/>
            <w:vAlign w:val="bottom"/>
          </w:tcPr>
          <w:p>
            <w:pPr>
              <w:ind w:left="140"/>
              <w:spacing w:after="0" w:line="156" w:lineRule="exact"/>
              <w:rPr>
                <w:sz w:val="20"/>
                <w:szCs w:val="20"/>
                <w:color w:val="auto"/>
              </w:rPr>
            </w:pPr>
            <w:r>
              <w:rPr>
                <w:rFonts w:ascii="Arial" w:cs="Arial" w:eastAsia="Arial" w:hAnsi="Arial"/>
                <w:sz w:val="18"/>
                <w:szCs w:val="18"/>
                <w:color w:val="auto"/>
                <w:w w:val="93"/>
              </w:rPr>
              <w:t>Net income/(loss) attributable to PAGP including incremental net income from assumed exchange of</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333</w:t>
            </w: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72"/>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03"/>
        </w:trPr>
        <w:tc>
          <w:tcPr>
            <w:tcW w:w="7660" w:type="dxa"/>
            <w:vAlign w:val="bottom"/>
          </w:tcPr>
          <w:p>
            <w:pPr>
              <w:ind w:left="300"/>
              <w:spacing w:after="0" w:line="202" w:lineRule="exact"/>
              <w:rPr>
                <w:sz w:val="20"/>
                <w:szCs w:val="20"/>
                <w:color w:val="auto"/>
              </w:rPr>
            </w:pPr>
            <w:r>
              <w:rPr>
                <w:rFonts w:ascii="Arial" w:cs="Arial" w:eastAsia="Arial" w:hAnsi="Arial"/>
                <w:sz w:val="18"/>
                <w:szCs w:val="18"/>
                <w:color w:val="auto"/>
              </w:rPr>
              <w:t>AAP units and AAP Management Units</w:t>
            </w:r>
          </w:p>
        </w:tc>
        <w:tc>
          <w:tcPr>
            <w:tcW w:w="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520" w:type="dxa"/>
            <w:vAlign w:val="bottom"/>
            <w:gridSpan w:val="3"/>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40"/>
              <w:spacing w:after="0"/>
              <w:rPr>
                <w:sz w:val="20"/>
                <w:szCs w:val="20"/>
                <w:color w:val="auto"/>
              </w:rPr>
            </w:pPr>
            <w:r>
              <w:rPr>
                <w:rFonts w:ascii="Arial" w:cs="Arial" w:eastAsia="Arial" w:hAnsi="Arial"/>
                <w:sz w:val="18"/>
                <w:szCs w:val="18"/>
                <w:color w:val="auto"/>
              </w:rPr>
              <w:t>Basic weighted average Class A shares outstanding</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9"/>
              </w:rPr>
              <w:t>Dilutive shares resulting from assumed exchange of AAP units and AAP Management Units</w:t>
            </w:r>
          </w:p>
        </w:tc>
        <w:tc>
          <w:tcPr>
            <w:tcW w:w="2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140"/>
              <w:spacing w:after="0"/>
              <w:rPr>
                <w:sz w:val="20"/>
                <w:szCs w:val="20"/>
                <w:color w:val="auto"/>
              </w:rPr>
            </w:pPr>
            <w:r>
              <w:rPr>
                <w:rFonts w:ascii="Arial" w:cs="Arial" w:eastAsia="Arial" w:hAnsi="Arial"/>
                <w:sz w:val="18"/>
                <w:szCs w:val="18"/>
                <w:color w:val="auto"/>
              </w:rPr>
              <w:t>Diluted weighted average Class A shares outstanding</w:t>
            </w:r>
          </w:p>
        </w:tc>
        <w:tc>
          <w:tcPr>
            <w:tcW w:w="2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120"/>
              <w:spacing w:after="0"/>
              <w:rPr>
                <w:sz w:val="20"/>
                <w:szCs w:val="20"/>
                <w:color w:val="auto"/>
              </w:rPr>
            </w:pPr>
            <w:r>
              <w:rPr>
                <w:rFonts w:ascii="Arial" w:cs="Arial" w:eastAsia="Arial" w:hAnsi="Arial"/>
                <w:sz w:val="18"/>
                <w:szCs w:val="18"/>
                <w:color w:val="auto"/>
              </w:rPr>
              <w:t>Diluted net income/(loss) per Class A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w:t>
            </w: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Inventory primarily consists of crude oil and NGL in pipelines, storage facilities and railcars that are valued at the lower of cost or net realizable value, with cost determined using an average cost method within specific inventory pools. 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Consolidated Statements of Operations. During the years ended December 31, 2019, 2018 and 2017, we recorded charges of $11 million, $8 million and $35 million, respectively, related to the writedown of our crude oil inventory due to declines in prices. A portion of these inventory valuation adjustments was offset by the recognition of gains on derivative instruments being utilized to hedge future sales of our crude oil inventory. Such gains were recorded to “Supply and Logistics segment revenues” in our accompanying Consolidated Statements of Operations. See Note 13 for discussion of our derivative and risk management activities.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Linefill and base gas in assets we own are recorded at historical cost and consist of crude oil, NGL and natural gas. We classify as linefill or base gas</w:t>
      </w:r>
    </w:p>
    <w:p>
      <w:pPr>
        <w:spacing w:after="0" w:line="46" w:lineRule="exact"/>
        <w:rPr>
          <w:sz w:val="20"/>
          <w:szCs w:val="20"/>
          <w:color w:val="auto"/>
        </w:rPr>
      </w:pPr>
    </w:p>
    <w:p>
      <w:pPr>
        <w:ind w:right="180" w:firstLine="8"/>
        <w:spacing w:after="0" w:line="255" w:lineRule="auto"/>
        <w:tabs>
          <w:tab w:leader="none" w:pos="2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our proportionate share of barrels used to fill a pipeline that we own such that when an incremental barrel is pumped into or enters a pipeline it forces product out at another location, (ii) barrels that represent the minimum working requirements in tanks and caverns that we own and (iii) natural gas required to maintain the minimum operating pressure of natural gas storage facilities we own.</w:t>
      </w:r>
    </w:p>
    <w:p>
      <w:pPr>
        <w:spacing w:after="0" w:line="2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Linefill and base gas carrying amounts are reviewed for impairment in accordance with FASB guidance with respect to accounting for the impairment or disposal of long-lived assets. Carrying amounts that are not expected to be recoverable through future cash flows are written down to estimated fair value. See Note 6 for further discussion regarding impairment of long-lived assets. During 2019, 2018 and 2017, we did not recognize any impairments of linefill and base gas.</w:t>
      </w:r>
    </w:p>
    <w:p>
      <w:pPr>
        <w:spacing w:after="0" w:line="214"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Minimum working inventory requirements in third-party assets and other working inventory in our assets that are needed for our commercial operations are included within specific inventory pools in inventory (a current asset) in determining the average cost of operating inventory. At the end of each period, we reclassify the inventory not expected to be liquidated within the succeeding twelve months out of inventory, at the average cost of the applicable inventory pools, and into “Long-term inventory,” which is reflected as a separate line item under “Other assets” on our Consolidated Balance Sheets.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46" w:name="page147"/>
    <w:bookmarkEnd w:id="1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(barrels and natural gas volumes in thousands and carrying value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60" w:type="dxa"/>
            <w:vAlign w:val="bottom"/>
          </w:tcPr>
          <w:p>
            <w:pPr>
              <w:spacing w:after="0"/>
              <w:rPr>
                <w:sz w:val="14"/>
                <w:szCs w:val="14"/>
                <w:color w:val="auto"/>
              </w:rPr>
            </w:pPr>
          </w:p>
        </w:tc>
        <w:tc>
          <w:tcPr>
            <w:tcW w:w="800" w:type="dxa"/>
            <w:vAlign w:val="bottom"/>
          </w:tcPr>
          <w:p>
            <w:pPr>
              <w:jc w:val="right"/>
              <w:ind w:right="113"/>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Price/</w:t>
            </w:r>
          </w:p>
        </w:tc>
        <w:tc>
          <w:tcPr>
            <w:tcW w:w="80" w:type="dxa"/>
            <w:vAlign w:val="bottom"/>
          </w:tcPr>
          <w:p>
            <w:pPr>
              <w:spacing w:after="0"/>
              <w:rPr>
                <w:sz w:val="14"/>
                <w:szCs w:val="14"/>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Volumes</w:t>
            </w:r>
          </w:p>
        </w:tc>
        <w:tc>
          <w:tcPr>
            <w:tcW w:w="104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 of</w:t>
            </w:r>
          </w:p>
        </w:tc>
        <w:tc>
          <w:tcPr>
            <w:tcW w:w="140" w:type="dxa"/>
            <w:vAlign w:val="bottom"/>
          </w:tcPr>
          <w:p>
            <w:pPr>
              <w:spacing w:after="0"/>
              <w:rPr>
                <w:sz w:val="14"/>
                <w:szCs w:val="14"/>
                <w:color w:val="auto"/>
              </w:rPr>
            </w:pPr>
          </w:p>
        </w:tc>
        <w:tc>
          <w:tcPr>
            <w:tcW w:w="800" w:type="dxa"/>
            <w:vAlign w:val="bottom"/>
          </w:tcPr>
          <w:p>
            <w:pPr>
              <w:jc w:val="right"/>
              <w:ind w:right="93"/>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6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 xml:space="preserve">Unit </w:t>
            </w:r>
            <w:r>
              <w:rPr>
                <w:rFonts w:ascii="Arial" w:cs="Arial" w:eastAsia="Arial" w:hAnsi="Arial"/>
                <w:sz w:val="9"/>
                <w:szCs w:val="9"/>
                <w:b w:val="1"/>
                <w:bCs w:val="1"/>
                <w:color w:val="auto"/>
                <w:w w:val="99"/>
              </w:rPr>
              <w:t>(1)</w:t>
            </w: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Measure</w:t>
            </w:r>
          </w:p>
        </w:tc>
        <w:tc>
          <w:tcPr>
            <w:tcW w:w="140" w:type="dxa"/>
            <w:vAlign w:val="bottom"/>
          </w:tcPr>
          <w:p>
            <w:pPr>
              <w:spacing w:after="0"/>
              <w:rPr>
                <w:sz w:val="16"/>
                <w:szCs w:val="16"/>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ind w:right="174"/>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32"/>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Inventory</w:t>
            </w: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8,613</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450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52.25</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9,657</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367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7,574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18.75</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10,384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262</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21"/>
                <w:szCs w:val="21"/>
                <w:color w:val="auto"/>
              </w:rPr>
            </w:pPr>
          </w:p>
        </w:tc>
        <w:tc>
          <w:tcPr>
            <w:tcW w:w="1040" w:type="dxa"/>
            <w:vAlign w:val="bottom"/>
            <w:gridSpan w:val="2"/>
          </w:tcPr>
          <w:p>
            <w:pPr>
              <w:ind w:left="480"/>
              <w:spacing w:after="0"/>
              <w:rPr>
                <w:sz w:val="20"/>
                <w:szCs w:val="20"/>
                <w:color w:val="auto"/>
              </w:rPr>
            </w:pPr>
            <w:r>
              <w:rPr>
                <w:rFonts w:ascii="Arial" w:cs="Arial" w:eastAsia="Arial" w:hAnsi="Arial"/>
                <w:sz w:val="18"/>
                <w:szCs w:val="18"/>
                <w:color w:val="auto"/>
              </w:rPr>
              <w:t>N/A</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 subtotal</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Linefill and base gas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14,316</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826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57.70</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13,312</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761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57.17</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27.63</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108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4.32</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24,976</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Mcf</w:t>
            </w: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Linefill and base gas subtotal</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inventory</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152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4"/>
              <w:spacing w:after="0"/>
              <w:rPr>
                <w:sz w:val="20"/>
                <w:szCs w:val="20"/>
                <w:color w:val="auto"/>
              </w:rPr>
            </w:pPr>
            <w:r>
              <w:rPr>
                <w:rFonts w:ascii="Arial" w:cs="Arial" w:eastAsia="Arial" w:hAnsi="Arial"/>
                <w:sz w:val="18"/>
                <w:szCs w:val="18"/>
                <w:color w:val="auto"/>
              </w:rPr>
              <w:t>58.51</w:t>
            </w:r>
          </w:p>
        </w:tc>
        <w:tc>
          <w:tcPr>
            <w:tcW w:w="140" w:type="dxa"/>
            <w:vAlign w:val="bottom"/>
            <w:tcBorders>
              <w:right w:val="single" w:sz="8" w:color="auto"/>
            </w:tcBorders>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Arial" w:cs="Arial" w:eastAsia="Arial" w:hAnsi="Arial"/>
                <w:sz w:val="18"/>
                <w:szCs w:val="18"/>
                <w:color w:val="auto"/>
              </w:rPr>
              <w:t>79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41.80</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NGL</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17.57</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2,368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barrels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37"/>
        </w:trPr>
        <w:tc>
          <w:tcPr>
            <w:tcW w:w="2920" w:type="dxa"/>
            <w:vAlign w:val="bottom"/>
          </w:tcPr>
          <w:p>
            <w:pPr>
              <w:ind w:left="120"/>
              <w:spacing w:after="0"/>
              <w:rPr>
                <w:sz w:val="20"/>
                <w:szCs w:val="20"/>
                <w:color w:val="auto"/>
              </w:rPr>
            </w:pPr>
            <w:r>
              <w:rPr>
                <w:rFonts w:ascii="Arial" w:cs="Arial" w:eastAsia="Arial" w:hAnsi="Arial"/>
                <w:sz w:val="18"/>
                <w:szCs w:val="18"/>
                <w:color w:val="auto"/>
              </w:rPr>
              <w:t>Long-term inventory subtotal</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9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6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60" w:hanging="652"/>
        <w:spacing w:after="0" w:line="227" w:lineRule="auto"/>
        <w:tabs>
          <w:tab w:leader="none" w:pos="648" w:val="left"/>
        </w:tabs>
        <w:numPr>
          <w:ilvl w:val="0"/>
          <w:numId w:val="87"/>
        </w:numPr>
        <w:rPr>
          <w:rFonts w:ascii="Arial" w:cs="Arial" w:eastAsia="Arial" w:hAnsi="Arial"/>
          <w:sz w:val="23"/>
          <w:szCs w:val="23"/>
          <w:color w:val="auto"/>
          <w:vertAlign w:val="superscript"/>
        </w:rPr>
      </w:pPr>
      <w:r>
        <w:rPr>
          <w:rFonts w:ascii="Arial" w:cs="Arial" w:eastAsia="Arial" w:hAnsi="Arial"/>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6—Property and Equipment</w:t>
      </w:r>
    </w:p>
    <w:p>
      <w:pPr>
        <w:spacing w:after="0" w:line="25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accordance with our capitalization policy, expenditures made to expand the existing operating and/or earnings capacity of our assets are capitalized. We also capitalize certain costs directly related to the construction of such assets, including related internal labor costs, engineering costs and interest costs. For the years ended December 31, 2019, 2018 and 2017, capitalized interest recorded to property and equipment was $14 million, $21 million and $17 million, respectively. In addition, we capitalize interest related to investments in certain unconsolidated entities. See Note 9 for additional information. We also capitalize expenditures for the replacement and/or refurbishment of partially or fully depreciated assets in order to maintain the operating and/or earnings capacity of our existing assets. Repair and maintenance expenditures incurred in order to maintain the day to day operation of our existing assets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is stated at cost and consisted of the following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01"/>
        </w:trPr>
        <w:tc>
          <w:tcPr>
            <w:tcW w:w="672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Lives (Years)</w:t>
            </w: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65"/>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Pipelines and related facilities </w:t>
            </w:r>
            <w:r>
              <w:rPr>
                <w:rFonts w:ascii="Arial" w:cs="Arial" w:eastAsia="Arial" w:hAnsi="Arial"/>
                <w:sz w:val="23"/>
                <w:szCs w:val="23"/>
                <w:color w:val="auto"/>
                <w:vertAlign w:val="superscript"/>
              </w:rPr>
              <w:t>(1)</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11,149</w:t>
            </w:r>
          </w:p>
        </w:tc>
        <w:tc>
          <w:tcPr>
            <w:tcW w:w="10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10,176</w:t>
            </w: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Storage, terminal and rail facilities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10 - 70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6,134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5,854</w:t>
            </w: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Trucking equipment and other</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2 - 15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410</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6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795</w:t>
            </w:r>
          </w:p>
        </w:tc>
      </w:tr>
      <w:tr>
        <w:trPr>
          <w:trHeight w:val="27"/>
        </w:trPr>
        <w:tc>
          <w:tcPr>
            <w:tcW w:w="67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property and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2 - 50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Land and other</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422</w:t>
            </w:r>
          </w:p>
        </w:tc>
      </w:tr>
      <w:tr>
        <w:trPr>
          <w:trHeight w:val="27"/>
        </w:trPr>
        <w:tc>
          <w:tcPr>
            <w:tcW w:w="67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gross</w:t>
            </w: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18,983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17,905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(3,103)</w:t>
            </w:r>
          </w:p>
        </w:tc>
      </w:tr>
      <w:tr>
        <w:trPr>
          <w:trHeight w:val="27"/>
        </w:trPr>
        <w:tc>
          <w:tcPr>
            <w:tcW w:w="67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15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15,367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14,802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6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Pipelines and related facilities amounts within property and equipment.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calculate our depreciation using the straight-line method, based on estimated useful lives and salvage values of our assets. Depreciation expense for the years ended December 31, 2019, 2018 and 2017 was $528 million, $455 million and $465 million, respectively. See “Impairment of Long-Lived Assets” below for a discussion of our policy for the recognition of asset impairments.</w:t>
      </w:r>
    </w:p>
    <w:p>
      <w:pPr>
        <w:spacing w:after="0" w:line="20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December 31, 2019, 2018 and 2017, we incurred liabilities for construction in progress that had not been paid of $120 million, $206 million and $127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Long-lived assets with recorded values that are not expected to be recovered through future cash flows are written down to estimated fair value in accordance with FASB guidance with respect to the accounting for the impairment or disposal of long-lived assets. Under this guidance, a long-lived asset is tested for impairment when events or circumstances indicate that its carrying value may not be recoverable. The carrying value of a long-lived asset is not recoverable if it exceeds the sum of the undiscounted cash flows expected to result from the use and eventual disposition of the asset. If the carrying value exceeds the sum of the undiscounted cash flows, an impairment loss equal to the amount by which the carrying value exceeds the fair value of the asset is recognized.</w:t>
      </w:r>
    </w:p>
    <w:p>
      <w:pPr>
        <w:spacing w:after="0" w:line="2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periodically evaluate property and equipment and other long-lived assets for impairment when events or circumstances indicate that the carrying value of these assets may not be recoverable. The evaluation is highly dependent on the underlying assumptions of related cash flows. The subjective assumptions used to determine the existence of an impairment in carrying value include:</w:t>
      </w:r>
    </w:p>
    <w:p>
      <w:pPr>
        <w:spacing w:after="0" w:line="73" w:lineRule="exact"/>
        <w:rPr>
          <w:sz w:val="20"/>
          <w:szCs w:val="20"/>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there is an indication of impairment;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grouping of assets;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intention of “holding,” “abandoning” or “selling” an asset;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forecast of undiscounted expected future cash flow over the asset’s estimated useful life;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an impairment exists, the fair value of the asset or asset group.</w:t>
      </w:r>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addition, when we evaluate property and equipment and other long-lived assets for recoverability, it may also be necessary to review related depreciation estimates and methods.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did not recognize any material impairments during the years ended December 31, 2019 or 2018. During the year ended December 31, 2017, we recognized $152 million of non-cash charges related to the write-down of certain of our long-lived rail and other terminal assets included in our Facilities segment due to asset impairments and accelerated depreciation. Such charges are reflected in “(Gains)/losses on asset sales and asset impairments, net” on our Consolidated Financial Statements. The decline in demand for movements of crude oil by rail in the United States due to sustained unfavorable market conditions resulted in expected decreases in future cash flows for certain of our rail terminal assets, which was a triggering event that required us to assess the recoverability of our carrying value of such long-lived assets. As a result of our impairment review, we wrote off the portion of the carrying amount of these long-lived assets that exceeded their fair value. Our estimated fair values were based upon recent sales prices of comparable facilities, as well as management’s expectation of the market values for such assets based on their industry experience. We consider such inputs to be a Level 3 input in the fair value hierarchy.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7—Acquisitions and 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2"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The following acquisitions were accounted for using the acquisition method of accounting (excluding asset acquisitions or acquired interests accounted for under the equity method of accounting mentioned specifically below) and the determination of the fair value of the assets and liabilities acquired has been estimated in accordance with the applicable accounting guidance.</w:t>
      </w:r>
    </w:p>
    <w:p>
      <w:pPr>
        <w:spacing w:after="0" w:line="20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February 2020, we acquired Felix Midstream LLC (“Felix Midstream”) from Felix Energy Holdings II, LLC (“Felix Energy”) for approximately $305 million. Felix Midstream owns and operates a newly constructed crude oil gathering system in the Delaware Basin, with associated crude oil storage and truck offloading capacity, and is supported by a long-term acreage dedication. The assets acquired will primarily be included in our Transportation segment. The initial accounting for this acquisition was not complete as of the financial statements issuance date.</w:t>
      </w:r>
    </w:p>
    <w:p>
      <w:pPr>
        <w:spacing w:after="0" w:line="198"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During the second quarter of 2019, we acquired a crude oil terminal, including tank bottoms and linefill, in Cushing, Oklahoma for cash consideration of $44 million, which was accounted for as an asset acquisition.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Alpha Crude Connector Acquisition</w:t>
      </w:r>
    </w:p>
    <w:p>
      <w:pPr>
        <w:spacing w:after="0" w:line="25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On February 14, 2017, we acquired all of the issued and outstanding membership interests in Alpha Holding Company, LLC for cash consideration of $1.215 billion, subject to working capital and other adjustments (the “ACC Acquisition”). The ACC Acquisition was initially funded through borrowings under PAA’s senior unsecured revolving credit facility. Such borrowings were subsequently repaid with proceeds from PAA’s March 2017 issuance of common units to AAP pursuant to the Omnibus Agreement and in connection with our underwritten equity offering. See Note 12 for additional information.</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Upon completion of the ACC Acquisition, we became the owner of a crude oil gathering system known as the “Alpha Crude Connector” (the “ACC System”) located in the Northern Delaware Basin in Southeastern New Mexico and West Texas. The ACC System comprises approximately 515 miles of gathering and transmission lines and five market interconnects, including to our Basin Pipeline at Wink. During 2017, we made additional interconnects to our existing Northern Delaware Basin systems as well as additional enhancements to increase the ACC System capacity to approximately 350,000 barrels per day, depending on the level of volume at each delivery point. The ACC System is supported by acreage dedications covering approximately 315,000 gross acres, including a significant acreage dedication from one of the largest producers in the region. The ACC System complements our other Permian Basin assets and enhances the services available to the producers in the Northern Delaware Basin.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fair value determination (in millions):</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Identifiable assets acquired and liabilities assumed:</w:t>
            </w:r>
          </w:p>
        </w:tc>
        <w:tc>
          <w:tcPr>
            <w:tcW w:w="120" w:type="dxa"/>
            <w:vAlign w:val="bottom"/>
            <w:vMerge w:val="restart"/>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Estimated Useful Lives</w:t>
            </w:r>
          </w:p>
        </w:tc>
        <w:tc>
          <w:tcPr>
            <w:tcW w:w="140" w:type="dxa"/>
            <w:vAlign w:val="bottom"/>
          </w:tcPr>
          <w:p>
            <w:pPr>
              <w:spacing w:after="0"/>
              <w:rPr>
                <w:sz w:val="14"/>
                <w:szCs w:val="14"/>
                <w:color w:val="auto"/>
              </w:rPr>
            </w:pPr>
          </w:p>
        </w:tc>
        <w:tc>
          <w:tcPr>
            <w:tcW w:w="14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1"/>
              </w:rPr>
              <w:t>Recognized amount</w:t>
            </w:r>
          </w:p>
        </w:tc>
        <w:tc>
          <w:tcPr>
            <w:tcW w:w="0" w:type="dxa"/>
            <w:vAlign w:val="bottom"/>
          </w:tcPr>
          <w:p>
            <w:pPr>
              <w:spacing w:after="0"/>
              <w:rPr>
                <w:sz w:val="1"/>
                <w:szCs w:val="1"/>
                <w:color w:val="auto"/>
              </w:rPr>
            </w:pPr>
          </w:p>
        </w:tc>
      </w:tr>
      <w:tr>
        <w:trPr>
          <w:trHeight w:val="192"/>
        </w:trPr>
        <w:tc>
          <w:tcPr>
            <w:tcW w:w="8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54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3 - 70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0"/>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1540" w:type="dxa"/>
            <w:vAlign w:val="bottom"/>
          </w:tcPr>
          <w:p>
            <w:pPr>
              <w:jc w:val="right"/>
              <w:ind w:right="59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73"/>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8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 and liabilities, net (including $4 million of cash acquired)</w:t>
            </w:r>
          </w:p>
        </w:tc>
        <w:tc>
          <w:tcPr>
            <w:tcW w:w="16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9"/>
        </w:trPr>
        <w:tc>
          <w:tcPr>
            <w:tcW w:w="8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Intangible assets are included in “Other long-term assets, net” on our Consolidated Balance Sheets. The determination of fair value to intangible assets above is comprised of five acreage dedication contracts and associated customer relationships that will be amortized over a remaining weighted average useful life of approximately 20 years. The value assigned to such intangible assets will be amortized to earnings using methods that closely resemble the pattern in which the economic benefits will be consumed. Amortization expense was approximately $34 million, $25 million and $10 million during the years ended December 31, 2019, 2018 and 2017, respectively, and the future amortization expense through 2022 is estimated as follows (in millions):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2020</w:t>
            </w:r>
          </w:p>
        </w:tc>
        <w:tc>
          <w:tcPr>
            <w:tcW w:w="5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r>
      <w:tr>
        <w:trPr>
          <w:trHeight w:val="243"/>
        </w:trPr>
        <w:tc>
          <w:tcPr>
            <w:tcW w:w="5140" w:type="dxa"/>
            <w:vAlign w:val="bottom"/>
          </w:tcPr>
          <w:p>
            <w:pPr>
              <w:jc w:val="right"/>
              <w:ind w:right="4670"/>
              <w:spacing w:after="0"/>
              <w:rPr>
                <w:sz w:val="20"/>
                <w:szCs w:val="20"/>
                <w:color w:val="auto"/>
              </w:rPr>
            </w:pPr>
            <w:r>
              <w:rPr>
                <w:rFonts w:ascii="Arial" w:cs="Arial" w:eastAsia="Arial" w:hAnsi="Arial"/>
                <w:sz w:val="18"/>
                <w:szCs w:val="18"/>
                <w:color w:val="auto"/>
                <w:w w:val="89"/>
              </w:rPr>
              <w:t>2021</w:t>
            </w:r>
          </w:p>
        </w:tc>
        <w:tc>
          <w:tcPr>
            <w:tcW w:w="53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48</w:t>
            </w:r>
          </w:p>
        </w:tc>
      </w:tr>
      <w:tr>
        <w:trPr>
          <w:trHeight w:val="27"/>
        </w:trPr>
        <w:tc>
          <w:tcPr>
            <w:tcW w:w="51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140" w:type="dxa"/>
            <w:vAlign w:val="bottom"/>
            <w:shd w:val="clear" w:color="auto" w:fill="CCEEFF"/>
          </w:tcPr>
          <w:p>
            <w:pPr>
              <w:jc w:val="right"/>
              <w:ind w:right="4670"/>
              <w:spacing w:after="0"/>
              <w:rPr>
                <w:sz w:val="20"/>
                <w:szCs w:val="20"/>
                <w:color w:val="auto"/>
              </w:rPr>
            </w:pPr>
            <w:r>
              <w:rPr>
                <w:rFonts w:ascii="Arial" w:cs="Arial" w:eastAsia="Arial" w:hAnsi="Arial"/>
                <w:sz w:val="18"/>
                <w:szCs w:val="18"/>
                <w:color w:val="auto"/>
                <w:w w:val="89"/>
              </w:rPr>
              <w:t>2022</w:t>
            </w:r>
          </w:p>
        </w:tc>
        <w:tc>
          <w:tcPr>
            <w:tcW w:w="5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w:t>
            </w:r>
          </w:p>
        </w:tc>
      </w:tr>
      <w:tr>
        <w:trPr>
          <w:trHeight w:val="27"/>
        </w:trPr>
        <w:tc>
          <w:tcPr>
            <w:tcW w:w="514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goodwill arising from the ACC Acquisition, which is tax deductible, represents the anticipated opportunities to generate future cash flows from undedicated acreage and the synergies created between the ACC System and our existing assets. The assets acquired in the ACC Acquisition, as well as the associated goodwill, are primarily included in our Transportation segment.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2017, we incurred approximately $6 million of acquisition-related costs associated with the ACC Acquisition.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costs are reflected as a component of “General and administrative expenses” on our Consolidated Statements of Operations.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Pro forma financial information assuming the ACC Acquisition had occurred as of the beginning of the calendar year prior to the year of acquisition were not material for disclosure purposes.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Acquisitions</w:t>
      </w:r>
    </w:p>
    <w:p>
      <w:pPr>
        <w:spacing w:after="0" w:line="25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February 2017, we acquired a propane marine terminal for cash consideration of approximately $41 million. The assets acquired are included in our Facilities segment. We did not recognize any goodwill related to this acquisition.</w:t>
      </w:r>
    </w:p>
    <w:p>
      <w:pPr>
        <w:spacing w:after="0" w:line="19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April 3, 2017, we and an affiliate of Noble Midstream Partners LP (“Noble”) completed the acquisition of Advantage Pipeline, L.L.C. (“Advantage”) through a newly formed 50/50 joint venture (the “Advantage Joint Venture”). We account for our interest in the Advantage Joint Venture under the equity method of accounting. See Note 9 for additional discussion of our equity method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ind w:right="300" w:firstLine="648"/>
        <w:spacing w:after="0" w:line="312" w:lineRule="auto"/>
        <w:rPr>
          <w:sz w:val="20"/>
          <w:szCs w:val="20"/>
          <w:color w:val="auto"/>
        </w:rPr>
      </w:pPr>
      <w:r>
        <w:rPr>
          <w:rFonts w:ascii="Arial" w:cs="Arial" w:eastAsia="Arial" w:hAnsi="Arial"/>
          <w:sz w:val="16"/>
          <w:szCs w:val="16"/>
          <w:color w:val="auto"/>
        </w:rPr>
        <w:t>In January 2020, we signed a definitive agreement to sell certain of our Los Angeles Basin crude oil terminals for $195 million, subject to certain adjustments. We expect the transaction to close in the second half of 2020, subject to customary closing conditions, including the receipt of regulatory approvals, and anticipate we will recognize a loss of approximately $160 million, including goodwill that will be included as part of the disposal group.</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During the year ended December 31, 2019, we sold certain non-core assets for total proceeds of $77 million that primarily consisted of a storage terminal in North Dakota, which was previously reported in our Facilities segment. For the year ended December 31, 2019, we recognized a net loss related to these asset sales of $16 million, which is comprised of gains of $31 million and losses of $47 million. Such amounts are included in "(Gains)/losses on asset sales and asset impairments, net" on our Consolidated Statement of Operations.</w:t>
      </w:r>
    </w:p>
    <w:p>
      <w:pPr>
        <w:spacing w:after="0" w:line="214"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During the year ended December 31, 2018, we received proceeds from asset sales of $1.334 billion, which primarily consisted of the sale of a 30% interest in BridgeTex Pipeline Company, LLC for proceeds of $868 million, resulting in a gain of $200 million. See Note 9 for additional discussion. The other assets sold during the year ended December 31, 2018 primarily included non-core property and equipment or are associated with the formation of strategic joint ventures and were previously reported in our Facilities and Transportation segments. For the year ended December 31, 2018, we recognized a net gain on sales of assets of $120 million, which is comprised of gains of $146 million and losses of $26 million. Such amounts are included in “(Gains)/losses on asset sales and asset impairments, net” on our Consolidated Statement of Operations.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2017, we sold certain non-core assets for total proceeds of $1.083 billion, including:</w:t>
      </w:r>
    </w:p>
    <w:p>
      <w:pPr>
        <w:spacing w:after="0" w:line="252" w:lineRule="exact"/>
        <w:rPr>
          <w:sz w:val="20"/>
          <w:szCs w:val="20"/>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of our Bay Area terminal assets located in California;</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Bluewater natural gas storage facility located in Michigan;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non-core pipelines in the Rocky Mountain and Bakken regions, including PAA’s interest in SLC Pipeline LLC;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non-core pipeline segments primarily located in the Midwestern United States; and</w:t>
      </w:r>
    </w:p>
    <w:p>
      <w:pPr>
        <w:spacing w:after="0" w:line="117"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40% undivided interest in a segment of our Red River Pipeline extending from Cushing, Oklahoma to the Hewitt Station near Ardmore, Oklahoma for our net book value.</w:t>
      </w:r>
    </w:p>
    <w:p>
      <w:pPr>
        <w:spacing w:after="0" w:line="19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Bay Area terminal assets and the Bluewater natural gas storage facility were reported in our Facilities segment. The pipeline assets were reported in our Transportation segment.</w:t>
      </w:r>
    </w:p>
    <w:p>
      <w:pPr>
        <w:spacing w:after="0" w:line="19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the aggregate, including non-cash impairments recognized upon reclassifications to assets held for sale, we recognized a net gain related to pending or completed asset sales of approximately $43 million for the year ended December 31, 2017, which is included in “(Gains)/losses on asset sales and asset impairments, net” on our Consolidated Statement of Operations. Such amount is comprised of gains of $123 million and losses of $80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w:t>
      </w:r>
    </w:p>
    <w:p>
      <w:pPr>
        <w:spacing w:after="0" w:line="25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Goodwill represents the future economic benefits arising from assets acquired in a business combination that are not individually identified and separately recognized.</w:t>
      </w:r>
    </w:p>
    <w:p>
      <w:pPr>
        <w:spacing w:after="0" w:line="19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accordance with FASB guidance, we test goodwill to determine whether an impairment has occurred at least annually (as of June 30) and on an interim basis if it is more likely than not that a reporting unit’s fair value is less than its carrying value. Goodwill is tested for impairment at a level of reporting referred to as a reporting unit. A reporting unit is an operating segment or one level below an operating segment for which discrete financial information is available and regularly reviewed by segment management. Our reporting units are our operating segments. FASB guidance provides for a quantitative approach to testing goodwill for impairment; however, we may first assess certain qualitative factors to determine whether it is necessary to perform the quantitative goodwill impairment test. In the quantitative test, we compare the fair value of the reporting unit with the respective book values, including goodwill, by using an income approach based on a discounted cash flow analysis. This approach requires us to make long-term forecasts of future revenues, expenses and other expenditures. Those forecasts require the use of various assumptions and estimates, the most significant of which are net revenues (total revenues less purchases and related costs), operating expenses, general and administrative expenses and the weighted average cost of capital. Fair value of the reporting units is determined using significant unobservable inputs, or Level 3 inputs in the fair value hierarchy. When the fair value is greater than book value, then the reporting unit’s goodwill is not considered impaired. If the book value is greater than fair value, then goodwill is impaired by the amount by which a reporting unit’s carrying value exceeds its fair value, not to exceed the carrying value of goodwill.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completed our goodwill impairment test as of June 30, 2019 using a quantitative assessment, which also includes a sensitivity analysis regarding the excess of our reporting unit’s fair value over book value. We determined that the fair value of each reporting unit was greater than its respective book value; therefore, goodwill was not considered impaired. We did not recognize any impairments of goodwill during the last three years.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 by segment and changes in goodwill is reflected in the following table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18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Supply and Logistics</w:t>
            </w: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95"/>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988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508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2,566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6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Divestitures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2,521</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w:t>
            </w: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2,540</w:t>
            </w:r>
          </w:p>
        </w:tc>
      </w:tr>
      <w:tr>
        <w:trPr>
          <w:trHeight w:val="21"/>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9—Investments in Unconsolidated Entities</w:t>
      </w:r>
    </w:p>
    <w:p>
      <w:pPr>
        <w:spacing w:after="0" w:line="256"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Investments in entities over which we have significant influence but not control are accounted for under the equity method. We do not consolidate any part of the assets or liabilities of our equity investees. Our share of net income or loss is reflected as one line item on our Consolidated Statements of Operations entitled “Equity earnings in unconsolidated entities” and will increase or decrease, as applicable, the carrying value of our investments in unconsolidated entities on our Consolidated Balance Sheets. We evaluate our equity investments for impairment in accordance with FASB guidance with respect to the equity method of accounting for investments in common stock. An impairment of an equity investment results when factors indicate that the investment’s fair value is less than its carrying value and the reduction in value is other than temporary in nature.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52" w:name="page153"/>
    <w:bookmarkEnd w:id="1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investments in unconsolidated entities consisted of the following (in millions, except percentage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300" w:type="dxa"/>
            <w:vAlign w:val="bottom"/>
          </w:tcPr>
          <w:p>
            <w:pPr>
              <w:spacing w:after="0"/>
              <w:rPr>
                <w:sz w:val="16"/>
                <w:szCs w:val="16"/>
                <w:color w:val="auto"/>
              </w:rPr>
            </w:pPr>
          </w:p>
        </w:tc>
        <w:tc>
          <w:tcPr>
            <w:tcW w:w="22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Interest at</w:t>
            </w:r>
          </w:p>
        </w:tc>
        <w:tc>
          <w:tcPr>
            <w:tcW w:w="300" w:type="dxa"/>
            <w:vAlign w:val="bottom"/>
          </w:tcPr>
          <w:p>
            <w:pPr>
              <w:spacing w:after="0"/>
              <w:rPr>
                <w:sz w:val="12"/>
                <w:szCs w:val="12"/>
                <w:color w:val="auto"/>
              </w:rPr>
            </w:pPr>
          </w:p>
        </w:tc>
        <w:tc>
          <w:tcPr>
            <w:tcW w:w="14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20" w:type="dxa"/>
            <w:vAlign w:val="bottom"/>
            <w:vMerge w:val="restart"/>
          </w:tcPr>
          <w:p>
            <w:pPr>
              <w:spacing w:after="0"/>
              <w:rPr>
                <w:sz w:val="4"/>
                <w:szCs w:val="4"/>
                <w:color w:val="auto"/>
              </w:rPr>
            </w:pPr>
          </w:p>
        </w:tc>
        <w:tc>
          <w:tcPr>
            <w:tcW w:w="1260" w:type="dxa"/>
            <w:vAlign w:val="bottom"/>
            <w:gridSpan w:val="2"/>
            <w:vMerge w:val="restart"/>
          </w:tcPr>
          <w:p>
            <w:pPr>
              <w:jc w:val="center"/>
              <w:ind w:right="100"/>
              <w:spacing w:after="0" w:line="113" w:lineRule="exact"/>
              <w:rPr>
                <w:sz w:val="20"/>
                <w:szCs w:val="20"/>
                <w:color w:val="auto"/>
              </w:rPr>
            </w:pPr>
            <w:r>
              <w:rPr>
                <w:rFonts w:ascii="Arial" w:cs="Arial" w:eastAsia="Arial" w:hAnsi="Arial"/>
                <w:sz w:val="13"/>
                <w:szCs w:val="13"/>
                <w:b w:val="1"/>
                <w:bCs w:val="1"/>
                <w:color w:val="auto"/>
                <w:w w:val="99"/>
              </w:rPr>
              <w:t>December 31,</w:t>
            </w: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Entity </w:t>
            </w:r>
            <w:r>
              <w:rPr>
                <w:rFonts w:ascii="Arial" w:cs="Arial" w:eastAsia="Arial" w:hAnsi="Arial"/>
                <w:sz w:val="9"/>
                <w:szCs w:val="9"/>
                <w:b w:val="1"/>
                <w:bCs w:val="1"/>
                <w:color w:val="auto"/>
              </w:rPr>
              <w:t>(1)</w:t>
            </w:r>
          </w:p>
        </w:tc>
        <w:tc>
          <w:tcPr>
            <w:tcW w:w="100" w:type="dxa"/>
            <w:vAlign w:val="bottom"/>
            <w:vMerge w:val="restart"/>
          </w:tcPr>
          <w:p>
            <w:pPr>
              <w:spacing w:after="0"/>
              <w:rPr>
                <w:sz w:val="3"/>
                <w:szCs w:val="3"/>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Type of Operation</w:t>
            </w:r>
          </w:p>
        </w:tc>
        <w:tc>
          <w:tcPr>
            <w:tcW w:w="120" w:type="dxa"/>
            <w:vAlign w:val="bottom"/>
            <w:vMerge w:val="continue"/>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line="20" w:lineRule="exact"/>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Advantage Pipeline Holdings LLC (“Advantage Joint Venture”)</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BridgeTex Pipeline Company, LLC (“BridgeTex”)</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Cactus II Pipeline LLC (“Cactus II”)</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Caddo Pipeline LLC</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Capline Pipeline Company LLC</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 xml:space="preserve">Crude Oil Pipeline </w:t>
            </w:r>
            <w:r>
              <w:rPr>
                <w:rFonts w:ascii="Arial" w:cs="Arial" w:eastAsia="Arial" w:hAnsi="Arial"/>
                <w:sz w:val="23"/>
                <w:szCs w:val="23"/>
                <w:color w:val="auto"/>
                <w:w w:val="87"/>
                <w:vertAlign w:val="superscript"/>
              </w:rPr>
              <w:t>(2) (3)</w:t>
            </w: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Cheyenne Pipeline LLC (“Cheyenne”)</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0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Cushing Connect Pipeline &amp; Terminal LLC</w:t>
            </w:r>
          </w:p>
        </w:tc>
        <w:tc>
          <w:tcPr>
            <w:tcW w:w="2440" w:type="dxa"/>
            <w:vAlign w:val="bottom"/>
            <w:shd w:val="clear" w:color="auto" w:fill="CCEEFF"/>
          </w:tcPr>
          <w:p>
            <w:pPr>
              <w:jc w:val="center"/>
              <w:spacing w:after="0" w:line="176" w:lineRule="exact"/>
              <w:rPr>
                <w:sz w:val="20"/>
                <w:szCs w:val="20"/>
                <w:color w:val="auto"/>
              </w:rPr>
            </w:pPr>
            <w:r>
              <w:rPr>
                <w:rFonts w:ascii="Arial" w:cs="Arial" w:eastAsia="Arial" w:hAnsi="Arial"/>
                <w:sz w:val="16"/>
                <w:szCs w:val="16"/>
                <w:color w:val="auto"/>
              </w:rPr>
              <w:t xml:space="preserve">Crude Oil Pipeline </w:t>
            </w:r>
            <w:r>
              <w:rPr>
                <w:rFonts w:ascii="Arial" w:cs="Arial" w:eastAsia="Arial" w:hAnsi="Arial"/>
                <w:sz w:val="20"/>
                <w:szCs w:val="20"/>
                <w:color w:val="auto"/>
                <w:vertAlign w:val="superscript"/>
              </w:rPr>
              <w:t>(3)</w:t>
            </w:r>
          </w:p>
        </w:tc>
        <w:tc>
          <w:tcPr>
            <w:tcW w:w="1280" w:type="dxa"/>
            <w:vAlign w:val="bottom"/>
            <w:gridSpan w:val="2"/>
            <w:vMerge w:val="restart"/>
            <w:shd w:val="clear" w:color="auto" w:fill="CCEEFF"/>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gridSpan w:val="2"/>
            <w:vMerge w:val="continue"/>
            <w:shd w:val="clear" w:color="auto" w:fill="CCEEFF"/>
          </w:tcPr>
          <w:p>
            <w:pPr>
              <w:spacing w:after="0"/>
              <w:rPr>
                <w:sz w:val="19"/>
                <w:szCs w:val="19"/>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and Terminal</w:t>
            </w:r>
          </w:p>
        </w:tc>
        <w:tc>
          <w:tcPr>
            <w:tcW w:w="12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Diamond Pipeline LLC (“Diamond”)</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Eagle Ford Pipeline LLC (“Eagle Ford Pipeline”)</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Eagle Ford Terminals Corpus Christi LLC (“Eagle Ford</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Terminals”)</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Terminal and Dock</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Midway Pipeline LLC</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0"/>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Red Oak Pipeline LLC (“Red Oak”)</w:t>
            </w:r>
          </w:p>
        </w:tc>
        <w:tc>
          <w:tcPr>
            <w:tcW w:w="2440" w:type="dxa"/>
            <w:vAlign w:val="bottom"/>
          </w:tcPr>
          <w:p>
            <w:pPr>
              <w:jc w:val="center"/>
              <w:spacing w:after="0"/>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(3)</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Saddlehorn Pipeline Company, LLC (“Saddlehorn”)</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Settoon Towing, LLC</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Barge Transportation Services</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STACK Pipeline LLC (“STACK”)</w:t>
            </w:r>
          </w:p>
        </w:tc>
        <w:tc>
          <w:tcPr>
            <w:tcW w:w="2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tcBorders>
              <w:bottom w:val="single" w:sz="8" w:color="CCEEFF"/>
            </w:tcBorders>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5000" w:type="dxa"/>
            <w:vAlign w:val="bottom"/>
            <w:gridSpan w:val="2"/>
          </w:tcPr>
          <w:p>
            <w:pPr>
              <w:ind w:left="20"/>
              <w:spacing w:after="0"/>
              <w:rPr>
                <w:sz w:val="20"/>
                <w:szCs w:val="20"/>
                <w:color w:val="auto"/>
              </w:rPr>
            </w:pPr>
            <w:r>
              <w:rPr>
                <w:rFonts w:ascii="Arial" w:cs="Arial" w:eastAsia="Arial" w:hAnsi="Arial"/>
                <w:sz w:val="18"/>
                <w:szCs w:val="18"/>
                <w:color w:val="auto"/>
              </w:rPr>
              <w:t>White Cliffs Pipeline, LLC</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Crude Oil Pipeline</w:t>
            </w:r>
          </w:p>
        </w:tc>
        <w:tc>
          <w:tcPr>
            <w:tcW w:w="1280" w:type="dxa"/>
            <w:vAlign w:val="bottom"/>
            <w:gridSpan w:val="2"/>
          </w:tcPr>
          <w:p>
            <w:pPr>
              <w:jc w:val="right"/>
              <w:ind w:right="40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Wink to Webster Pipeline LLC (“W2W Pipeline”)</w:t>
            </w: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xml:space="preserve">Crude Oil Pipeline </w:t>
            </w:r>
            <w:r>
              <w:rPr>
                <w:rFonts w:ascii="Arial" w:cs="Arial" w:eastAsia="Arial" w:hAnsi="Arial"/>
                <w:sz w:val="23"/>
                <w:szCs w:val="23"/>
                <w:color w:val="auto"/>
                <w:w w:val="91"/>
                <w:vertAlign w:val="superscript"/>
              </w:rPr>
              <w:t>(3)</w:t>
            </w:r>
          </w:p>
        </w:tc>
        <w:tc>
          <w:tcPr>
            <w:tcW w:w="1280" w:type="dxa"/>
            <w:vAlign w:val="bottom"/>
            <w:gridSpan w:val="2"/>
            <w:shd w:val="clear" w:color="auto" w:fill="CCEEFF"/>
          </w:tcPr>
          <w:p>
            <w:pPr>
              <w:jc w:val="right"/>
              <w:ind w:right="409"/>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Total Investments in Unconsolidated Entities</w:t>
            </w:r>
          </w:p>
        </w:tc>
        <w:tc>
          <w:tcPr>
            <w:tcW w:w="2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3,683</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right="20" w:hanging="11"/>
        <w:spacing w:after="0" w:line="277" w:lineRule="auto"/>
        <w:rPr>
          <w:sz w:val="20"/>
          <w:szCs w:val="20"/>
          <w:color w:val="auto"/>
        </w:rPr>
      </w:pPr>
      <w:r>
        <w:rPr>
          <w:rFonts w:ascii="Arial" w:cs="Arial" w:eastAsia="Arial" w:hAnsi="Arial"/>
          <w:sz w:val="18"/>
          <w:szCs w:val="18"/>
          <w:color w:val="auto"/>
        </w:rPr>
        <w:t>Except for Eagle Ford Terminals, which is reported in our Facilities segment, the financial results from the entities are reported in our Transportation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Capline pipeline was taken out of service pending the reversal of the pipeline system.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Asset is currently under construction or development by the entity and has not yet been placed in service.</w:t>
      </w:r>
    </w:p>
    <w:p>
      <w:pPr>
        <w:spacing w:after="0" w:line="200"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Formations and Divestitures</w:t>
      </w:r>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Capline LLC</w:t>
      </w:r>
      <w:r>
        <w:rPr>
          <w:rFonts w:ascii="Arial" w:cs="Arial" w:eastAsia="Arial" w:hAnsi="Arial"/>
          <w:sz w:val="16"/>
          <w:szCs w:val="16"/>
          <w:color w:val="auto"/>
        </w:rPr>
        <w:t>. During the first quarter of 2019, the owners of the Capline pipeline system contributed their undivided joint interests in the system to a</w:t>
      </w:r>
      <w:r>
        <w:rPr>
          <w:rFonts w:ascii="Arial" w:cs="Arial" w:eastAsia="Arial" w:hAnsi="Arial"/>
          <w:sz w:val="16"/>
          <w:szCs w:val="16"/>
          <w:i w:val="1"/>
          <w:iCs w:val="1"/>
          <w:color w:val="auto"/>
        </w:rPr>
        <w:t xml:space="preserve"> </w:t>
      </w:r>
      <w:r>
        <w:rPr>
          <w:rFonts w:ascii="Arial" w:cs="Arial" w:eastAsia="Arial" w:hAnsi="Arial"/>
          <w:sz w:val="16"/>
          <w:szCs w:val="16"/>
          <w:color w:val="auto"/>
        </w:rPr>
        <w:t>newly formed entity, Capline Pipeline Company LLC (“Capline LLC”), in exchange for equity interests in such entity. After the contribution, Capline LLC owns 100% 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applicable accounting rules, the transaction resulted in a “loss of control” of our undivided joint interest, which was derecognized and contributed to Capline LLC. The “loss of control” required us to measure our equity interest in Capline LLC at fair value. At the time of the transaction, our 54% undivided joint interest in the Capline pipeline system had a carrying value of $175 million, which primarily related to property and equipment included in our Transportation segment. We determined the fair value of our investment in Capline LLC to be approximately $444 million, resulting in the recognition of a gain of $269 million during the year ended December 31, 2019. Such gain is included in “Gain on investment in unconsolidated entities” on our Consolidated Statement of Operations.</w:t>
      </w:r>
    </w:p>
    <w:p>
      <w:pPr>
        <w:sectPr>
          <w:pgSz w:w="11900" w:h="16838" w:orient="portrait"/>
          <w:cols w:equalWidth="0" w:num="1">
            <w:col w:w="11380"/>
          </w:cols>
          <w:pgMar w:left="240" w:top="125"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53" w:name="page154"/>
    <w:bookmarkEnd w:id="1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fair value of our investment in Capline LLC was based on an income approach utilizing a discounted cash flow analysis. The cash flow forecasts require the use of various assumptions and estimates which include those related to the timing and amount of capital expenditures, the expected tariff rates and volumes of crude oil, and the terminal value. We probability-weighted various forecasted cash flow scenarios utilized in the analysis when we considered the possible outcomes. We used a discount rate representing our estimate of the risk adjusted discount rate that would be used by market participants.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w:t>
      </w:r>
    </w:p>
    <w:p>
      <w:pPr>
        <w:spacing w:after="0" w:line="19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W2W Pipeline</w:t>
      </w:r>
      <w:r>
        <w:rPr>
          <w:rFonts w:ascii="Arial" w:cs="Arial" w:eastAsia="Arial" w:hAnsi="Arial"/>
          <w:sz w:val="16"/>
          <w:szCs w:val="16"/>
          <w:color w:val="auto"/>
        </w:rPr>
        <w:t>. In 2019, we participated in the formation of W2W Pipeline, a joint venture with subsidiaries of ExxonMobil, Lotus Midstream, LLC</w:t>
      </w:r>
      <w:r>
        <w:rPr>
          <w:rFonts w:ascii="Arial" w:cs="Arial" w:eastAsia="Arial" w:hAnsi="Arial"/>
          <w:sz w:val="16"/>
          <w:szCs w:val="16"/>
          <w:i w:val="1"/>
          <w:iCs w:val="1"/>
          <w:color w:val="auto"/>
        </w:rPr>
        <w:t xml:space="preserve"> </w:t>
      </w:r>
      <w:r>
        <w:rPr>
          <w:rFonts w:ascii="Arial" w:cs="Arial" w:eastAsia="Arial" w:hAnsi="Arial"/>
          <w:sz w:val="16"/>
          <w:szCs w:val="16"/>
          <w:color w:val="auto"/>
        </w:rPr>
        <w:t>and three additional entities, in which we own a 16% interest. We account for our interest in W2W Pipeline under the equity method of accounting. W2W Pipeline is currently developing a new pipeline system that will originate in the Permian Basin in West Texas and transport crude oil to the Texas Gulf Coast. The pipeline system will provide approximately 1.5 million barrels per day of crude oil and condensate capacity and is targeted to commence operations in 2021. W2W Pipeline has entered into an undivided joint-ownership arrangement with a subsidiary of Enterprise Products Partners, L.P. that has acquired 29% of the capacity of the pipeline segment from Midland, Texas to Webster, Texas, and W2W Pipeline now owns 71% of this segment of the pipeline.</w:t>
      </w:r>
    </w:p>
    <w:p>
      <w:pPr>
        <w:spacing w:after="0" w:line="19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Red Oak</w:t>
      </w:r>
      <w:r>
        <w:rPr>
          <w:rFonts w:ascii="Arial" w:cs="Arial" w:eastAsia="Arial" w:hAnsi="Arial"/>
          <w:sz w:val="16"/>
          <w:szCs w:val="16"/>
          <w:color w:val="auto"/>
        </w:rPr>
        <w:t>. In June 2019, we announced the formation of Red Oak, a joint venture with a subsidiary of Phillips 66. We own a 50% interest in Red Oak,</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currently developing a new pipeline that will provide crude oil transportation service from Cushing, Oklahoma, and the Permian Basin in West Texas to multiple destinations along the Texas Gulf Coast, including Corpus Christi, Ingleside, Houston and Beaumont, Texas. The pipeline system will provide approximately 1 million barrels per day of capacity, and initial service from Cushing to the Gulf Coast is targeted to commence in the first half of 2021, subject to receipt of applicable permits and regulatory approvals. We account for our interest in Red Oak under the equity method of accounting.</w:t>
      </w:r>
    </w:p>
    <w:p>
      <w:pPr>
        <w:spacing w:after="0" w:line="185"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In addition to contributing cash for construction of the Red Oak pipeline system, we have also entered into a pipeline capacity lease agreement with Red Oak whereby Red Oak has agreed to lease 260,000 barrels of capacity on our Sunrise II pipeline once the Red Oak pipeline system is operational. Once the Red Oak pipeline system is operational, we will record (i) a $155 million increase to our investment in Red Oak associated with our deemed contribution of the value attributable to the capacity lease and (ii) corresponding deferred revenue that will be recognized on a straight-line basis over the initial lease term of 33 years.</w:t>
      </w:r>
    </w:p>
    <w:p>
      <w:pPr>
        <w:spacing w:after="0" w:line="215" w:lineRule="exact"/>
        <w:rPr>
          <w:sz w:val="20"/>
          <w:szCs w:val="20"/>
          <w:color w:val="auto"/>
        </w:rPr>
      </w:pPr>
    </w:p>
    <w:p>
      <w:pPr>
        <w:jc w:val="both"/>
        <w:ind w:right="260" w:firstLine="648"/>
        <w:spacing w:after="0" w:line="288" w:lineRule="auto"/>
        <w:rPr>
          <w:sz w:val="20"/>
          <w:szCs w:val="20"/>
          <w:color w:val="auto"/>
        </w:rPr>
      </w:pPr>
      <w:r>
        <w:rPr>
          <w:rFonts w:ascii="Arial" w:cs="Arial" w:eastAsia="Arial" w:hAnsi="Arial"/>
          <w:sz w:val="16"/>
          <w:szCs w:val="16"/>
          <w:i w:val="1"/>
          <w:iCs w:val="1"/>
          <w:color w:val="auto"/>
        </w:rPr>
        <w:t>Cushing Connect</w:t>
      </w:r>
      <w:r>
        <w:rPr>
          <w:rFonts w:ascii="Arial" w:cs="Arial" w:eastAsia="Arial" w:hAnsi="Arial"/>
          <w:sz w:val="16"/>
          <w:szCs w:val="16"/>
          <w:color w:val="auto"/>
        </w:rPr>
        <w:t>. During the fourth quarter of 2019, we announced the formation of Cushing Connect Pipeline &amp; Terminal LLC, a joint venture</w:t>
      </w:r>
      <w:r>
        <w:rPr>
          <w:rFonts w:ascii="Arial" w:cs="Arial" w:eastAsia="Arial" w:hAnsi="Arial"/>
          <w:sz w:val="16"/>
          <w:szCs w:val="16"/>
          <w:i w:val="1"/>
          <w:iCs w:val="1"/>
          <w:color w:val="auto"/>
        </w:rPr>
        <w:t xml:space="preserve"> </w:t>
      </w:r>
      <w:r>
        <w:rPr>
          <w:rFonts w:ascii="Arial" w:cs="Arial" w:eastAsia="Arial" w:hAnsi="Arial"/>
          <w:sz w:val="16"/>
          <w:szCs w:val="16"/>
          <w:color w:val="auto"/>
        </w:rPr>
        <w:t>with Holly Energy Partners LP for (i) the development and construction of a new 160,000 barrel per day pipeline that will connect the Cushing, Oklahoma crude oil hub to the Tulsa, Oklahoma refining complex owned by a subsidiary of HollyFrontier Corporation and (ii) the ownership and operation of</w:t>
      </w:r>
    </w:p>
    <w:p>
      <w:pPr>
        <w:ind w:right="140"/>
        <w:spacing w:after="0" w:line="290" w:lineRule="auto"/>
        <w:rPr>
          <w:sz w:val="20"/>
          <w:szCs w:val="20"/>
          <w:color w:val="auto"/>
        </w:rPr>
      </w:pPr>
      <w:r>
        <w:rPr>
          <w:rFonts w:ascii="Arial" w:cs="Arial" w:eastAsia="Arial" w:hAnsi="Arial"/>
          <w:sz w:val="17"/>
          <w:szCs w:val="17"/>
          <w:color w:val="auto"/>
        </w:rPr>
        <w:t>1.5 million barrels of crude oil storage in Cushing, Oklahoma (the “JV Terminal”). We contributed the crude oil storage to Cushing Connect and own a 50% interest, which is accounted for under the equity method of accounting. The pipeline is expected to be in service during the first quarter of 2021.</w:t>
      </w:r>
    </w:p>
    <w:p>
      <w:pPr>
        <w:spacing w:after="0" w:line="18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Cactus II. </w:t>
      </w:r>
      <w:r>
        <w:rPr>
          <w:rFonts w:ascii="Arial" w:cs="Arial" w:eastAsia="Arial" w:hAnsi="Arial"/>
          <w:sz w:val="16"/>
          <w:szCs w:val="16"/>
          <w:color w:val="auto"/>
        </w:rPr>
        <w:t>In the second quarter of 2018, a subsidiary of Oxy and another third party each exercised their purchase options for a 20% interest and a</w:t>
      </w:r>
      <w:r>
        <w:rPr>
          <w:rFonts w:ascii="Arial" w:cs="Arial" w:eastAsia="Arial" w:hAnsi="Arial"/>
          <w:sz w:val="16"/>
          <w:szCs w:val="16"/>
          <w:i w:val="1"/>
          <w:iCs w:val="1"/>
          <w:color w:val="auto"/>
        </w:rPr>
        <w:t xml:space="preserve"> </w:t>
      </w:r>
      <w:r>
        <w:rPr>
          <w:rFonts w:ascii="Arial" w:cs="Arial" w:eastAsia="Arial" w:hAnsi="Arial"/>
          <w:sz w:val="16"/>
          <w:szCs w:val="16"/>
          <w:color w:val="auto"/>
        </w:rPr>
        <w:t>15% interest, respectively, in Cactus II, which owns the Cactus II pipeline system that is currently under construction. Although we own a majority of Cactus II’s equity, we do not have a controlling financial interest in Cactus II because the other members have substantive participating rights. Therefore, we account for our ownership interest in Cactus II as an equity method investment. Following the exercise of the purchase options, we deconsolidated Cactus II resulting in a reduction of property and equipment of $74 million (which was representative of the costs incurred to date to construct the pipeline and equivalent to fair value), and we received $26 million of cash from Cactus II, which represented the other members’ portion of the property and equipment.</w:t>
      </w:r>
    </w:p>
    <w:p>
      <w:pPr>
        <w:spacing w:after="0" w:line="19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during the second quarter of 2018, we received a $100 million advance cash payment from Cactus II associated with pipeline capacity agreements, which is recorded as long-term deferred revenue within “Other long-term liabilities and deferred credits” on our Consolidated Balance Sheet. Such amount is being recognized in revenue ratably over the life of the contracts.</w:t>
      </w:r>
    </w:p>
    <w:p>
      <w:pPr>
        <w:spacing w:after="0" w:line="208"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i w:val="1"/>
          <w:iCs w:val="1"/>
          <w:color w:val="auto"/>
        </w:rPr>
        <w:t>BridgeTex</w:t>
      </w:r>
      <w:r>
        <w:rPr>
          <w:rFonts w:ascii="Arial" w:cs="Arial" w:eastAsia="Arial" w:hAnsi="Arial"/>
          <w:sz w:val="18"/>
          <w:szCs w:val="18"/>
          <w:color w:val="auto"/>
        </w:rPr>
        <w:t>. During the third quarter of 2018, we sold a 30% interest in BridgeTex for proceeds of $868 million, including working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and have retained a 20% interest. We recorded a gain of $200 million related to this sale,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54" w:name="page155"/>
    <w:bookmarkEnd w:id="1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which is included in “Gain on investment in unconsolidated entities” on our Consolidated Statement of Operations. We continue to account for our remaining interest under the equity method of accounting.</w:t>
      </w:r>
    </w:p>
    <w:p>
      <w:pPr>
        <w:spacing w:after="0" w:line="19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Advantage Joint Venture</w:t>
      </w:r>
      <w:r>
        <w:rPr>
          <w:rFonts w:ascii="Arial" w:cs="Arial" w:eastAsia="Arial" w:hAnsi="Arial"/>
          <w:sz w:val="17"/>
          <w:szCs w:val="17"/>
          <w:color w:val="auto"/>
        </w:rPr>
        <w:t>. On April 3, 2017, we and an affiliate of Noble completed the acquisition of Advantage Pipeline, L.L.C.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$133 million through a newly formed 50/50 joint venture (the “Advantage Joint Venture”). For our 50% share ($66.5 million), we contributed approximately 1.3 million PAA common units with a value of approximately $40 million and approximately $26 million in cash. Through the acquisition, the Advantage Joint Venture owns a 70-mile, 16-inch crude oil pipeline located in the southern Delaware Basin (the “Advantage Pipeline”), which is contractually supported by a third-party acreage dedication and a volume commitment from our wholly-owned marketing subsidiary. Noble serves as operator of the Advantage Pipeline. We account for our interest in the Advantage Joint Venture under the equity method of accounting.</w:t>
      </w:r>
    </w:p>
    <w:p>
      <w:pPr>
        <w:spacing w:after="0" w:line="20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 xml:space="preserve">Midway Pipeline LLC. </w:t>
      </w:r>
      <w:r>
        <w:rPr>
          <w:rFonts w:ascii="Arial" w:cs="Arial" w:eastAsia="Arial" w:hAnsi="Arial"/>
          <w:sz w:val="18"/>
          <w:szCs w:val="18"/>
          <w:color w:val="auto"/>
        </w:rPr>
        <w:t>During the fourth quarter of 2017, we and an affiliate of CVR Refining, LP (“CVR Refining”) formed a 50/50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Midway Pipeline LLC, which acquired from us the Cushing to Broome crude oil pipeline system. The Cushing to Broome pipeline system connects CVR Refining’s Coffeyville, Kansas refinery to the Cushing, Oklahoma oil hub. We continue to serve as operator of the pipeline. We account for our interest in Midway Pipeline LLC under the equity method of accounting.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Distributions received from unconsolidated entities are classified based on the nature of the distribution approach, which looks to the activity that generated the distribution. We consider distributions received from unconsolidated entities as a return on investment in those entities to the extent that the distribution was generated through operating results, and therefore classify these distributions as cash flows from operating activities in our Consolidated Statement of Cash Flows. Other distributions received from unconsolidated entities are considered a return of investment and classified as cash flows from investing activities on the Consolidated Statement of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252" w:lineRule="exact"/>
        <w:rPr>
          <w:sz w:val="20"/>
          <w:szCs w:val="20"/>
          <w:color w:val="auto"/>
        </w:rPr>
      </w:pPr>
    </w:p>
    <w:p>
      <w:pPr>
        <w:ind w:right="340" w:firstLine="648"/>
        <w:spacing w:after="0" w:line="273" w:lineRule="auto"/>
        <w:rPr>
          <w:sz w:val="20"/>
          <w:szCs w:val="20"/>
          <w:color w:val="auto"/>
        </w:rPr>
      </w:pPr>
      <w:r>
        <w:rPr>
          <w:rFonts w:ascii="Arial" w:cs="Arial" w:eastAsia="Arial" w:hAnsi="Arial"/>
          <w:sz w:val="17"/>
          <w:szCs w:val="17"/>
          <w:color w:val="auto"/>
        </w:rPr>
        <w:t>We generally fund our portion of development, construction or capital expansion projects of our equity method investees through capital contributions. Our contributions to these entities increase the carrying value of our investments and are reflected in our Consolidated Statements of Cash Flows as cash used in investing activities. During the years ended December 31, 2019, 2018 and 2017, we made cash contributions of $504 million, $459 million and $398 million, respectively, to certain of our equity method investees. In addition, we capitalized interest of $20 million, $9 million and $18 million during the years ended December 31, 2019, 2018 and 2017, respectively, related to contributions to unconsolidated entities for projects under development and construction. We anticipate that we will make additional contributions in 2020 related to ongoing projects.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Differences</w:t>
      </w:r>
    </w:p>
    <w:p>
      <w:pPr>
        <w:spacing w:after="0" w:line="25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investments in unconsolidated entities exceeded our share of the underlying equity in the net assets of such entities by $349 million and $467 million at December 31, 2019 and 2018, respectively. Such basis differences are included in the carrying values of our investments on our Consolidated Balance Sheets. The portion of the basis differences attributable to depreciable or amortizable assets is amortized on a straight-line basis over the estimated useful life of the related assets, which reduces “Equity earnings in unconsolidated entities” on our Consolidated Statements of Operations. The portion of the basis differences attributable to goodwill is not amortized. The majority of the basis difference at both December 31, 2019 and 2018 was related to our ownership interest in BridgeTex.</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5" w:name="page156"/>
    <w:bookmarkEnd w:id="1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Summarized Financial Information of Unconsolidated Entities</w:t>
      </w:r>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Combined summarized financial information for all of our unconsolidated entities is shown in the tables below (in millions). None of our unconsolidated entities have noncontrolling interests.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357</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7,264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4,861</w:t>
            </w:r>
          </w:p>
        </w:tc>
      </w:tr>
      <w:tr>
        <w:trPr>
          <w:trHeight w:val="27"/>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170</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30</w:t>
            </w:r>
          </w:p>
        </w:tc>
      </w:tr>
      <w:tr>
        <w:trPr>
          <w:trHeight w:val="602"/>
        </w:trPr>
        <w:tc>
          <w:tcPr>
            <w:tcW w:w="6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1,469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938</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994</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650</w:t>
            </w:r>
          </w:p>
        </w:tc>
      </w:tr>
      <w:tr>
        <w:trPr>
          <w:trHeight w:val="27"/>
        </w:trPr>
        <w:tc>
          <w:tcPr>
            <w:tcW w:w="68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995</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640</w:t>
            </w:r>
          </w:p>
        </w:tc>
      </w:tr>
      <w:tr>
        <w:trPr>
          <w:trHeight w:val="27"/>
        </w:trPr>
        <w:tc>
          <w:tcPr>
            <w:tcW w:w="6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10—Other Long-Term Assets, Net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assets, net of accumulated amortization, consisted of the following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2019</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15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Estimated Useful</w:t>
            </w: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3"/>
                <w:szCs w:val="13"/>
                <w:color w:val="auto"/>
              </w:rPr>
            </w:pPr>
          </w:p>
        </w:tc>
        <w:tc>
          <w:tcPr>
            <w:tcW w:w="7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Lives (Years)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Customer contracts and relationships</w:t>
            </w:r>
          </w:p>
        </w:tc>
        <w:tc>
          <w:tcPr>
            <w:tcW w:w="15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87"/>
              </w:rPr>
              <w:t>1 – 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0"/>
        </w:trPr>
        <w:tc>
          <w:tcPr>
            <w:tcW w:w="2840" w:type="dxa"/>
            <w:vAlign w:val="bottom"/>
          </w:tcPr>
          <w:p>
            <w:pPr>
              <w:ind w:left="20"/>
              <w:spacing w:after="0"/>
              <w:rPr>
                <w:sz w:val="20"/>
                <w:szCs w:val="20"/>
                <w:color w:val="auto"/>
              </w:rPr>
            </w:pPr>
            <w:r>
              <w:rPr>
                <w:rFonts w:ascii="Arial" w:cs="Arial" w:eastAsia="Arial" w:hAnsi="Arial"/>
                <w:sz w:val="18"/>
                <w:szCs w:val="18"/>
                <w:color w:val="auto"/>
              </w:rPr>
              <w:t>Property tax abatement</w:t>
            </w:r>
          </w:p>
        </w:tc>
        <w:tc>
          <w:tcPr>
            <w:tcW w:w="154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7 – 13</w:t>
            </w:r>
          </w:p>
        </w:tc>
        <w:tc>
          <w:tcPr>
            <w:tcW w:w="240" w:type="dxa"/>
            <w:vAlign w:val="bottom"/>
          </w:tcPr>
          <w:p>
            <w:pPr>
              <w:spacing w:after="0"/>
              <w:rPr>
                <w:sz w:val="23"/>
                <w:szCs w:val="23"/>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agreements</w:t>
            </w:r>
          </w:p>
        </w:tc>
        <w:tc>
          <w:tcPr>
            <w:tcW w:w="154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color w:val="auto"/>
                <w:w w:val="89"/>
              </w:rPr>
              <w:t>25 – 70</w:t>
            </w: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4"/>
        </w:trPr>
        <w:tc>
          <w:tcPr>
            <w:tcW w:w="2840" w:type="dxa"/>
            <w:vAlign w:val="bottom"/>
          </w:tcPr>
          <w:p>
            <w:pPr>
              <w:ind w:left="14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23"/>
                <w:szCs w:val="23"/>
                <w:color w:val="auto"/>
                <w:vertAlign w:val="superscript"/>
              </w:rPr>
              <w:t>(1)</w:t>
            </w: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0"/>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7"/>
        </w:trPr>
        <w:tc>
          <w:tcPr>
            <w:tcW w:w="2840" w:type="dxa"/>
            <w:vAlign w:val="bottom"/>
          </w:tcPr>
          <w:p>
            <w:pPr>
              <w:ind w:left="120"/>
              <w:spacing w:after="0"/>
              <w:rPr>
                <w:sz w:val="20"/>
                <w:szCs w:val="20"/>
                <w:color w:val="auto"/>
              </w:rPr>
            </w:pPr>
            <w:r>
              <w:rPr>
                <w:rFonts w:ascii="Arial" w:cs="Arial" w:eastAsia="Arial" w:hAnsi="Arial"/>
                <w:sz w:val="18"/>
                <w:szCs w:val="18"/>
                <w:color w:val="auto"/>
              </w:rPr>
              <w:t>Other long-term assets, net</w:t>
            </w: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8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80" w:hanging="652"/>
        <w:spacing w:after="0" w:line="227" w:lineRule="auto"/>
        <w:tabs>
          <w:tab w:leader="none" w:pos="648"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We include rights-of-way, which are intangible assets, in our pipeline and related facilities amounts within property and equipment. See Note 6 for a discussion of property and equipment.</w:t>
      </w:r>
    </w:p>
    <w:p>
      <w:pPr>
        <w:spacing w:after="0" w:line="229"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Intangible assets that have finite lives are tested for impairment when events or circumstances indicate that the carrying value may not be recoverable. We did not recognize any impairments of finite-lived intangible assets during the three years ended December 31, 2019.</w:t>
      </w:r>
    </w:p>
    <w:p>
      <w:pPr>
        <w:spacing w:after="0" w:line="17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Amortization expense for finite-lived intangible assets for the years ended December 31, 2019, 2018 and 2017 was $76 million, $66 million and $54 million, respectively. We estimate that our amortization expense related to finite-lived intangible assets for the next five years will be as follows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960" w:type="dxa"/>
            <w:vAlign w:val="bottom"/>
            <w:shd w:val="clear" w:color="auto" w:fill="CCEEFF"/>
          </w:tcPr>
          <w:p>
            <w:pPr>
              <w:jc w:val="right"/>
              <w:ind w:right="4490"/>
              <w:spacing w:after="0"/>
              <w:rPr>
                <w:sz w:val="20"/>
                <w:szCs w:val="20"/>
                <w:color w:val="auto"/>
              </w:rPr>
            </w:pPr>
            <w:r>
              <w:rPr>
                <w:rFonts w:ascii="Arial" w:cs="Arial" w:eastAsia="Arial" w:hAnsi="Arial"/>
                <w:sz w:val="18"/>
                <w:szCs w:val="18"/>
                <w:color w:val="auto"/>
                <w:w w:val="89"/>
              </w:rPr>
              <w:t>2020</w:t>
            </w:r>
          </w:p>
        </w:tc>
        <w:tc>
          <w:tcPr>
            <w:tcW w:w="53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r>
      <w:tr>
        <w:trPr>
          <w:trHeight w:val="243"/>
        </w:trPr>
        <w:tc>
          <w:tcPr>
            <w:tcW w:w="4960" w:type="dxa"/>
            <w:vAlign w:val="bottom"/>
          </w:tcPr>
          <w:p>
            <w:pPr>
              <w:jc w:val="right"/>
              <w:ind w:right="4490"/>
              <w:spacing w:after="0"/>
              <w:rPr>
                <w:sz w:val="20"/>
                <w:szCs w:val="20"/>
                <w:color w:val="auto"/>
              </w:rPr>
            </w:pPr>
            <w:r>
              <w:rPr>
                <w:rFonts w:ascii="Arial" w:cs="Arial" w:eastAsia="Arial" w:hAnsi="Arial"/>
                <w:sz w:val="18"/>
                <w:szCs w:val="18"/>
                <w:color w:val="auto"/>
                <w:w w:val="89"/>
              </w:rPr>
              <w:t>2021</w:t>
            </w:r>
          </w:p>
        </w:tc>
        <w:tc>
          <w:tcPr>
            <w:tcW w:w="53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73</w:t>
            </w:r>
          </w:p>
        </w:tc>
      </w:tr>
      <w:tr>
        <w:trPr>
          <w:trHeight w:val="27"/>
        </w:trPr>
        <w:tc>
          <w:tcPr>
            <w:tcW w:w="49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jc w:val="right"/>
              <w:ind w:right="4490"/>
              <w:spacing w:after="0"/>
              <w:rPr>
                <w:sz w:val="20"/>
                <w:szCs w:val="20"/>
                <w:color w:val="auto"/>
              </w:rPr>
            </w:pPr>
            <w:r>
              <w:rPr>
                <w:rFonts w:ascii="Arial" w:cs="Arial" w:eastAsia="Arial" w:hAnsi="Arial"/>
                <w:sz w:val="18"/>
                <w:szCs w:val="18"/>
                <w:color w:val="auto"/>
                <w:w w:val="89"/>
              </w:rPr>
              <w:t>2022</w:t>
            </w:r>
          </w:p>
        </w:tc>
        <w:tc>
          <w:tcPr>
            <w:tcW w:w="53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w:t>
            </w:r>
          </w:p>
        </w:tc>
      </w:tr>
      <w:tr>
        <w:trPr>
          <w:trHeight w:val="243"/>
        </w:trPr>
        <w:tc>
          <w:tcPr>
            <w:tcW w:w="4960" w:type="dxa"/>
            <w:vAlign w:val="bottom"/>
          </w:tcPr>
          <w:p>
            <w:pPr>
              <w:jc w:val="right"/>
              <w:ind w:right="4490"/>
              <w:spacing w:after="0"/>
              <w:rPr>
                <w:sz w:val="20"/>
                <w:szCs w:val="20"/>
                <w:color w:val="auto"/>
              </w:rPr>
            </w:pPr>
            <w:r>
              <w:rPr>
                <w:rFonts w:ascii="Arial" w:cs="Arial" w:eastAsia="Arial" w:hAnsi="Arial"/>
                <w:sz w:val="18"/>
                <w:szCs w:val="18"/>
                <w:color w:val="auto"/>
                <w:w w:val="89"/>
              </w:rPr>
              <w:t>2023</w:t>
            </w:r>
          </w:p>
        </w:tc>
        <w:tc>
          <w:tcPr>
            <w:tcW w:w="53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69</w:t>
            </w:r>
          </w:p>
        </w:tc>
      </w:tr>
      <w:tr>
        <w:trPr>
          <w:trHeight w:val="27"/>
        </w:trPr>
        <w:tc>
          <w:tcPr>
            <w:tcW w:w="49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960" w:type="dxa"/>
            <w:vAlign w:val="bottom"/>
            <w:shd w:val="clear" w:color="auto" w:fill="CCEEFF"/>
          </w:tcPr>
          <w:p>
            <w:pPr>
              <w:jc w:val="right"/>
              <w:ind w:right="4490"/>
              <w:spacing w:after="0"/>
              <w:rPr>
                <w:sz w:val="20"/>
                <w:szCs w:val="20"/>
                <w:color w:val="auto"/>
              </w:rPr>
            </w:pPr>
            <w:r>
              <w:rPr>
                <w:rFonts w:ascii="Arial" w:cs="Arial" w:eastAsia="Arial" w:hAnsi="Arial"/>
                <w:sz w:val="18"/>
                <w:szCs w:val="18"/>
                <w:color w:val="auto"/>
                <w:w w:val="89"/>
              </w:rPr>
              <w:t>2024</w:t>
            </w:r>
          </w:p>
        </w:tc>
        <w:tc>
          <w:tcPr>
            <w:tcW w:w="53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7"/>
        </w:trPr>
        <w:tc>
          <w:tcPr>
            <w:tcW w:w="49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56" w:name="page157"/>
    <w:bookmarkEnd w:id="1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SHORT-TERM DEBT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PAA commercial paper notes, bearing a weighted-average interest rate of 2.2% </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PAA senior secured hedged inventory facility, bearing a weighted-average interest rate of 2.7%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PAA senior notes: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2.60% senior notes due December 2019 </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5.75% senior notes due January 2020</w:t>
            </w:r>
          </w:p>
        </w:tc>
        <w:tc>
          <w:tcPr>
            <w:tcW w:w="20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5.00% senior notes due February 2021</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3.65% senior notes due June 2022</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2.85% senior notes due January 2023</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3.85% senior notes due October 2023</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3.60% senior notes due November 2024</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4.65% senior notes due October 2025</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4.50% senior notes due December 2026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3.55% senior notes due December 2029</w:t>
            </w:r>
          </w:p>
        </w:tc>
        <w:tc>
          <w:tcPr>
            <w:tcW w:w="20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6.70% senior notes due May 2036</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6.65% senior notes due January 2037</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5.15% senior notes due June 2042</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4.30% senior notes due January 2043</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4.70% senior notes due June 2044</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4.90% senior notes due February 2045</w:t>
            </w:r>
          </w:p>
        </w:tc>
        <w:tc>
          <w:tcPr>
            <w:tcW w:w="20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Unamortized discounts and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PAA senior notes, net of unamortized discounts and debt issuance costs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140"/>
              <w:spacing w:after="0" w:line="176" w:lineRule="exact"/>
              <w:rPr>
                <w:sz w:val="20"/>
                <w:szCs w:val="20"/>
                <w:color w:val="auto"/>
              </w:rPr>
            </w:pPr>
            <w:r>
              <w:rPr>
                <w:rFonts w:ascii="Arial" w:cs="Arial" w:eastAsia="Arial" w:hAnsi="Arial"/>
                <w:sz w:val="18"/>
                <w:szCs w:val="18"/>
                <w:color w:val="auto"/>
                <w:w w:val="95"/>
              </w:rPr>
              <w:t>PAA GO Zone term loans, net of debt issuance costs of $1 and $2, respectively, bearing a weighted-average</w:t>
            </w:r>
          </w:p>
        </w:tc>
        <w:tc>
          <w:tcPr>
            <w:tcW w:w="20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interest rate of 2.6% and 3.1%,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9,143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9,691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400" w:hanging="11"/>
        <w:spacing w:after="0" w:line="264" w:lineRule="auto"/>
        <w:rPr>
          <w:sz w:val="20"/>
          <w:szCs w:val="20"/>
          <w:color w:val="auto"/>
        </w:rPr>
      </w:pPr>
      <w:r>
        <w:rPr>
          <w:rFonts w:ascii="Arial" w:cs="Arial" w:eastAsia="Arial" w:hAnsi="Arial"/>
          <w:sz w:val="18"/>
          <w:szCs w:val="18"/>
          <w:color w:val="auto"/>
        </w:rPr>
        <w:t>We classified these PAA commercial paper notes and credit facility borrowings as short-term as of December 31, 2019, as these notes and borrowings were primarily designated as working capital borrowings, were required to be repaid within one year and were primarily for hedged NGL and crude oil inventory and NYMEX and ICE margin deposits.</w:t>
      </w:r>
    </w:p>
    <w:p>
      <w:pPr>
        <w:spacing w:after="0" w:line="73" w:lineRule="exact"/>
        <w:rPr>
          <w:sz w:val="20"/>
          <w:szCs w:val="20"/>
          <w:color w:val="auto"/>
        </w:rPr>
      </w:pPr>
    </w:p>
    <w:p>
      <w:pPr>
        <w:ind w:right="120" w:hanging="11"/>
        <w:spacing w:after="0" w:line="277" w:lineRule="auto"/>
        <w:rPr>
          <w:sz w:val="20"/>
          <w:szCs w:val="20"/>
          <w:color w:val="auto"/>
        </w:rPr>
      </w:pPr>
      <w:r>
        <w:rPr>
          <w:rFonts w:ascii="Arial" w:cs="Arial" w:eastAsia="Arial" w:hAnsi="Arial"/>
          <w:sz w:val="18"/>
          <w:szCs w:val="18"/>
          <w:color w:val="auto"/>
        </w:rPr>
        <w:t>As of December 31, 2018, we classified the $500 million, 2.60% PAA senior notes due December 2019 as long-term based on our ability and intent to refinance such amounts on a long-term basis.</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57" w:name="page158"/>
    <w:bookmarkEnd w:id="1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660" w:right="100" w:hanging="652"/>
        <w:spacing w:after="0" w:line="259" w:lineRule="auto"/>
        <w:tabs>
          <w:tab w:leader="none" w:pos="648" w:val="left"/>
        </w:tabs>
        <w:numPr>
          <w:ilvl w:val="0"/>
          <w:numId w:val="92"/>
        </w:numPr>
        <w:rPr>
          <w:rFonts w:ascii="Arial" w:cs="Arial" w:eastAsia="Arial" w:hAnsi="Arial"/>
          <w:sz w:val="22"/>
          <w:szCs w:val="22"/>
          <w:color w:val="auto"/>
          <w:vertAlign w:val="superscript"/>
        </w:rPr>
      </w:pPr>
      <w:r>
        <w:rPr>
          <w:rFonts w:ascii="Arial" w:cs="Arial" w:eastAsia="Arial" w:hAnsi="Arial"/>
          <w:sz w:val="17"/>
          <w:szCs w:val="17"/>
          <w:color w:val="auto"/>
        </w:rPr>
        <w:t>PAA’s fixed-rate senior notes had a face value of approximately $9.0 billion at both December 31, 2019 and 2018. We estimated the aggregate fair value of these notes as of December 31, 2019 and 2018 to be approximately $9.3 billion and $8.6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the credit facilities and the PAA commercial paper program and GO Zone term loans approximates fair value as interest rates reflect current market rates. The fair value estimates for the PAA senior notes, credit facilities, commercial paper program and GO Zone term loans are based upon observable market data and are classified in Level 2 of the fair value hierarchy.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Commercial Paper Program</w:t>
      </w:r>
    </w:p>
    <w:p>
      <w:pPr>
        <w:spacing w:after="0" w:line="252"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PAA has a commercial paper program under which it may issue (and have outstanding at any time) up to $3.0 billion in the aggregate of privately placed, unsecured commercial paper notes. Such notes are backstopped by the PAA senior unsecured revolving credit facility and the PAA senior secured hedged inventory facility; as such, any borrowings under the PAA commercial paper program reduce the available capacity under these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25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i w:val="1"/>
          <w:iCs w:val="1"/>
          <w:color w:val="auto"/>
        </w:rPr>
        <w:t>PAA senior secured hedged inventory facility</w:t>
      </w:r>
      <w:r>
        <w:rPr>
          <w:rFonts w:ascii="Arial" w:cs="Arial" w:eastAsia="Arial" w:hAnsi="Arial"/>
          <w:sz w:val="16"/>
          <w:szCs w:val="16"/>
          <w:color w:val="auto"/>
        </w:rPr>
        <w:t>. PAA has a credit agreement that provides for a senior secured hedged inventory facility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committed borrowing capacity of $1.4 billion, of which $400 million is available for the issuance of letters of credit. Subject to obtaining additional or increased lender commitments, the committed capacity of the facility may be increased to $1.9 billion. Proceeds from the facility are primarily used to finance purchased or stored hedged inventory, including NYMEX and ICE margin deposits. Such obligations under the committed facility are secured by the financed inventory and the associated accounts receivable and are repaid from the proceeds of the sale of the financed inventory. Borrowings accrue interest based, at PAA’s election, on either the Eurocurrency Rate or the Base Rate, in each case plus a margin based on PAA’s credit rating at the applicable time. The agreement also provides for one or more one-year extensions, subject to applicable approval. In August 2019, PAA amended this agreement to, among other things, extend the maturity date of the facility to August 2022 for each extending lender. The maturity date with respect to each non-extending lender (which represent aggregate commitments of approximately $45 million out of total commitments of $1.4 billion from all lenders) remains August 2021.</w:t>
      </w:r>
    </w:p>
    <w:p>
      <w:pPr>
        <w:spacing w:after="0" w:line="19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PAA senior unsecured revolving credit facility. </w:t>
      </w:r>
      <w:r>
        <w:rPr>
          <w:rFonts w:ascii="Arial" w:cs="Arial" w:eastAsia="Arial" w:hAnsi="Arial"/>
          <w:sz w:val="17"/>
          <w:szCs w:val="17"/>
          <w:color w:val="auto"/>
        </w:rPr>
        <w:t>PAA has a credit agreement that provides for a senior unsecured revolving credit facility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committed borrowing capacity of $1.6 billion. Subject to obtaining additional or increased lender commitments, the committed capacity may be increased to $2.1 billion. The credit agreement also provides for the issuance of letters of credit. Borrowings accrue interest based, at PAA’s election, on the Eurocurrency Rate, the Base Rate or the Canadian Prime Rate, in each case plus a margin based on PAA’s credit rating at the applicable time. The agreement also provides for one or more one-year extensions, subject to applicable approval. In August 2019, PAA amended this agreement to, among other things, extend the maturity date of the facility to August 2024 for each extending lender.</w:t>
      </w:r>
    </w:p>
    <w:p>
      <w:pPr>
        <w:spacing w:after="0" w:line="20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PAA GO Zone term loans</w:t>
      </w:r>
      <w:r>
        <w:rPr>
          <w:rFonts w:ascii="Arial" w:cs="Arial" w:eastAsia="Arial" w:hAnsi="Arial"/>
          <w:sz w:val="18"/>
          <w:szCs w:val="18"/>
          <w:color w:val="auto"/>
        </w:rPr>
        <w:t>. In August 2018, PAA entered into an agreement for two $100 million term loans (the “GO Zone term loans”)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remarketing of its $100 million Mississippi Business Finance Corporation Gulf Opportunity Zone Industrial Development Revenue Bonds (PAA Natural Gas Storage, L.P. Project), Series 2009 and its $100 million Mississippi Business Finance Corporation Gulf Opportunity Zone Industrial Development Revenue Bonds (PAA Natural Gas Storage, L.P. Project), Series 2010 (collectively, the “GO Bonds”). The GO Zone term loans accrue interest in accordance with the interest payable on the related GO Bonds as provided in the GO Bonds Indenture pursuant to which such GO Bonds are issued and governed. The purchasers of the two GO Zone term loans have the right to put, at par, the GO Zone term loans in July 2023. The GO Bonds mature by their terms in May 2032 and August 2035, respectively.</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PAA Senior Notes</w:t>
      </w:r>
    </w:p>
    <w:p>
      <w:pPr>
        <w:spacing w:after="0" w:line="25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PAA’s senior notes are co-issued, jointly and severally, by Plains All American Pipeline, L.P. and a 100%-owned consolidated finance subsidiary (neither of which have independent assets or operations) and are unsecured senior obligations of such entities and rank equally in right of payment with existing and future senior indebtedness of the issuers. PAA may, at its option, redeem any series of senior notes at any time in whole or from time to time in part, prior to maturity, at the redemption prices described in the indentures governing the senior notes. PAA’s senior notes are not guaranteed by any of its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PAA Senior Notes Issuances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summarizes PAA’s issuances of senior unsecured notes during the three years ended December 31, 2019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Description</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Face Value</w:t>
            </w:r>
          </w:p>
        </w:tc>
        <w:tc>
          <w:tcPr>
            <w:tcW w:w="10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Interest Payment Dates</w:t>
            </w:r>
          </w:p>
        </w:tc>
      </w:tr>
      <w:tr>
        <w:trPr>
          <w:trHeight w:val="270"/>
        </w:trPr>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3"/>
                <w:szCs w:val="23"/>
                <w:color w:val="auto"/>
              </w:rPr>
            </w:pPr>
          </w:p>
        </w:tc>
        <w:tc>
          <w:tcPr>
            <w:tcW w:w="5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3.55% Senior Notes issued at 99.801% of face value</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December 2029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15 and December 15</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PAA did not issue any senior unsecured notes during the years ended December 31, 2018 or 2017.</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PAA Senior Notes Repayments. </w:t>
      </w:r>
      <w:r>
        <w:rPr>
          <w:rFonts w:ascii="Arial" w:cs="Arial" w:eastAsia="Arial" w:hAnsi="Arial"/>
          <w:sz w:val="16"/>
          <w:szCs w:val="16"/>
          <w:color w:val="auto"/>
        </w:rPr>
        <w:t>During the three years ended December 31, 2019, PAA repaid the following senior unsecured notes (in millions):</w:t>
      </w:r>
    </w:p>
    <w:p>
      <w:pPr>
        <w:spacing w:after="0" w:line="78" w:lineRule="exact"/>
        <w:rPr>
          <w:sz w:val="20"/>
          <w:szCs w:val="20"/>
          <w:color w:val="auto"/>
        </w:rPr>
      </w:pPr>
    </w:p>
    <w:p>
      <w:pPr>
        <w:ind w:left="1020"/>
        <w:spacing w:after="0"/>
        <w:tabs>
          <w:tab w:leader="none" w:pos="4920" w:val="left"/>
          <w:tab w:leader="none" w:pos="8920" w:val="left"/>
        </w:tabs>
        <w:rPr>
          <w:sz w:val="20"/>
          <w:szCs w:val="20"/>
          <w:color w:val="auto"/>
        </w:rPr>
      </w:pPr>
      <w:r>
        <w:rPr>
          <w:rFonts w:ascii="Arial" w:cs="Arial" w:eastAsia="Arial" w:hAnsi="Arial"/>
          <w:sz w:val="14"/>
          <w:szCs w:val="14"/>
          <w:b w:val="1"/>
          <w:bCs w:val="1"/>
          <w:color w:val="auto"/>
        </w:rPr>
        <w:t>Year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Repayment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43750" cy="1803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7">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63" w:lineRule="exact"/>
        <w:rPr>
          <w:sz w:val="20"/>
          <w:szCs w:val="20"/>
          <w:color w:val="auto"/>
        </w:rPr>
      </w:pPr>
    </w:p>
    <w:tbl>
      <w:tblPr>
        <w:tblLayout w:type="fixed"/>
        <w:tblInd w:w="980" w:type="dxa"/>
        <w:tblCellMar>
          <w:top w:w="0" w:type="dxa"/>
          <w:left w:w="0" w:type="dxa"/>
          <w:bottom w:w="0" w:type="dxa"/>
          <w:right w:w="0" w:type="dxa"/>
        </w:tblCellMar>
      </w:tblPr>
      <w:tr>
        <w:trPr>
          <w:trHeight w:val="257"/>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84"/>
              </w:rPr>
              <w:t>2019</w:t>
            </w:r>
          </w:p>
        </w:tc>
        <w:tc>
          <w:tcPr>
            <w:tcW w:w="5720" w:type="dxa"/>
            <w:vAlign w:val="bottom"/>
          </w:tcPr>
          <w:p>
            <w:pPr>
              <w:jc w:val="center"/>
              <w:ind w:left="110"/>
              <w:spacing w:after="0"/>
              <w:rPr>
                <w:sz w:val="20"/>
                <w:szCs w:val="20"/>
                <w:color w:val="auto"/>
              </w:rPr>
            </w:pPr>
            <w:r>
              <w:rPr>
                <w:rFonts w:ascii="Arial" w:cs="Arial" w:eastAsia="Arial" w:hAnsi="Arial"/>
                <w:sz w:val="18"/>
                <w:szCs w:val="18"/>
                <w:color w:val="auto"/>
                <w:w w:val="91"/>
              </w:rPr>
              <w:t>$500 million 2.60% Senior Notes due December 2019</w:t>
            </w:r>
          </w:p>
        </w:tc>
        <w:tc>
          <w:tcPr>
            <w:tcW w:w="1980" w:type="dxa"/>
            <w:vAlign w:val="bottom"/>
          </w:tcPr>
          <w:p>
            <w:pPr>
              <w:jc w:val="center"/>
              <w:ind w:left="710"/>
              <w:spacing w:after="0"/>
              <w:rPr>
                <w:sz w:val="20"/>
                <w:szCs w:val="20"/>
                <w:color w:val="auto"/>
              </w:rPr>
            </w:pPr>
            <w:r>
              <w:rPr>
                <w:rFonts w:ascii="Arial" w:cs="Arial" w:eastAsia="Arial" w:hAnsi="Arial"/>
                <w:sz w:val="18"/>
                <w:szCs w:val="18"/>
                <w:color w:val="auto"/>
                <w:w w:val="92"/>
              </w:rPr>
              <w:t>November 2019</w:t>
            </w:r>
          </w:p>
        </w:tc>
      </w:tr>
      <w:tr>
        <w:trPr>
          <w:trHeight w:val="270"/>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84"/>
              </w:rPr>
              <w:t>2019</w:t>
            </w:r>
          </w:p>
        </w:tc>
        <w:tc>
          <w:tcPr>
            <w:tcW w:w="5720" w:type="dxa"/>
            <w:vAlign w:val="bottom"/>
          </w:tcPr>
          <w:p>
            <w:pPr>
              <w:jc w:val="center"/>
              <w:ind w:left="110"/>
              <w:spacing w:after="0"/>
              <w:rPr>
                <w:sz w:val="20"/>
                <w:szCs w:val="20"/>
                <w:color w:val="auto"/>
              </w:rPr>
            </w:pPr>
            <w:r>
              <w:rPr>
                <w:rFonts w:ascii="Arial" w:cs="Arial" w:eastAsia="Arial" w:hAnsi="Arial"/>
                <w:sz w:val="18"/>
                <w:szCs w:val="18"/>
                <w:color w:val="auto"/>
                <w:w w:val="90"/>
              </w:rPr>
              <w:t>$500 million 5.75% Senior Notes due January 2020</w:t>
            </w:r>
          </w:p>
        </w:tc>
        <w:tc>
          <w:tcPr>
            <w:tcW w:w="1980" w:type="dxa"/>
            <w:vAlign w:val="bottom"/>
          </w:tcPr>
          <w:p>
            <w:pPr>
              <w:jc w:val="center"/>
              <w:ind w:left="710"/>
              <w:spacing w:after="0"/>
              <w:rPr>
                <w:sz w:val="20"/>
                <w:szCs w:val="20"/>
                <w:color w:val="auto"/>
              </w:rPr>
            </w:pPr>
            <w:r>
              <w:rPr>
                <w:rFonts w:ascii="Arial" w:cs="Arial" w:eastAsia="Arial" w:hAnsi="Arial"/>
                <w:sz w:val="18"/>
                <w:szCs w:val="18"/>
                <w:color w:val="auto"/>
                <w:w w:val="88"/>
              </w:rPr>
              <w:t>December 2019</w:t>
            </w:r>
          </w:p>
        </w:tc>
      </w:tr>
      <w:tr>
        <w:trPr>
          <w:trHeight w:val="540"/>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84"/>
              </w:rPr>
              <w:t>2017</w:t>
            </w:r>
          </w:p>
        </w:tc>
        <w:tc>
          <w:tcPr>
            <w:tcW w:w="5720" w:type="dxa"/>
            <w:vAlign w:val="bottom"/>
          </w:tcPr>
          <w:p>
            <w:pPr>
              <w:jc w:val="center"/>
              <w:ind w:left="110"/>
              <w:spacing w:after="0"/>
              <w:rPr>
                <w:sz w:val="20"/>
                <w:szCs w:val="20"/>
                <w:color w:val="auto"/>
              </w:rPr>
            </w:pPr>
            <w:r>
              <w:rPr>
                <w:rFonts w:ascii="Arial" w:cs="Arial" w:eastAsia="Arial" w:hAnsi="Arial"/>
                <w:sz w:val="18"/>
                <w:szCs w:val="18"/>
                <w:color w:val="auto"/>
                <w:w w:val="90"/>
              </w:rPr>
              <w:t>$400 million 6.13% Senior Notes due January 2017</w:t>
            </w:r>
          </w:p>
        </w:tc>
        <w:tc>
          <w:tcPr>
            <w:tcW w:w="1980" w:type="dxa"/>
            <w:vAlign w:val="bottom"/>
          </w:tcPr>
          <w:p>
            <w:pPr>
              <w:jc w:val="center"/>
              <w:ind w:left="710"/>
              <w:spacing w:after="0"/>
              <w:rPr>
                <w:sz w:val="20"/>
                <w:szCs w:val="20"/>
                <w:color w:val="auto"/>
              </w:rPr>
            </w:pPr>
            <w:r>
              <w:rPr>
                <w:rFonts w:ascii="Arial" w:cs="Arial" w:eastAsia="Arial" w:hAnsi="Arial"/>
                <w:sz w:val="18"/>
                <w:szCs w:val="18"/>
                <w:color w:val="auto"/>
                <w:w w:val="89"/>
              </w:rPr>
              <w:t>January 2017</w:t>
            </w:r>
          </w:p>
        </w:tc>
      </w:tr>
      <w:tr>
        <w:trPr>
          <w:trHeight w:val="270"/>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84"/>
              </w:rPr>
              <w:t>2017</w:t>
            </w:r>
          </w:p>
        </w:tc>
        <w:tc>
          <w:tcPr>
            <w:tcW w:w="5720" w:type="dxa"/>
            <w:vAlign w:val="bottom"/>
          </w:tcPr>
          <w:p>
            <w:pPr>
              <w:jc w:val="center"/>
              <w:ind w:left="130"/>
              <w:spacing w:after="0"/>
              <w:rPr>
                <w:sz w:val="20"/>
                <w:szCs w:val="20"/>
                <w:color w:val="auto"/>
              </w:rPr>
            </w:pPr>
            <w:r>
              <w:rPr>
                <w:rFonts w:ascii="Arial" w:cs="Arial" w:eastAsia="Arial" w:hAnsi="Arial"/>
                <w:sz w:val="18"/>
                <w:szCs w:val="18"/>
                <w:color w:val="auto"/>
                <w:w w:val="92"/>
              </w:rPr>
              <w:t>$600 million 6.50% Senior Notes due May 2018</w:t>
            </w:r>
          </w:p>
        </w:tc>
        <w:tc>
          <w:tcPr>
            <w:tcW w:w="1980" w:type="dxa"/>
            <w:vAlign w:val="bottom"/>
          </w:tcPr>
          <w:p>
            <w:pPr>
              <w:jc w:val="center"/>
              <w:ind w:left="710"/>
              <w:spacing w:after="0"/>
              <w:rPr>
                <w:sz w:val="20"/>
                <w:szCs w:val="20"/>
                <w:color w:val="auto"/>
              </w:rPr>
            </w:pPr>
            <w:r>
              <w:rPr>
                <w:rFonts w:ascii="Arial" w:cs="Arial" w:eastAsia="Arial" w:hAnsi="Arial"/>
                <w:sz w:val="18"/>
                <w:szCs w:val="18"/>
                <w:color w:val="auto"/>
                <w:w w:val="88"/>
              </w:rPr>
              <w:t>December 2017</w:t>
            </w:r>
          </w:p>
        </w:tc>
      </w:tr>
      <w:tr>
        <w:trPr>
          <w:trHeight w:val="270"/>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84"/>
              </w:rPr>
              <w:t>2017</w:t>
            </w:r>
          </w:p>
        </w:tc>
        <w:tc>
          <w:tcPr>
            <w:tcW w:w="5720" w:type="dxa"/>
            <w:vAlign w:val="bottom"/>
          </w:tcPr>
          <w:p>
            <w:pPr>
              <w:jc w:val="center"/>
              <w:ind w:left="130"/>
              <w:spacing w:after="0"/>
              <w:rPr>
                <w:sz w:val="20"/>
                <w:szCs w:val="20"/>
                <w:color w:val="auto"/>
              </w:rPr>
            </w:pPr>
            <w:r>
              <w:rPr>
                <w:rFonts w:ascii="Arial" w:cs="Arial" w:eastAsia="Arial" w:hAnsi="Arial"/>
                <w:sz w:val="18"/>
                <w:szCs w:val="18"/>
                <w:color w:val="auto"/>
                <w:w w:val="92"/>
              </w:rPr>
              <w:t>$350 million 8.75% Senior Notes due May 2019</w:t>
            </w:r>
          </w:p>
        </w:tc>
        <w:tc>
          <w:tcPr>
            <w:tcW w:w="1980" w:type="dxa"/>
            <w:vAlign w:val="bottom"/>
          </w:tcPr>
          <w:p>
            <w:pPr>
              <w:jc w:val="center"/>
              <w:ind w:left="710"/>
              <w:spacing w:after="0"/>
              <w:rPr>
                <w:sz w:val="20"/>
                <w:szCs w:val="20"/>
                <w:color w:val="auto"/>
              </w:rPr>
            </w:pPr>
            <w:r>
              <w:rPr>
                <w:rFonts w:ascii="Arial" w:cs="Arial" w:eastAsia="Arial" w:hAnsi="Arial"/>
                <w:sz w:val="18"/>
                <w:szCs w:val="18"/>
                <w:color w:val="auto"/>
                <w:w w:val="88"/>
              </w:rPr>
              <w:t>December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14375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4375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8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(2)</w:t>
      </w:r>
    </w:p>
    <w:p>
      <w:pPr>
        <w:spacing w:after="0" w:line="132" w:lineRule="exact"/>
        <w:rPr>
          <w:sz w:val="20"/>
          <w:szCs w:val="20"/>
          <w:color w:val="auto"/>
        </w:rPr>
      </w:pPr>
    </w:p>
    <w:p>
      <w:pPr>
        <w:ind w:left="160" w:hanging="158"/>
        <w:spacing w:after="0"/>
        <w:tabs>
          <w:tab w:leader="none" w:pos="160" w:val="left"/>
        </w:tabs>
        <w:numPr>
          <w:ilvl w:val="0"/>
          <w:numId w:val="93"/>
        </w:numPr>
        <w:rPr>
          <w:rFonts w:ascii="Arial" w:cs="Arial" w:eastAsia="Arial" w:hAnsi="Arial"/>
          <w:sz w:val="11"/>
          <w:szCs w:val="11"/>
          <w:color w:val="auto"/>
        </w:rPr>
      </w:pPr>
      <w:r>
        <w:rPr>
          <w:rFonts w:ascii="Arial" w:cs="Arial" w:eastAsia="Arial" w:hAnsi="Arial"/>
          <w:sz w:val="11"/>
          <w:szCs w:val="11"/>
          <w:color w:val="auto"/>
        </w:rPr>
        <w:t>(3)</w:t>
      </w:r>
    </w:p>
    <w:p>
      <w:pPr>
        <w:spacing w:after="0" w:line="143" w:lineRule="exact"/>
        <w:rPr>
          <w:rFonts w:ascii="Arial" w:cs="Arial" w:eastAsia="Arial" w:hAnsi="Arial"/>
          <w:sz w:val="11"/>
          <w:szCs w:val="11"/>
          <w:color w:val="auto"/>
        </w:rPr>
      </w:pPr>
    </w:p>
    <w:p>
      <w:pPr>
        <w:ind w:left="160" w:hanging="158"/>
        <w:spacing w:after="0"/>
        <w:tabs>
          <w:tab w:leader="none" w:pos="160" w:val="left"/>
        </w:tabs>
        <w:numPr>
          <w:ilvl w:val="0"/>
          <w:numId w:val="94"/>
        </w:numPr>
        <w:rPr>
          <w:rFonts w:ascii="Arial" w:cs="Arial" w:eastAsia="Arial" w:hAnsi="Arial"/>
          <w:sz w:val="11"/>
          <w:szCs w:val="11"/>
          <w:color w:val="auto"/>
        </w:rPr>
      </w:pPr>
      <w:r>
        <w:rPr>
          <w:rFonts w:ascii="Arial" w:cs="Arial" w:eastAsia="Arial" w:hAnsi="Arial"/>
          <w:sz w:val="11"/>
          <w:szCs w:val="11"/>
          <w:color w:val="auto"/>
        </w:rPr>
        <w:t>(3)</w:t>
      </w:r>
    </w:p>
    <w:p>
      <w:pPr>
        <w:spacing w:after="0" w:line="228" w:lineRule="exact"/>
        <w:rPr>
          <w:sz w:val="20"/>
          <w:szCs w:val="20"/>
          <w:color w:val="auto"/>
        </w:rPr>
      </w:pPr>
    </w:p>
    <w:p>
      <w:pPr>
        <w:sectPr>
          <w:pgSz w:w="11900" w:h="16838" w:orient="portrait"/>
          <w:cols w:equalWidth="0" w:num="2">
            <w:col w:w="10040" w:space="680"/>
            <w:col w:w="680"/>
          </w:cols>
          <w:pgMar w:left="240" w:top="125" w:right="259" w:bottom="1440" w:gutter="0" w:footer="0" w:header="0"/>
          <w:type w:val="continuous"/>
        </w:sect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These senior notes were repaid with proceeds from PAA’s 3.55% senior notes issued in September 2019 and cash on hand.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These senior notes were repaid with cash on hand and proceeds from borrowings under the PAA credit facilities and commercial paper program.</w:t>
      </w:r>
    </w:p>
    <w:p>
      <w:pPr>
        <w:spacing w:after="0" w:line="140" w:lineRule="exact"/>
        <w:rPr>
          <w:sz w:val="20"/>
          <w:szCs w:val="20"/>
          <w:color w:val="auto"/>
        </w:rPr>
      </w:pPr>
    </w:p>
    <w:p>
      <w:pPr>
        <w:ind w:left="20" w:right="660" w:hanging="11"/>
        <w:spacing w:after="0" w:line="277" w:lineRule="auto"/>
        <w:rPr>
          <w:sz w:val="20"/>
          <w:szCs w:val="20"/>
          <w:color w:val="auto"/>
        </w:rPr>
      </w:pPr>
      <w:r>
        <w:rPr>
          <w:rFonts w:ascii="Arial" w:cs="Arial" w:eastAsia="Arial" w:hAnsi="Arial"/>
          <w:sz w:val="18"/>
          <w:szCs w:val="18"/>
          <w:color w:val="auto"/>
        </w:rPr>
        <w:t>In conjunction with the early redemptions of these PAA senior notes, we recognized a loss of approximately $40 million, recorded to “Other income/(expense), net” in our Consolidated Statement of Operations.</w:t>
      </w:r>
    </w:p>
    <w:p>
      <w:pPr>
        <w:spacing w:after="0" w:line="197"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weighted average maturity of our senior notes and GO Zone term loans outstanding at December 31, 2019 was approximately 11 years. The following table presents the aggregate contractually scheduled maturities of such senior notes and GO Zone term loans for the next five years and thereafter. The amounts presented exclude unamortized discounts and debt issuance costs.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Calendar Year</w:t>
            </w:r>
          </w:p>
        </w:tc>
        <w:tc>
          <w:tcPr>
            <w:tcW w:w="24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88"/>
        </w:trPr>
        <w:tc>
          <w:tcPr>
            <w:tcW w:w="99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7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5"/>
        </w:trPr>
        <w:tc>
          <w:tcPr>
            <w:tcW w:w="9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984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9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43"/>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59" w:name="page160"/>
    <w:bookmarkEnd w:id="1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Compliance</w:t>
      </w:r>
    </w:p>
    <w:p>
      <w:pPr>
        <w:spacing w:after="0" w:line="25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credit agreements for PAA’s revolving credit facilities (which impact the ability to access the PAA commercial paper program because they provide the financial backstop that supports PAA’s short-term credit ratings) and PAA’s term loans and the indentures governing PAA’s senior notes contain cross-default provisions. PAA’s credit agreements prohibit declaration or payments of distributions on, or purchases or redemptions of, units if any default or event of default is continuing. In addition, PAA’s agreements contain various covenants limiting PAA’s ability to, among other things:</w:t>
      </w:r>
    </w:p>
    <w:p>
      <w:pPr>
        <w:spacing w:after="0" w:line="46" w:lineRule="exact"/>
        <w:rPr>
          <w:sz w:val="20"/>
          <w:szCs w:val="20"/>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grant liens on certain property;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incur indebtedness, including finance leases;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sell substantially all of its assets or enter into a merger or consolidation;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certain burdensome agreements.</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credit agreements for the PAA senior unsecured revolving credit facility, the PAA senior secured hedged inventory facility and the PAA GO Zone term loans treat a change of control as an event of default and also require PAA to maintain a debt-to-EBITDA coverage ratio that, on a trailing four-quarter basis, will not be greater than 5.00 to 1.00 (or 5.50 to 1.00 on all outstanding debt during an acquisition period (generally, the period consisting of three fiscal quarters following an acquisition greater than $150 million)). For covenant compliance purposes, Consolidated EBITDA may include certain adjustments, including those for material projects and certain non-recurring expenses. Additionally, letters of credit and borrowings to fund hedged inventory and margin requirements are excluded when calculating the debt coverage ratio.</w:t>
      </w:r>
    </w:p>
    <w:p>
      <w:pPr>
        <w:spacing w:after="0" w:line="20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 default under PAA’s credit agreements or indentures would permit the lenders to accelerate the maturity of the outstanding debt. As long as PAA is in compliance with the provisions contained in its credit agreements, PAA’s ability to make distributions of available cash is not restricted. As of December 31, 2019, PAA was in compliance with the covenants contained in its credit agreements and indentures.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Total borrowings under the credit facilities and the PAA commercial paper program for the years ended December 31, 2019, 2018 and 2017 were approximately $13.3 billion, $45.4 billion and $60.8 billion, respectively. Total repayments under the credit facilities and the PAA commercial paper program were approximately $12.9 billion, $46.3 billion and $61.5 billion for the years ended December 31, 2019, 2018 and 2017, respectively. The variance in total gross borrowings and repayments is impacted by various business and financial factors including, but not limited to, the timing, average term and method of general partnership borrowing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and transportation of crude oil, NGL and natural gas. These letters of credit are issued under the PAA senior unsecured revolving credit facility and the PAA senior secured hedged inventory facility, and our liabilities with respect to these purchase obligations are recorded in accounts payable on our balance sheet in the month the crude oil, NGL or natural gas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December 31, 2019 and 2018, we had outstanding letters of credit of $157 million and $184 million,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5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Costs incurred in connection with the issuance of senior notes are recorded as a direct deduction from the related debt liability and are amortized using the straight-line method over the term of the related debt. Use of the straight-line method does not differ materially from the “effective interest” method of amortization.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0" w:name="page161"/>
    <w:bookmarkEnd w:id="1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Shares</w:t>
      </w:r>
    </w:p>
    <w:p>
      <w:pPr>
        <w:spacing w:after="0" w:line="25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Our Class A shares, Class B shares and Class C shares represent limited partner interests in us. The holders of our Class A and Class B shares are entitled to exercise the rights or privileges available to limited partners under our partnership agreement, but only holders of Class A shares are entitled to participate in our distributions.</w:t>
      </w:r>
    </w:p>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Class C shares are non-economic and provide PAA, as the sole holder of such Class C shares, the right to cast a pass-through vote on behalf of and as directed by the holders of PAA Common Unit Equivalents in the election of eligible directors together with the holders of our Class A and Class B shares. Pursuant to the Omnibus Agreement entered into on November 15, 2016, we issue Class C shares to PAA in an amount equal to the PAA Common Unit Equivalents outstanding excluding common units held by 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and Redemption Rights</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our Class B shares and general partner units are transferred by the exercising party to us. Additionally, a holder of vested AAP Management Units is entitled to convert his or her AAP Management Units into AAP units and a like number of our Class B shares based on a conversion ratio of approximately 0.941 AAP units for each AAP Management Unit. Following any such conversion, the holder will have the Exchange Right for our Class A shares. Holders of AAP Management Units who convert such units into AAP units and Class B shares will not receive general partner units and thus will not need to include any general partner units in a transfer or the exercise of their Exchange Right. See Note 15 for information regarding the recognition of deferred tax assets associated with units that have been exchanged.</w:t>
      </w:r>
    </w:p>
    <w:p>
      <w:pPr>
        <w:spacing w:after="0" w:line="206"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Additionally, subject to certain limitations, a holder of AAP units (other than us and GP LLC) has the right (a “Redemption Right”) to cause AAP to redeem any or all of such holder’s AAP units in exchange for the distribution of an equivalent number of PAA common units held by AAP (“AAP Unit Redemption”). In connection with any AAP Unit Redemption, the redeeming holder will transfer the AAP units to AAP and a corresponding number of our Class B shares and general partner units (if any), in each case, to us. The AAP units transferred to AAP will be canceled, the Class B shares transferred to us will be canceled and the general partner units transferred to us will remain outstanding and increase our ownership percentage in our general partner.</w:t>
      </w:r>
    </w:p>
    <w:p>
      <w:pPr>
        <w:spacing w:after="0" w:line="18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During 2019, an affiliate of The Energy &amp; Minerals Group (“EMG”) and a subsidiary of Occidental Petroleum Corporation (“Oxy”) exercised their Exchange Right and Redemption Right. The Redemption Right exercises resulted in the issuance of additional Class C shares to PAA. The Exchange Right exercises resulted in the transfer of a portion of partners’ capital from noncontrolling interests to our Class A shareholders and the associated recognition of a deferred tax asset that was recorded as a component of partners’ capital as it resulted from transactions with shareholders.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1" w:name="page162"/>
    <w:bookmarkEnd w:id="1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activity for our Class A shares, Class B shares and Class C shares: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Class A Shares</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Class B Shares</w:t>
            </w:r>
          </w:p>
        </w:tc>
        <w:tc>
          <w:tcPr>
            <w:tcW w:w="1340" w:type="dxa"/>
            <w:vAlign w:val="bottom"/>
          </w:tcPr>
          <w:p>
            <w:pPr>
              <w:jc w:val="right"/>
              <w:ind w:right="131"/>
              <w:spacing w:after="0"/>
              <w:rPr>
                <w:sz w:val="20"/>
                <w:szCs w:val="20"/>
                <w:color w:val="auto"/>
              </w:rPr>
            </w:pPr>
            <w:r>
              <w:rPr>
                <w:rFonts w:ascii="Arial" w:cs="Arial" w:eastAsia="Arial" w:hAnsi="Arial"/>
                <w:sz w:val="14"/>
                <w:szCs w:val="14"/>
                <w:b w:val="1"/>
                <w:bCs w:val="1"/>
                <w:color w:val="auto"/>
              </w:rPr>
              <w:t>Class C Shares</w:t>
            </w:r>
          </w:p>
        </w:tc>
        <w:tc>
          <w:tcPr>
            <w:tcW w:w="0" w:type="dxa"/>
            <w:vAlign w:val="bottom"/>
          </w:tcPr>
          <w:p>
            <w:pPr>
              <w:spacing w:after="0"/>
              <w:rPr>
                <w:sz w:val="1"/>
                <w:szCs w:val="1"/>
                <w:color w:val="auto"/>
              </w:rPr>
            </w:pPr>
          </w:p>
        </w:tc>
      </w:tr>
      <w:tr>
        <w:trPr>
          <w:trHeight w:val="295"/>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101,206,526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138,043,486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34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491,910,863</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Conversion of AAP Management Units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1,557,860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Exchange Right exercises</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4,799,227</w:t>
            </w:r>
          </w:p>
        </w:tc>
        <w:tc>
          <w:tcPr>
            <w:tcW w:w="12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(4,799,227)</w:t>
            </w:r>
          </w:p>
        </w:tc>
        <w:tc>
          <w:tcPr>
            <w:tcW w:w="100" w:type="dxa"/>
            <w:vAlign w:val="bottom"/>
          </w:tcPr>
          <w:p>
            <w:pPr>
              <w:spacing w:after="0"/>
              <w:rPr>
                <w:sz w:val="23"/>
                <w:szCs w:val="23"/>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Right exercises</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(7,817,547)</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7,817,547</w:t>
            </w:r>
          </w:p>
        </w:tc>
        <w:tc>
          <w:tcPr>
            <w:tcW w:w="0" w:type="dxa"/>
            <w:vAlign w:val="bottom"/>
          </w:tcPr>
          <w:p>
            <w:pPr>
              <w:spacing w:after="0"/>
              <w:rPr>
                <w:sz w:val="1"/>
                <w:szCs w:val="1"/>
                <w:color w:val="auto"/>
              </w:rPr>
            </w:pPr>
          </w:p>
        </w:tc>
      </w:tr>
      <w:tr>
        <w:trPr>
          <w:trHeight w:val="270"/>
        </w:trPr>
        <w:tc>
          <w:tcPr>
            <w:tcW w:w="7040" w:type="dxa"/>
            <w:vAlign w:val="bottom"/>
          </w:tcPr>
          <w:p>
            <w:pPr>
              <w:ind w:left="140"/>
              <w:spacing w:after="0"/>
              <w:rPr>
                <w:sz w:val="20"/>
                <w:szCs w:val="20"/>
                <w:color w:val="auto"/>
              </w:rPr>
            </w:pPr>
            <w:r>
              <w:rPr>
                <w:rFonts w:ascii="Arial" w:cs="Arial" w:eastAsia="Arial" w:hAnsi="Arial"/>
                <w:sz w:val="18"/>
                <w:szCs w:val="18"/>
                <w:color w:val="auto"/>
              </w:rPr>
              <w:t>Sales of Class A shares</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50,086,326</w:t>
            </w:r>
          </w:p>
        </w:tc>
        <w:tc>
          <w:tcPr>
            <w:tcW w:w="12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of common units by a subsidiary</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4,033,567</w:t>
            </w:r>
          </w:p>
        </w:tc>
        <w:tc>
          <w:tcPr>
            <w:tcW w:w="0" w:type="dxa"/>
            <w:vAlign w:val="bottom"/>
          </w:tcPr>
          <w:p>
            <w:pPr>
              <w:spacing w:after="0"/>
              <w:rPr>
                <w:sz w:val="1"/>
                <w:szCs w:val="1"/>
                <w:color w:val="auto"/>
              </w:rPr>
            </w:pPr>
          </w:p>
        </w:tc>
      </w:tr>
      <w:tr>
        <w:trPr>
          <w:trHeight w:val="176"/>
        </w:trPr>
        <w:tc>
          <w:tcPr>
            <w:tcW w:w="7040" w:type="dxa"/>
            <w:vAlign w:val="bottom"/>
          </w:tcPr>
          <w:p>
            <w:pPr>
              <w:ind w:left="140"/>
              <w:spacing w:after="0" w:line="176" w:lineRule="exact"/>
              <w:rPr>
                <w:sz w:val="20"/>
                <w:szCs w:val="20"/>
                <w:color w:val="auto"/>
              </w:rPr>
            </w:pPr>
            <w:r>
              <w:rPr>
                <w:rFonts w:ascii="Arial" w:cs="Arial" w:eastAsia="Arial" w:hAnsi="Arial"/>
                <w:sz w:val="18"/>
                <w:szCs w:val="18"/>
                <w:color w:val="auto"/>
              </w:rPr>
              <w:t>Issuance of common units by a subsidiary in connection with acquisition of interest in</w:t>
            </w:r>
          </w:p>
        </w:tc>
        <w:tc>
          <w:tcPr>
            <w:tcW w:w="14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71"/>
              <w:spacing w:after="0"/>
              <w:rPr>
                <w:sz w:val="20"/>
                <w:szCs w:val="20"/>
                <w:color w:val="auto"/>
              </w:rPr>
            </w:pPr>
            <w:r>
              <w:rPr>
                <w:rFonts w:ascii="Arial" w:cs="Arial" w:eastAsia="Arial" w:hAnsi="Arial"/>
                <w:sz w:val="18"/>
                <w:szCs w:val="18"/>
                <w:color w:val="auto"/>
              </w:rPr>
              <w:t>1,252,269</w:t>
            </w:r>
          </w:p>
        </w:tc>
        <w:tc>
          <w:tcPr>
            <w:tcW w:w="0" w:type="dxa"/>
            <w:vAlign w:val="bottom"/>
          </w:tcPr>
          <w:p>
            <w:pPr>
              <w:spacing w:after="0"/>
              <w:rPr>
                <w:sz w:val="1"/>
                <w:szCs w:val="1"/>
                <w:color w:val="auto"/>
              </w:rPr>
            </w:pPr>
          </w:p>
        </w:tc>
      </w:tr>
      <w:tr>
        <w:trPr>
          <w:trHeight w:val="230"/>
        </w:trPr>
        <w:tc>
          <w:tcPr>
            <w:tcW w:w="7040" w:type="dxa"/>
            <w:vAlign w:val="bottom"/>
          </w:tcPr>
          <w:p>
            <w:pPr>
              <w:ind w:left="300"/>
              <w:spacing w:after="0"/>
              <w:rPr>
                <w:sz w:val="20"/>
                <w:szCs w:val="20"/>
                <w:color w:val="auto"/>
              </w:rPr>
            </w:pPr>
            <w:r>
              <w:rPr>
                <w:rFonts w:ascii="Arial" w:cs="Arial" w:eastAsia="Arial" w:hAnsi="Arial"/>
                <w:sz w:val="18"/>
                <w:szCs w:val="18"/>
                <w:color w:val="auto"/>
              </w:rPr>
              <w:t>Advantage Joint Venture (Note 7)</w:t>
            </w:r>
          </w:p>
        </w:tc>
        <w:tc>
          <w:tcPr>
            <w:tcW w:w="1440" w:type="dxa"/>
            <w:vAlign w:val="bottom"/>
            <w:gridSpan w:val="2"/>
            <w:vMerge w:val="continue"/>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Issuances of Series A preferred units by a subsidiary</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5,307,689</w:t>
            </w:r>
          </w:p>
        </w:tc>
        <w:tc>
          <w:tcPr>
            <w:tcW w:w="0" w:type="dxa"/>
            <w:vAlign w:val="bottom"/>
          </w:tcPr>
          <w:p>
            <w:pPr>
              <w:spacing w:after="0"/>
              <w:rPr>
                <w:sz w:val="1"/>
                <w:szCs w:val="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Other</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19,060</w:t>
            </w: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603,497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156,111,139</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126,984,572</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510,925,432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 Right exercises</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3,363,199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(3,363,199)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Redemption Right exercises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(4,017,035)</w:t>
            </w:r>
          </w:p>
        </w:tc>
        <w:tc>
          <w:tcPr>
            <w:tcW w:w="1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4,017,035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Issuance of Series A preferred units by a subsidiary</w:t>
            </w: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1,393,926</w:t>
            </w:r>
          </w:p>
        </w:tc>
        <w:tc>
          <w:tcPr>
            <w:tcW w:w="0" w:type="dxa"/>
            <w:vAlign w:val="bottom"/>
          </w:tcPr>
          <w:p>
            <w:pPr>
              <w:spacing w:after="0"/>
              <w:rPr>
                <w:sz w:val="1"/>
                <w:szCs w:val="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Other</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11,250</w:t>
            </w:r>
          </w:p>
        </w:tc>
        <w:tc>
          <w:tcPr>
            <w:tcW w:w="1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601,887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159,485,588</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119,604,338</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516,938,280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 Right exercises</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22,637,818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(22,637,818)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120"/>
              <w:spacing w:after="0"/>
              <w:rPr>
                <w:sz w:val="20"/>
                <w:szCs w:val="20"/>
                <w:color w:val="auto"/>
              </w:rPr>
            </w:pPr>
            <w:r>
              <w:rPr>
                <w:rFonts w:ascii="Arial" w:cs="Arial" w:eastAsia="Arial" w:hAnsi="Arial"/>
                <w:sz w:val="18"/>
                <w:szCs w:val="18"/>
                <w:color w:val="auto"/>
              </w:rPr>
              <w:t>Redemption Right exercises</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(31,180,818)</w:t>
            </w:r>
          </w:p>
        </w:tc>
        <w:tc>
          <w:tcPr>
            <w:tcW w:w="10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31,180,818</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15,186</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1,419,041</w:t>
            </w:r>
          </w:p>
        </w:tc>
        <w:tc>
          <w:tcPr>
            <w:tcW w:w="0" w:type="dxa"/>
            <w:vAlign w:val="bottom"/>
          </w:tcPr>
          <w:p>
            <w:pPr>
              <w:spacing w:after="0"/>
              <w:rPr>
                <w:sz w:val="1"/>
                <w:szCs w:val="1"/>
                <w:color w:val="auto"/>
              </w:rPr>
            </w:pPr>
          </w:p>
        </w:tc>
      </w:tr>
      <w:tr>
        <w:trPr>
          <w:trHeight w:val="237"/>
        </w:trPr>
        <w:tc>
          <w:tcPr>
            <w:tcW w:w="7040" w:type="dxa"/>
            <w:vAlign w:val="bottom"/>
          </w:tcPr>
          <w:p>
            <w:pPr>
              <w:ind w:left="20"/>
              <w:spacing w:after="0"/>
              <w:rPr>
                <w:sz w:val="20"/>
                <w:szCs w:val="20"/>
                <w:color w:val="auto"/>
              </w:rPr>
            </w:pPr>
            <w:r>
              <w:rPr>
                <w:rFonts w:ascii="Arial" w:cs="Arial" w:eastAsia="Arial" w:hAnsi="Arial"/>
                <w:sz w:val="18"/>
                <w:szCs w:val="18"/>
                <w:color w:val="auto"/>
              </w:rPr>
              <w:t>Outstanding at December 31, 2019</w:t>
            </w:r>
          </w:p>
        </w:tc>
        <w:tc>
          <w:tcPr>
            <w:tcW w:w="13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182,138,592</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65,785,702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549,538,139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We distribute 100% of our available cash within 55 days following the end of each quarter to Class A shareholders of record. Available cash is generally defined as all cash on hand at the date of determination of available cash for the distribution in respect to such quarter (including expected distributions from AAP in respect of such quarter), less reserves established by our general partner for future requirements.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details the distributions paid to our Class A shareholders during the periods indicated (in millions, except per share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3160" w:type="dxa"/>
            <w:vAlign w:val="bottom"/>
          </w:tcPr>
          <w:p>
            <w:pPr>
              <w:jc w:val="right"/>
              <w:ind w:right="54"/>
              <w:spacing w:after="0"/>
              <w:rPr>
                <w:sz w:val="20"/>
                <w:szCs w:val="20"/>
                <w:color w:val="auto"/>
              </w:rPr>
            </w:pPr>
            <w:r>
              <w:rPr>
                <w:rFonts w:ascii="Arial" w:cs="Arial" w:eastAsia="Arial" w:hAnsi="Arial"/>
                <w:sz w:val="14"/>
                <w:szCs w:val="14"/>
                <w:b w:val="1"/>
                <w:bCs w:val="1"/>
                <w:color w:val="auto"/>
              </w:rPr>
              <w:t>Distributions to Class A Shareholders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20" w:type="dxa"/>
            <w:vAlign w:val="bottom"/>
          </w:tcPr>
          <w:p>
            <w:pPr>
              <w:jc w:val="right"/>
              <w:ind w:right="814"/>
              <w:spacing w:after="0"/>
              <w:rPr>
                <w:sz w:val="20"/>
                <w:szCs w:val="20"/>
                <w:color w:val="auto"/>
              </w:rPr>
            </w:pPr>
            <w:r>
              <w:rPr>
                <w:rFonts w:ascii="Arial" w:cs="Arial" w:eastAsia="Arial" w:hAnsi="Arial"/>
                <w:sz w:val="14"/>
                <w:szCs w:val="14"/>
                <w:b w:val="1"/>
                <w:bCs w:val="1"/>
                <w:color w:val="auto"/>
              </w:rPr>
              <w:t>Distributions per Class A Share</w:t>
            </w:r>
          </w:p>
        </w:tc>
      </w:tr>
      <w:tr>
        <w:trPr>
          <w:trHeight w:val="250"/>
        </w:trPr>
        <w:tc>
          <w:tcPr>
            <w:tcW w:w="3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160" w:type="dxa"/>
            <w:vAlign w:val="bottom"/>
            <w:tcBorders>
              <w:top w:val="single" w:sz="8" w:color="auto"/>
              <w:bottom w:val="single" w:sz="8" w:color="CCEEFF"/>
            </w:tcBorders>
            <w:shd w:val="clear" w:color="auto" w:fill="CCEEFF"/>
          </w:tcPr>
          <w:p>
            <w:pPr>
              <w:jc w:val="right"/>
              <w:ind w:right="297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3160" w:type="dxa"/>
            <w:vAlign w:val="bottom"/>
          </w:tcPr>
          <w:p>
            <w:pPr>
              <w:jc w:val="right"/>
              <w:ind w:right="297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3220" w:type="dxa"/>
            <w:vAlign w:val="bottom"/>
          </w:tcPr>
          <w:p>
            <w:pPr>
              <w:jc w:val="right"/>
              <w:ind w:right="74"/>
              <w:spacing w:after="0"/>
              <w:rPr>
                <w:sz w:val="20"/>
                <w:szCs w:val="20"/>
                <w:color w:val="auto"/>
              </w:rPr>
            </w:pPr>
            <w:r>
              <w:rPr>
                <w:rFonts w:ascii="Arial" w:cs="Arial" w:eastAsia="Arial" w:hAnsi="Arial"/>
                <w:sz w:val="18"/>
                <w:szCs w:val="18"/>
                <w:color w:val="auto"/>
              </w:rPr>
              <w:t>1.20</w:t>
            </w: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1"/>
                <w:szCs w:val="21"/>
                <w:color w:val="auto"/>
              </w:rPr>
            </w:pPr>
          </w:p>
        </w:tc>
        <w:tc>
          <w:tcPr>
            <w:tcW w:w="3160" w:type="dxa"/>
            <w:vAlign w:val="bottom"/>
            <w:shd w:val="clear" w:color="auto" w:fill="CCEEFF"/>
          </w:tcPr>
          <w:p>
            <w:pPr>
              <w:jc w:val="right"/>
              <w:ind w:right="297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3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1.95</w:t>
            </w:r>
          </w:p>
        </w:tc>
      </w:tr>
      <w:tr>
        <w:trPr>
          <w:trHeight w:val="27"/>
        </w:trPr>
        <w:tc>
          <w:tcPr>
            <w:tcW w:w="3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On January 8, 2020, we declared a cash distribution of $0.36 per outstanding Class A share. This distribution of $66 million was paid on February 14, 2020 to shareholders of record at the close of business on January 31, 2020, for the period October 1, 2019 through December 31, 2019.</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2" w:name="page163"/>
    <w:bookmarkEnd w:id="1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Class A Shares</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did not sell any Class A shares during the years ended December 31, 2019 or 2018. The following table summarizes our sales of Class A shares during the year ended December 31, 2017, all of which occurred in the first four months of the year (net proceeds in millions).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04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Type of Offering</w:t>
            </w:r>
          </w:p>
        </w:tc>
        <w:tc>
          <w:tcPr>
            <w:tcW w:w="180" w:type="dxa"/>
            <w:vAlign w:val="bottom"/>
            <w:tcBorders>
              <w:bottom w:val="single" w:sz="8" w:color="CCEEFF"/>
            </w:tcBorders>
          </w:tcPr>
          <w:p>
            <w:pPr>
              <w:spacing w:after="0"/>
              <w:rPr>
                <w:sz w:val="16"/>
                <w:szCs w:val="16"/>
                <w:color w:val="auto"/>
              </w:rPr>
            </w:pPr>
          </w:p>
        </w:tc>
        <w:tc>
          <w:tcPr>
            <w:tcW w:w="32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Class A Shares Issued</w:t>
            </w:r>
          </w:p>
        </w:tc>
        <w:tc>
          <w:tcPr>
            <w:tcW w:w="1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 xml:space="preserve">Net Proceeds </w:t>
            </w:r>
            <w:r>
              <w:rPr>
                <w:rFonts w:ascii="Arial" w:cs="Arial" w:eastAsia="Arial" w:hAnsi="Arial"/>
                <w:sz w:val="9"/>
                <w:szCs w:val="9"/>
                <w:b w:val="1"/>
                <w:bCs w:val="1"/>
                <w:color w:val="auto"/>
              </w:rPr>
              <w:t>(1)</w:t>
            </w:r>
          </w:p>
        </w:tc>
        <w:tc>
          <w:tcPr>
            <w:tcW w:w="360" w:type="dxa"/>
            <w:vAlign w:val="bottom"/>
            <w:tcBorders>
              <w:bottom w:val="single" w:sz="8" w:color="auto"/>
            </w:tcBorders>
          </w:tcPr>
          <w:p>
            <w:pPr>
              <w:spacing w:after="0"/>
              <w:rPr>
                <w:sz w:val="16"/>
                <w:szCs w:val="16"/>
                <w:color w:val="auto"/>
              </w:rPr>
            </w:pPr>
          </w:p>
        </w:tc>
      </w:tr>
      <w:tr>
        <w:trPr>
          <w:trHeight w:val="27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Continuous Offering Program</w:t>
            </w:r>
          </w:p>
        </w:tc>
        <w:tc>
          <w:tcPr>
            <w:tcW w:w="3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1,786,326</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81"/>
              </w:rPr>
              <w:t>(2)</w:t>
            </w:r>
          </w:p>
        </w:tc>
      </w:tr>
      <w:tr>
        <w:trPr>
          <w:trHeight w:val="243"/>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Underwritten Offering</w:t>
            </w:r>
          </w:p>
        </w:tc>
        <w:tc>
          <w:tcPr>
            <w:tcW w:w="3260" w:type="dxa"/>
            <w:vAlign w:val="bottom"/>
          </w:tcPr>
          <w:p>
            <w:pPr>
              <w:jc w:val="right"/>
              <w:ind w:right="74"/>
              <w:spacing w:after="0"/>
              <w:rPr>
                <w:sz w:val="20"/>
                <w:szCs w:val="20"/>
                <w:color w:val="auto"/>
              </w:rPr>
            </w:pPr>
            <w:r>
              <w:rPr>
                <w:rFonts w:ascii="Arial" w:cs="Arial" w:eastAsia="Arial" w:hAnsi="Arial"/>
                <w:sz w:val="18"/>
                <w:szCs w:val="18"/>
                <w:color w:val="auto"/>
              </w:rPr>
              <w:t>48,300,000</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80" w:type="dxa"/>
            <w:vAlign w:val="bottom"/>
          </w:tcPr>
          <w:p>
            <w:pPr>
              <w:jc w:val="right"/>
              <w:ind w:right="74"/>
              <w:spacing w:after="0"/>
              <w:rPr>
                <w:sz w:val="20"/>
                <w:szCs w:val="20"/>
                <w:color w:val="auto"/>
              </w:rPr>
            </w:pPr>
            <w:r>
              <w:rPr>
                <w:rFonts w:ascii="Arial" w:cs="Arial" w:eastAsia="Arial" w:hAnsi="Arial"/>
                <w:sz w:val="18"/>
                <w:szCs w:val="18"/>
                <w:color w:val="auto"/>
              </w:rPr>
              <w:t>1,474</w:t>
            </w:r>
          </w:p>
        </w:tc>
        <w:tc>
          <w:tcPr>
            <w:tcW w:w="360" w:type="dxa"/>
            <w:vAlign w:val="bottom"/>
          </w:tcPr>
          <w:p>
            <w:pPr>
              <w:spacing w:after="0"/>
              <w:rPr>
                <w:sz w:val="21"/>
                <w:szCs w:val="2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9"/>
        </w:trPr>
        <w:tc>
          <w:tcPr>
            <w:tcW w:w="4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50,086,326</w:t>
            </w: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2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1,535</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117" w:lineRule="exact"/>
        <w:rPr>
          <w:sz w:val="20"/>
          <w:szCs w:val="20"/>
          <w:color w:val="auto"/>
        </w:rPr>
      </w:pPr>
    </w:p>
    <w:p>
      <w:pPr>
        <w:ind w:left="20" w:right="460" w:hanging="11"/>
        <w:spacing w:after="0" w:line="277" w:lineRule="auto"/>
        <w:rPr>
          <w:sz w:val="20"/>
          <w:szCs w:val="20"/>
          <w:color w:val="auto"/>
        </w:rPr>
      </w:pPr>
      <w:r>
        <w:rPr>
          <w:rFonts w:ascii="Arial" w:cs="Arial" w:eastAsia="Arial" w:hAnsi="Arial"/>
          <w:sz w:val="18"/>
          <w:szCs w:val="18"/>
          <w:color w:val="auto"/>
        </w:rPr>
        <w:t>We paid $1 million of commissions to our sales agents in connection with issuances of Class A shares under our Continuous Offering Program during the year ended December 31, 2017.</w:t>
      </w:r>
    </w:p>
    <w:p>
      <w:pPr>
        <w:spacing w:after="0" w:line="197" w:lineRule="exact"/>
        <w:rPr>
          <w:sz w:val="20"/>
          <w:szCs w:val="20"/>
          <w:color w:val="auto"/>
        </w:rPr>
      </w:pPr>
    </w:p>
    <w:p>
      <w:pPr>
        <w:sectPr>
          <w:pgSz w:w="11900" w:h="16838" w:orient="portrait"/>
          <w:cols w:equalWidth="0" w:num="2">
            <w:col w:w="140" w:space="500"/>
            <w:col w:w="10740"/>
          </w:cols>
          <w:pgMar w:left="240" w:top="125" w:right="279" w:bottom="1440" w:gutter="0" w:footer="0" w:header="0"/>
          <w:type w:val="continuous"/>
        </w:sectPr>
      </w:pPr>
    </w:p>
    <w:p>
      <w:pPr>
        <w:ind w:right="20" w:firstLine="648"/>
        <w:spacing w:after="0" w:line="257" w:lineRule="auto"/>
        <w:rPr>
          <w:sz w:val="20"/>
          <w:szCs w:val="20"/>
          <w:color w:val="auto"/>
        </w:rPr>
      </w:pPr>
      <w:r>
        <w:rPr>
          <w:rFonts w:ascii="Arial" w:cs="Arial" w:eastAsia="Arial" w:hAnsi="Arial"/>
          <w:sz w:val="18"/>
          <w:szCs w:val="18"/>
          <w:color w:val="auto"/>
        </w:rPr>
        <w:t>Pursuant to the Omnibus Agreement entered into by the Plains Entities on November 15, 2016, we used the net proceeds from the sale of our Class A shares, after deducting the sales agents’ commissions and offering expenses, to purchase from AAP a number of AAP units equal to the number of Class A shares sold in such offering at a price equal to the net proceeds from such offering. Also pursuant to the Omnibus Agreement, immediately following such purchase and sale, AAP used the net proceeds it received from such sale of AAP units to us to purchase from PAA an equivalent number of common units of PAA. See “—Issuances of Units by Subsidiaries” below.</w:t>
      </w:r>
    </w:p>
    <w:p>
      <w:pPr>
        <w:spacing w:after="0" w:line="21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cash purchase by us of additional units issued by AAP and corresponding cash purchase by AAP of additional common units issued by PAA results in the allocation of the fair value of the proceeds between controlling and noncontrolling interests in AAP and PAA based on their respective ownership percentages. Additionally, in accordance with ASC 810, an adjustment in partners’ capital based on historical carrying value is recognized by our Class A shareholders on their increase in ownership of subsidiary entities and a corresponding adjustment is recognized in partners’ capital by our noncontrolling interests due to the dilution of their ownership interest. The allocation to noncontrolling interests results from the difference between the fair value per unit of the additional units issued and the historical carrying value per unit. Such amounts are reflected in “Sales of Class A shares” on our Consolidated Statement of Changes in Partners’ Capital.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Income/(Loss)</w:t>
      </w:r>
    </w:p>
    <w:p>
      <w:pPr>
        <w:spacing w:after="0" w:line="25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Other comprehensive income/(loss) attributable to our Class A shareholders is comprised solely of their proportionate share of PAA’s other comprehensive income/(loss) based on our indirect ownership interest in PAA during the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56"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As of December 31, 2019, noncontrolling interests in our subsidiaries consisted of (i) limited partner interests in PAA including a 69% interest in PAA’s common units and PAA’s Series A preferred units combined and 100% of PAA’s Series B preferred units, (ii) an approximate 27% limited partner interest in AAP and (iii) a 33% interest in Red River Pipeline Company LLC (“Red River LLC”), as discussed further below.</w:t>
      </w:r>
    </w:p>
    <w:p>
      <w:pPr>
        <w:spacing w:after="0" w:line="19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May 2019, we formed a joint venture, Red River LLC, with Delek Logistics Partners, LP (“Delek”) on our Red River pipeline system. We received approximately $128 million for Delek’s 33% interest in Red River LLC. We consolidate Red River LLC, with Delek’s 33% interest accounted for as a noncontrolling interest.</w:t>
      </w:r>
    </w:p>
    <w:p>
      <w:pPr>
        <w:spacing w:after="0" w:line="20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During the fourth quarter of 2017, we sold SLC Pipeline LLC, in which we previously owned a 75% interest and was consolidated under GAAP. As a result of this sale, the noncontrolling interest of 25% was derecognized. See Note 7 for additional information regarding the sale of SLC Pipeline LLC.</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163" w:name="page164"/>
    <w:bookmarkEnd w:id="1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Issuances of Units by Subsidiaries</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PAA Series B Preferred Unit Issuance. </w:t>
      </w:r>
      <w:r>
        <w:rPr>
          <w:rFonts w:ascii="Arial" w:cs="Arial" w:eastAsia="Arial" w:hAnsi="Arial"/>
          <w:sz w:val="17"/>
          <w:szCs w:val="17"/>
          <w:color w:val="auto"/>
        </w:rPr>
        <w:t>On October 10, 2017, PAA issued 800,000 Series B Fixed-to-Floating Rate Cumulative Redeemable</w:t>
      </w:r>
      <w:r>
        <w:rPr>
          <w:rFonts w:ascii="Arial" w:cs="Arial" w:eastAsia="Arial" w:hAnsi="Arial"/>
          <w:sz w:val="17"/>
          <w:szCs w:val="17"/>
          <w:i w:val="1"/>
          <w:iCs w:val="1"/>
          <w:color w:val="auto"/>
        </w:rPr>
        <w:t xml:space="preserve"> </w:t>
      </w:r>
      <w:r>
        <w:rPr>
          <w:rFonts w:ascii="Arial" w:cs="Arial" w:eastAsia="Arial" w:hAnsi="Arial"/>
          <w:sz w:val="17"/>
          <w:szCs w:val="17"/>
          <w:color w:val="auto"/>
        </w:rPr>
        <w:t>Perpetual Preferred Units representing limited partner interests in PAA (the “Series B preferred units”) at a price to the public of $1,000 per unit. PAA used the net proceeds of $788 million, after deducting the underwriters’ discounts and offering expenses, from the issuance of the Series B preferred units to repay amounts outstanding under its credit facilities and commercial paper program and for general partnership purposes.</w:t>
      </w:r>
    </w:p>
    <w:p>
      <w:pPr>
        <w:spacing w:after="0" w:line="19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Series B preferred units represent perpetual equity interests in PAA,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PAA’s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PAA’s common unitholders out of capital surplus. The Series B preferred units rank, as to the payment of distributions and amounts payable on a liquidation event, pari passu with PAA’s outstanding Series A preferred units and senior to PAA’s common units.</w:t>
      </w:r>
    </w:p>
    <w:p>
      <w:pPr>
        <w:spacing w:after="0" w:line="20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Series B preferred units have a liquidation preference of $1,000 per unit. Holders of PAA’s Series B preferred units are entitled to receive, when, as and if declared by PAA’s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Series B Three-Month LIBOR (as defined in and calculated pursuant to the Seventh Amended and Restated Agreement of Limited Partnership of Plains All American Pipeline, L.P.) plus a spread of 4.11%.</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certain rating agency events, PAA may redeem the Series B preferred units, in whole but not in part, at a price</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$1,020 (102% of the liquidation preference) per Series B preferred unit plus an amount equal to all accumulated and unpaid distributions thereon to, but not including, the date of redemption, whether or not declared. In addition, at any time on or after November 15, 2022, PAA may redeem the Series B preferred units, at its option, in whole or in part, at a redemption price of $1,000 per Series B preferred unit plus an amount equal to all accumulated and unpaid distributions thereon to, but not including, the date of redemption, whether or not declared.</w:t>
      </w:r>
    </w:p>
    <w:p>
      <w:pPr>
        <w:spacing w:after="0" w:line="21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Sales of PAA common units</w:t>
      </w:r>
      <w:r>
        <w:rPr>
          <w:rFonts w:ascii="Arial" w:cs="Arial" w:eastAsia="Arial" w:hAnsi="Arial"/>
          <w:sz w:val="18"/>
          <w:szCs w:val="18"/>
          <w:color w:val="auto"/>
        </w:rPr>
        <w:t>. PAA did not conduct any sales of common units during the years ended December 31, 2019 or 2018.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summarizes PAA’s sales of common units for the year ended December 31, 2017 (net proceeds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6"/>
                <w:szCs w:val="16"/>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Type of Offering</w:t>
            </w:r>
          </w:p>
        </w:tc>
        <w:tc>
          <w:tcPr>
            <w:tcW w:w="12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Common Units Sold</w:t>
            </w:r>
          </w:p>
        </w:tc>
        <w:tc>
          <w:tcPr>
            <w:tcW w:w="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9"/>
              </w:rPr>
              <w:t xml:space="preserve">Net Proceeds </w:t>
            </w:r>
            <w:r>
              <w:rPr>
                <w:rFonts w:ascii="Arial" w:cs="Arial" w:eastAsia="Arial" w:hAnsi="Arial"/>
                <w:sz w:val="9"/>
                <w:szCs w:val="9"/>
                <w:b w:val="1"/>
                <w:bCs w:val="1"/>
                <w:color w:val="auto"/>
                <w:w w:val="99"/>
              </w:rPr>
              <w:t>(1)</w:t>
            </w:r>
          </w:p>
        </w:tc>
        <w:tc>
          <w:tcPr>
            <w:tcW w:w="340" w:type="dxa"/>
            <w:vAlign w:val="bottom"/>
            <w:tcBorders>
              <w:bottom w:val="single" w:sz="8" w:color="CCEEFF"/>
            </w:tcBorders>
          </w:tcPr>
          <w:p>
            <w:pPr>
              <w:spacing w:after="0"/>
              <w:rPr>
                <w:sz w:val="16"/>
                <w:szCs w:val="16"/>
                <w:color w:val="auto"/>
              </w:rPr>
            </w:pPr>
          </w:p>
        </w:tc>
      </w:tr>
      <w:tr>
        <w:trPr>
          <w:trHeight w:val="270"/>
        </w:trPr>
        <w:tc>
          <w:tcPr>
            <w:tcW w:w="256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3"/>
                <w:szCs w:val="23"/>
                <w:color w:val="auto"/>
              </w:rPr>
            </w:pPr>
          </w:p>
        </w:tc>
        <w:tc>
          <w:tcPr>
            <w:tcW w:w="3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Continuous Offering Program</w:t>
            </w:r>
          </w:p>
        </w:tc>
        <w:tc>
          <w:tcPr>
            <w:tcW w:w="2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4,033,567</w:t>
            </w:r>
          </w:p>
        </w:tc>
        <w:tc>
          <w:tcPr>
            <w:tcW w:w="34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7">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Amounts are net of costs associated with the offerings.</w:t>
      </w:r>
    </w:p>
    <w:p>
      <w:pPr>
        <w:spacing w:after="0" w:line="23" w:lineRule="exact"/>
        <w:rPr>
          <w:sz w:val="20"/>
          <w:szCs w:val="20"/>
          <w:color w:val="auto"/>
        </w:rPr>
      </w:pPr>
    </w:p>
    <w:p>
      <w:pPr>
        <w:ind w:left="20" w:right="620" w:hanging="11"/>
        <w:spacing w:after="0" w:line="261" w:lineRule="auto"/>
        <w:rPr>
          <w:sz w:val="20"/>
          <w:szCs w:val="20"/>
          <w:color w:val="auto"/>
        </w:rPr>
      </w:pPr>
      <w:r>
        <w:rPr>
          <w:rFonts w:ascii="Arial" w:cs="Arial" w:eastAsia="Arial" w:hAnsi="Arial"/>
          <w:sz w:val="18"/>
          <w:szCs w:val="18"/>
          <w:color w:val="auto"/>
        </w:rPr>
        <w:t>PAA paid $1 million to sales agents in connection with common unit issuances under its Continuous Offering Program during the year ended December 31, 2017.</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11" w:lineRule="exact"/>
        <w:rPr>
          <w:sz w:val="20"/>
          <w:szCs w:val="20"/>
          <w:color w:val="auto"/>
        </w:rPr>
      </w:pPr>
    </w:p>
    <w:p>
      <w:pPr>
        <w:ind w:right="140" w:firstLine="729"/>
        <w:spacing w:after="0" w:line="257" w:lineRule="auto"/>
        <w:rPr>
          <w:sz w:val="20"/>
          <w:szCs w:val="20"/>
          <w:color w:val="auto"/>
        </w:rPr>
      </w:pPr>
      <w:r>
        <w:rPr>
          <w:rFonts w:ascii="Arial" w:cs="Arial" w:eastAsia="Arial" w:hAnsi="Arial"/>
          <w:sz w:val="18"/>
          <w:szCs w:val="18"/>
          <w:color w:val="auto"/>
        </w:rPr>
        <w:t>The proceeds from the issuance of additional common units are shared pro rata among all of PAA’s common unitholders, including AAP, based on their percentage ownership of common units. Additionally, PAA’s capital attributable to AAP was adjusted, in accordance with ASC 810, to reflect the dilution of its interest in PAA as a result of the issuance of additional common units to the public unitholders. Such adjustments are recognized by PAGP in proportion to its ownership interest in AAP, which result in a net increase in partners’ capital attributable to PAGP. See Note 15 for additional information regarding the associated impact to the deferred tax asset.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4" w:name="page165"/>
    <w:bookmarkEnd w:id="1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729"/>
        <w:spacing w:after="0" w:line="259" w:lineRule="auto"/>
        <w:rPr>
          <w:sz w:val="20"/>
          <w:szCs w:val="20"/>
          <w:color w:val="auto"/>
        </w:rPr>
      </w:pPr>
      <w:r>
        <w:rPr>
          <w:rFonts w:ascii="Arial" w:cs="Arial" w:eastAsia="Arial" w:hAnsi="Arial"/>
          <w:sz w:val="18"/>
          <w:szCs w:val="18"/>
          <w:i w:val="1"/>
          <w:iCs w:val="1"/>
          <w:color w:val="auto"/>
        </w:rPr>
        <w:t xml:space="preserve">Omnibus Agreement. </w:t>
      </w:r>
      <w:r>
        <w:rPr>
          <w:rFonts w:ascii="Arial" w:cs="Arial" w:eastAsia="Arial" w:hAnsi="Arial"/>
          <w:sz w:val="18"/>
          <w:szCs w:val="18"/>
          <w:color w:val="auto"/>
        </w:rPr>
        <w:t>PAA may sell or otherwise issue common units to AAP pursuant to the Omnibus Agreement entered into by the Plains</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on November 15, 2016. During the year ended December 31, 2017, pursuant to the Omnibus Agreement, PAA sold (i) approximately 1.8 million common units to AAP in connection with our issuance of Class A shares under our Continuous Offering Program and (ii) 48.3 million common units to AAP in connection with our March 2017 underwritten offering.</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Deferred Tax Asset Impact from the Sale of Subsidiary Units</w:t>
      </w:r>
    </w:p>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connection with the sales of AAP units and PAA common units referenced above, a deferred asset was created. The tax basis of our purchase of the additional units was accounted for at fair market value for U.S. federal income tax purposes, but the GAAP basis was impacted by the adjustments that are based on historical carrying value. The resulting basis difference resulted in a deferred tax asset that was recorded as a component of partner’s capital as it results from transactions with shareholders. See Note 15 for additional information.</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PAA Preferred Unit Distributions. </w:t>
      </w:r>
      <w:r>
        <w:rPr>
          <w:rFonts w:ascii="Arial" w:cs="Arial" w:eastAsia="Arial" w:hAnsi="Arial"/>
          <w:sz w:val="18"/>
          <w:szCs w:val="18"/>
          <w:color w:val="auto"/>
        </w:rPr>
        <w:t>The following table details distributions paid to PAA’s preferred unitholders during the year presented (in millions,</w:t>
      </w:r>
      <w:r>
        <w:rPr>
          <w:rFonts w:ascii="Arial" w:cs="Arial" w:eastAsia="Arial" w:hAnsi="Arial"/>
          <w:sz w:val="18"/>
          <w:szCs w:val="18"/>
          <w:i w:val="1"/>
          <w:iCs w:val="1"/>
          <w:color w:val="auto"/>
        </w:rPr>
        <w:t xml:space="preserve"> </w:t>
      </w:r>
      <w:r>
        <w:rPr>
          <w:rFonts w:ascii="Arial" w:cs="Arial" w:eastAsia="Arial" w:hAnsi="Arial"/>
          <w:sz w:val="18"/>
          <w:szCs w:val="18"/>
          <w:color w:val="auto"/>
        </w:rPr>
        <w:t>except unit data):</w:t>
      </w: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Series A Preferred Unitholders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Series B Preferred Unitholders</w:t>
            </w:r>
          </w:p>
        </w:tc>
      </w:tr>
      <w:tr>
        <w:trPr>
          <w:trHeight w:val="187"/>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4"/>
              </w:rPr>
              <w:t xml:space="preserve">Distribution </w:t>
            </w:r>
            <w:r>
              <w:rPr>
                <w:rFonts w:ascii="Arial" w:cs="Arial" w:eastAsia="Arial" w:hAnsi="Arial"/>
                <w:sz w:val="9"/>
                <w:szCs w:val="9"/>
                <w:b w:val="1"/>
                <w:bCs w:val="1"/>
                <w:color w:val="auto"/>
                <w:w w:val="94"/>
              </w:rPr>
              <w:t>(1)</w:t>
            </w:r>
          </w:p>
        </w:tc>
        <w:tc>
          <w:tcPr>
            <w:tcW w:w="86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0" w:type="dxa"/>
            <w:vAlign w:val="bottom"/>
            <w:tcBorders>
              <w:top w:val="single" w:sz="8" w:color="auto"/>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Cash</w:t>
            </w:r>
          </w:p>
        </w:tc>
      </w:tr>
      <w:tr>
        <w:trPr>
          <w:trHeight w:val="19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Cash</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6"/>
              </w:rPr>
              <w:t xml:space="preserve">Distribution </w:t>
            </w:r>
            <w:r>
              <w:rPr>
                <w:rFonts w:ascii="Arial" w:cs="Arial" w:eastAsia="Arial" w:hAnsi="Arial"/>
                <w:sz w:val="9"/>
                <w:szCs w:val="9"/>
                <w:b w:val="1"/>
                <w:bCs w:val="1"/>
                <w:color w:val="auto"/>
                <w:w w:val="96"/>
              </w:rPr>
              <w:t>(2)</w:t>
            </w:r>
          </w:p>
        </w:tc>
      </w:tr>
      <w:tr>
        <w:trPr>
          <w:trHeight w:val="24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49</w:t>
            </w: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9"/>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w w:val="87"/>
              </w:rPr>
              <w:t>1,393,926</w:t>
            </w:r>
          </w:p>
        </w:tc>
        <w:tc>
          <w:tcPr>
            <w:tcW w:w="140" w:type="dxa"/>
            <w:vAlign w:val="bottom"/>
            <w:tcBorders>
              <w:right w:val="single" w:sz="8" w:color="auto"/>
            </w:tcBorders>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0" w:type="dxa"/>
            <w:vAlign w:val="bottom"/>
          </w:tcPr>
          <w:p>
            <w:pPr>
              <w:jc w:val="right"/>
              <w:ind w:right="59"/>
              <w:spacing w:after="0"/>
              <w:rPr>
                <w:sz w:val="20"/>
                <w:szCs w:val="20"/>
                <w:color w:val="auto"/>
              </w:rPr>
            </w:pPr>
            <w:r>
              <w:rPr>
                <w:rFonts w:ascii="Arial" w:cs="Arial" w:eastAsia="Arial" w:hAnsi="Arial"/>
                <w:sz w:val="18"/>
                <w:szCs w:val="18"/>
                <w:color w:val="auto"/>
              </w:rPr>
              <w:t>49</w:t>
            </w: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7"/>
              </w:rPr>
              <w:t>5,307,689</w:t>
            </w:r>
          </w:p>
        </w:tc>
        <w:tc>
          <w:tcPr>
            <w:tcW w:w="140" w:type="dxa"/>
            <w:vAlign w:val="bottom"/>
            <w:tcBorders>
              <w:right w:val="single" w:sz="8" w:color="auto"/>
            </w:tcBorders>
            <w:shd w:val="clear" w:color="auto" w:fill="CCEEFF"/>
          </w:tcPr>
          <w:p>
            <w:pPr>
              <w:spacing w:after="0"/>
              <w:rPr>
                <w:sz w:val="21"/>
                <w:szCs w:val="21"/>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w:t>
            </w:r>
          </w:p>
        </w:tc>
      </w:tr>
      <w:tr>
        <w:trPr>
          <w:trHeight w:val="27"/>
        </w:trPr>
        <w:tc>
          <w:tcPr>
            <w:tcW w:w="5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277" w:lineRule="auto"/>
        <w:tabs>
          <w:tab w:leader="none" w:pos="177" w:val="left"/>
        </w:tabs>
        <w:numPr>
          <w:ilvl w:val="0"/>
          <w:numId w:val="96"/>
        </w:numPr>
        <w:rPr>
          <w:rFonts w:ascii="Arial" w:cs="Arial" w:eastAsia="Arial" w:hAnsi="Arial"/>
          <w:sz w:val="20"/>
          <w:szCs w:val="20"/>
          <w:color w:val="auto"/>
          <w:vertAlign w:val="superscript"/>
        </w:rPr>
      </w:pPr>
      <w:r>
        <w:rPr>
          <w:rFonts w:ascii="Arial" w:cs="Arial" w:eastAsia="Arial" w:hAnsi="Arial"/>
          <w:sz w:val="16"/>
          <w:szCs w:val="16"/>
          <w:color w:val="auto"/>
        </w:rPr>
        <w:t>PAA elected to pay distributions on its Series A preferred units in additional Series A preferred units for each quarterly distribution from their issuance through the February 2018 distribution. Distributions on PAA’s Series A preferred units have been paid in cash since the May 2018 distribution. During 2018 and 2017, PAA issued additional Series A preferred units in lieu of cash distributions of $37 million and $139 million, respectively.</w:t>
      </w:r>
    </w:p>
    <w:p>
      <w:pPr>
        <w:spacing w:after="0" w:line="66" w:lineRule="exact"/>
        <w:rPr>
          <w:rFonts w:ascii="Arial" w:cs="Arial" w:eastAsia="Arial" w:hAnsi="Arial"/>
          <w:sz w:val="20"/>
          <w:szCs w:val="20"/>
          <w:color w:val="auto"/>
          <w:vertAlign w:val="superscript"/>
        </w:rPr>
      </w:pPr>
    </w:p>
    <w:p>
      <w:pPr>
        <w:ind w:left="660" w:right="40" w:hanging="652"/>
        <w:spacing w:after="0" w:line="282" w:lineRule="auto"/>
        <w:tabs>
          <w:tab w:leader="none" w:pos="177" w:val="left"/>
        </w:tabs>
        <w:numPr>
          <w:ilvl w:val="0"/>
          <w:numId w:val="96"/>
        </w:numPr>
        <w:rPr>
          <w:rFonts w:ascii="Arial" w:cs="Arial" w:eastAsia="Arial" w:hAnsi="Arial"/>
          <w:sz w:val="20"/>
          <w:szCs w:val="20"/>
          <w:color w:val="auto"/>
          <w:vertAlign w:val="superscript"/>
        </w:rPr>
      </w:pPr>
      <w:r>
        <w:rPr>
          <w:rFonts w:ascii="Arial" w:cs="Arial" w:eastAsia="Arial" w:hAnsi="Arial"/>
          <w:sz w:val="16"/>
          <w:szCs w:val="16"/>
          <w:color w:val="auto"/>
        </w:rPr>
        <w:t>PAA paid a pro-rated initial distribution on the Series B preferred units on November 15, 2017 to holders of record at the close of business on November 1, 2017 in an amount equal to approximately $5.9549 per unit.</w:t>
      </w:r>
    </w:p>
    <w:p>
      <w:pPr>
        <w:spacing w:after="0" w:line="18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February 14, 2020, PAA paid a cash distribution of $37 million to its Series A preferred unitholders. At December 31, 2019, such amount was accrued as distributions payable in “Other current liabilities” on our Consolidated Balance Sheet. At December 31, 2019, approximately $6 million of accrued distributions payable to PAA’s Series B preferred unitholders was included in “Other current liabilities” on our Consolidated Balance Sheet.</w:t>
      </w:r>
    </w:p>
    <w:p>
      <w:pPr>
        <w:spacing w:after="0" w:line="19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PAA Common Unit Distributions. </w:t>
      </w:r>
      <w:r>
        <w:rPr>
          <w:rFonts w:ascii="Arial" w:cs="Arial" w:eastAsia="Arial" w:hAnsi="Arial"/>
          <w:sz w:val="18"/>
          <w:szCs w:val="18"/>
          <w:color w:val="auto"/>
        </w:rPr>
        <w:t>PAA distributes 100% of its available cash within 45 days following the end of each quarter to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unitholders of record, including AAP. Available cash is generally defined as all of PAA’s cash and cash equivalents on hand at the end of each quarter, less reserves established in the reasonable discretion of its general partner for future requirements.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distributions paid by PAA during the year presented (in millions, except per unit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Distributions Paid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right"/>
              <w:ind w:right="217"/>
              <w:spacing w:after="0"/>
              <w:rPr>
                <w:sz w:val="20"/>
                <w:szCs w:val="20"/>
                <w:color w:val="auto"/>
              </w:rPr>
            </w:pPr>
            <w:r>
              <w:rPr>
                <w:rFonts w:ascii="Arial" w:cs="Arial" w:eastAsia="Arial" w:hAnsi="Arial"/>
                <w:sz w:val="14"/>
                <w:szCs w:val="14"/>
                <w:b w:val="1"/>
                <w:bCs w:val="1"/>
                <w:color w:val="auto"/>
                <w:w w:val="99"/>
              </w:rPr>
              <w:t>Distributions per</w:t>
            </w:r>
          </w:p>
        </w:tc>
      </w:tr>
      <w:tr>
        <w:trPr>
          <w:trHeight w:val="197"/>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Public</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AAP</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common unit</w:t>
            </w: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9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1.38</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380" w:type="dxa"/>
            <w:vAlign w:val="bottom"/>
          </w:tcPr>
          <w:p>
            <w:pPr>
              <w:jc w:val="right"/>
              <w:ind w:right="119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1220" w:type="dxa"/>
            <w:vAlign w:val="bottom"/>
          </w:tcPr>
          <w:p>
            <w:pPr>
              <w:jc w:val="right"/>
              <w:ind w:right="103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w w:val="79"/>
              </w:rPr>
              <w:t>339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871</w:t>
            </w:r>
          </w:p>
        </w:tc>
        <w:tc>
          <w:tcPr>
            <w:tcW w:w="140" w:type="dxa"/>
            <w:vAlign w:val="bottom"/>
            <w:tcBorders>
              <w:right w:val="single" w:sz="8" w:color="auto"/>
            </w:tcBorders>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7"/>
              <w:spacing w:after="0"/>
              <w:rPr>
                <w:sz w:val="20"/>
                <w:szCs w:val="20"/>
                <w:color w:val="auto"/>
              </w:rPr>
            </w:pPr>
            <w:r>
              <w:rPr>
                <w:rFonts w:ascii="Arial" w:cs="Arial" w:eastAsia="Arial" w:hAnsi="Arial"/>
                <w:sz w:val="18"/>
                <w:szCs w:val="18"/>
                <w:color w:val="auto"/>
              </w:rPr>
              <w:t>1.20</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19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537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1,386</w:t>
            </w:r>
          </w:p>
        </w:tc>
        <w:tc>
          <w:tcPr>
            <w:tcW w:w="140" w:type="dxa"/>
            <w:vAlign w:val="bottom"/>
            <w:tcBorders>
              <w:right w:val="single" w:sz="8" w:color="auto"/>
            </w:tcBorders>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1.95</w:t>
            </w:r>
          </w:p>
        </w:tc>
      </w:tr>
      <w:tr>
        <w:trPr>
          <w:trHeight w:val="27"/>
        </w:trPr>
        <w:tc>
          <w:tcPr>
            <w:tcW w:w="3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January 8, 2020, PAA declared a cash distribution of $0.36 per unit on its outstanding common units. The total distribution of $262 million was paid on February 14, 2020 to unitholders of record at the close of business on January 31, 2020, for the period from October 1, 2019 through December 31, 2019. Of this amount, approximately $90 million was paid to AAP.</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83" w:lineRule="auto"/>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AAP distributes all of the cash received from PAA distributions on a quarterly basis, less reserves established in the discretion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its general partner for future requirements. Generally, distributions are paid to its partners in proportion to their percentage interest in AAP. The following table details the distributions to AAP’s partners paid during the periods indicated from distributions received from PAA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Distributions to AAP’s Partners</w:t>
            </w: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r>
      <w:tr>
        <w:trPr>
          <w:trHeight w:val="34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Noncontrolling Interests</w:t>
            </w: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PAGP</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Total Cash Distributions</w:t>
            </w: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141</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372</w:t>
            </w: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74"/>
              <w:spacing w:after="0"/>
              <w:rPr>
                <w:sz w:val="20"/>
                <w:szCs w:val="20"/>
                <w:color w:val="auto"/>
              </w:rPr>
            </w:pPr>
            <w:r>
              <w:rPr>
                <w:rFonts w:ascii="Arial" w:cs="Arial" w:eastAsia="Arial" w:hAnsi="Arial"/>
                <w:sz w:val="18"/>
                <w:szCs w:val="18"/>
                <w:color w:val="auto"/>
              </w:rPr>
              <w:t>150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74"/>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74"/>
              <w:spacing w:after="0"/>
              <w:rPr>
                <w:sz w:val="20"/>
                <w:szCs w:val="20"/>
                <w:color w:val="auto"/>
              </w:rPr>
            </w:pPr>
            <w:r>
              <w:rPr>
                <w:rFonts w:ascii="Arial" w:cs="Arial" w:eastAsia="Arial" w:hAnsi="Arial"/>
                <w:sz w:val="18"/>
                <w:szCs w:val="18"/>
                <w:color w:val="auto"/>
              </w:rPr>
              <w:t>339</w:t>
            </w: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537</w:t>
            </w:r>
          </w:p>
        </w:tc>
      </w:tr>
      <w:tr>
        <w:trPr>
          <w:trHeight w:val="27"/>
        </w:trPr>
        <w:tc>
          <w:tcPr>
            <w:tcW w:w="5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On February 14, 2020, AAP distributed $90 million to its partners from distributions received from PAA. Of this amount, $24 million was distributed to noncontrolling interests and $66 million was distributed to us.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Distributions. </w:t>
      </w:r>
      <w:r>
        <w:rPr>
          <w:rFonts w:ascii="Arial" w:cs="Arial" w:eastAsia="Arial" w:hAnsi="Arial"/>
          <w:sz w:val="16"/>
          <w:szCs w:val="16"/>
          <w:color w:val="auto"/>
        </w:rPr>
        <w:t>During the year ended December 31, 2019, distributions of $6 million were paid to noncontrolling interests in Red River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distributions of $2 million were paid to noncontrolling interests in SLC Pipeline LLC.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13—Derivatives and Risk Management Activities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i w:val="1"/>
          <w:iCs w:val="1"/>
          <w:color w:val="auto"/>
        </w:rPr>
        <w:t xml:space="preserve">Commodity Purchases and Sales </w:t>
      </w:r>
      <w:r>
        <w:rPr>
          <w:rFonts w:ascii="Arial" w:cs="Arial" w:eastAsia="Arial" w:hAnsi="Arial"/>
          <w:sz w:val="17"/>
          <w:szCs w:val="17"/>
          <w:color w:val="auto"/>
        </w:rPr>
        <w:t>— In the normal course of our operations, we purchase and sell commodities. We use derivatives to manage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risks and to optimize profits. As of December 31, 2019, net derivative positions related to these activities included:</w:t>
      </w:r>
    </w:p>
    <w:p>
      <w:pPr>
        <w:spacing w:after="0" w:line="38" w:lineRule="exact"/>
        <w:rPr>
          <w:sz w:val="20"/>
          <w:szCs w:val="20"/>
          <w:color w:val="auto"/>
        </w:rPr>
      </w:pPr>
    </w:p>
    <w:p>
      <w:pPr>
        <w:ind w:left="980" w:right="200" w:hanging="324"/>
        <w:spacing w:after="0" w:line="277"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net long position of 10.2 million barrels associated with our crude oil purchases, which was unwound ratably during January 2020 to match monthly average pricing.</w:t>
      </w:r>
    </w:p>
    <w:p>
      <w:pPr>
        <w:spacing w:after="0" w:line="62"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net short time spread position of 9.0 million barrels, which hedges a portion of our anticipated crude oil lease gathering purchases through February 2021.</w:t>
      </w:r>
    </w:p>
    <w:p>
      <w:pPr>
        <w:spacing w:after="0" w:line="62"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net crude oil basis spread position of 5.9 million barrels at multiple locations through December 2021. These derivatives allow us to lock in grade basis differentials.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6" w:name="page167"/>
    <w:bookmarkEnd w:id="1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980" w:hanging="324"/>
        <w:spacing w:after="0"/>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net short position of 17.9 million barrels through December 2021 related to anticipated net sales of crude oil and NGL inventory.</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Storage Capacity Utilization </w:t>
      </w:r>
      <w:r>
        <w:rPr>
          <w:rFonts w:ascii="Arial" w:cs="Arial" w:eastAsia="Arial" w:hAnsi="Arial"/>
          <w:sz w:val="18"/>
          <w:szCs w:val="18"/>
          <w:color w:val="auto"/>
        </w:rPr>
        <w:t>— For capacity allocated to our supply and logistics operations, we have utilization risk in a backwardated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of December 31, 2019, we used derivatives to manage the risk that a portion of our storage capacity will not be utilized (an average of approximately 1.2 million barrels per month of storage capacity through January 2021). These positions involve no outright price exposure, but instead enable us to profitably use the capacity to store hedged crude oil.</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Natural Gas Processing/NGL Fractionation </w:t>
      </w:r>
      <w:r>
        <w:rPr>
          <w:rFonts w:ascii="Arial" w:cs="Arial" w:eastAsia="Arial" w:hAnsi="Arial"/>
          <w:sz w:val="18"/>
          <w:szCs w:val="18"/>
          <w:color w:val="auto"/>
        </w:rPr>
        <w:t>— We purchase natural gas for processing and operational needs. Additionally, we purchase NGL mix</w:t>
      </w:r>
      <w:r>
        <w:rPr>
          <w:rFonts w:ascii="Arial" w:cs="Arial" w:eastAsia="Arial" w:hAnsi="Arial"/>
          <w:sz w:val="18"/>
          <w:szCs w:val="18"/>
          <w:i w:val="1"/>
          <w:iCs w:val="1"/>
          <w:color w:val="auto"/>
        </w:rPr>
        <w:t xml:space="preserve"> </w:t>
      </w:r>
      <w:r>
        <w:rPr>
          <w:rFonts w:ascii="Arial" w:cs="Arial" w:eastAsia="Arial" w:hAnsi="Arial"/>
          <w:sz w:val="18"/>
          <w:szCs w:val="18"/>
          <w:color w:val="auto"/>
        </w:rPr>
        <w:t>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December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Notional Volume</w:t>
            </w: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Remaining Tenor</w:t>
            </w:r>
          </w:p>
        </w:tc>
        <w:tc>
          <w:tcPr>
            <w:tcW w:w="0" w:type="dxa"/>
            <w:vAlign w:val="bottom"/>
          </w:tcPr>
          <w:p>
            <w:pPr>
              <w:spacing w:after="0"/>
              <w:rPr>
                <w:sz w:val="1"/>
                <w:szCs w:val="1"/>
                <w:color w:val="auto"/>
              </w:rPr>
            </w:pPr>
          </w:p>
        </w:tc>
      </w:tr>
      <w:tr>
        <w:trPr>
          <w:trHeight w:val="192"/>
        </w:trPr>
        <w:tc>
          <w:tcPr>
            <w:tcW w:w="78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(Short)/Long</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purchases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46.4 Bcf</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Propane sales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(3.8) MMbls</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Butane sales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(1.9) MMbls</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70"/>
        </w:trPr>
        <w:tc>
          <w:tcPr>
            <w:tcW w:w="7840" w:type="dxa"/>
            <w:vAlign w:val="bottom"/>
          </w:tcPr>
          <w:p>
            <w:pPr>
              <w:ind w:left="20"/>
              <w:spacing w:after="0"/>
              <w:rPr>
                <w:sz w:val="20"/>
                <w:szCs w:val="20"/>
                <w:color w:val="auto"/>
              </w:rPr>
            </w:pPr>
            <w:r>
              <w:rPr>
                <w:rFonts w:ascii="Arial" w:cs="Arial" w:eastAsia="Arial" w:hAnsi="Arial"/>
                <w:sz w:val="18"/>
                <w:szCs w:val="18"/>
                <w:color w:val="auto"/>
              </w:rPr>
              <w:t>Condensate sales (WTI position)</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(0.7) MMbls</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March 2021</w:t>
            </w:r>
          </w:p>
        </w:tc>
        <w:tc>
          <w:tcPr>
            <w:tcW w:w="0" w:type="dxa"/>
            <w:vAlign w:val="bottom"/>
          </w:tcPr>
          <w:p>
            <w:pPr>
              <w:spacing w:after="0"/>
              <w:rPr>
                <w:sz w:val="1"/>
                <w:szCs w:val="1"/>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Power supply requirements </w:t>
            </w:r>
            <w:r>
              <w:rPr>
                <w:rFonts w:ascii="Arial" w:cs="Arial" w:eastAsia="Arial" w:hAnsi="Arial"/>
                <w:sz w:val="23"/>
                <w:szCs w:val="23"/>
                <w:color w:val="auto"/>
                <w:vertAlign w:val="superscript"/>
              </w:rPr>
              <w:t>(1)</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1.0 TWh</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9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Power position to hedge a portion of our power supply requirements at our Canadian natural gas processing and fractionation plants.</w:t>
      </w:r>
    </w:p>
    <w:p>
      <w:pPr>
        <w:spacing w:after="0" w:line="33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52"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terms of our outstanding interest rate derivatives as of December 31, 2019 (notional amounts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Hedged Transaction</w:t>
            </w:r>
          </w:p>
        </w:tc>
        <w:tc>
          <w:tcPr>
            <w:tcW w:w="120" w:type="dxa"/>
            <w:vAlign w:val="bottom"/>
            <w:vMerge w:val="restart"/>
          </w:tcPr>
          <w:p>
            <w:pPr>
              <w:spacing w:after="0"/>
              <w:rPr>
                <w:sz w:val="14"/>
                <w:szCs w:val="14"/>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and Types of</w:t>
            </w:r>
          </w:p>
        </w:tc>
        <w:tc>
          <w:tcPr>
            <w:tcW w:w="22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Expected</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Average Rate</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0"/>
              </w:rPr>
              <w:t>Accounting</w:t>
            </w:r>
          </w:p>
        </w:tc>
        <w:tc>
          <w:tcPr>
            <w:tcW w:w="0" w:type="dxa"/>
            <w:vAlign w:val="bottom"/>
          </w:tcPr>
          <w:p>
            <w:pPr>
              <w:spacing w:after="0"/>
              <w:rPr>
                <w:sz w:val="1"/>
                <w:szCs w:val="1"/>
                <w:color w:val="auto"/>
              </w:rPr>
            </w:pPr>
          </w:p>
        </w:tc>
      </w:tr>
      <w:tr>
        <w:trPr>
          <w:trHeight w:val="188"/>
        </w:trPr>
        <w:tc>
          <w:tcPr>
            <w:tcW w:w="2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Derivatives Employed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Locked</w:t>
            </w: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Treatment</w:t>
            </w:r>
          </w:p>
        </w:tc>
        <w:tc>
          <w:tcPr>
            <w:tcW w:w="0" w:type="dxa"/>
            <w:vAlign w:val="bottom"/>
          </w:tcPr>
          <w:p>
            <w:pPr>
              <w:spacing w:after="0"/>
              <w:rPr>
                <w:sz w:val="1"/>
                <w:szCs w:val="1"/>
                <w:color w:val="auto"/>
              </w:rPr>
            </w:pPr>
          </w:p>
        </w:tc>
      </w:tr>
      <w:tr>
        <w:trPr>
          <w:trHeight w:val="184"/>
        </w:trPr>
        <w:tc>
          <w:tcPr>
            <w:tcW w:w="284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color w:val="auto"/>
              </w:rPr>
              <w:t>Anticipated interest payments</w:t>
            </w:r>
          </w:p>
        </w:tc>
        <w:tc>
          <w:tcPr>
            <w:tcW w:w="264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91"/>
              </w:rPr>
              <w:t>8 forward starting swaps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10"/>
              <w:spacing w:after="0" w:line="184"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82"/>
              <w:spacing w:after="0" w:line="184" w:lineRule="exact"/>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89"/>
              </w:rPr>
              <w:t>6/15/2020</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4" w:lineRule="exact"/>
              <w:rPr>
                <w:sz w:val="20"/>
                <w:szCs w:val="20"/>
                <w:color w:val="auto"/>
              </w:rPr>
            </w:pPr>
            <w:r>
              <w:rPr>
                <w:rFonts w:ascii="Arial" w:cs="Arial" w:eastAsia="Arial" w:hAnsi="Arial"/>
                <w:sz w:val="18"/>
                <w:szCs w:val="18"/>
                <w:color w:val="auto"/>
              </w:rPr>
              <w:t>3.06 %</w:t>
            </w: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84" w:lineRule="exact"/>
              <w:rPr>
                <w:sz w:val="20"/>
                <w:szCs w:val="20"/>
                <w:color w:val="auto"/>
              </w:rPr>
            </w:pPr>
            <w:r>
              <w:rPr>
                <w:rFonts w:ascii="Arial" w:cs="Arial" w:eastAsia="Arial" w:hAnsi="Arial"/>
                <w:sz w:val="18"/>
                <w:szCs w:val="18"/>
                <w:color w:val="auto"/>
                <w:w w:val="89"/>
              </w:rPr>
              <w:t>Cash flow hedge</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(30-year)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5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7" w:name="page168"/>
    <w:bookmarkEnd w:id="1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December 31, 2019 (in millions):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USD</w:t>
            </w:r>
          </w:p>
        </w:tc>
        <w:tc>
          <w:tcPr>
            <w:tcW w:w="18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CAD</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Exchange Rate</w:t>
            </w:r>
          </w:p>
        </w:tc>
        <w:tc>
          <w:tcPr>
            <w:tcW w:w="0" w:type="dxa"/>
            <w:vAlign w:val="bottom"/>
          </w:tcPr>
          <w:p>
            <w:pPr>
              <w:spacing w:after="0"/>
              <w:rPr>
                <w:sz w:val="1"/>
                <w:szCs w:val="1"/>
                <w:color w:val="auto"/>
              </w:rPr>
            </w:pPr>
          </w:p>
        </w:tc>
      </w:tr>
      <w:tr>
        <w:trPr>
          <w:trHeight w:val="188"/>
        </w:trPr>
        <w:tc>
          <w:tcPr>
            <w:tcW w:w="7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8"/>
              </w:rPr>
              <w:t>USD to CAD</w:t>
            </w:r>
          </w:p>
        </w:tc>
        <w:tc>
          <w:tcPr>
            <w:tcW w:w="0" w:type="dxa"/>
            <w:vAlign w:val="bottom"/>
          </w:tcPr>
          <w:p>
            <w:pPr>
              <w:spacing w:after="0"/>
              <w:rPr>
                <w:sz w:val="1"/>
                <w:szCs w:val="1"/>
                <w:color w:val="auto"/>
              </w:rPr>
            </w:pPr>
          </w:p>
        </w:tc>
      </w:tr>
      <w:tr>
        <w:trPr>
          <w:trHeight w:val="211"/>
        </w:trPr>
        <w:tc>
          <w:tcPr>
            <w:tcW w:w="7620" w:type="dxa"/>
            <w:vAlign w:val="bottom"/>
            <w:tcBorders>
              <w:top w:val="single" w:sz="8" w:color="CCEEFF"/>
            </w:tcBorders>
            <w:shd w:val="clear" w:color="auto" w:fill="CCEEFF"/>
          </w:tcPr>
          <w:p>
            <w:pPr>
              <w:jc w:val="right"/>
              <w:ind w:right="303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62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56"/>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56"/>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0"/>
              </w:rPr>
              <w:t>$1.00 - $1.31</w:t>
            </w:r>
          </w:p>
        </w:tc>
        <w:tc>
          <w:tcPr>
            <w:tcW w:w="0" w:type="dxa"/>
            <w:vAlign w:val="bottom"/>
          </w:tcPr>
          <w:p>
            <w:pPr>
              <w:spacing w:after="0"/>
              <w:rPr>
                <w:sz w:val="1"/>
                <w:szCs w:val="1"/>
                <w:color w:val="auto"/>
              </w:rPr>
            </w:pPr>
          </w:p>
        </w:tc>
      </w:tr>
      <w:tr>
        <w:trPr>
          <w:trHeight w:val="257"/>
        </w:trPr>
        <w:tc>
          <w:tcPr>
            <w:tcW w:w="76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620" w:type="dxa"/>
            <w:vAlign w:val="bottom"/>
          </w:tcPr>
          <w:p>
            <w:pPr>
              <w:jc w:val="right"/>
              <w:ind w:right="30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$1.00 - $1.32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Distribution Rate Reset Option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a period of 30 days following (a) the fifth anniversary of the January 28, 2016 issuance date (the “Issuance Date”) of the PAA Series A preferred units and (b) each subsequent anniversary of the Issuance Date, the holders of the PAA Series A preferred units, acting by majority vote, may make a one-time election to reset the Series A preferred unit distribution rate to equal the then applicable rate of ten-year U.S. Treasury Securities plus 5.85% (the “Preferred Distribution Rate Reset Option”). 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the PAA Series A preferred units is an embedded derivative that must be bifurcated from the related host contract, the PAA partnership agreement, and recorded at fair value on our Consolidated Balance Sheets. Corresponding changes in fair value are recognized in “Other income/(expense), net” in our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Financial Impact</w:t>
      </w:r>
    </w:p>
    <w:p>
      <w:pPr>
        <w:spacing w:after="0" w:line="25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Consolidated Statements of 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impact of our derivatives recognized in earnings is as follows (in millions):</w:t>
      </w:r>
    </w:p>
    <w:p>
      <w:pPr>
        <w:sectPr>
          <w:pgSz w:w="11900" w:h="16838" w:orient="portrait"/>
          <w:cols w:equalWidth="0" w:num="1">
            <w:col w:w="11400"/>
          </w:cols>
          <w:pgMar w:left="240" w:top="12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Location of Gain/(Loss)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3"/>
          <w:szCs w:val="23"/>
          <w:color w:val="auto"/>
          <w:vertAlign w:val="superscript"/>
        </w:rPr>
        <w:t>(1)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p>
      <w:pPr>
        <w:ind w:left="60"/>
        <w:spacing w:after="0" w:line="213" w:lineRule="auto"/>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3"/>
          <w:szCs w:val="23"/>
          <w:color w:val="auto"/>
          <w:vertAlign w:val="superscript"/>
        </w:rPr>
        <w:t>(1)</w:t>
      </w:r>
    </w:p>
    <w:p>
      <w:pPr>
        <w:ind w:left="380" w:hanging="161"/>
        <w:spacing w:after="0" w:line="226" w:lineRule="auto"/>
        <w:rPr>
          <w:sz w:val="20"/>
          <w:szCs w:val="20"/>
          <w:color w:val="auto"/>
        </w:rPr>
      </w:pPr>
      <w:r>
        <w:rPr>
          <w:rFonts w:ascii="Arial" w:cs="Arial" w:eastAsia="Arial" w:hAnsi="Arial"/>
          <w:sz w:val="18"/>
          <w:szCs w:val="18"/>
          <w:color w:val="auto"/>
        </w:rPr>
        <w:t>Total gain/(loss) on derivatives recognized in net income</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auto"/>
        </w:rPr>
        <w:t>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46482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94">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Commodity</w:t>
            </w:r>
          </w:p>
        </w:tc>
        <w:tc>
          <w:tcPr>
            <w:tcW w:w="120" w:type="dxa"/>
            <w:vAlign w:val="bottom"/>
          </w:tcPr>
          <w:p>
            <w:pPr>
              <w:spacing w:after="0"/>
              <w:rPr>
                <w:sz w:val="12"/>
                <w:szCs w:val="12"/>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Distribution</w:t>
            </w: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Interest Rate</w:t>
            </w: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Rate Reset</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3"/>
              </w:rPr>
              <w:t>Option</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-616585</wp:posOffset>
            </wp:positionV>
            <wp:extent cx="720344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9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-273685</wp:posOffset>
            </wp:positionV>
            <wp:extent cx="7203440" cy="2571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6">
                      <a:extLst>
                        <a:ext uri="{28A0092B-C50C-407E-A947-70E740481C1C}"/>
                      </a:extLst>
                    </a:blip>
                    <a:srcRect/>
                    <a:stretch>
                      <a:fillRect/>
                    </a:stretch>
                  </pic:blipFill>
                  <pic:spPr bwMode="auto">
                    <a:xfrm>
                      <a:off x="0" y="0"/>
                      <a:ext cx="7203440" cy="257175"/>
                    </a:xfrm>
                    <a:prstGeom prst="rect">
                      <a:avLst/>
                    </a:prstGeom>
                    <a:noFill/>
                  </pic:spPr>
                </pic:pic>
              </a:graphicData>
            </a:graphic>
          </wp:anchor>
        </w:drawing>
        <w:drawing>
          <wp:anchor simplePos="0" relativeHeight="251657728" behindDoc="1" locked="0" layoutInCell="0" allowOverlap="1">
            <wp:simplePos x="0" y="0"/>
            <wp:positionH relativeFrom="column">
              <wp:posOffset>-2559050</wp:posOffset>
            </wp:positionH>
            <wp:positionV relativeFrom="paragraph">
              <wp:posOffset>-968375</wp:posOffset>
            </wp:positionV>
            <wp:extent cx="7203440" cy="1803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7">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340"/>
            <w:col w:w="7320"/>
          </w:cols>
          <w:pgMar w:left="240" w:top="12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type w:val="continuous"/>
        </w:sectPr>
      </w:pPr>
    </w:p>
    <w:bookmarkStart w:id="168" w:name="page169"/>
    <w:bookmarkEnd w:id="1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w w:val="94"/>
              </w:rPr>
              <w:t>Year Ended December 31, 2018</w:t>
            </w:r>
          </w:p>
        </w:tc>
        <w:tc>
          <w:tcPr>
            <w:tcW w:w="1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80" w:type="dxa"/>
            <w:vAlign w:val="bottom"/>
          </w:tcPr>
          <w:p>
            <w:pPr>
              <w:jc w:val="center"/>
              <w:ind w:right="288"/>
              <w:spacing w:after="0" w:line="153" w:lineRule="exact"/>
              <w:rPr>
                <w:sz w:val="20"/>
                <w:szCs w:val="20"/>
                <w:color w:val="auto"/>
              </w:rPr>
            </w:pPr>
            <w:r>
              <w:rPr>
                <w:rFonts w:ascii="Arial" w:cs="Arial" w:eastAsia="Arial" w:hAnsi="Arial"/>
                <w:sz w:val="14"/>
                <w:szCs w:val="14"/>
                <w:b w:val="1"/>
                <w:bCs w:val="1"/>
                <w:color w:val="auto"/>
                <w:w w:val="96"/>
              </w:rPr>
              <w:t>Preferred</w:t>
            </w: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3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Commodity</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Foreign Currency</w:t>
            </w:r>
          </w:p>
        </w:tc>
        <w:tc>
          <w:tcPr>
            <w:tcW w:w="168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96"/>
              </w:rPr>
              <w:t>Distribution</w:t>
            </w:r>
          </w:p>
        </w:tc>
        <w:tc>
          <w:tcPr>
            <w:tcW w:w="1300" w:type="dxa"/>
            <w:vAlign w:val="bottom"/>
            <w:vMerge w:val="restart"/>
          </w:tcPr>
          <w:p>
            <w:pPr>
              <w:jc w:val="center"/>
              <w:ind w:right="308"/>
              <w:spacing w:after="0"/>
              <w:rPr>
                <w:sz w:val="20"/>
                <w:szCs w:val="20"/>
                <w:color w:val="auto"/>
              </w:rPr>
            </w:pPr>
            <w:r>
              <w:rPr>
                <w:rFonts w:ascii="Arial" w:cs="Arial" w:eastAsia="Arial" w:hAnsi="Arial"/>
                <w:sz w:val="14"/>
                <w:szCs w:val="14"/>
                <w:b w:val="1"/>
                <w:bCs w:val="1"/>
                <w:color w:val="auto"/>
                <w:w w:val="94"/>
              </w:rPr>
              <w:t>Interest Rate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Location of Gain/(Loss)</w:t>
            </w:r>
          </w:p>
        </w:tc>
        <w:tc>
          <w:tcPr>
            <w:tcW w:w="130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1680" w:type="dxa"/>
            <w:vAlign w:val="bottom"/>
          </w:tcPr>
          <w:p>
            <w:pPr>
              <w:jc w:val="center"/>
              <w:ind w:right="308"/>
              <w:spacing w:after="0" w:line="149" w:lineRule="exact"/>
              <w:rPr>
                <w:sz w:val="20"/>
                <w:szCs w:val="20"/>
                <w:color w:val="auto"/>
              </w:rPr>
            </w:pPr>
            <w:r>
              <w:rPr>
                <w:rFonts w:ascii="Arial" w:cs="Arial" w:eastAsia="Arial" w:hAnsi="Arial"/>
                <w:sz w:val="14"/>
                <w:szCs w:val="14"/>
                <w:b w:val="1"/>
                <w:bCs w:val="1"/>
                <w:color w:val="auto"/>
                <w:w w:val="91"/>
              </w:rPr>
              <w:t>Rate Reset</w:t>
            </w:r>
          </w:p>
        </w:tc>
        <w:tc>
          <w:tcPr>
            <w:tcW w:w="1300" w:type="dxa"/>
            <w:vAlign w:val="bottom"/>
            <w:vMerge w:val="continue"/>
          </w:tcPr>
          <w:p>
            <w:pPr>
              <w:spacing w:after="0"/>
              <w:rPr>
                <w:sz w:val="12"/>
                <w:szCs w:val="12"/>
                <w:color w:val="auto"/>
              </w:rPr>
            </w:pPr>
          </w:p>
        </w:tc>
        <w:tc>
          <w:tcPr>
            <w:tcW w:w="13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020" w:type="dxa"/>
            <w:vAlign w:val="bottom"/>
            <w:vMerge w:val="continue"/>
          </w:tcPr>
          <w:p>
            <w:pPr>
              <w:spacing w:after="0"/>
              <w:rPr>
                <w:sz w:val="16"/>
                <w:szCs w:val="16"/>
                <w:color w:val="auto"/>
              </w:rPr>
            </w:pPr>
          </w:p>
        </w:tc>
        <w:tc>
          <w:tcPr>
            <w:tcW w:w="1300" w:type="dxa"/>
            <w:vAlign w:val="bottom"/>
          </w:tcPr>
          <w:p>
            <w:pPr>
              <w:jc w:val="right"/>
              <w:ind w:right="208"/>
              <w:spacing w:after="0"/>
              <w:rPr>
                <w:sz w:val="20"/>
                <w:szCs w:val="20"/>
                <w:color w:val="auto"/>
              </w:rPr>
            </w:pPr>
            <w:r>
              <w:rPr>
                <w:rFonts w:ascii="Arial" w:cs="Arial" w:eastAsia="Arial" w:hAnsi="Arial"/>
                <w:sz w:val="14"/>
                <w:szCs w:val="14"/>
                <w:b w:val="1"/>
                <w:bCs w:val="1"/>
                <w:color w:val="auto"/>
              </w:rPr>
              <w:t>Derivatives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Derivatives</w:t>
            </w:r>
          </w:p>
        </w:tc>
        <w:tc>
          <w:tcPr>
            <w:tcW w:w="1680" w:type="dxa"/>
            <w:vAlign w:val="bottom"/>
          </w:tcPr>
          <w:p>
            <w:pPr>
              <w:jc w:val="center"/>
              <w:ind w:right="288"/>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Derivatives</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43750" cy="1803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p>
      <w:pPr>
        <w:ind w:left="20"/>
        <w:spacing w:after="0" w:line="213" w:lineRule="auto"/>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3"/>
          <w:szCs w:val="23"/>
          <w:color w:val="auto"/>
          <w:vertAlign w:val="superscript"/>
        </w:rPr>
        <w:t>(1)</w:t>
      </w:r>
    </w:p>
    <w:p>
      <w:pPr>
        <w:ind w:left="360" w:hanging="161"/>
        <w:spacing w:after="0" w:line="226" w:lineRule="auto"/>
        <w:rPr>
          <w:sz w:val="20"/>
          <w:szCs w:val="20"/>
          <w:color w:val="auto"/>
        </w:rPr>
      </w:pPr>
      <w:r>
        <w:rPr>
          <w:rFonts w:ascii="Arial" w:cs="Arial" w:eastAsia="Arial" w:hAnsi="Arial"/>
          <w:sz w:val="18"/>
          <w:szCs w:val="18"/>
          <w:color w:val="auto"/>
        </w:rPr>
        <w:t>Total gain/(loss) on derivatives recognized in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Location of Gain/(Loss)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93"/>
              </w:rPr>
              <w:t>(23)</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127</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3"/>
                <w:szCs w:val="23"/>
                <w:color w:val="auto"/>
              </w:rPr>
            </w:pP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3"/>
                <w:szCs w:val="23"/>
                <w:color w:val="auto"/>
              </w:rPr>
            </w:pPr>
          </w:p>
        </w:tc>
        <w:tc>
          <w:tcPr>
            <w:tcW w:w="94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92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23"/>
                <w:szCs w:val="23"/>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31"/>
        </w:trPr>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210"/>
              <w:spacing w:after="0"/>
              <w:rPr>
                <w:sz w:val="20"/>
                <w:szCs w:val="20"/>
                <w:color w:val="auto"/>
              </w:rPr>
            </w:pPr>
            <w:r>
              <w:rPr>
                <w:rFonts w:ascii="Arial" w:cs="Arial" w:eastAsia="Arial" w:hAnsi="Arial"/>
                <w:sz w:val="18"/>
                <w:szCs w:val="18"/>
                <w:color w:val="auto"/>
                <w:w w:val="93"/>
              </w:rPr>
              <w:t>(23)</w:t>
            </w:r>
          </w:p>
        </w:tc>
        <w:tc>
          <w:tcPr>
            <w:tcW w:w="80" w:type="dxa"/>
            <w:vAlign w:val="bottom"/>
          </w:tcPr>
          <w:p>
            <w:pPr>
              <w:spacing w:after="0"/>
              <w:rPr>
                <w:sz w:val="24"/>
                <w:szCs w:val="24"/>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center"/>
              <w:ind w:left="250"/>
              <w:spacing w:after="0"/>
              <w:rPr>
                <w:sz w:val="20"/>
                <w:szCs w:val="20"/>
                <w:color w:val="auto"/>
              </w:rPr>
            </w:pPr>
            <w:r>
              <w:rPr>
                <w:rFonts w:ascii="Arial" w:cs="Arial" w:eastAsia="Arial" w:hAnsi="Arial"/>
                <w:sz w:val="18"/>
                <w:szCs w:val="18"/>
                <w:color w:val="auto"/>
                <w:w w:val="93"/>
              </w:rPr>
              <w:t>(14)</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106</w:t>
            </w:r>
          </w:p>
        </w:tc>
      </w:tr>
      <w:tr>
        <w:trPr>
          <w:trHeight w:val="27"/>
        </w:trPr>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-616585</wp:posOffset>
            </wp:positionV>
            <wp:extent cx="714375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40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-273685</wp:posOffset>
            </wp:positionV>
            <wp:extent cx="7143750" cy="2571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01">
                      <a:extLst>
                        <a:ext uri="{28A0092B-C50C-407E-A947-70E740481C1C}"/>
                      </a:extLst>
                    </a:blip>
                    <a:srcRect/>
                    <a:stretch>
                      <a:fillRect/>
                    </a:stretch>
                  </pic:blipFill>
                  <pic:spPr bwMode="auto">
                    <a:xfrm>
                      <a:off x="0" y="0"/>
                      <a:ext cx="7143750" cy="257175"/>
                    </a:xfrm>
                    <a:prstGeom prst="rect">
                      <a:avLst/>
                    </a:prstGeom>
                    <a:noFill/>
                  </pic:spPr>
                </pic:pic>
              </a:graphicData>
            </a:graphic>
          </wp:anchor>
        </w:drawing>
      </w:r>
    </w:p>
    <w:p>
      <w:pPr>
        <w:spacing w:after="0" w:line="362"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23495</wp:posOffset>
            </wp:positionV>
            <wp:extent cx="46482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02">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0"/>
              </w:rPr>
              <w:t>Commodity</w:t>
            </w:r>
          </w:p>
        </w:tc>
        <w:tc>
          <w:tcPr>
            <w:tcW w:w="16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5"/>
              </w:rPr>
              <w:t>Foreign Currency</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Preferred</w:t>
            </w:r>
          </w:p>
        </w:tc>
        <w:tc>
          <w:tcPr>
            <w:tcW w:w="15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4"/>
              </w:rPr>
              <w:t>Interest Rate</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5"/>
              </w:rPr>
              <w:t>Distribution Rate</w:t>
            </w:r>
          </w:p>
        </w:tc>
        <w:tc>
          <w:tcPr>
            <w:tcW w:w="1540" w:type="dxa"/>
            <w:vAlign w:val="bottom"/>
            <w:vMerge w:val="continue"/>
          </w:tcPr>
          <w:p>
            <w:pPr>
              <w:spacing w:after="0"/>
              <w:rPr>
                <w:sz w:val="12"/>
                <w:szCs w:val="12"/>
                <w:color w:val="auto"/>
              </w:rPr>
            </w:pPr>
          </w:p>
        </w:tc>
        <w:tc>
          <w:tcPr>
            <w:tcW w:w="78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w w:val="93"/>
              </w:rPr>
              <w:t>Derivatives</w:t>
            </w:r>
          </w:p>
        </w:tc>
        <w:tc>
          <w:tcPr>
            <w:tcW w:w="1600" w:type="dxa"/>
            <w:vAlign w:val="bottom"/>
          </w:tcPr>
          <w:p>
            <w:pPr>
              <w:jc w:val="center"/>
              <w:ind w:left="8"/>
              <w:spacing w:after="0"/>
              <w:rPr>
                <w:sz w:val="20"/>
                <w:szCs w:val="20"/>
                <w:color w:val="auto"/>
              </w:rPr>
            </w:pPr>
            <w:r>
              <w:rPr>
                <w:rFonts w:ascii="Arial" w:cs="Arial" w:eastAsia="Arial" w:hAnsi="Arial"/>
                <w:sz w:val="14"/>
                <w:szCs w:val="14"/>
                <w:b w:val="1"/>
                <w:bCs w:val="1"/>
                <w:color w:val="auto"/>
                <w:w w:val="90"/>
              </w:rPr>
              <w:t>Derivatives</w:t>
            </w:r>
          </w:p>
        </w:tc>
        <w:tc>
          <w:tcPr>
            <w:tcW w:w="15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Reset Option</w:t>
            </w:r>
          </w:p>
        </w:tc>
        <w:tc>
          <w:tcPr>
            <w:tcW w:w="15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Derivatives</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700" w:space="340"/>
            <w:col w:w="7360"/>
          </w:cols>
          <w:pgMar w:left="240" w:top="125" w:right="259" w:bottom="1440" w:gutter="0" w:footer="0" w:header="0"/>
          <w:type w:val="continuous"/>
        </w:sectPr>
      </w:pPr>
    </w:p>
    <w:tbl>
      <w:tblPr>
        <w:tblLayout w:type="fixed"/>
        <w:tblInd w:w="40" w:type="dxa"/>
        <w:tblCellMar>
          <w:top w:w="0" w:type="dxa"/>
          <w:left w:w="0" w:type="dxa"/>
          <w:bottom w:w="0" w:type="dxa"/>
          <w:right w:w="0" w:type="dxa"/>
        </w:tblCellMar>
      </w:tblPr>
      <w:tr>
        <w:trPr>
          <w:trHeight w:val="276"/>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Supply and Logistics segment revenues </w:t>
            </w:r>
            <w:r>
              <w:rPr>
                <w:rFonts w:ascii="Arial" w:cs="Arial" w:eastAsia="Arial" w:hAnsi="Arial"/>
                <w:sz w:val="23"/>
                <w:szCs w:val="23"/>
                <w:color w:val="auto"/>
                <w:vertAlign w:val="superscript"/>
              </w:rPr>
              <w:t>(1)</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23"/>
                <w:szCs w:val="23"/>
                <w:color w:val="auto"/>
                <w:vertAlign w:val="superscript"/>
              </w:rPr>
              <w:t>(1)</w:t>
            </w:r>
          </w:p>
        </w:tc>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96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(2)</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23"/>
                <w:szCs w:val="23"/>
                <w:color w:val="auto"/>
                <w:vertAlign w:val="superscript"/>
              </w:rPr>
              <w:t>(2)</w:t>
            </w:r>
          </w:p>
        </w:tc>
        <w:tc>
          <w:tcPr>
            <w:tcW w:w="480" w:type="dxa"/>
            <w:vAlign w:val="bottom"/>
          </w:tcPr>
          <w:p>
            <w:pPr>
              <w:spacing w:after="0"/>
              <w:rPr>
                <w:sz w:val="23"/>
                <w:szCs w:val="23"/>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840" w:type="dxa"/>
            <w:vAlign w:val="bottom"/>
          </w:tcPr>
          <w:p>
            <w:pPr>
              <w:jc w:val="center"/>
              <w:ind w:left="250"/>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income/(expense), net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6"/>
        </w:trPr>
        <w:tc>
          <w:tcPr>
            <w:tcW w:w="4040" w:type="dxa"/>
            <w:vAlign w:val="bottom"/>
            <w:gridSpan w:val="2"/>
          </w:tcPr>
          <w:p>
            <w:pPr>
              <w:ind w:left="180"/>
              <w:spacing w:after="0" w:line="156" w:lineRule="exact"/>
              <w:rPr>
                <w:sz w:val="20"/>
                <w:szCs w:val="20"/>
                <w:color w:val="auto"/>
              </w:rPr>
            </w:pPr>
            <w:r>
              <w:rPr>
                <w:rFonts w:ascii="Arial" w:cs="Arial" w:eastAsia="Arial" w:hAnsi="Arial"/>
                <w:sz w:val="18"/>
                <w:szCs w:val="18"/>
                <w:color w:val="auto"/>
                <w:w w:val="99"/>
              </w:rPr>
              <w:t>Total gain/(loss) on derivatives recognized in net</w:t>
            </w: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3"/>
                <w:szCs w:val="13"/>
                <w:color w:val="auto"/>
              </w:rPr>
            </w:pPr>
          </w:p>
        </w:tc>
        <w:tc>
          <w:tcPr>
            <w:tcW w:w="560" w:type="dxa"/>
            <w:vAlign w:val="bottom"/>
            <w:tcBorders>
              <w:top w:val="single" w:sz="8" w:color="auto"/>
            </w:tcBorders>
            <w:vMerge w:val="restart"/>
          </w:tcPr>
          <w:p>
            <w:pPr>
              <w:jc w:val="right"/>
              <w:ind w:right="3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580" w:type="dxa"/>
            <w:vAlign w:val="bottom"/>
            <w:tcBorders>
              <w:top w:val="single" w:sz="8" w:color="auto"/>
            </w:tcBorders>
            <w:vMerge w:val="restart"/>
          </w:tcPr>
          <w:p>
            <w:pPr>
              <w:jc w:val="right"/>
              <w:ind w:right="3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vMerge w:val="restart"/>
          </w:tcPr>
          <w:p>
            <w:pPr>
              <w:ind w:left="4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center"/>
              <w:ind w:left="250"/>
              <w:spacing w:after="0"/>
              <w:rPr>
                <w:sz w:val="20"/>
                <w:szCs w:val="20"/>
                <w:color w:val="auto"/>
              </w:rPr>
            </w:pPr>
            <w:r>
              <w:rPr>
                <w:rFonts w:ascii="Arial" w:cs="Arial" w:eastAsia="Arial" w:hAnsi="Arial"/>
                <w:sz w:val="18"/>
                <w:szCs w:val="18"/>
                <w:color w:val="auto"/>
                <w:w w:val="93"/>
              </w:rPr>
              <w:t>(18)</w:t>
            </w:r>
          </w:p>
        </w:tc>
        <w:tc>
          <w:tcPr>
            <w:tcW w:w="120" w:type="dxa"/>
            <w:vAlign w:val="bottom"/>
          </w:tcPr>
          <w:p>
            <w:pPr>
              <w:spacing w:after="0"/>
              <w:rPr>
                <w:sz w:val="13"/>
                <w:szCs w:val="13"/>
                <w:color w:val="auto"/>
              </w:rPr>
            </w:pPr>
          </w:p>
        </w:tc>
        <w:tc>
          <w:tcPr>
            <w:tcW w:w="48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8"/>
        </w:trPr>
        <w:tc>
          <w:tcPr>
            <w:tcW w:w="40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income</w:t>
            </w:r>
          </w:p>
        </w:tc>
        <w:tc>
          <w:tcPr>
            <w:tcW w:w="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0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Derivatives not designated as a hedge.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Derivatives in hedging relationships.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6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2019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3"/>
              </w:rPr>
              <w:t>Preferred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Commodity</w:t>
            </w:r>
          </w:p>
        </w:tc>
        <w:tc>
          <w:tcPr>
            <w:tcW w:w="142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Foreign Currency</w:t>
            </w:r>
          </w:p>
        </w:tc>
        <w:tc>
          <w:tcPr>
            <w:tcW w:w="100" w:type="dxa"/>
            <w:vAlign w:val="bottom"/>
          </w:tcPr>
          <w:p>
            <w:pPr>
              <w:spacing w:after="0"/>
              <w:rPr>
                <w:sz w:val="13"/>
                <w:szCs w:val="13"/>
                <w:color w:val="auto"/>
              </w:rPr>
            </w:pPr>
          </w:p>
        </w:tc>
        <w:tc>
          <w:tcPr>
            <w:tcW w:w="13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3"/>
              </w:rPr>
              <w:t>Distribution Rate</w:t>
            </w:r>
          </w:p>
        </w:tc>
        <w:tc>
          <w:tcPr>
            <w:tcW w:w="320" w:type="dxa"/>
            <w:vAlign w:val="bottom"/>
          </w:tcPr>
          <w:p>
            <w:pPr>
              <w:spacing w:after="0"/>
              <w:rPr>
                <w:sz w:val="13"/>
                <w:szCs w:val="13"/>
                <w:color w:val="auto"/>
              </w:rPr>
            </w:pPr>
          </w:p>
        </w:tc>
        <w:tc>
          <w:tcPr>
            <w:tcW w:w="100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Interest Rate</w:t>
            </w:r>
          </w:p>
        </w:tc>
        <w:tc>
          <w:tcPr>
            <w:tcW w:w="100" w:type="dxa"/>
            <w:vAlign w:val="bottom"/>
          </w:tcPr>
          <w:p>
            <w:pPr>
              <w:spacing w:after="0"/>
              <w:rPr>
                <w:sz w:val="13"/>
                <w:szCs w:val="13"/>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Derivatives</w:t>
            </w:r>
          </w:p>
        </w:tc>
        <w:tc>
          <w:tcPr>
            <w:tcW w:w="0" w:type="dxa"/>
            <w:vAlign w:val="bottom"/>
          </w:tcPr>
          <w:p>
            <w:pPr>
              <w:spacing w:after="0"/>
              <w:rPr>
                <w:sz w:val="1"/>
                <w:szCs w:val="1"/>
                <w:color w:val="auto"/>
              </w:rPr>
            </w:pPr>
          </w:p>
        </w:tc>
      </w:tr>
      <w:tr>
        <w:trPr>
          <w:trHeight w:val="188"/>
        </w:trPr>
        <w:tc>
          <w:tcPr>
            <w:tcW w:w="28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Reset Option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gridSpan w:val="2"/>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8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9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8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gridSpan w:val="2"/>
          </w:tcPr>
          <w:p>
            <w:pPr>
              <w:jc w:val="center"/>
              <w:ind w:left="53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center"/>
              <w:ind w:left="553"/>
              <w:spacing w:after="0"/>
              <w:rPr>
                <w:sz w:val="20"/>
                <w:szCs w:val="20"/>
                <w:color w:val="auto"/>
              </w:rPr>
            </w:pPr>
            <w:r>
              <w:rPr>
                <w:rFonts w:ascii="Arial" w:cs="Arial" w:eastAsia="Arial" w:hAnsi="Arial"/>
                <w:sz w:val="18"/>
                <w:szCs w:val="18"/>
                <w:color w:val="auto"/>
                <w:w w:val="93"/>
              </w:rPr>
              <w:t>(44)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center"/>
              <w:ind w:left="594"/>
              <w:spacing w:after="0"/>
              <w:rPr>
                <w:sz w:val="20"/>
                <w:szCs w:val="20"/>
                <w:color w:val="auto"/>
              </w:rPr>
            </w:pPr>
            <w:r>
              <w:rPr>
                <w:rFonts w:ascii="Arial" w:cs="Arial" w:eastAsia="Arial" w:hAnsi="Arial"/>
                <w:sz w:val="18"/>
                <w:szCs w:val="18"/>
                <w:color w:val="auto"/>
                <w:w w:val="93"/>
              </w:rPr>
              <w:t>(34)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center"/>
              <w:ind w:left="433"/>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64"/>
        </w:trPr>
        <w:tc>
          <w:tcPr>
            <w:tcW w:w="29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center"/>
              <w:ind w:left="594"/>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center"/>
              <w:ind w:left="553"/>
              <w:spacing w:after="0"/>
              <w:rPr>
                <w:sz w:val="20"/>
                <w:szCs w:val="20"/>
                <w:color w:val="auto"/>
              </w:rPr>
            </w:pPr>
            <w:r>
              <w:rPr>
                <w:rFonts w:ascii="Arial" w:cs="Arial" w:eastAsia="Arial" w:hAnsi="Arial"/>
                <w:sz w:val="18"/>
                <w:szCs w:val="18"/>
                <w:color w:val="auto"/>
                <w:w w:val="93"/>
              </w:rPr>
              <w:t>(44)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0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0"/>
        </w:numPr>
        <w:rPr>
          <w:rFonts w:ascii="Arial" w:cs="Arial" w:eastAsia="Arial" w:hAnsi="Arial"/>
          <w:sz w:val="23"/>
          <w:szCs w:val="23"/>
          <w:color w:val="auto"/>
          <w:vertAlign w:val="superscript"/>
        </w:rPr>
      </w:pPr>
      <w:r>
        <w:rPr>
          <w:rFonts w:ascii="Arial" w:cs="Arial" w:eastAsia="Arial" w:hAnsi="Arial"/>
          <w:sz w:val="18"/>
          <w:szCs w:val="18"/>
          <w:color w:val="auto"/>
        </w:rPr>
        <w:t>Derivatives in hedging relationships.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69" w:name="page170"/>
    <w:bookmarkEnd w:id="1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Consolidated Balance Sheet on a gross basis as of December 31, 2018 (in millions):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9"/>
          </w:tcPr>
          <w:p>
            <w:pPr>
              <w:jc w:val="right"/>
              <w:ind w:right="7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Preferred</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Commodity</w:t>
            </w:r>
          </w:p>
        </w:tc>
        <w:tc>
          <w:tcPr>
            <w:tcW w:w="138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Foreign Currency</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5"/>
              </w:rPr>
              <w:t>Distribution Rate</w:t>
            </w:r>
          </w:p>
        </w:tc>
        <w:tc>
          <w:tcPr>
            <w:tcW w:w="320" w:type="dxa"/>
            <w:vAlign w:val="bottom"/>
          </w:tcPr>
          <w:p>
            <w:pPr>
              <w:spacing w:after="0"/>
              <w:rPr>
                <w:sz w:val="13"/>
                <w:szCs w:val="13"/>
                <w:color w:val="auto"/>
              </w:rPr>
            </w:pPr>
          </w:p>
        </w:tc>
        <w:tc>
          <w:tcPr>
            <w:tcW w:w="10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Interest Rate</w:t>
            </w:r>
          </w:p>
        </w:tc>
        <w:tc>
          <w:tcPr>
            <w:tcW w:w="120" w:type="dxa"/>
            <w:vAlign w:val="bottom"/>
          </w:tcPr>
          <w:p>
            <w:pPr>
              <w:spacing w:after="0"/>
              <w:rPr>
                <w:sz w:val="13"/>
                <w:szCs w:val="13"/>
                <w:color w:val="auto"/>
              </w:rPr>
            </w:pPr>
          </w:p>
        </w:tc>
        <w:tc>
          <w:tcPr>
            <w:tcW w:w="12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2"/>
              </w:rPr>
              <w:t>Total Derivatives</w:t>
            </w:r>
          </w:p>
        </w:tc>
        <w:tc>
          <w:tcPr>
            <w:tcW w:w="0" w:type="dxa"/>
            <w:vAlign w:val="bottom"/>
          </w:tcPr>
          <w:p>
            <w:pPr>
              <w:spacing w:after="0"/>
              <w:rPr>
                <w:sz w:val="1"/>
                <w:szCs w:val="1"/>
                <w:color w:val="auto"/>
              </w:rPr>
            </w:pPr>
          </w:p>
        </w:tc>
      </w:tr>
      <w:tr>
        <w:trPr>
          <w:trHeight w:val="188"/>
        </w:trPr>
        <w:tc>
          <w:tcPr>
            <w:tcW w:w="28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Derivatives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Derivatives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1"/>
              </w:rPr>
              <w:t>Reset Option</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 xml:space="preserve">Derivatives </w:t>
            </w:r>
            <w:r>
              <w:rPr>
                <w:rFonts w:ascii="Arial" w:cs="Arial" w:eastAsia="Arial" w:hAnsi="Arial"/>
                <w:sz w:val="9"/>
                <w:szCs w:val="9"/>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000" w:type="dxa"/>
            <w:vAlign w:val="bottom"/>
            <w:gridSpan w:val="2"/>
          </w:tcPr>
          <w:p>
            <w:pPr>
              <w:ind w:left="60"/>
              <w:spacing w:after="0"/>
              <w:rPr>
                <w:sz w:val="20"/>
                <w:szCs w:val="20"/>
                <w:color w:val="auto"/>
              </w:rPr>
            </w:pPr>
            <w:r>
              <w:rPr>
                <w:rFonts w:ascii="Arial" w:cs="Arial" w:eastAsia="Arial" w:hAnsi="Arial"/>
                <w:sz w:val="18"/>
                <w:szCs w:val="18"/>
                <w:color w:val="auto"/>
              </w:rPr>
              <w:t>Other long-term liabilities and</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tcPr>
          <w:p>
            <w:pPr>
              <w:ind w:left="60"/>
              <w:spacing w:after="0"/>
              <w:rPr>
                <w:sz w:val="20"/>
                <w:szCs w:val="20"/>
                <w:color w:val="auto"/>
              </w:rPr>
            </w:pPr>
            <w:r>
              <w:rPr>
                <w:rFonts w:ascii="Arial" w:cs="Arial" w:eastAsia="Arial" w:hAnsi="Arial"/>
                <w:sz w:val="18"/>
                <w:szCs w:val="18"/>
                <w:color w:val="auto"/>
              </w:rPr>
              <w:t>deferred credits</w:t>
            </w:r>
          </w:p>
        </w:tc>
        <w:tc>
          <w:tcPr>
            <w:tcW w:w="18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0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Total Derivative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Other long-term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000" w:type="dxa"/>
            <w:vAlign w:val="bottom"/>
            <w:gridSpan w:val="2"/>
          </w:tcPr>
          <w:p>
            <w:pPr>
              <w:ind w:left="6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ind w:left="7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left="51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Other long-term liabilities and</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0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deferred credits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center"/>
              <w:ind w:left="574"/>
              <w:spacing w:after="0"/>
              <w:rPr>
                <w:sz w:val="20"/>
                <w:szCs w:val="20"/>
                <w:color w:val="auto"/>
              </w:rPr>
            </w:pPr>
            <w:r>
              <w:rPr>
                <w:rFonts w:ascii="Arial" w:cs="Arial" w:eastAsia="Arial" w:hAnsi="Arial"/>
                <w:sz w:val="18"/>
                <w:szCs w:val="18"/>
                <w:color w:val="auto"/>
                <w:w w:val="93"/>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64"/>
        </w:trPr>
        <w:tc>
          <w:tcPr>
            <w:tcW w:w="30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Derivative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574"/>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1"/>
        </w:numPr>
        <w:rPr>
          <w:rFonts w:ascii="Arial" w:cs="Arial" w:eastAsia="Arial" w:hAnsi="Arial"/>
          <w:sz w:val="23"/>
          <w:szCs w:val="23"/>
          <w:color w:val="auto"/>
          <w:vertAlign w:val="superscript"/>
        </w:rPr>
      </w:pPr>
      <w:r>
        <w:rPr>
          <w:rFonts w:ascii="Arial" w:cs="Arial" w:eastAsia="Arial" w:hAnsi="Arial"/>
          <w:sz w:val="18"/>
          <w:szCs w:val="18"/>
          <w:color w:val="auto"/>
        </w:rPr>
        <w:t>Derivatives in hedging relationships.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19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Our accounting policy is to offset derivative assets and liabilities executed with the same counterparty when a master netting arrangement</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6"/>
                <w:szCs w:val="16"/>
                <w:color w:val="auto"/>
              </w:rPr>
            </w:pPr>
          </w:p>
        </w:tc>
        <w:tc>
          <w:tcPr>
            <w:tcW w:w="1400" w:type="dxa"/>
            <w:vAlign w:val="bottom"/>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50"/>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margin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center"/>
              <w:ind w:left="854"/>
              <w:spacing w:after="0"/>
              <w:rPr>
                <w:sz w:val="20"/>
                <w:szCs w:val="20"/>
                <w:color w:val="auto"/>
              </w:rPr>
            </w:pPr>
            <w:r>
              <w:rPr>
                <w:rFonts w:ascii="Arial" w:cs="Arial" w:eastAsia="Arial" w:hAnsi="Arial"/>
                <w:sz w:val="18"/>
                <w:szCs w:val="18"/>
                <w:color w:val="auto"/>
                <w:w w:val="89"/>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center"/>
              <w:ind w:left="854"/>
              <w:spacing w:after="0"/>
              <w:rPr>
                <w:sz w:val="20"/>
                <w:szCs w:val="20"/>
                <w:color w:val="auto"/>
              </w:rPr>
            </w:pPr>
            <w:r>
              <w:rPr>
                <w:rFonts w:ascii="Arial" w:cs="Arial" w:eastAsia="Arial" w:hAnsi="Arial"/>
                <w:sz w:val="18"/>
                <w:szCs w:val="18"/>
                <w:color w:val="auto"/>
                <w:w w:val="89"/>
              </w:rPr>
              <w:t>95</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Variation margin posted/(returned)</w:t>
            </w:r>
          </w:p>
        </w:tc>
        <w:tc>
          <w:tcPr>
            <w:tcW w:w="140" w:type="dxa"/>
            <w:vAlign w:val="bottom"/>
          </w:tcPr>
          <w:p>
            <w:pPr>
              <w:spacing w:after="0"/>
              <w:rPr>
                <w:sz w:val="21"/>
                <w:szCs w:val="21"/>
                <w:color w:val="auto"/>
              </w:rPr>
            </w:pPr>
          </w:p>
        </w:tc>
        <w:tc>
          <w:tcPr>
            <w:tcW w:w="1400" w:type="dxa"/>
            <w:vAlign w:val="bottom"/>
          </w:tcPr>
          <w:p>
            <w:pPr>
              <w:jc w:val="center"/>
              <w:ind w:left="814"/>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center"/>
              <w:ind w:left="814"/>
              <w:spacing w:after="0"/>
              <w:rPr>
                <w:sz w:val="20"/>
                <w:szCs w:val="20"/>
                <w:color w:val="auto"/>
              </w:rPr>
            </w:pPr>
            <w:r>
              <w:rPr>
                <w:rFonts w:ascii="Arial" w:cs="Arial" w:eastAsia="Arial" w:hAnsi="Arial"/>
                <w:sz w:val="18"/>
                <w:szCs w:val="18"/>
                <w:color w:val="auto"/>
                <w:w w:val="93"/>
              </w:rPr>
              <w:t>(91)</w:t>
            </w:r>
          </w:p>
        </w:tc>
      </w:tr>
      <w:tr>
        <w:trPr>
          <w:trHeight w:val="27"/>
        </w:trPr>
        <w:tc>
          <w:tcPr>
            <w:tcW w:w="8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left="814"/>
              <w:spacing w:after="0"/>
              <w:rPr>
                <w:sz w:val="20"/>
                <w:szCs w:val="20"/>
                <w:color w:val="auto"/>
              </w:rPr>
            </w:pPr>
            <w:r>
              <w:rPr>
                <w:rFonts w:ascii="Arial" w:cs="Arial" w:eastAsia="Arial" w:hAnsi="Arial"/>
                <w:sz w:val="18"/>
                <w:szCs w:val="18"/>
                <w:color w:val="auto"/>
                <w:w w:val="93"/>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center"/>
              <w:ind w:left="814"/>
              <w:spacing w:after="0"/>
              <w:rPr>
                <w:sz w:val="20"/>
                <w:szCs w:val="20"/>
                <w:color w:val="auto"/>
              </w:rPr>
            </w:pPr>
            <w:r>
              <w:rPr>
                <w:rFonts w:ascii="Arial" w:cs="Arial" w:eastAsia="Arial" w:hAnsi="Arial"/>
                <w:sz w:val="18"/>
                <w:szCs w:val="18"/>
                <w:color w:val="auto"/>
                <w:w w:val="93"/>
              </w:rPr>
              <w:t>(84)</w:t>
            </w:r>
          </w:p>
        </w:tc>
      </w:tr>
      <w:tr>
        <w:trPr>
          <w:trHeight w:val="264"/>
        </w:trPr>
        <w:tc>
          <w:tcPr>
            <w:tcW w:w="8160" w:type="dxa"/>
            <w:vAlign w:val="bottom"/>
          </w:tcPr>
          <w:p>
            <w:pPr>
              <w:ind w:left="20"/>
              <w:spacing w:after="0"/>
              <w:rPr>
                <w:sz w:val="20"/>
                <w:szCs w:val="20"/>
                <w:color w:val="auto"/>
              </w:rPr>
            </w:pPr>
            <w:r>
              <w:rPr>
                <w:rFonts w:ascii="Arial" w:cs="Arial" w:eastAsia="Arial" w:hAnsi="Arial"/>
                <w:sz w:val="18"/>
                <w:szCs w:val="18"/>
                <w:color w:val="auto"/>
              </w:rPr>
              <w:t>Net broker payable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center"/>
              <w:ind w:left="814"/>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center"/>
              <w:ind w:left="814"/>
              <w:spacing w:after="0"/>
              <w:rPr>
                <w:sz w:val="20"/>
                <w:szCs w:val="20"/>
                <w:color w:val="auto"/>
              </w:rPr>
            </w:pPr>
            <w:r>
              <w:rPr>
                <w:rFonts w:ascii="Arial" w:cs="Arial" w:eastAsia="Arial" w:hAnsi="Arial"/>
                <w:sz w:val="18"/>
                <w:szCs w:val="18"/>
                <w:color w:val="auto"/>
                <w:w w:val="93"/>
              </w:rPr>
              <w:t>(80)</w:t>
            </w:r>
          </w:p>
        </w:tc>
      </w:tr>
      <w:tr>
        <w:trPr>
          <w:trHeight w:val="21"/>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information about derivative financial assets and liabilities that are subject to offsetting, including enforceable master netting arrangements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gridSpan w:val="2"/>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80" w:type="dxa"/>
            <w:vAlign w:val="bottom"/>
          </w:tcPr>
          <w:p>
            <w:pPr>
              <w:spacing w:after="0"/>
              <w:rPr>
                <w:sz w:val="13"/>
                <w:szCs w:val="13"/>
                <w:color w:val="auto"/>
              </w:rPr>
            </w:pPr>
          </w:p>
        </w:tc>
        <w:tc>
          <w:tcPr>
            <w:tcW w:w="16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Derivative</w:t>
            </w:r>
          </w:p>
        </w:tc>
        <w:tc>
          <w:tcPr>
            <w:tcW w:w="220" w:type="dxa"/>
            <w:vAlign w:val="bottom"/>
          </w:tcPr>
          <w:p>
            <w:pPr>
              <w:spacing w:after="0"/>
              <w:rPr>
                <w:sz w:val="13"/>
                <w:szCs w:val="13"/>
                <w:color w:val="auto"/>
              </w:rPr>
            </w:pPr>
          </w:p>
        </w:tc>
        <w:tc>
          <w:tcPr>
            <w:tcW w:w="14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400" w:type="dxa"/>
            <w:vAlign w:val="bottom"/>
          </w:tcPr>
          <w:p>
            <w:pPr>
              <w:jc w:val="right"/>
              <w:ind w:right="373"/>
              <w:spacing w:after="0" w:line="153" w:lineRule="exact"/>
              <w:rPr>
                <w:sz w:val="20"/>
                <w:szCs w:val="20"/>
                <w:color w:val="auto"/>
              </w:rPr>
            </w:pPr>
            <w:r>
              <w:rPr>
                <w:rFonts w:ascii="Arial" w:cs="Arial" w:eastAsia="Arial" w:hAnsi="Arial"/>
                <w:sz w:val="14"/>
                <w:szCs w:val="14"/>
                <w:b w:val="1"/>
                <w:bCs w:val="1"/>
                <w:color w:val="auto"/>
              </w:rPr>
              <w:t>Derivative</w:t>
            </w: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Asset Positions</w:t>
            </w:r>
          </w:p>
        </w:tc>
        <w:tc>
          <w:tcPr>
            <w:tcW w:w="180" w:type="dxa"/>
            <w:vAlign w:val="bottom"/>
          </w:tcPr>
          <w:p>
            <w:pPr>
              <w:spacing w:after="0"/>
              <w:rPr>
                <w:sz w:val="16"/>
                <w:szCs w:val="16"/>
                <w:color w:val="auto"/>
              </w:rPr>
            </w:pPr>
          </w:p>
        </w:tc>
        <w:tc>
          <w:tcPr>
            <w:tcW w:w="16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Liability Positions</w:t>
            </w:r>
          </w:p>
        </w:tc>
        <w:tc>
          <w:tcPr>
            <w:tcW w:w="22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Asset Positions</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Liability Positions</w:t>
            </w:r>
          </w:p>
        </w:tc>
      </w:tr>
      <w:tr>
        <w:trPr>
          <w:trHeight w:val="23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Netting Adjustments: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Gross position - asset/(liability)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(186)</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Netting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192</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Cash collateral paid/(received)</w:t>
            </w:r>
          </w:p>
        </w:tc>
        <w:tc>
          <w:tcPr>
            <w:tcW w:w="2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position - asset/(liability)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Location After Netting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(69)</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 and deferred credits</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r>
      <w:tr>
        <w:trPr>
          <w:trHeight w:val="237"/>
        </w:trPr>
        <w:tc>
          <w:tcPr>
            <w:tcW w:w="47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(70)</w:t>
            </w:r>
          </w:p>
        </w:tc>
      </w:tr>
      <w:tr>
        <w:trPr>
          <w:trHeight w:val="67"/>
        </w:trPr>
        <w:tc>
          <w:tcPr>
            <w:tcW w:w="47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bl>
    <w:p>
      <w:pPr>
        <w:spacing w:after="0" w:line="337" w:lineRule="exact"/>
        <w:rPr>
          <w:sz w:val="20"/>
          <w:szCs w:val="20"/>
          <w:color w:val="auto"/>
        </w:rPr>
      </w:pPr>
    </w:p>
    <w:p>
      <w:pPr>
        <w:ind w:firstLine="689"/>
        <w:spacing w:after="0" w:line="273" w:lineRule="auto"/>
        <w:rPr>
          <w:sz w:val="20"/>
          <w:szCs w:val="20"/>
          <w:color w:val="auto"/>
        </w:rPr>
      </w:pPr>
      <w:r>
        <w:rPr>
          <w:rFonts w:ascii="Arial" w:cs="Arial" w:eastAsia="Arial" w:hAnsi="Arial"/>
          <w:sz w:val="17"/>
          <w:szCs w:val="17"/>
          <w:color w:val="auto"/>
        </w:rPr>
        <w:t>As of December 31, 2019, there was a net loss of $259 million 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December 31, 2019, we expect to reclassify a net loss of $10 million to earnings in the next twelve months. We estimate that substantially all of the remaining deferred loss will be reclassified to earnings through 2050 as the underlying hedged transactions impact earnings. A portion of these amounts is based on market prices as of December 31, 2019; thus, actual amounts to be reclassified will differ and could vary materially as a result of changes in market conditions.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net unrealized gain/(loss) recognized in AOCI for derivatives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 net</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ind w:right="60" w:firstLine="608"/>
        <w:spacing w:after="0" w:line="264" w:lineRule="auto"/>
        <w:rPr>
          <w:sz w:val="20"/>
          <w:szCs w:val="20"/>
          <w:color w:val="auto"/>
        </w:rPr>
      </w:pPr>
      <w:r>
        <w:rPr>
          <w:rFonts w:ascii="Arial" w:cs="Arial" w:eastAsia="Arial" w:hAnsi="Arial"/>
          <w:sz w:val="18"/>
          <w:szCs w:val="18"/>
          <w:color w:val="auto"/>
        </w:rPr>
        <w:t>At December 31, 2019 and 2018, none of our outstanding derivatives contained credit-risk related contingent features that would result in a material adverse impact to us upon any change in PAA’s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1" w:name="page172"/>
    <w:bookmarkEnd w:id="1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(in millions):</w:t>
      </w:r>
    </w:p>
    <w:tbl>
      <w:tblPr>
        <w:tblLayout w:type="fixed"/>
        <w:tblInd w:w="0" w:type="dxa"/>
        <w:tblCellMar>
          <w:top w:w="0" w:type="dxa"/>
          <w:left w:w="0" w:type="dxa"/>
          <w:bottom w:w="0" w:type="dxa"/>
          <w:right w:w="0" w:type="dxa"/>
        </w:tblCellMar>
      </w:tblPr>
      <w:tr>
        <w:trPr>
          <w:trHeight w:val="192"/>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3"/>
              </w:rPr>
              <w:t>Fair Value as of December 31, 2019</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Fair Value as of December 31, 2018</w:t>
            </w:r>
          </w:p>
        </w:tc>
        <w:tc>
          <w:tcPr>
            <w:tcW w:w="680" w:type="dxa"/>
            <w:vAlign w:val="bottom"/>
            <w:tcBorders>
              <w:bottom w:val="single" w:sz="8" w:color="auto"/>
            </w:tcBorders>
          </w:tcPr>
          <w:p>
            <w:pPr>
              <w:spacing w:after="0"/>
              <w:rPr>
                <w:sz w:val="16"/>
                <w:szCs w:val="16"/>
                <w:color w:val="auto"/>
              </w:rPr>
            </w:pPr>
          </w:p>
        </w:tc>
      </w:tr>
      <w:tr>
        <w:trPr>
          <w:trHeight w:val="19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Total</w:t>
            </w: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center"/>
              <w:ind w:left="113"/>
              <w:spacing w:after="0"/>
              <w:rPr>
                <w:sz w:val="20"/>
                <w:szCs w:val="20"/>
                <w:color w:val="auto"/>
              </w:rPr>
            </w:pPr>
            <w:r>
              <w:rPr>
                <w:rFonts w:ascii="Arial" w:cs="Arial" w:eastAsia="Arial" w:hAnsi="Arial"/>
                <w:sz w:val="18"/>
                <w:szCs w:val="18"/>
                <w:color w:val="auto"/>
                <w:w w:val="93"/>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270</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center"/>
              <w:ind w:left="33"/>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left="1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left="33"/>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Preferred Distribution Rate Reset Option</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00" w:type="dxa"/>
            <w:vAlign w:val="bottom"/>
          </w:tcPr>
          <w:p>
            <w:pPr>
              <w:jc w:val="center"/>
              <w:ind w:left="113"/>
              <w:spacing w:after="0"/>
              <w:rPr>
                <w:sz w:val="20"/>
                <w:szCs w:val="20"/>
                <w:color w:val="auto"/>
              </w:rPr>
            </w:pPr>
            <w:r>
              <w:rPr>
                <w:rFonts w:ascii="Arial" w:cs="Arial" w:eastAsia="Arial" w:hAnsi="Arial"/>
                <w:sz w:val="18"/>
                <w:szCs w:val="18"/>
                <w:color w:val="auto"/>
                <w:w w:val="93"/>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20" w:type="dxa"/>
            <w:vAlign w:val="bottom"/>
          </w:tcPr>
          <w:p>
            <w:pPr>
              <w:jc w:val="center"/>
              <w:ind w:left="93"/>
              <w:spacing w:after="0"/>
              <w:rPr>
                <w:sz w:val="20"/>
                <w:szCs w:val="20"/>
                <w:color w:val="auto"/>
              </w:rPr>
            </w:pPr>
            <w:r>
              <w:rPr>
                <w:rFonts w:ascii="Arial" w:cs="Arial" w:eastAsia="Arial" w:hAnsi="Arial"/>
                <w:sz w:val="18"/>
                <w:szCs w:val="18"/>
                <w:color w:val="auto"/>
                <w:w w:val="93"/>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(36)</w:t>
            </w:r>
          </w:p>
        </w:tc>
      </w:tr>
      <w:tr>
        <w:trPr>
          <w:trHeight w:val="27"/>
        </w:trPr>
        <w:tc>
          <w:tcPr>
            <w:tcW w:w="3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4"/>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net derivative asset/(liability)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3"/>
              </w:rPr>
              <w:t>(51)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53</w:t>
            </w: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93"/>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218</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Derivative assets and liabilities are presented above on a net basis but do not include related cash margin deposits.</w:t>
      </w:r>
    </w:p>
    <w:p>
      <w:pPr>
        <w:spacing w:after="0" w:line="22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1</w:t>
      </w:r>
    </w:p>
    <w:p>
      <w:pPr>
        <w:spacing w:after="0" w:line="252" w:lineRule="exact"/>
        <w:rPr>
          <w:rFonts w:ascii="Arial" w:cs="Arial" w:eastAsia="Arial" w:hAnsi="Arial"/>
          <w:sz w:val="23"/>
          <w:szCs w:val="23"/>
          <w:color w:val="auto"/>
          <w:vertAlign w:val="superscript"/>
        </w:rPr>
      </w:pPr>
    </w:p>
    <w:p>
      <w:pPr>
        <w:ind w:left="660" w:right="60"/>
        <w:spacing w:after="0" w:line="264" w:lineRule="auto"/>
        <w:rPr>
          <w:rFonts w:ascii="Arial" w:cs="Arial" w:eastAsia="Arial" w:hAnsi="Arial"/>
          <w:sz w:val="23"/>
          <w:szCs w:val="23"/>
          <w:color w:val="auto"/>
          <w:vertAlign w:val="superscript"/>
        </w:rPr>
      </w:pPr>
      <w:r>
        <w:rPr>
          <w:rFonts w:ascii="Arial" w:cs="Arial" w:eastAsia="Arial" w:hAnsi="Arial"/>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pacing w:after="0" w:line="208"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2</w:t>
      </w:r>
    </w:p>
    <w:p>
      <w:pPr>
        <w:spacing w:after="0" w:line="252" w:lineRule="exact"/>
        <w:rPr>
          <w:rFonts w:ascii="Arial" w:cs="Arial" w:eastAsia="Arial" w:hAnsi="Arial"/>
          <w:sz w:val="23"/>
          <w:szCs w:val="23"/>
          <w:color w:val="auto"/>
          <w:vertAlign w:val="superscript"/>
        </w:rPr>
      </w:pPr>
    </w:p>
    <w:p>
      <w:pPr>
        <w:ind w:left="660" w:right="220"/>
        <w:spacing w:after="0" w:line="312" w:lineRule="auto"/>
        <w:rPr>
          <w:rFonts w:ascii="Arial" w:cs="Arial" w:eastAsia="Arial" w:hAnsi="Arial"/>
          <w:sz w:val="23"/>
          <w:szCs w:val="23"/>
          <w:color w:val="auto"/>
          <w:vertAlign w:val="superscript"/>
        </w:rPr>
      </w:pPr>
      <w:r>
        <w:rPr>
          <w:rFonts w:ascii="Arial" w:cs="Arial" w:eastAsia="Arial" w:hAnsi="Arial"/>
          <w:sz w:val="16"/>
          <w:szCs w:val="16"/>
          <w:color w:val="auto"/>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73"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8"/>
          <w:szCs w:val="18"/>
          <w:b w:val="1"/>
          <w:bCs w:val="1"/>
          <w:i w:val="1"/>
          <w:iCs w:val="1"/>
          <w:color w:val="auto"/>
        </w:rPr>
        <w:t>Level 3</w:t>
      </w:r>
    </w:p>
    <w:p>
      <w:pPr>
        <w:spacing w:after="0" w:line="252" w:lineRule="exact"/>
        <w:rPr>
          <w:rFonts w:ascii="Arial" w:cs="Arial" w:eastAsia="Arial" w:hAnsi="Arial"/>
          <w:sz w:val="23"/>
          <w:szCs w:val="23"/>
          <w:color w:val="auto"/>
          <w:vertAlign w:val="superscript"/>
        </w:rPr>
      </w:pPr>
    </w:p>
    <w:p>
      <w:pPr>
        <w:ind w:left="660" w:right="80"/>
        <w:spacing w:after="0" w:line="277" w:lineRule="auto"/>
        <w:rPr>
          <w:rFonts w:ascii="Arial" w:cs="Arial" w:eastAsia="Arial" w:hAnsi="Arial"/>
          <w:sz w:val="23"/>
          <w:szCs w:val="23"/>
          <w:color w:val="auto"/>
          <w:vertAlign w:val="superscript"/>
        </w:rPr>
      </w:pPr>
      <w:r>
        <w:rPr>
          <w:rFonts w:ascii="Arial" w:cs="Arial" w:eastAsia="Arial" w:hAnsi="Arial"/>
          <w:sz w:val="18"/>
          <w:szCs w:val="18"/>
          <w:color w:val="auto"/>
        </w:rPr>
        <w:t>Level 3 of the fair value hierarchy includes certain physical commodity and other contracts, over-the-counter options and the Preferred Distribution Rate Reset Option contained in our partnership agreement which is classified as an embedded derivative.</w:t>
      </w:r>
    </w:p>
    <w:p>
      <w:pPr>
        <w:spacing w:after="0" w:line="197" w:lineRule="exact"/>
        <w:rPr>
          <w:rFonts w:ascii="Arial" w:cs="Arial" w:eastAsia="Arial" w:hAnsi="Arial"/>
          <w:sz w:val="23"/>
          <w:szCs w:val="23"/>
          <w:color w:val="auto"/>
          <w:vertAlign w:val="superscript"/>
        </w:rPr>
      </w:pPr>
    </w:p>
    <w:p>
      <w:pPr>
        <w:ind w:left="660"/>
        <w:spacing w:after="0" w:line="257" w:lineRule="auto"/>
        <w:rPr>
          <w:rFonts w:ascii="Arial" w:cs="Arial" w:eastAsia="Arial" w:hAnsi="Arial"/>
          <w:sz w:val="23"/>
          <w:szCs w:val="23"/>
          <w:color w:val="auto"/>
          <w:vertAlign w:val="superscript"/>
        </w:rPr>
      </w:pPr>
      <w:r>
        <w:rPr>
          <w:rFonts w:ascii="Arial" w:cs="Arial" w:eastAsia="Arial" w:hAnsi="Arial"/>
          <w:sz w:val="18"/>
          <w:szCs w:val="18"/>
          <w:color w:val="auto"/>
        </w:rPr>
        <w:t>The fair values of our Level 3 physical commodity and other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contracts in our Consolidated Statements of Operations as Supply and Logistics segment revenues.</w:t>
      </w:r>
    </w:p>
    <w:p>
      <w:pPr>
        <w:spacing w:after="0" w:line="215" w:lineRule="exact"/>
        <w:rPr>
          <w:rFonts w:ascii="Arial" w:cs="Arial" w:eastAsia="Arial" w:hAnsi="Arial"/>
          <w:sz w:val="23"/>
          <w:szCs w:val="23"/>
          <w:color w:val="auto"/>
          <w:vertAlign w:val="superscript"/>
        </w:rPr>
      </w:pPr>
    </w:p>
    <w:p>
      <w:pPr>
        <w:ind w:left="660" w:right="80"/>
        <w:spacing w:after="0" w:line="297" w:lineRule="auto"/>
        <w:rPr>
          <w:rFonts w:ascii="Arial" w:cs="Arial" w:eastAsia="Arial" w:hAnsi="Arial"/>
          <w:sz w:val="23"/>
          <w:szCs w:val="23"/>
          <w:color w:val="auto"/>
          <w:vertAlign w:val="superscript"/>
        </w:rPr>
      </w:pPr>
      <w:r>
        <w:rPr>
          <w:rFonts w:ascii="Arial" w:cs="Arial" w:eastAsia="Arial" w:hAnsi="Arial"/>
          <w:sz w:val="16"/>
          <w:szCs w:val="16"/>
          <w:color w:val="auto"/>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Consolidated Statements of Operations in “Other income/(expense), net.”</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 the extent any transfers between levels of the fair value hierarchy occur, our policy is to reflect these transfers as of the beginning of the reporting period in which they occur.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2" w:name="page173"/>
    <w:bookmarkEnd w:id="1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Net gains/(losses) for the period included in earnings</w:t>
            </w:r>
          </w:p>
        </w:tc>
        <w:tc>
          <w:tcPr>
            <w:tcW w:w="9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Derivatives entered into during the period</w:t>
            </w:r>
          </w:p>
        </w:tc>
        <w:tc>
          <w:tcPr>
            <w:tcW w:w="9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3"/>
              </w:rPr>
              <w:t>(26)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(51)</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Change in unrealized gains/(losses) included in earnings relating to Level 3 derivatives still held at the end of the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8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360"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On January 1, 2019, we adopted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using the optional transitional method, thereby applying the new guidance at the effective date, without adjusting the comparative periods. Therefore, results for reporting periods beginning after January 1, 2019 are presented under Topic 842, while prior period amounts are not adjusted and continue to be reported in accordance with our historic accounting under ASC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840”). We evaluate all agreements entered into or modified after the date of adoption of Topic 842 that convey to us the use of property or 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land, storage tanks and vehicles. One of our finance leases is for storage tanks owned by an equity method investee, in which we own a 50% interest.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 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 to 40 years that are not recognized as part of our right-of-use assets or lease liabilities as we have determined we are not reasonably certain to exercise the option to renew.</w:t>
      </w:r>
    </w:p>
    <w:p>
      <w:pPr>
        <w:spacing w:after="0" w:line="32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w:t>
      </w:r>
    </w:p>
    <w:p>
      <w:pPr>
        <w:spacing w:after="0" w:line="17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173" w:name="page174"/>
    <w:bookmarkEnd w:id="1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presents components of lease cost for the year ended December 31, 2019, including both amounts recognized in income and amounts capitalized (in millions):</w:t>
      </w:r>
    </w:p>
    <w:p>
      <w:pPr>
        <w:sectPr>
          <w:pgSz w:w="11900" w:h="16838" w:orient="portrait"/>
          <w:cols w:equalWidth="0" w:num="1">
            <w:col w:w="11300"/>
          </w:cols>
          <w:pgMar w:left="240" w:top="125" w:right="359" w:bottom="1440" w:gutter="0" w:footer="0" w:header="0"/>
        </w:sect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Lease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Short-term lease cost</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24955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1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34"/>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34"/>
        <w:spacing w:after="0"/>
        <w:rPr>
          <w:sz w:val="20"/>
          <w:szCs w:val="20"/>
          <w:color w:val="auto"/>
        </w:rPr>
      </w:pP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-6073775</wp:posOffset>
            </wp:positionH>
            <wp:positionV relativeFrom="paragraph">
              <wp:posOffset>13335</wp:posOffset>
            </wp:positionV>
            <wp:extent cx="7169150" cy="1803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13">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7" w:lineRule="exact"/>
        <w:rPr>
          <w:sz w:val="20"/>
          <w:szCs w:val="20"/>
          <w:color w:val="auto"/>
        </w:rPr>
      </w:pPr>
    </w:p>
    <w:p>
      <w:pPr>
        <w:ind w:left="1306" w:hanging="1306"/>
        <w:spacing w:after="0"/>
        <w:tabs>
          <w:tab w:leader="none" w:pos="1306" w:val="left"/>
        </w:tabs>
        <w:numPr>
          <w:ilvl w:val="0"/>
          <w:numId w:val="103"/>
        </w:numPr>
        <w:rPr>
          <w:rFonts w:ascii="Arial" w:cs="Arial" w:eastAsia="Arial" w:hAnsi="Arial"/>
          <w:sz w:val="15"/>
          <w:szCs w:val="15"/>
          <w:color w:val="auto"/>
        </w:rPr>
      </w:pPr>
      <w:r>
        <w:rPr>
          <w:rFonts w:ascii="Arial" w:cs="Arial" w:eastAsia="Arial" w:hAnsi="Arial"/>
          <w:sz w:val="15"/>
          <w:szCs w:val="15"/>
          <w:color w:val="auto"/>
        </w:rPr>
        <w:t>125</w:t>
      </w:r>
    </w:p>
    <w:p>
      <w:pPr>
        <w:spacing w:after="0" w:line="97" w:lineRule="exact"/>
        <w:rPr>
          <w:rFonts w:ascii="Arial" w:cs="Arial" w:eastAsia="Arial" w:hAnsi="Arial"/>
          <w:sz w:val="15"/>
          <w:szCs w:val="15"/>
          <w:color w:val="auto"/>
        </w:rPr>
      </w:pPr>
    </w:p>
    <w:p>
      <w:pPr>
        <w:ind w:left="1386"/>
        <w:spacing w:after="0"/>
        <w:rPr>
          <w:rFonts w:ascii="Arial" w:cs="Arial" w:eastAsia="Arial" w:hAnsi="Arial"/>
          <w:sz w:val="15"/>
          <w:szCs w:val="15"/>
          <w:color w:val="auto"/>
        </w:rPr>
      </w:pPr>
      <w:r>
        <w:rPr>
          <w:rFonts w:ascii="Arial" w:cs="Arial" w:eastAsia="Arial" w:hAnsi="Arial"/>
          <w:sz w:val="16"/>
          <w:szCs w:val="16"/>
          <w:color w:val="auto"/>
        </w:rPr>
        <w:t>35</w:t>
      </w:r>
    </w:p>
    <w:p>
      <w:pPr>
        <w:spacing w:after="0" w:line="86" w:lineRule="exact"/>
        <w:rPr>
          <w:rFonts w:ascii="Arial" w:cs="Arial" w:eastAsia="Arial" w:hAnsi="Arial"/>
          <w:sz w:val="15"/>
          <w:szCs w:val="15"/>
          <w:color w:val="auto"/>
        </w:rPr>
      </w:pPr>
    </w:p>
    <w:p>
      <w:pPr>
        <w:ind w:left="1386"/>
        <w:spacing w:after="0"/>
        <w:rPr>
          <w:rFonts w:ascii="Arial" w:cs="Arial" w:eastAsia="Arial" w:hAnsi="Arial"/>
          <w:sz w:val="15"/>
          <w:szCs w:val="15"/>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-6073775</wp:posOffset>
            </wp:positionH>
            <wp:positionV relativeFrom="paragraph">
              <wp:posOffset>-139065</wp:posOffset>
            </wp:positionV>
            <wp:extent cx="7169150" cy="1803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14">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57" w:lineRule="exact"/>
        <w:rPr>
          <w:sz w:val="20"/>
          <w:szCs w:val="20"/>
          <w:color w:val="auto"/>
        </w:rPr>
      </w:pPr>
    </w:p>
    <w:p>
      <w:pPr>
        <w:ind w:left="1306" w:hanging="1306"/>
        <w:spacing w:after="0"/>
        <w:tabs>
          <w:tab w:leader="none" w:pos="1306" w:val="left"/>
        </w:tabs>
        <w:numPr>
          <w:ilvl w:val="0"/>
          <w:numId w:val="104"/>
        </w:numPr>
        <w:rPr>
          <w:rFonts w:ascii="Arial" w:cs="Arial" w:eastAsia="Arial" w:hAnsi="Arial"/>
          <w:sz w:val="15"/>
          <w:szCs w:val="15"/>
          <w:color w:val="auto"/>
        </w:rPr>
      </w:pPr>
      <w:r>
        <w:rPr>
          <w:rFonts w:ascii="Arial" w:cs="Arial" w:eastAsia="Arial" w:hAnsi="Arial"/>
          <w:sz w:val="15"/>
          <w:szCs w:val="15"/>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53975</wp:posOffset>
            </wp:positionV>
            <wp:extent cx="11061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15">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79375</wp:posOffset>
            </wp:positionV>
            <wp:extent cx="11061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77" w:lineRule="exact"/>
        <w:rPr>
          <w:sz w:val="20"/>
          <w:szCs w:val="20"/>
          <w:color w:val="auto"/>
        </w:rPr>
      </w:pPr>
    </w:p>
    <w:p>
      <w:pPr>
        <w:sectPr>
          <w:pgSz w:w="11900" w:h="16838" w:orient="portrait"/>
          <w:cols w:equalWidth="0" w:num="2">
            <w:col w:w="8854" w:space="720"/>
            <w:col w:w="1726"/>
          </w:cols>
          <w:pgMar w:left="240" w:top="125" w:right="359" w:bottom="1440" w:gutter="0" w:footer="0" w:header="0"/>
          <w:type w:val="continuous"/>
        </w:sectPr>
      </w:pPr>
    </w:p>
    <w:p>
      <w:pPr>
        <w:spacing w:after="0" w:line="367" w:lineRule="exact"/>
        <w:rPr>
          <w:sz w:val="20"/>
          <w:szCs w:val="20"/>
          <w:color w:val="auto"/>
        </w:rPr>
      </w:pPr>
    </w:p>
    <w:p>
      <w:pPr>
        <w:ind w:left="640" w:hanging="632"/>
        <w:spacing w:after="0"/>
        <w:tabs>
          <w:tab w:leader="none" w:pos="640" w:val="left"/>
        </w:tabs>
        <w:numPr>
          <w:ilvl w:val="0"/>
          <w:numId w:val="105"/>
        </w:numPr>
        <w:rPr>
          <w:rFonts w:ascii="Arial" w:cs="Arial" w:eastAsia="Arial" w:hAnsi="Arial"/>
          <w:sz w:val="23"/>
          <w:szCs w:val="23"/>
          <w:color w:val="auto"/>
          <w:vertAlign w:val="superscript"/>
        </w:rPr>
      </w:pPr>
      <w:r>
        <w:rPr>
          <w:rFonts w:ascii="Arial" w:cs="Arial" w:eastAsia="Arial" w:hAnsi="Arial"/>
          <w:sz w:val="18"/>
          <w:szCs w:val="18"/>
          <w:color w:val="auto"/>
        </w:rPr>
        <w:t>Includes less than $1 million of net immaterial finance lease costs, variable lease costs and sublease income.</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Lease cost for the years ended December 31, 2018 and 2017, accounted for in accordance with Topic 840, was $199 million and $207 million,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related to cash flows arising from lease transactions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right"/>
              <w:ind w:right="436"/>
              <w:spacing w:after="0"/>
              <w:rPr>
                <w:sz w:val="20"/>
                <w:szCs w:val="20"/>
                <w:color w:val="auto"/>
              </w:rPr>
            </w:pPr>
            <w:r>
              <w:rPr>
                <w:rFonts w:ascii="Arial" w:cs="Arial" w:eastAsia="Arial" w:hAnsi="Arial"/>
                <w:sz w:val="14"/>
                <w:szCs w:val="14"/>
                <w:b w:val="1"/>
                <w:bCs w:val="1"/>
                <w:color w:val="auto"/>
              </w:rPr>
              <w:t>Year Ended</w:t>
            </w:r>
          </w:p>
        </w:tc>
      </w:tr>
      <w:tr>
        <w:trPr>
          <w:trHeight w:val="192"/>
        </w:trPr>
        <w:tc>
          <w:tcPr>
            <w:tcW w:w="9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6"/>
              </w:rPr>
              <w:t>December 31, 2019</w:t>
            </w:r>
          </w:p>
        </w:tc>
      </w:tr>
      <w:tr>
        <w:trPr>
          <w:trHeight w:val="236"/>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9560" w:type="dxa"/>
            <w:vAlign w:val="bottom"/>
          </w:tcPr>
          <w:p>
            <w:pPr>
              <w:ind w:left="120"/>
              <w:spacing w:after="0"/>
              <w:rPr>
                <w:sz w:val="20"/>
                <w:szCs w:val="20"/>
                <w:color w:val="auto"/>
              </w:rPr>
            </w:pPr>
            <w:r>
              <w:rPr>
                <w:rFonts w:ascii="Arial" w:cs="Arial" w:eastAsia="Arial" w:hAnsi="Arial"/>
                <w:sz w:val="18"/>
                <w:szCs w:val="18"/>
                <w:color w:val="auto"/>
              </w:rPr>
              <w:t>Operating cash flows for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116</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Financing cash flows for finance leases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18</w:t>
            </w:r>
          </w:p>
        </w:tc>
      </w:tr>
      <w:tr>
        <w:trPr>
          <w:trHeight w:val="270"/>
        </w:trPr>
        <w:tc>
          <w:tcPr>
            <w:tcW w:w="9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change in lease liabilities arising from obtaining new right-of-use assets or modifications: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95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6"/>
              <w:spacing w:after="0"/>
              <w:rPr>
                <w:sz w:val="20"/>
                <w:szCs w:val="20"/>
                <w:color w:val="auto"/>
              </w:rPr>
            </w:pPr>
            <w:r>
              <w:rPr>
                <w:rFonts w:ascii="Arial" w:cs="Arial" w:eastAsia="Arial" w:hAnsi="Arial"/>
                <w:sz w:val="18"/>
                <w:szCs w:val="18"/>
                <w:color w:val="auto"/>
              </w:rPr>
              <w:t>77</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320" w:hanging="652"/>
        <w:spacing w:after="0" w:line="490" w:lineRule="auto"/>
        <w:tabs>
          <w:tab w:leader="none" w:pos="648" w:val="left"/>
        </w:tabs>
        <w:numPr>
          <w:ilvl w:val="0"/>
          <w:numId w:val="106"/>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$12 million associated with leased storage tanks owned by an equity method investee, in which we own a 50% interest. Information related to the weighted-average remaining lease term and discount rate is presented in the table below:</w:t>
      </w:r>
    </w:p>
    <w:tbl>
      <w:tblPr>
        <w:tblLayout w:type="fixed"/>
        <w:tblInd w:w="0" w:type="dxa"/>
        <w:tblCellMar>
          <w:top w:w="0" w:type="dxa"/>
          <w:left w:w="0" w:type="dxa"/>
          <w:bottom w:w="0" w:type="dxa"/>
          <w:right w:w="0" w:type="dxa"/>
        </w:tblCellMar>
      </w:tblPr>
      <w:tr>
        <w:trPr>
          <w:trHeight w:val="150"/>
        </w:trPr>
        <w:tc>
          <w:tcPr>
            <w:tcW w:w="9480" w:type="dxa"/>
            <w:vAlign w:val="bottom"/>
          </w:tcPr>
          <w:p>
            <w:pPr>
              <w:spacing w:after="0"/>
              <w:rPr>
                <w:sz w:val="13"/>
                <w:szCs w:val="13"/>
                <w:color w:val="auto"/>
              </w:rPr>
            </w:pPr>
          </w:p>
        </w:tc>
        <w:tc>
          <w:tcPr>
            <w:tcW w:w="1600" w:type="dxa"/>
            <w:vAlign w:val="bottom"/>
          </w:tcPr>
          <w:p>
            <w:pPr>
              <w:jc w:val="right"/>
              <w:ind w:right="239"/>
              <w:spacing w:after="0" w:line="150" w:lineRule="exact"/>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3"/>
                <w:szCs w:val="13"/>
                <w:color w:val="auto"/>
              </w:rPr>
            </w:pPr>
          </w:p>
        </w:tc>
      </w:tr>
      <w:tr>
        <w:trPr>
          <w:trHeight w:val="192"/>
        </w:trPr>
        <w:tc>
          <w:tcPr>
            <w:tcW w:w="94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6"/>
                <w:szCs w:val="16"/>
                <w:color w:val="auto"/>
              </w:rPr>
            </w:pPr>
          </w:p>
        </w:tc>
      </w:tr>
      <w:tr>
        <w:trPr>
          <w:trHeight w:val="236"/>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r>
      <w:tr>
        <w:trPr>
          <w:trHeight w:val="243"/>
        </w:trPr>
        <w:tc>
          <w:tcPr>
            <w:tcW w:w="94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11</w:t>
            </w:r>
          </w:p>
        </w:tc>
      </w:tr>
      <w:tr>
        <w:trPr>
          <w:trHeight w:val="27"/>
        </w:trPr>
        <w:tc>
          <w:tcPr>
            <w:tcW w:w="9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94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0"/>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94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6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43"/>
        </w:trPr>
        <w:tc>
          <w:tcPr>
            <w:tcW w:w="9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type w:val="continuous"/>
        </w:sectPr>
      </w:pPr>
    </w:p>
    <w:bookmarkStart w:id="174" w:name="page175"/>
    <w:bookmarkEnd w:id="1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presents the amount and location of our operating and finance lease right-of-use assets and liabilities on our Consolidated Balance Sheet (in millions):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Leases</w:t>
            </w:r>
          </w:p>
        </w:tc>
        <w:tc>
          <w:tcPr>
            <w:tcW w:w="5420" w:type="dxa"/>
            <w:vAlign w:val="bottom"/>
            <w:vMerge w:val="restart"/>
          </w:tcPr>
          <w:p>
            <w:pPr>
              <w:ind w:left="2980"/>
              <w:spacing w:after="0"/>
              <w:rPr>
                <w:sz w:val="20"/>
                <w:szCs w:val="20"/>
                <w:color w:val="auto"/>
              </w:rPr>
            </w:pPr>
            <w:r>
              <w:rPr>
                <w:rFonts w:ascii="Arial" w:cs="Arial" w:eastAsia="Arial" w:hAnsi="Arial"/>
                <w:sz w:val="14"/>
                <w:szCs w:val="14"/>
                <w:b w:val="1"/>
                <w:bCs w:val="1"/>
                <w:color w:val="auto"/>
              </w:rPr>
              <w:t>Balance Sheet Location</w:t>
            </w:r>
          </w:p>
        </w:tc>
        <w:tc>
          <w:tcPr>
            <w:tcW w:w="216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86"/>
        </w:trPr>
        <w:tc>
          <w:tcPr>
            <w:tcW w:w="3400" w:type="dxa"/>
            <w:vAlign w:val="bottom"/>
            <w:vMerge w:val="continue"/>
          </w:tcPr>
          <w:p>
            <w:pPr>
              <w:spacing w:after="0"/>
              <w:rPr>
                <w:sz w:val="16"/>
                <w:szCs w:val="16"/>
                <w:color w:val="auto"/>
              </w:rPr>
            </w:pPr>
          </w:p>
        </w:tc>
        <w:tc>
          <w:tcPr>
            <w:tcW w:w="5420" w:type="dxa"/>
            <w:vAlign w:val="bottom"/>
            <w:vMerge w:val="continue"/>
          </w:tcPr>
          <w:p>
            <w:pPr>
              <w:spacing w:after="0"/>
              <w:rPr>
                <w:sz w:val="16"/>
                <w:szCs w:val="16"/>
                <w:color w:val="auto"/>
              </w:rPr>
            </w:pPr>
          </w:p>
        </w:tc>
        <w:tc>
          <w:tcPr>
            <w:tcW w:w="2160" w:type="dxa"/>
            <w:vAlign w:val="bottom"/>
          </w:tcPr>
          <w:p>
            <w:pPr>
              <w:jc w:val="center"/>
              <w:ind w:left="928"/>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69150" cy="1803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9">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lease right-of-use assets</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 xml:space="preserve">Finance lease right-of-use assets </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jc w:val="center"/>
              <w:ind w:right="570"/>
              <w:spacing w:after="0"/>
              <w:rPr>
                <w:sz w:val="20"/>
                <w:szCs w:val="20"/>
                <w:color w:val="auto"/>
              </w:rPr>
            </w:pPr>
            <w:r>
              <w:rPr>
                <w:rFonts w:ascii="Arial" w:cs="Arial" w:eastAsia="Arial" w:hAnsi="Arial"/>
                <w:sz w:val="18"/>
                <w:szCs w:val="18"/>
                <w:color w:val="auto"/>
                <w:w w:val="89"/>
              </w:rPr>
              <w:t>Long-term operating lease right-of-use assets, net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466</w:t>
            </w:r>
          </w:p>
        </w:tc>
      </w:tr>
      <w:tr>
        <w:trPr>
          <w:trHeight w:val="540"/>
        </w:trPr>
        <w:tc>
          <w:tcPr>
            <w:tcW w:w="4240" w:type="dxa"/>
            <w:vAlign w:val="bottom"/>
          </w:tcPr>
          <w:p>
            <w:pPr>
              <w:jc w:val="center"/>
              <w:ind w:right="570"/>
              <w:spacing w:after="0"/>
              <w:rPr>
                <w:sz w:val="20"/>
                <w:szCs w:val="20"/>
                <w:color w:val="auto"/>
              </w:rPr>
            </w:pPr>
            <w:r>
              <w:rPr>
                <w:rFonts w:ascii="Arial" w:cs="Arial" w:eastAsia="Arial" w:hAnsi="Arial"/>
                <w:sz w:val="18"/>
                <w:szCs w:val="18"/>
                <w:color w:val="auto"/>
                <w:w w:val="90"/>
              </w:rPr>
              <w:t>Property and equipment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124</w:t>
            </w:r>
          </w:p>
        </w:tc>
      </w:tr>
      <w:tr>
        <w:trPr>
          <w:trHeight w:val="270"/>
        </w:trPr>
        <w:tc>
          <w:tcPr>
            <w:tcW w:w="4240" w:type="dxa"/>
            <w:vAlign w:val="bottom"/>
          </w:tcPr>
          <w:p>
            <w:pPr>
              <w:jc w:val="center"/>
              <w:ind w:right="570"/>
              <w:spacing w:after="0"/>
              <w:rPr>
                <w:sz w:val="20"/>
                <w:szCs w:val="20"/>
                <w:color w:val="auto"/>
              </w:rPr>
            </w:pPr>
            <w:r>
              <w:rPr>
                <w:rFonts w:ascii="Arial" w:cs="Arial" w:eastAsia="Arial" w:hAnsi="Arial"/>
                <w:sz w:val="18"/>
                <w:szCs w:val="18"/>
                <w:color w:val="auto"/>
                <w:w w:val="91"/>
              </w:rPr>
              <w:t>Accumulated depreciation</w:t>
            </w:r>
          </w:p>
        </w:tc>
        <w:tc>
          <w:tcPr>
            <w:tcW w:w="700" w:type="dxa"/>
            <w:vAlign w:val="bottom"/>
          </w:tcPr>
          <w:p>
            <w:pPr>
              <w:spacing w:after="0"/>
              <w:rPr>
                <w:sz w:val="23"/>
                <w:szCs w:val="23"/>
                <w:color w:val="auto"/>
              </w:rPr>
            </w:pPr>
          </w:p>
        </w:tc>
        <w:tc>
          <w:tcPr>
            <w:tcW w:w="1040" w:type="dxa"/>
            <w:vAlign w:val="bottom"/>
          </w:tcPr>
          <w:p>
            <w:pPr>
              <w:ind w:left="640"/>
              <w:spacing w:after="0"/>
              <w:rPr>
                <w:sz w:val="20"/>
                <w:szCs w:val="20"/>
                <w:color w:val="auto"/>
              </w:rPr>
            </w:pPr>
            <w:r>
              <w:rPr>
                <w:rFonts w:ascii="Arial" w:cs="Arial" w:eastAsia="Arial" w:hAnsi="Arial"/>
                <w:sz w:val="18"/>
                <w:szCs w:val="18"/>
                <w:color w:val="auto"/>
              </w:rPr>
              <w:t>(16)</w:t>
            </w:r>
          </w:p>
        </w:tc>
      </w:tr>
      <w:tr>
        <w:trPr>
          <w:trHeight w:val="27"/>
        </w:trPr>
        <w:tc>
          <w:tcPr>
            <w:tcW w:w="42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ind w:right="550"/>
              <w:spacing w:after="0"/>
              <w:rPr>
                <w:sz w:val="20"/>
                <w:szCs w:val="20"/>
                <w:color w:val="auto"/>
              </w:rPr>
            </w:pPr>
            <w:r>
              <w:rPr>
                <w:rFonts w:ascii="Arial" w:cs="Arial" w:eastAsia="Arial" w:hAnsi="Arial"/>
                <w:sz w:val="18"/>
                <w:szCs w:val="18"/>
                <w:color w:val="auto"/>
                <w:w w:val="89"/>
              </w:rPr>
              <w:t>Property and equipment, net</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620"/>
              <w:spacing w:after="0"/>
              <w:rPr>
                <w:sz w:val="20"/>
                <w:szCs w:val="20"/>
                <w:color w:val="auto"/>
              </w:rPr>
            </w:pPr>
            <w:r>
              <w:rPr>
                <w:rFonts w:ascii="Arial" w:cs="Arial" w:eastAsia="Arial" w:hAnsi="Arial"/>
                <w:sz w:val="18"/>
                <w:szCs w:val="18"/>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-676910</wp:posOffset>
            </wp:positionV>
            <wp:extent cx="7169150" cy="171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20">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-334010</wp:posOffset>
            </wp:positionV>
            <wp:extent cx="7169150" cy="171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21">
                      <a:extLst>
                        <a:ext uri="{28A0092B-C50C-407E-A947-70E740481C1C}"/>
                      </a:extLst>
                    </a:blip>
                    <a:srcRect/>
                    <a:stretch>
                      <a:fillRect/>
                    </a:stretch>
                  </pic:blipFill>
                  <pic:spPr bwMode="auto">
                    <a:xfrm>
                      <a:off x="0" y="0"/>
                      <a:ext cx="7169150" cy="171450"/>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17145</wp:posOffset>
            </wp:positionV>
            <wp:extent cx="7169150" cy="1803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22">
                      <a:extLst>
                        <a:ext uri="{28A0092B-C50C-407E-A947-70E740481C1C}"/>
                      </a:extLst>
                    </a:blip>
                    <a:srcRect/>
                    <a:stretch>
                      <a:fillRect/>
                    </a:stretch>
                  </pic:blipFill>
                  <pic:spPr bwMode="auto">
                    <a:xfrm>
                      <a:off x="0" y="0"/>
                      <a:ext cx="716915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6100"/>
          </w:cols>
          <w:pgMar w:left="240" w:top="125" w:right="23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Total lease right-of-use assets</w:t>
            </w:r>
          </w:p>
        </w:tc>
        <w:tc>
          <w:tcPr>
            <w:tcW w:w="5500" w:type="dxa"/>
            <w:vAlign w:val="bottom"/>
          </w:tcPr>
          <w:p>
            <w:pPr>
              <w:spacing w:after="0"/>
              <w:rPr>
                <w:sz w:val="22"/>
                <w:szCs w:val="22"/>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574</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5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Current</w:t>
            </w:r>
          </w:p>
        </w:tc>
        <w:tc>
          <w:tcPr>
            <w:tcW w:w="5500" w:type="dxa"/>
            <w:vAlign w:val="bottom"/>
          </w:tcPr>
          <w:p>
            <w:pPr>
              <w:jc w:val="center"/>
              <w:ind w:left="530"/>
              <w:spacing w:after="0"/>
              <w:rPr>
                <w:sz w:val="20"/>
                <w:szCs w:val="20"/>
                <w:color w:val="auto"/>
              </w:rPr>
            </w:pPr>
            <w:r>
              <w:rPr>
                <w:rFonts w:ascii="Arial" w:cs="Arial" w:eastAsia="Arial" w:hAnsi="Arial"/>
                <w:sz w:val="18"/>
                <w:szCs w:val="18"/>
                <w:color w:val="auto"/>
                <w:w w:val="93"/>
              </w:rPr>
              <w:t>Other current liabilities</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w:t>
            </w:r>
          </w:p>
        </w:tc>
      </w:tr>
      <w:tr>
        <w:trPr>
          <w:trHeight w:val="27"/>
        </w:trPr>
        <w:tc>
          <w:tcPr>
            <w:tcW w:w="4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55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2"/>
              </w:rPr>
              <w:t>Long-term operating lease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387</w:t>
            </w:r>
          </w:p>
        </w:tc>
      </w:tr>
      <w:tr>
        <w:trPr>
          <w:trHeight w:val="237"/>
        </w:trPr>
        <w:tc>
          <w:tcPr>
            <w:tcW w:w="4060" w:type="dxa"/>
            <w:vAlign w:val="bottom"/>
          </w:tcPr>
          <w:p>
            <w:pPr>
              <w:ind w:left="120"/>
              <w:spacing w:after="0"/>
              <w:rPr>
                <w:sz w:val="20"/>
                <w:szCs w:val="20"/>
                <w:color w:val="auto"/>
              </w:rPr>
            </w:pPr>
            <w:r>
              <w:rPr>
                <w:rFonts w:ascii="Arial" w:cs="Arial" w:eastAsia="Arial" w:hAnsi="Arial"/>
                <w:sz w:val="18"/>
                <w:szCs w:val="18"/>
                <w:color w:val="auto"/>
              </w:rPr>
              <w:t>Total operating lease liabilities</w:t>
            </w:r>
          </w:p>
        </w:tc>
        <w:tc>
          <w:tcPr>
            <w:tcW w:w="5500" w:type="dxa"/>
            <w:vAlign w:val="bottom"/>
          </w:tcPr>
          <w:p>
            <w:pPr>
              <w:spacing w:after="0"/>
              <w:rPr>
                <w:sz w:val="20"/>
                <w:szCs w:val="20"/>
                <w:color w:val="auto"/>
              </w:rPr>
            </w:pPr>
          </w:p>
        </w:tc>
        <w:tc>
          <w:tcPr>
            <w:tcW w:w="7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481</w:t>
            </w:r>
          </w:p>
        </w:tc>
      </w:tr>
      <w:tr>
        <w:trPr>
          <w:trHeight w:val="27"/>
        </w:trPr>
        <w:tc>
          <w:tcPr>
            <w:tcW w:w="4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060" w:type="dxa"/>
            <w:vAlign w:val="bottom"/>
            <w:shd w:val="clear" w:color="auto" w:fill="CCEEFF"/>
          </w:tcPr>
          <w:p>
            <w:pPr>
              <w:spacing w:after="0"/>
              <w:rPr>
                <w:sz w:val="23"/>
                <w:szCs w:val="23"/>
                <w:color w:val="auto"/>
              </w:rPr>
            </w:pPr>
          </w:p>
        </w:tc>
        <w:tc>
          <w:tcPr>
            <w:tcW w:w="55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40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(1)</w:t>
            </w:r>
          </w:p>
        </w:tc>
        <w:tc>
          <w:tcPr>
            <w:tcW w:w="5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55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1"/>
              </w:rPr>
              <w:t>Short-term debt</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r>
      <w:tr>
        <w:trPr>
          <w:trHeight w:val="243"/>
        </w:trPr>
        <w:tc>
          <w:tcPr>
            <w:tcW w:w="406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5500" w:type="dxa"/>
            <w:vAlign w:val="bottom"/>
          </w:tcPr>
          <w:p>
            <w:pPr>
              <w:jc w:val="center"/>
              <w:ind w:left="510"/>
              <w:spacing w:after="0"/>
              <w:rPr>
                <w:sz w:val="20"/>
                <w:szCs w:val="20"/>
                <w:color w:val="auto"/>
              </w:rPr>
            </w:pPr>
            <w:r>
              <w:rPr>
                <w:rFonts w:ascii="Arial" w:cs="Arial" w:eastAsia="Arial" w:hAnsi="Arial"/>
                <w:sz w:val="18"/>
                <w:szCs w:val="18"/>
                <w:color w:val="auto"/>
                <w:w w:val="90"/>
              </w:rPr>
              <w:t>Other long-term debt, net</w:t>
            </w:r>
          </w:p>
        </w:tc>
        <w:tc>
          <w:tcPr>
            <w:tcW w:w="7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w:t>
            </w:r>
          </w:p>
        </w:tc>
      </w:tr>
      <w:tr>
        <w:trPr>
          <w:trHeight w:val="27"/>
        </w:trPr>
        <w:tc>
          <w:tcPr>
            <w:tcW w:w="40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finance lease liabilities</w:t>
            </w:r>
          </w:p>
        </w:tc>
        <w:tc>
          <w:tcPr>
            <w:tcW w:w="5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70"/>
        </w:trPr>
        <w:tc>
          <w:tcPr>
            <w:tcW w:w="4060" w:type="dxa"/>
            <w:vAlign w:val="bottom"/>
            <w:tcBorders>
              <w:bottom w:val="single" w:sz="8" w:color="CCEEFF"/>
            </w:tcBorders>
          </w:tcPr>
          <w:p>
            <w:pPr>
              <w:spacing w:after="0"/>
              <w:rPr>
                <w:sz w:val="23"/>
                <w:szCs w:val="23"/>
                <w:color w:val="auto"/>
              </w:rPr>
            </w:pPr>
          </w:p>
        </w:tc>
        <w:tc>
          <w:tcPr>
            <w:tcW w:w="550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89"/>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55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548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60" w:hanging="652"/>
        <w:spacing w:after="0" w:line="227" w:lineRule="auto"/>
        <w:tabs>
          <w:tab w:leader="none" w:pos="648" w:val="left"/>
        </w:tabs>
        <w:numPr>
          <w:ilvl w:val="0"/>
          <w:numId w:val="107"/>
        </w:numPr>
        <w:rPr>
          <w:rFonts w:ascii="Arial" w:cs="Arial" w:eastAsia="Arial" w:hAnsi="Arial"/>
          <w:sz w:val="23"/>
          <w:szCs w:val="23"/>
          <w:color w:val="auto"/>
          <w:vertAlign w:val="superscript"/>
        </w:rPr>
      </w:pPr>
      <w:r>
        <w:rPr>
          <w:rFonts w:ascii="Arial" w:cs="Arial" w:eastAsia="Arial" w:hAnsi="Arial"/>
          <w:sz w:val="18"/>
          <w:szCs w:val="18"/>
          <w:color w:val="auto"/>
        </w:rPr>
        <w:t>Includes approximately $12 million right-of-use asset and lease liability associated with leased storage tanks owned by an equity method investee, in which we own a 50% interest.</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maturity of undiscounted cash flows for future minimum lease payments under noncancelable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reconciled to our lease liabilities on our Consolidated Balance Sheet (amounts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 xml:space="preserve">Finance </w:t>
            </w:r>
            <w:r>
              <w:rPr>
                <w:rFonts w:ascii="Arial" w:cs="Arial" w:eastAsia="Arial" w:hAnsi="Arial"/>
                <w:sz w:val="9"/>
                <w:szCs w:val="9"/>
                <w:b w:val="1"/>
                <w:bCs w:val="1"/>
                <w:color w:val="auto"/>
              </w:rPr>
              <w:t>(2)</w:t>
            </w:r>
          </w:p>
        </w:tc>
      </w:tr>
      <w:tr>
        <w:trPr>
          <w:trHeight w:val="216"/>
        </w:trPr>
        <w:tc>
          <w:tcPr>
            <w:tcW w:w="7820" w:type="dxa"/>
            <w:vAlign w:val="bottom"/>
            <w:shd w:val="clear" w:color="auto" w:fill="CCEEFF"/>
          </w:tcPr>
          <w:p>
            <w:pPr>
              <w:ind w:left="20"/>
              <w:spacing w:after="0" w:line="215" w:lineRule="exact"/>
              <w:rPr>
                <w:sz w:val="20"/>
                <w:szCs w:val="20"/>
                <w:color w:val="auto"/>
              </w:rPr>
            </w:pPr>
            <w:r>
              <w:rPr>
                <w:rFonts w:ascii="Arial" w:cs="Arial" w:eastAsia="Arial" w:hAnsi="Arial"/>
                <w:sz w:val="18"/>
                <w:szCs w:val="18"/>
                <w:color w:val="auto"/>
              </w:rPr>
              <w:t xml:space="preserve">Future minimum lease payments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2020</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2021</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2022</w:t>
            </w:r>
          </w:p>
        </w:tc>
        <w:tc>
          <w:tcPr>
            <w:tcW w:w="1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1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r>
      <w:tr>
        <w:trPr>
          <w:trHeight w:val="243"/>
        </w:trPr>
        <w:tc>
          <w:tcPr>
            <w:tcW w:w="7820" w:type="dxa"/>
            <w:vAlign w:val="bottom"/>
          </w:tcPr>
          <w:p>
            <w:pPr>
              <w:ind w:left="120"/>
              <w:spacing w:after="0"/>
              <w:rPr>
                <w:sz w:val="20"/>
                <w:szCs w:val="20"/>
                <w:color w:val="auto"/>
              </w:rPr>
            </w:pPr>
            <w:r>
              <w:rPr>
                <w:rFonts w:ascii="Arial" w:cs="Arial" w:eastAsia="Arial" w:hAnsi="Arial"/>
                <w:sz w:val="18"/>
                <w:szCs w:val="18"/>
                <w:color w:val="auto"/>
              </w:rPr>
              <w:t>2024</w:t>
            </w:r>
          </w:p>
        </w:tc>
        <w:tc>
          <w:tcPr>
            <w:tcW w:w="1200" w:type="dxa"/>
            <w:vAlign w:val="bottom"/>
          </w:tcPr>
          <w:p>
            <w:pPr>
              <w:spacing w:after="0"/>
              <w:rPr>
                <w:sz w:val="21"/>
                <w:szCs w:val="21"/>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r>
      <w:tr>
        <w:trPr>
          <w:trHeight w:val="237"/>
        </w:trPr>
        <w:tc>
          <w:tcPr>
            <w:tcW w:w="782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92</w:t>
            </w:r>
          </w:p>
        </w:tc>
      </w:tr>
      <w:tr>
        <w:trPr>
          <w:trHeight w:val="27"/>
        </w:trPr>
        <w:tc>
          <w:tcPr>
            <w:tcW w:w="7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Present value discount</w:t>
            </w:r>
          </w:p>
        </w:tc>
        <w:tc>
          <w:tcPr>
            <w:tcW w:w="1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64"/>
        </w:trPr>
        <w:tc>
          <w:tcPr>
            <w:tcW w:w="782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67</w:t>
            </w:r>
          </w:p>
        </w:tc>
      </w:tr>
      <w:tr>
        <w:trPr>
          <w:trHeight w:val="21"/>
        </w:trPr>
        <w:tc>
          <w:tcPr>
            <w:tcW w:w="7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5" w:name="page176"/>
    <w:bookmarkEnd w:id="1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249555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Excludes future minimum payments for short-term and other immaterial leases not included on our Consolidated Balance Sheet.</w:t>
      </w:r>
    </w:p>
    <w:p>
      <w:pPr>
        <w:spacing w:after="0" w:line="117" w:lineRule="exact"/>
        <w:rPr>
          <w:sz w:val="20"/>
          <w:szCs w:val="20"/>
          <w:color w:val="auto"/>
        </w:rPr>
      </w:pPr>
    </w:p>
    <w:p>
      <w:pPr>
        <w:ind w:left="20" w:right="100" w:hanging="11"/>
        <w:spacing w:after="0" w:line="277" w:lineRule="auto"/>
        <w:rPr>
          <w:sz w:val="20"/>
          <w:szCs w:val="20"/>
          <w:color w:val="auto"/>
        </w:rPr>
      </w:pPr>
      <w:r>
        <w:rPr>
          <w:rFonts w:ascii="Arial" w:cs="Arial" w:eastAsia="Arial" w:hAnsi="Arial"/>
          <w:sz w:val="18"/>
          <w:szCs w:val="18"/>
          <w:color w:val="auto"/>
        </w:rPr>
        <w:t>Includes payments of approximately $2 million for each of the years ending 2020 through 2024 and approximately $23 million thereafter associated with leased storage tanks owned by an equity method investee, in which we own a 50% interest.</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106"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We have entered into a lease that had not yet commenced as of December 31, 2019 with future minimum lease payments totaling approximately $66 million. This lease will be classified as a finance lease, is for crude oil storage tanks owned by an equity method investee in which we own a 50% interest, has a lease term of 16 years and will commence in April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w:t>
      </w:r>
    </w:p>
    <w:p>
      <w:pPr>
        <w:spacing w:after="0" w:line="214"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year ended December 31, 2019, our lease revenue was not material.</w:t>
      </w:r>
    </w:p>
    <w:p>
      <w:pPr>
        <w:spacing w:after="0" w:line="220"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table below presents the maturity of lease payments for operating lease agreements in effect as of December 31, 2019. This presentation includes minimum fixed lease payments and does not include an estimate of variable lease consideration. These agreements have remaining lease terms ranging from two years to 22 years. The following table presents the undiscounted cash flows expected to be received related to these agreements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revenue</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25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208</w:t>
            </w:r>
          </w:p>
        </w:tc>
      </w:tr>
      <w:tr>
        <w:trPr>
          <w:trHeight w:val="27"/>
        </w:trPr>
        <w:tc>
          <w:tcPr>
            <w:tcW w:w="38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25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Income tax expense is estimated using the tax rate in effect or to be in effect during the relevant periods in the jurisdictions in which we operate. Deferred income tax assets and liabilities are recognized for temporary differences between the basis of assets and liabilities for financial reporting and tax purposes and are stated at enacted tax rates expected to be in effect when taxes are actually paid or recovered. To the extent we do not consider it more likely than not that a deferred tax asset will be recovered, a valuation allowance is established. Changes in tax legislation are included in the relevant computations in the period in which such changes are effective. We review contingent tax liabilities for estimated exposures on a more likely than not standard related to our current tax positions.</w:t>
      </w:r>
    </w:p>
    <w:p>
      <w:pPr>
        <w:spacing w:after="0" w:line="22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FASB guidance related to accounting for uncertainty in income taxes, we may recognize the tax benefit from an uncertain tax position only if it is more likely than not that the tax position will be sustained upon examination by the taxing authorities, based on the technical merits of the tax position and also the past administrative practices and precedents of the taxing authority. As of December 31, 2019 and 2018, we had not recognized any material amounts in connection with uncertainty in income taxes.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6" w:name="page177"/>
    <w:bookmarkEnd w:id="1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and State Taxes</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Although we are organized as a limited partnership, we have elected to be treated as a corporation for U.S. federal income tax purposes and are therefore subject to both U.S. federal and state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Federal and Provincial Taxes</w:t>
      </w:r>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 our Canadian operations are conducted by entities that are treated as corporations for Canadian tax purposes (flow through for U.S. income tax purposes) and that are subject to Canadian federal and provincial taxes. Additionally, payments of interest and dividends from our Canadian entities to other Plains entities are subject to Canadian withholding tax that is treated as income tax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Components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income tax expense are as follows (in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w:t>
            </w:r>
          </w:p>
        </w:tc>
        <w:tc>
          <w:tcPr>
            <w:tcW w:w="9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State income tax</w:t>
            </w:r>
          </w:p>
        </w:tc>
        <w:tc>
          <w:tcPr>
            <w:tcW w:w="940" w:type="dxa"/>
            <w:vAlign w:val="bottom"/>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w:t>
            </w:r>
          </w:p>
        </w:tc>
      </w:tr>
      <w:tr>
        <w:trPr>
          <w:trHeight w:val="27"/>
        </w:trPr>
        <w:tc>
          <w:tcPr>
            <w:tcW w:w="6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Canadian federal and provincial income tax</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current income tax expense</w:t>
            </w:r>
          </w:p>
        </w:tc>
        <w:tc>
          <w:tcPr>
            <w:tcW w:w="94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28</w:t>
            </w:r>
          </w:p>
        </w:tc>
      </w:tr>
      <w:tr>
        <w:trPr>
          <w:trHeight w:val="27"/>
        </w:trPr>
        <w:tc>
          <w:tcPr>
            <w:tcW w:w="6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8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Deferred income tax expense/(benefit):</w:t>
            </w: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Federal income tax</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872</w:t>
            </w:r>
          </w:p>
        </w:tc>
      </w:tr>
      <w:tr>
        <w:trPr>
          <w:trHeight w:val="243"/>
        </w:trPr>
        <w:tc>
          <w:tcPr>
            <w:tcW w:w="6840" w:type="dxa"/>
            <w:vAlign w:val="bottom"/>
          </w:tcPr>
          <w:p>
            <w:pPr>
              <w:ind w:left="120"/>
              <w:spacing w:after="0"/>
              <w:rPr>
                <w:sz w:val="20"/>
                <w:szCs w:val="20"/>
                <w:color w:val="auto"/>
              </w:rPr>
            </w:pPr>
            <w:r>
              <w:rPr>
                <w:rFonts w:ascii="Arial" w:cs="Arial" w:eastAsia="Arial" w:hAnsi="Arial"/>
                <w:sz w:val="18"/>
                <w:szCs w:val="18"/>
                <w:color w:val="auto"/>
              </w:rPr>
              <w:t>State income tax</w:t>
            </w:r>
          </w:p>
        </w:tc>
        <w:tc>
          <w:tcPr>
            <w:tcW w:w="94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7"/>
        </w:trPr>
        <w:tc>
          <w:tcPr>
            <w:tcW w:w="6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Canadian federal and provincial income tax</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Total deferred income tax expense</w:t>
            </w:r>
          </w:p>
        </w:tc>
        <w:tc>
          <w:tcPr>
            <w:tcW w:w="940" w:type="dxa"/>
            <w:vAlign w:val="bottom"/>
            <w:tcBorders>
              <w:top w:val="single" w:sz="8" w:color="auto"/>
            </w:tcBorders>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909</w:t>
            </w:r>
          </w:p>
        </w:tc>
      </w:tr>
      <w:tr>
        <w:trPr>
          <w:trHeight w:val="27"/>
        </w:trPr>
        <w:tc>
          <w:tcPr>
            <w:tcW w:w="68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9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937</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difference between income tax expense based on the statutory federal income tax rate and our effective income tax expense is summarized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350"/>
              <w:spacing w:after="0"/>
              <w:rPr>
                <w:sz w:val="20"/>
                <w:szCs w:val="20"/>
                <w:color w:val="auto"/>
              </w:rPr>
            </w:pPr>
            <w:r>
              <w:rPr>
                <w:rFonts w:ascii="Arial" w:cs="Arial" w:eastAsia="Arial" w:hAnsi="Arial"/>
                <w:sz w:val="14"/>
                <w:szCs w:val="14"/>
                <w:b w:val="1"/>
                <w:bCs w:val="1"/>
                <w:color w:val="auto"/>
                <w:w w:val="95"/>
              </w:rPr>
              <w:t>Year Ended December 31,</w:t>
            </w: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96"/>
        </w:trPr>
        <w:tc>
          <w:tcPr>
            <w:tcW w:w="6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7"/>
                <w:szCs w:val="17"/>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666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Income tax at statutory rate</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auto"/>
            </w:tcBorders>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7"/>
        </w:trPr>
        <w:tc>
          <w:tcPr>
            <w:tcW w:w="66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Deferred tax impact of federal tax reform</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w:t>
            </w:r>
          </w:p>
        </w:tc>
        <w:tc>
          <w:tcPr>
            <w:tcW w:w="18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rate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attributable to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Canadian federal and provincial income tax</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Canadian withholding tax</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120"/>
              <w:spacing w:after="0"/>
              <w:rPr>
                <w:sz w:val="20"/>
                <w:szCs w:val="20"/>
                <w:color w:val="auto"/>
              </w:rPr>
            </w:pPr>
            <w:r>
              <w:rPr>
                <w:rFonts w:ascii="Arial" w:cs="Arial" w:eastAsia="Arial" w:hAnsi="Arial"/>
                <w:sz w:val="18"/>
                <w:szCs w:val="18"/>
                <w:color w:val="auto"/>
              </w:rPr>
              <w:t>State income tax</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77" w:name="page178"/>
    <w:bookmarkEnd w:id="1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Deferred tax assets and liabilities are aggregated by the applicable tax paying entity and jurisdiction and result from the following (in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8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Investment in partnerships</w:t>
            </w:r>
          </w:p>
        </w:tc>
        <w:tc>
          <w:tcPr>
            <w:tcW w:w="880" w:type="dxa"/>
            <w:vAlign w:val="bottom"/>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1,049</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operating losses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Lease liabilities</w:t>
            </w:r>
          </w:p>
        </w:tc>
        <w:tc>
          <w:tcPr>
            <w:tcW w:w="880" w:type="dxa"/>
            <w:vAlign w:val="bottom"/>
          </w:tcPr>
          <w:p>
            <w:pPr>
              <w:spacing w:after="0"/>
              <w:rPr>
                <w:sz w:val="21"/>
                <w:szCs w:val="21"/>
                <w:color w:val="auto"/>
              </w:rPr>
            </w:pP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84"/>
              </w:rPr>
              <w:t>1,351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1,325</w:t>
            </w:r>
          </w:p>
        </w:tc>
      </w:tr>
      <w:tr>
        <w:trPr>
          <w:trHeight w:val="27"/>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4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Property and equipment in excess of tax values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Derivative instruments</w:t>
            </w:r>
          </w:p>
        </w:tc>
        <w:tc>
          <w:tcPr>
            <w:tcW w:w="88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 assets</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w:t>
            </w:r>
          </w:p>
        </w:tc>
      </w:tr>
      <w:tr>
        <w:trPr>
          <w:trHeight w:val="27"/>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880" w:type="dxa"/>
            <w:vAlign w:val="bottom"/>
            <w:tcBorders>
              <w:top w:val="single" w:sz="8" w:color="auto"/>
            </w:tcBorders>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803</w:t>
            </w:r>
          </w:p>
        </w:tc>
      </w:tr>
      <w:tr>
        <w:trPr>
          <w:trHeight w:val="27"/>
        </w:trPr>
        <w:tc>
          <w:tcPr>
            <w:tcW w:w="8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Balance sheet classification of deferred tax assets/(liabilities):</w:t>
            </w: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 asset</w:t>
            </w: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84"/>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1,304</w:t>
            </w:r>
          </w:p>
        </w:tc>
      </w:tr>
      <w:tr>
        <w:trPr>
          <w:trHeight w:val="243"/>
        </w:trPr>
        <w:tc>
          <w:tcPr>
            <w:tcW w:w="8400" w:type="dxa"/>
            <w:vAlign w:val="bottom"/>
          </w:tcPr>
          <w:p>
            <w:pPr>
              <w:ind w:left="120"/>
              <w:spacing w:after="0"/>
              <w:rPr>
                <w:sz w:val="20"/>
                <w:szCs w:val="20"/>
                <w:color w:val="auto"/>
              </w:rPr>
            </w:pPr>
            <w:r>
              <w:rPr>
                <w:rFonts w:ascii="Arial" w:cs="Arial" w:eastAsia="Arial" w:hAnsi="Arial"/>
                <w:sz w:val="18"/>
                <w:szCs w:val="18"/>
                <w:color w:val="auto"/>
              </w:rPr>
              <w:t>Other long-term liabilities and deferred credits</w:t>
            </w:r>
          </w:p>
        </w:tc>
        <w:tc>
          <w:tcPr>
            <w:tcW w:w="88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(501)</w:t>
            </w:r>
          </w:p>
        </w:tc>
      </w:tr>
      <w:tr>
        <w:trPr>
          <w:trHeight w:val="27"/>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As a result of the exchange of the ownership interest in AAP in connection with our IPO and all subsequent exchanges, including the exchange of the ownership interests in AAP by EMG and Oxy during 2019, a deferred tax asset was created. These transfers of ownership were accounted for at the historical carrying basis for GAAP accounting purposes, but were recorded at the fair market value of the Class A shares at the time of exchange for U.S. federal income tax purposes. The resulting basis difference resulted in a deferred tax asset that was recorded as a component of partners’ capital as it results from transactions among shareholders. The deferred tax asset is amortized to deferred income tax expense as the associated basis step-up is realized on our tax returns. In connection with the issuance of AAP units and PAA common units and the associated adjustments to partners’ capital attributable to PAGP, a corresponding change to the deferred tax balance was recorded to partners’ capital. See Note 12 for additional information regarding exchanges and the issuance of units by AAP and PAA.</w:t>
      </w:r>
    </w:p>
    <w:p>
      <w:pPr>
        <w:spacing w:after="0" w:line="20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December 22, 2017, the Tax Cuts and Jobs Act (the “2017 Tax Act”) was signed into law. The 2017 Tax Act changed existing U.S. tax law and included numerous provisions that will affect businesses, including a decrease in the corporate federal income tax rate. Prior to the 2017 Tax Act, the value of our deferred tax asset was calculated based on the effective corporate income tax rate of 35%. As a result of the 2017 Tax Act, the value of our deferred tax asset was re-measured as of December 31, 2017 based on the new 21% corporate federal income tax rate, and the reduction in value was recognized as deferred income tax expense for the year ended December 31, 2017.</w:t>
      </w:r>
    </w:p>
    <w:p>
      <w:pPr>
        <w:spacing w:after="0" w:line="215"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As of December 31, 2019, our federal, state, and foreign net operating loss carryforwards for income tax purposes were approximately $1,793 million, $573 million and $9 million. If not utilized, the state and foreign net operating losses will begin to expire in 2020 and 2034, respectively, and a portion of our federal net operating losses will begin to expire in 2033. Under the Tax Act, U.S. federal NOLs generated after 2017 will have an indefinite carryforward period but may only reduce up to 80% of taxable income in any given year. Our U.S. federal NOLs generated prior to 2018 will not be subject to the taxable income limitation and will remain subject to a 20 year carryforward period.</w:t>
      </w:r>
    </w:p>
    <w:p>
      <w:pPr>
        <w:spacing w:after="0" w:line="21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Generally, tax returns for our Canadian entities are open to audit from 2015 through 2019. Our U.S. and state tax years are generally open to examination from 2016 to 2019.</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reference to tax years 2008 to 2014, we have received notices of reassessment (“notices”) from the Canada Revenue Agency and the Alberta Tax and Revenue Administration (the “Canadian Tax Authorities”) related primarily to transfer pricing associated with cross-border intercompany financing transactions. These notices include assessments, including penalties and interest, associated with these transfer pricing matters totaling approximately $78 million (based on the exchange rate as of December 31, 2019). Payment of a portion of the assessment is required in order to file a notice of objection to dispute the reassessment. Accordingly, we have remitted approximately $48 million (based on the exchange rate as of December 31, 2019) related to the assessments, which is included in “Other long-term assets, net,” on our Consolidated Balance Sheets. We disagree with these notices and have contested the reassessments. We intend to vigorously defend our position, and we plan to pursue all remedies available to us to successfully resolve these matters, including administrative remedies with the Canadian Tax Authorities, and judicial remedies, if necessary. As of December 31, 2019, we believe that our tax position associated with these matters is “more likely than not” to be sustained and have not recognized any amounts for uncertainty in income taxes related to these notices.</w:t>
      </w:r>
    </w:p>
    <w:p>
      <w:pPr>
        <w:spacing w:after="0" w:line="205" w:lineRule="exact"/>
        <w:rPr>
          <w:sz w:val="20"/>
          <w:szCs w:val="20"/>
          <w:color w:val="auto"/>
        </w:rPr>
      </w:pPr>
    </w:p>
    <w:p>
      <w:pPr>
        <w:ind w:right="280" w:firstLine="648"/>
        <w:spacing w:after="0" w:line="248" w:lineRule="auto"/>
        <w:rPr>
          <w:sz w:val="20"/>
          <w:szCs w:val="20"/>
          <w:color w:val="auto"/>
        </w:rPr>
      </w:pPr>
      <w:r>
        <w:rPr>
          <w:rFonts w:ascii="Arial" w:cs="Arial" w:eastAsia="Arial" w:hAnsi="Arial"/>
          <w:sz w:val="18"/>
          <w:szCs w:val="18"/>
          <w:color w:val="auto"/>
        </w:rPr>
        <w:t>During the second quarter of 2019, the Alberta government enacted legislation that reduces the Alberta provincial corporate income tax rate from 12% to 8% over the period from July 1, 2019 through January 1, 2022. As a result, during the second quarter of 2019, we recognized a reduction of our deferred income tax liability of approximately $60 million and a corresponding deferred tax benefit.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16—Major Customers and Concentration of Credit Risk</w:t>
      </w:r>
    </w:p>
    <w:p>
      <w:pPr>
        <w:spacing w:after="0" w:line="256"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Marathon Petroleum Corporation and its subsidiaries accounted for 12%, 14% and 19% of our revenues for the years ended December 31, 2019, 2018 and 2017, respectively. ExxonMobil Corporation and its subsidiaries accounted for 12%, 14% and 11% of our revenues for the years ended December 31, 2019, 2018 and 2017, respectively. Phillips 66 Company and its subsidiaries accounted for 11% of our revenues for each of the years ended December 31, 2019 and 2017. No other customers accounted for 10% or more of our revenues during any of the three years ended December 31, 2019. The majority of revenues from these customers pertain to our supply and logistics operations. The sales to these customers occur at multiple locations and we believe that the loss of these customers would have only a short-term impact on our operating results. There is risk, however, that we would not be able to identify and access a replacement market at comparable margins.</w:t>
      </w:r>
    </w:p>
    <w:p>
      <w:pPr>
        <w:spacing w:after="0" w:line="20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trade receivables. Our accounts receivable are primarily from purchasers and shippers of crude oil and, to a lesser extent, purchasers of NGL. This industry concentration has the potential to impact our overall exposure to credit risk in that the customers may be similarly affected by changes in economic, industry or other conditions. We review credit exposure and financial information of our counterparties and generally require letters of credit for receivables from customers that are not considered creditworthy, unless the credit risk can otherwise be reduced. See Note 3 for additional discussion of our accounts receivable and our review of credit exposure.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17—Related Party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PAA’s Ownership of our Class C Shares</w:t>
      </w:r>
    </w:p>
    <w:p>
      <w:pPr>
        <w:spacing w:after="0" w:line="252"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As of December 31, 2019 and 2018, PAA owned 549,538,139 and 516,938,280, respectively, Class C shares. The Class C shares represent a non-economic limited partner interest in us that provides PAA, as the sole holder, a “pass-through” voting right through which PAA’s common unitholders and Series A preferred unitholders have the effective right to vote, pro rata with the holders of our Class A and Class B shares, for the election of eligible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Plains Entities entered into an Omnibus Agreement on November 15, 2016, which, among other things, provides for the following:</w:t>
      </w:r>
    </w:p>
    <w:p>
      <w:pPr>
        <w:spacing w:after="0" w:line="252" w:lineRule="exact"/>
        <w:rPr>
          <w:sz w:val="20"/>
          <w:szCs w:val="20"/>
          <w:color w:val="auto"/>
        </w:rPr>
      </w:pPr>
    </w:p>
    <w:p>
      <w:pPr>
        <w:ind w:left="660" w:right="700" w:hanging="328"/>
        <w:spacing w:after="0" w:line="308" w:lineRule="auto"/>
        <w:tabs>
          <w:tab w:leader="none" w:pos="65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our ability to issue additional Class A shares and use the net proceeds therefrom to purchase a like number of AAP units from AAP, and the corresponding ability of AAP to use the net proceeds therefrom to purchase a like number of PAA common units;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9" w:name="page180"/>
    <w:bookmarkEnd w:id="1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left="660" w:right="320" w:hanging="328"/>
        <w:spacing w:after="0" w:line="277" w:lineRule="auto"/>
        <w:tabs>
          <w:tab w:leader="none" w:pos="6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our ability to lend proceeds of any future indebtedness incurred by us to AAP, and AAP’s corresponding ability to lend such proceeds to PAA, in each case on substantially the same terms as incurred by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Other Related Parties</w:t>
      </w:r>
    </w:p>
    <w:p>
      <w:pPr>
        <w:spacing w:after="0" w:line="2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other related parties include (i) principal owners and their affiliated entities and (ii) entities in which we hold investments and account for under the equity method of accounting (see Note 9 for information regarding such entities). We recognize as our principal owners entities that have a designated representative on the board of directors of our general partner and/or own greater than 10% of the limited partner interests in AAP. Such limited partner interests in AAP translates into a significantly smaller indirect ownership interest in PAA. We also consider subsidiaries or funds identified as affiliated with principal owners to be related parties.</w:t>
      </w:r>
    </w:p>
    <w:p>
      <w:pPr>
        <w:spacing w:after="0" w:line="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As of December 31, 2019, Kayne Anderson Capital Advisors, L.P. was a principal owner. Through various transactions by an affiliate of EMG in May 2019, EMG</w:t>
      </w:r>
      <w:r>
        <w:rPr>
          <w:rFonts w:ascii="Arial" w:cs="Arial" w:eastAsia="Arial" w:hAnsi="Arial"/>
          <w:sz w:val="21"/>
          <w:szCs w:val="21"/>
          <w:color w:val="auto"/>
        </w:rPr>
        <w:t>’</w:t>
      </w:r>
      <w:r>
        <w:rPr>
          <w:rFonts w:ascii="Arial" w:cs="Arial" w:eastAsia="Arial" w:hAnsi="Arial"/>
          <w:sz w:val="18"/>
          <w:szCs w:val="18"/>
          <w:color w:val="auto"/>
        </w:rPr>
        <w:t>s limited partner interest in AAP was significantly reduced, which caused EMG to lose its right to designate a representative on the board of directors of PAGP GP. As a result, EMG</w:t>
      </w:r>
      <w:r>
        <w:rPr>
          <w:rFonts w:ascii="Arial" w:cs="Arial" w:eastAsia="Arial" w:hAnsi="Arial"/>
          <w:sz w:val="21"/>
          <w:szCs w:val="21"/>
          <w:color w:val="auto"/>
        </w:rPr>
        <w:t>’</w:t>
      </w:r>
      <w:r>
        <w:rPr>
          <w:rFonts w:ascii="Arial" w:cs="Arial" w:eastAsia="Arial" w:hAnsi="Arial"/>
          <w:sz w:val="18"/>
          <w:szCs w:val="18"/>
          <w:color w:val="auto"/>
        </w:rPr>
        <w:t>s board designee, John T. Raymond, was automatically removed from the PAGP GP board. Subsequent to such removal, Mr. Raymond was elected to continue to serve as a director of the PAGP GP board. Additionally, as a result of various transactions by Oxy in September 2019, Oxy no longer holds a limited partner interest in AAP and lost its right to designate a representative on the board of directors of PAGP GP. As a result, Oxy</w:t>
      </w:r>
      <w:r>
        <w:rPr>
          <w:rFonts w:ascii="Arial" w:cs="Arial" w:eastAsia="Arial" w:hAnsi="Arial"/>
          <w:sz w:val="21"/>
          <w:szCs w:val="21"/>
          <w:color w:val="auto"/>
        </w:rPr>
        <w:t>’</w:t>
      </w:r>
      <w:r>
        <w:rPr>
          <w:rFonts w:ascii="Arial" w:cs="Arial" w:eastAsia="Arial" w:hAnsi="Arial"/>
          <w:sz w:val="18"/>
          <w:szCs w:val="18"/>
          <w:color w:val="auto"/>
        </w:rPr>
        <w:t>s board designee, Oscar Brown, was automatically removed from the PAGP GP board. Following these transactions, we no longer recognize EMG or Oxy as a principal owner.</w:t>
      </w:r>
    </w:p>
    <w:p>
      <w:pPr>
        <w:spacing w:after="0" w:line="216"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During the three years ended December 31, 2019,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Consolidated Statements of Operations from these transactions is included below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684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Revenues from related parties </w:t>
            </w:r>
            <w:r>
              <w:rPr>
                <w:rFonts w:ascii="Arial" w:cs="Arial" w:eastAsia="Arial" w:hAnsi="Arial"/>
                <w:sz w:val="23"/>
                <w:szCs w:val="23"/>
                <w:color w:val="auto"/>
                <w:vertAlign w:val="superscript"/>
              </w:rPr>
              <w:t>(1) (2)</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692</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927</w:t>
            </w:r>
          </w:p>
        </w:tc>
      </w:tr>
      <w:tr>
        <w:trPr>
          <w:trHeight w:val="270"/>
        </w:trPr>
        <w:tc>
          <w:tcPr>
            <w:tcW w:w="68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Purchases and related costs from related parties </w:t>
            </w:r>
            <w:r>
              <w:rPr>
                <w:rFonts w:ascii="Arial" w:cs="Arial" w:eastAsia="Arial" w:hAnsi="Arial"/>
                <w:sz w:val="23"/>
                <w:szCs w:val="23"/>
                <w:color w:val="auto"/>
                <w:vertAlign w:val="superscript"/>
              </w:rPr>
              <w:t>(2)</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223</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A majority of these revenues are included in “Supply and Logistics segment revenues” on our Consolidated Statements of Operations.</w:t>
      </w:r>
    </w:p>
    <w:p>
      <w:pPr>
        <w:spacing w:after="0" w:line="129" w:lineRule="exact"/>
        <w:rPr>
          <w:sz w:val="20"/>
          <w:szCs w:val="20"/>
          <w:color w:val="auto"/>
        </w:rPr>
      </w:pPr>
    </w:p>
    <w:p>
      <w:pPr>
        <w:ind w:left="20" w:right="220" w:hanging="11"/>
        <w:spacing w:after="0" w:line="277" w:lineRule="auto"/>
        <w:rPr>
          <w:sz w:val="20"/>
          <w:szCs w:val="20"/>
          <w:color w:val="auto"/>
        </w:rPr>
      </w:pPr>
      <w:r>
        <w:rPr>
          <w:rFonts w:ascii="Arial" w:cs="Arial" w:eastAsia="Arial" w:hAnsi="Arial"/>
          <w:sz w:val="18"/>
          <w:szCs w:val="18"/>
          <w:color w:val="auto"/>
        </w:rPr>
        <w:t>Crude oil purchases that are part of inventory exchanges under buy/sell transactions are netted with the related sales, with any margin presented in “Purchases and related costs” in our Consolidated Statements of Operations.</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Our receivable and payable amounts with these related parties as reflected on our Consolidated Balance Sheets were as follows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6"/>
        </w:trPr>
        <w:tc>
          <w:tcPr>
            <w:tcW w:w="84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receivable and other receivables, net from related parties </w:t>
            </w:r>
            <w:r>
              <w:rPr>
                <w:rFonts w:ascii="Arial" w:cs="Arial" w:eastAsia="Arial" w:hAnsi="Arial"/>
                <w:sz w:val="23"/>
                <w:szCs w:val="23"/>
                <w:color w:val="auto"/>
                <w:vertAlign w:val="superscript"/>
              </w:rPr>
              <w:t>(1) (2)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144</w:t>
            </w:r>
          </w:p>
        </w:tc>
      </w:tr>
      <w:tr>
        <w:trPr>
          <w:trHeight w:val="270"/>
        </w:trPr>
        <w:tc>
          <w:tcPr>
            <w:tcW w:w="8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Trade accounts payable to related parties </w:t>
            </w:r>
            <w:r>
              <w:rPr>
                <w:rFonts w:ascii="Arial" w:cs="Arial" w:eastAsia="Arial" w:hAnsi="Arial"/>
                <w:sz w:val="23"/>
                <w:szCs w:val="23"/>
                <w:color w:val="auto"/>
                <w:vertAlign w:val="superscript"/>
              </w:rPr>
              <w:t>(1) (2) (3)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49555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a netting arrangement with certain related parties. Receivables and payables are presented net of such amounts.</w:t>
      </w:r>
    </w:p>
    <w:p>
      <w:pPr>
        <w:spacing w:after="0" w:line="117" w:lineRule="exact"/>
        <w:rPr>
          <w:sz w:val="20"/>
          <w:szCs w:val="20"/>
          <w:color w:val="auto"/>
        </w:rPr>
      </w:pPr>
    </w:p>
    <w:p>
      <w:pPr>
        <w:ind w:left="20" w:right="340" w:hanging="11"/>
        <w:spacing w:after="0" w:line="277" w:lineRule="auto"/>
        <w:rPr>
          <w:sz w:val="20"/>
          <w:szCs w:val="20"/>
          <w:color w:val="auto"/>
        </w:rPr>
      </w:pPr>
      <w:r>
        <w:rPr>
          <w:rFonts w:ascii="Arial" w:cs="Arial" w:eastAsia="Arial" w:hAnsi="Arial"/>
          <w:sz w:val="18"/>
          <w:szCs w:val="18"/>
          <w:color w:val="auto"/>
        </w:rPr>
        <w:t>Includes amounts related to crude oil purchases and sales, transportation services and amounts owed to us or advanced to us related to expansion projects of equity method investees where we serve as construction manager.</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80" w:name="page181"/>
    <w:bookmarkEnd w:id="1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ind w:left="660" w:right="140" w:hanging="652"/>
        <w:spacing w:after="0" w:line="267" w:lineRule="auto"/>
        <w:tabs>
          <w:tab w:leader="none" w:pos="648" w:val="left"/>
        </w:tabs>
        <w:numPr>
          <w:ilvl w:val="0"/>
          <w:numId w:val="110"/>
        </w:numPr>
        <w:rPr>
          <w:rFonts w:ascii="Arial" w:cs="Arial" w:eastAsia="Arial" w:hAnsi="Arial"/>
          <w:sz w:val="21"/>
          <w:szCs w:val="21"/>
          <w:color w:val="auto"/>
          <w:vertAlign w:val="superscript"/>
        </w:rPr>
      </w:pPr>
      <w:r>
        <w:rPr>
          <w:rFonts w:ascii="Arial" w:cs="Arial" w:eastAsia="Arial" w:hAnsi="Arial"/>
          <w:sz w:val="16"/>
          <w:szCs w:val="16"/>
          <w:color w:val="auto"/>
        </w:rPr>
        <w:t>We have an agreement to transport crude oil at posted tariff rates on a pipeline that is owned by an equity method investee, in which we own a 50% interest. A portion of our commitment to transport is supported by crude oil buy/sell agreements with third parties with commensurate quantities.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18—Equity-Indexed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and PAA Long-Term Incentive Plan Awards</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7"/>
          <w:szCs w:val="17"/>
          <w:color w:val="auto"/>
        </w:rPr>
        <w:t>Our LTIP awards include both liability-classified and equity-classified awards. In accordance with FASB guidance regarding share-based payments, the fair value of liability-classified LTIP awards is calculated based on the closing market price of the underlying PAGP share or PAA unit at each balance sheet date and adjusted for the present value of any distributions that are estimated to occur on the underlying shares or units over the vesting period that will not be received by the award recipients. The fair value of equity-classified LTIP awards is calculated based on the closing market price of the underlying PAGP share or PAA unit on the respective grant dates and adjusted for the present value of any distributions that are estimated to occur on the underlying shares or units over the vesting period that will not be received by the award recipient. This fair value is recognized as compensation expense over the service period. We have elected to recognize forfeitures of awards when they occur.</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LTIP awards contain (i) time based vesting criteria, (ii) performance conditions based on the attainment of certain levels of four quarter trailing distributable cash flow (“DCF”) per PAA common unit (or in some instances, per PAA common unit and common equivalent unit) or (iii) a combination of time based vesting criteria and performance conditions based on four quarter trailing DCF per PAA common unit (or per PAA common unit and common equivalent unit). For awards with performance conditions, expense is accrued over the service period only if the performance condition is considered probable of occurring. When awards with performance conditions that were previously considered improbable become probable, we incur additional expense in the period that the probability assessment changes. This is necessary to bring the accrued obligation associated with these awards up to the level it would be if we had been accruing for these awards since the grant date.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awards authorized under our LTIPs as of December 31, 2019 (in millions):</w:t>
      </w: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LTIP</w:t>
            </w:r>
          </w:p>
        </w:tc>
        <w:tc>
          <w:tcPr>
            <w:tcW w:w="100" w:type="dxa"/>
            <w:vAlign w:val="bottom"/>
            <w:vMerge w:val="restart"/>
          </w:tcPr>
          <w:p>
            <w:pPr>
              <w:spacing w:after="0"/>
              <w:rPr>
                <w:sz w:val="14"/>
                <w:szCs w:val="14"/>
                <w:color w:val="auto"/>
              </w:rPr>
            </w:pPr>
          </w:p>
        </w:tc>
        <w:tc>
          <w:tcPr>
            <w:tcW w:w="2200" w:type="dxa"/>
            <w:vAlign w:val="bottom"/>
          </w:tcPr>
          <w:p>
            <w:pPr>
              <w:jc w:val="right"/>
              <w:ind w:right="855"/>
              <w:spacing w:after="0"/>
              <w:rPr>
                <w:sz w:val="20"/>
                <w:szCs w:val="20"/>
                <w:color w:val="auto"/>
              </w:rPr>
            </w:pPr>
            <w:r>
              <w:rPr>
                <w:rFonts w:ascii="Arial" w:cs="Arial" w:eastAsia="Arial" w:hAnsi="Arial"/>
                <w:sz w:val="14"/>
                <w:szCs w:val="14"/>
                <w:b w:val="1"/>
                <w:bCs w:val="1"/>
                <w:color w:val="auto"/>
              </w:rPr>
              <w:t>LTIP</w:t>
            </w:r>
          </w:p>
        </w:tc>
        <w:tc>
          <w:tcPr>
            <w:tcW w:w="0" w:type="dxa"/>
            <w:vAlign w:val="bottom"/>
          </w:tcPr>
          <w:p>
            <w:pPr>
              <w:spacing w:after="0"/>
              <w:rPr>
                <w:sz w:val="1"/>
                <w:szCs w:val="1"/>
                <w:color w:val="auto"/>
              </w:rPr>
            </w:pPr>
          </w:p>
        </w:tc>
      </w:tr>
      <w:tr>
        <w:trPr>
          <w:trHeight w:val="188"/>
        </w:trPr>
        <w:tc>
          <w:tcPr>
            <w:tcW w:w="9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Awards Authorized</w:t>
            </w:r>
          </w:p>
        </w:tc>
        <w:tc>
          <w:tcPr>
            <w:tcW w:w="0" w:type="dxa"/>
            <w:vAlign w:val="bottom"/>
          </w:tcPr>
          <w:p>
            <w:pPr>
              <w:spacing w:after="0"/>
              <w:rPr>
                <w:sz w:val="1"/>
                <w:szCs w:val="1"/>
                <w:color w:val="auto"/>
              </w:rPr>
            </w:pPr>
          </w:p>
        </w:tc>
      </w:tr>
      <w:tr>
        <w:trPr>
          <w:trHeight w:val="245"/>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GP Holdings, L.P. Long-Term Incentive Plan</w:t>
            </w:r>
          </w:p>
        </w:tc>
        <w:tc>
          <w:tcPr>
            <w:tcW w:w="2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Plains All American 2013 Long-Term Incentive Plan</w:t>
            </w:r>
          </w:p>
        </w:tc>
        <w:tc>
          <w:tcPr>
            <w:tcW w:w="2200" w:type="dxa"/>
            <w:vAlign w:val="bottom"/>
          </w:tcPr>
          <w:p>
            <w:pPr>
              <w:jc w:val="right"/>
              <w:ind w:right="7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Plains All American PNG Successor Long-Term Incentive Plan</w:t>
            </w:r>
          </w:p>
        </w:tc>
        <w:tc>
          <w:tcPr>
            <w:tcW w:w="22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9120" w:type="dxa"/>
            <w:vAlign w:val="bottom"/>
            <w:gridSpan w:val="2"/>
          </w:tcPr>
          <w:p>
            <w:pPr>
              <w:ind w:left="20"/>
              <w:spacing w:after="0"/>
              <w:rPr>
                <w:sz w:val="20"/>
                <w:szCs w:val="20"/>
                <w:color w:val="auto"/>
              </w:rPr>
            </w:pPr>
            <w:r>
              <w:rPr>
                <w:rFonts w:ascii="Arial" w:cs="Arial" w:eastAsia="Arial" w:hAnsi="Arial"/>
                <w:sz w:val="18"/>
                <w:szCs w:val="18"/>
                <w:color w:val="auto"/>
              </w:rPr>
              <w:t>Plains All American GP LLC 2006 Long-Term Incentive Tracking Unit Plan</w:t>
            </w:r>
          </w:p>
        </w:tc>
        <w:tc>
          <w:tcPr>
            <w:tcW w:w="2200" w:type="dxa"/>
            <w:vAlign w:val="bottom"/>
          </w:tcPr>
          <w:p>
            <w:pPr>
              <w:jc w:val="right"/>
              <w:ind w:right="75"/>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22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3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400" w:hanging="652"/>
        <w:spacing w:after="0" w:line="227" w:lineRule="auto"/>
        <w:tabs>
          <w:tab w:leader="none" w:pos="648" w:val="left"/>
        </w:tabs>
        <w:numPr>
          <w:ilvl w:val="0"/>
          <w:numId w:val="111"/>
        </w:numPr>
        <w:rPr>
          <w:rFonts w:ascii="Arial" w:cs="Arial" w:eastAsia="Arial" w:hAnsi="Arial"/>
          <w:sz w:val="23"/>
          <w:szCs w:val="23"/>
          <w:color w:val="auto"/>
          <w:vertAlign w:val="superscript"/>
        </w:rPr>
      </w:pPr>
      <w:r>
        <w:rPr>
          <w:rFonts w:ascii="Arial" w:cs="Arial" w:eastAsia="Arial" w:hAnsi="Arial"/>
          <w:sz w:val="18"/>
          <w:szCs w:val="18"/>
          <w:color w:val="auto"/>
        </w:rPr>
        <w:t>Of the 29.0 million total awards authorized, 9.5 million awards are currently available. The remaining balance has already vested or is currently outstanding.</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Although other types of awards are contemplated under certain of the LTIPs, currently outstanding awards are limited to “phantom units,” which mature into the right to receive our Class A shares or common units of PAA (or cash equivalent) upon vesting, and “tracking units,” which, upon vesting, represent the right to receive a cash payment in an amount based upon the market value of a PAA common unit at the time of vesting. Some awards also include DERs, which, subject to applicable vesting criteria, entitle the grantee to a cash payment equal to the cash distribution paid on an outstanding Class A share or PAA common unit. The DERs terminate with the vesting or forfeiture of the underlying LTIP award.</w:t>
      </w:r>
    </w:p>
    <w:p>
      <w:pPr>
        <w:spacing w:after="0" w:line="20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As of December 31, 2019, 7.1 million PAA LTIP awards and 0.1 million PAGP LTIP awards were outstanding. Of this amount, 5.4 million PAA LTIP awards and 0.1 million PAGP LTIP awards include DERs. The outstanding and probable LTIP awards are expected to vest at various dates between January 2020 and August 2026.</w:t>
      </w:r>
    </w:p>
    <w:p>
      <w:pPr>
        <w:spacing w:after="0" w:line="20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Our accrued liability at December 31, 2019 related to all outstanding liability-classified LTIP awards and DERs was $13 million, of which $10 million was classified as short-term and $3 million was classified as long-term. At December 31, 2018, the accrued liability was $27 million, of which $19 million was classified as short-term and $8 million was classified as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1" w:name="page182"/>
    <w:bookmarkEnd w:id="1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long-term. These short- and long-term accrued LTIP liabilities are reflected in “Other current liabilities” and “Other long-term liabilities and deferred credits,” respectively, on our Consolidated Balance Sheets.</w:t>
      </w:r>
    </w:p>
    <w:p>
      <w:pPr>
        <w:spacing w:after="0" w:line="19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Activity for PAA LTIP awards under our equity-indexed compensation plans denominated in PAA units is summarized in the following table (units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PAA Units </w:t>
            </w:r>
            <w:r>
              <w:rPr>
                <w:rFonts w:ascii="Arial" w:cs="Arial" w:eastAsia="Arial" w:hAnsi="Arial"/>
                <w:sz w:val="9"/>
                <w:szCs w:val="9"/>
                <w:b w:val="1"/>
                <w:bCs w:val="1"/>
                <w:color w:val="auto"/>
              </w:rPr>
              <w:t>(1) (2)</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0" w:type="dxa"/>
            <w:vAlign w:val="bottom"/>
          </w:tcPr>
          <w:p>
            <w:pPr>
              <w:jc w:val="center"/>
              <w:ind w:right="513"/>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Units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0" w:type="dxa"/>
            <w:vAlign w:val="bottom"/>
          </w:tcPr>
          <w:p>
            <w:pPr>
              <w:jc w:val="center"/>
              <w:ind w:right="493"/>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96"/>
              </w:rPr>
              <w:t>Fair Value per Unit</w:t>
            </w:r>
          </w:p>
        </w:tc>
        <w:tc>
          <w:tcPr>
            <w:tcW w:w="0" w:type="dxa"/>
            <w:vAlign w:val="bottom"/>
          </w:tcPr>
          <w:p>
            <w:pPr>
              <w:spacing w:after="0"/>
              <w:rPr>
                <w:sz w:val="1"/>
                <w:szCs w:val="1"/>
                <w:color w:val="auto"/>
              </w:rPr>
            </w:pPr>
          </w:p>
        </w:tc>
      </w:tr>
      <w:tr>
        <w:trPr>
          <w:trHeight w:val="29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4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Granted</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Modified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3"/>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Cancelled or forfeited</w:t>
            </w:r>
          </w:p>
        </w:tc>
        <w:tc>
          <w:tcPr>
            <w:tcW w:w="14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64"/>
        </w:trPr>
        <w:tc>
          <w:tcPr>
            <w:tcW w:w="686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14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6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Vested</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Modified</w:t>
            </w:r>
          </w:p>
        </w:tc>
        <w:tc>
          <w:tcPr>
            <w:tcW w:w="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4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ind w:right="5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43"/>
        </w:trPr>
        <w:tc>
          <w:tcPr>
            <w:tcW w:w="8260" w:type="dxa"/>
            <w:vAlign w:val="bottom"/>
            <w:gridSpan w:val="2"/>
          </w:tcPr>
          <w:p>
            <w:pPr>
              <w:ind w:left="120"/>
              <w:spacing w:after="0"/>
              <w:rPr>
                <w:sz w:val="20"/>
                <w:szCs w:val="20"/>
                <w:color w:val="auto"/>
              </w:rPr>
            </w:pPr>
            <w:r>
              <w:rPr>
                <w:rFonts w:ascii="Arial" w:cs="Arial" w:eastAsia="Arial" w:hAnsi="Arial"/>
                <w:sz w:val="18"/>
                <w:szCs w:val="18"/>
                <w:color w:val="auto"/>
              </w:rPr>
              <w:t>Cancelled or forfeited</w:t>
            </w: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3"/>
              <w:spacing w:after="0"/>
              <w:rPr>
                <w:sz w:val="20"/>
                <w:szCs w:val="20"/>
                <w:color w:val="auto"/>
              </w:rPr>
            </w:pPr>
            <w:r>
              <w:rPr>
                <w:rFonts w:ascii="Arial" w:cs="Arial" w:eastAsia="Arial" w:hAnsi="Arial"/>
                <w:sz w:val="18"/>
                <w:szCs w:val="18"/>
                <w:color w:val="auto"/>
              </w:rPr>
              <w:t>23.12</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6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3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Amounts do not include PAGP LTIP awards.</w:t>
      </w:r>
    </w:p>
    <w:p>
      <w:pPr>
        <w:spacing w:after="0" w:line="117" w:lineRule="exact"/>
        <w:rPr>
          <w:sz w:val="20"/>
          <w:szCs w:val="20"/>
          <w:color w:val="auto"/>
        </w:rPr>
      </w:pPr>
    </w:p>
    <w:p>
      <w:pPr>
        <w:jc w:val="both"/>
        <w:ind w:left="20" w:right="340" w:hanging="11"/>
        <w:spacing w:after="0" w:line="312" w:lineRule="auto"/>
        <w:rPr>
          <w:sz w:val="20"/>
          <w:szCs w:val="20"/>
          <w:color w:val="auto"/>
        </w:rPr>
      </w:pPr>
      <w:r>
        <w:rPr>
          <w:rFonts w:ascii="Arial" w:cs="Arial" w:eastAsia="Arial" w:hAnsi="Arial"/>
          <w:sz w:val="16"/>
          <w:szCs w:val="16"/>
          <w:color w:val="auto"/>
        </w:rPr>
        <w:t>Approximately 1.4 million, 0.6 million and 0.6 million PAA common units were issued, net of tax withholding of approximately 0.6 million, 0.2 million and 0.2 million units during 2019, 2018 and 2017, respectively, in connection with the settlement of vested awards. The remaining PAA awards (approximately 1.3 million, 0.9 million and 0.9 million units) that vested during 2019, 2018 and 2017, respectively, were settled in cash.</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Equity-Indexed Compensation Plan Information</w:t>
      </w:r>
    </w:p>
    <w:p>
      <w:pPr>
        <w:spacing w:after="0" w:line="25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We refer to all of the LTIPs as our “equity-indexed compensation plans.” The table below summarizes the expense recognized and the value of vested LTIP awards (settled in PAA common units, Class A shares and cash) under our equity-indexed compensation plans and includes both liability-classified and equity-classified awards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295910</wp:posOffset>
            </wp:positionV>
            <wp:extent cx="28898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Equity-indexed compensation expense</w:t>
            </w:r>
          </w:p>
        </w:tc>
        <w:tc>
          <w:tcPr>
            <w:tcW w:w="10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LTIP unit or share-settled vestings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16</w:t>
            </w:r>
          </w:p>
        </w:tc>
      </w:tr>
      <w:tr>
        <w:trPr>
          <w:trHeight w:val="27"/>
        </w:trPr>
        <w:tc>
          <w:tcPr>
            <w:tcW w:w="6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 cash-settled vestings</w:t>
            </w:r>
          </w:p>
        </w:tc>
        <w:tc>
          <w:tcPr>
            <w:tcW w:w="1000" w:type="dxa"/>
            <w:vAlign w:val="bottom"/>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25</w:t>
            </w:r>
          </w:p>
        </w:tc>
      </w:tr>
      <w:tr>
        <w:trPr>
          <w:trHeight w:val="27"/>
        </w:trPr>
        <w:tc>
          <w:tcPr>
            <w:tcW w:w="68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Based on the December 31, 2019 fair value measurement and probability assessment regarding future performance conditions based on distributable cash flow measures determined by management, we expect to recognize $54 million of additional expense over the life of our outstanding awards related to the remaining unrecognized fair value. Actual amounts may differ materially as a result of a change in the market price of PAA’s common units and our Class A shares and/or probability assessments regarding future distributable cash flow measures. We estimate that the remaining fair value will be recognized in expense as shown below (in millions):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82" w:name="page183"/>
    <w:bookmarkEnd w:id="1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710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rPr>
              <w:t>PLAINS GP HOLDINGS, L.P. AND SUBSIDIARIES</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710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9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Equity-Indexed</w:t>
            </w: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320" w:type="dxa"/>
            <w:vAlign w:val="bottom"/>
          </w:tcPr>
          <w:p>
            <w:pPr>
              <w:jc w:val="center"/>
              <w:ind w:right="115"/>
              <w:spacing w:after="0" w:line="135" w:lineRule="exact"/>
              <w:rPr>
                <w:sz w:val="20"/>
                <w:szCs w:val="20"/>
                <w:color w:val="auto"/>
              </w:rPr>
            </w:pPr>
            <w:r>
              <w:rPr>
                <w:rFonts w:ascii="Arial" w:cs="Arial" w:eastAsia="Arial" w:hAnsi="Arial"/>
                <w:sz w:val="14"/>
                <w:szCs w:val="14"/>
                <w:b w:val="1"/>
                <w:bCs w:val="1"/>
                <w:color w:val="auto"/>
                <w:w w:val="93"/>
              </w:rPr>
              <w:t>Compensation Plan Fair Value</w:t>
            </w:r>
          </w:p>
        </w:tc>
        <w:tc>
          <w:tcPr>
            <w:tcW w:w="0" w:type="dxa"/>
            <w:vAlign w:val="bottom"/>
          </w:tcPr>
          <w:p>
            <w:pPr>
              <w:spacing w:after="0"/>
              <w:rPr>
                <w:sz w:val="1"/>
                <w:szCs w:val="1"/>
                <w:color w:val="auto"/>
              </w:rPr>
            </w:pPr>
          </w:p>
        </w:tc>
      </w:tr>
      <w:tr>
        <w:trPr>
          <w:trHeight w:val="188"/>
        </w:trPr>
        <w:tc>
          <w:tcPr>
            <w:tcW w:w="1960" w:type="dxa"/>
            <w:vAlign w:val="bottom"/>
            <w:tcBorders>
              <w:bottom w:val="single" w:sz="8" w:color="auto"/>
            </w:tcBorders>
            <w:vMerge w:val="continue"/>
          </w:tcPr>
          <w:p>
            <w:pPr>
              <w:spacing w:after="0"/>
              <w:rPr>
                <w:sz w:val="16"/>
                <w:szCs w:val="16"/>
                <w:color w:val="auto"/>
              </w:rPr>
            </w:pPr>
          </w:p>
        </w:tc>
        <w:tc>
          <w:tcPr>
            <w:tcW w:w="67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5"/>
              </w:rPr>
              <w:t xml:space="preserve">Amortization </w:t>
            </w:r>
            <w:r>
              <w:rPr>
                <w:rFonts w:ascii="Arial" w:cs="Arial" w:eastAsia="Arial" w:hAnsi="Arial"/>
                <w:sz w:val="9"/>
                <w:szCs w:val="9"/>
                <w:b w:val="1"/>
                <w:bCs w:val="1"/>
                <w:color w:val="auto"/>
                <w:w w:val="95"/>
              </w:rPr>
              <w:t>(1)</w:t>
            </w:r>
          </w:p>
        </w:tc>
        <w:tc>
          <w:tcPr>
            <w:tcW w:w="0" w:type="dxa"/>
            <w:vAlign w:val="bottom"/>
          </w:tcPr>
          <w:p>
            <w:pPr>
              <w:spacing w:after="0"/>
              <w:rPr>
                <w:sz w:val="1"/>
                <w:szCs w:val="1"/>
                <w:color w:val="auto"/>
              </w:rPr>
            </w:pPr>
          </w:p>
        </w:tc>
      </w:tr>
      <w:tr>
        <w:trPr>
          <w:trHeight w:val="24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2021</w:t>
            </w:r>
          </w:p>
        </w:tc>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75"/>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2023</w:t>
            </w:r>
          </w:p>
        </w:tc>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ind w:right="7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660" w:right="180" w:hanging="652"/>
        <w:spacing w:after="0" w:line="227" w:lineRule="auto"/>
        <w:tabs>
          <w:tab w:leader="none" w:pos="648" w:val="left"/>
        </w:tabs>
        <w:numPr>
          <w:ilvl w:val="0"/>
          <w:numId w:val="112"/>
        </w:numPr>
        <w:rPr>
          <w:rFonts w:ascii="Arial" w:cs="Arial" w:eastAsia="Arial" w:hAnsi="Arial"/>
          <w:sz w:val="23"/>
          <w:szCs w:val="23"/>
          <w:color w:val="auto"/>
          <w:vertAlign w:val="superscript"/>
        </w:rPr>
      </w:pPr>
      <w:r>
        <w:rPr>
          <w:rFonts w:ascii="Arial" w:cs="Arial" w:eastAsia="Arial" w:hAnsi="Arial"/>
          <w:sz w:val="18"/>
          <w:szCs w:val="18"/>
          <w:color w:val="auto"/>
        </w:rPr>
        <w:t>Amounts do not include fair value associated with awards containing performance conditions that are not considered to be probable of occurring at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5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have commitments, some of which are leases, related to real property, equipment and operating facilities. We also incur costs associated with leased land, rights-of-way, permits and regulatory fees. Future noncancelable commitments related to these items at December 31, 2019 are summarized below (in millions):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6"/>
                <w:szCs w:val="16"/>
                <w:color w:val="auto"/>
              </w:rPr>
            </w:pPr>
          </w:p>
        </w:tc>
        <w:tc>
          <w:tcPr>
            <w:tcW w:w="76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27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69</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754</w:t>
            </w:r>
          </w:p>
        </w:tc>
      </w:tr>
      <w:tr>
        <w:trPr>
          <w:trHeight w:val="27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2,375</w:t>
            </w:r>
          </w:p>
        </w:tc>
      </w:tr>
      <w:tr>
        <w:trPr>
          <w:trHeight w:val="289"/>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3,129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right="640" w:hanging="11"/>
        <w:spacing w:after="0" w:line="277" w:lineRule="auto"/>
        <w:rPr>
          <w:sz w:val="20"/>
          <w:szCs w:val="20"/>
          <w:color w:val="auto"/>
        </w:rPr>
      </w:pPr>
      <w:r>
        <w:rPr>
          <w:rFonts w:ascii="Arial" w:cs="Arial" w:eastAsia="Arial" w:hAnsi="Arial"/>
          <w:sz w:val="18"/>
          <w:szCs w:val="18"/>
          <w:color w:val="auto"/>
        </w:rPr>
        <w:t>Includes both operating and finance leases as defined by FASB guidance. Leases are primarily for (i) railcars, (ii) office space, (iii) land, (iv) vehicles, (v) storage tanks and (vi) tractor trailers. See Note 14 for additional information.</w:t>
      </w:r>
    </w:p>
    <w:p>
      <w:pPr>
        <w:spacing w:after="0" w:line="197" w:lineRule="exact"/>
        <w:rPr>
          <w:sz w:val="20"/>
          <w:szCs w:val="20"/>
          <w:color w:val="auto"/>
        </w:rPr>
      </w:pPr>
    </w:p>
    <w:p>
      <w:pPr>
        <w:ind w:right="20" w:hanging="11"/>
        <w:spacing w:after="0" w:line="257" w:lineRule="auto"/>
        <w:rPr>
          <w:sz w:val="20"/>
          <w:szCs w:val="20"/>
          <w:color w:val="auto"/>
        </w:rPr>
      </w:pPr>
      <w:r>
        <w:rPr>
          <w:rFonts w:ascii="Arial" w:cs="Arial" w:eastAsia="Arial" w:hAnsi="Arial"/>
          <w:sz w:val="18"/>
          <w:szCs w:val="18"/>
          <w:color w:val="auto"/>
        </w:rPr>
        <w:t>Primarily includes third-party storage and transportation agreements and pipeline throughput agreements, as well as approximately $1.8 billion associated with agreements to store, process and transport crude oil at posted tariff rates on pipelines or at facilities that are owned by equity method investees, in which we own a 50% interest. A portion of our commitment to transport is supported by crude oil buy/sell agreements with third parties with commensurate quantities. Expense associated with these storage, transportation and throughput agreements was approximately $236 million, $228 million and $197 million for 2019, 2018 and 2017, respectively.</w:t>
      </w:r>
    </w:p>
    <w:p>
      <w:pPr>
        <w:spacing w:after="0" w:line="200" w:lineRule="exact"/>
        <w:rPr>
          <w:sz w:val="20"/>
          <w:szCs w:val="20"/>
          <w:color w:val="auto"/>
        </w:rPr>
      </w:pPr>
    </w:p>
    <w:p>
      <w:pPr>
        <w:sectPr>
          <w:pgSz w:w="11900" w:h="16838" w:orient="portrait"/>
          <w:cols w:equalWidth="0" w:num="2">
            <w:col w:w="140" w:space="520"/>
            <w:col w:w="10740"/>
          </w:cols>
          <w:pgMar w:left="240" w:top="125" w:right="2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 — General</w:t>
      </w:r>
    </w:p>
    <w:p>
      <w:pPr>
        <w:spacing w:after="0" w:line="2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20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ectPr>
          <w:pgSz w:w="11900" w:h="16838" w:orient="portrait"/>
          <w:cols w:equalWidth="0" w:num="1">
            <w:col w:w="1140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83" w:name="page184"/>
    <w:bookmarkEnd w:id="1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 General</w:t>
      </w:r>
    </w:p>
    <w:p>
      <w:pPr>
        <w:spacing w:after="0" w:line="252"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 General</w:t>
      </w:r>
    </w:p>
    <w:p>
      <w:pPr>
        <w:spacing w:after="0" w:line="25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Although over the course of the last several years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spacing w:after="0" w:line="18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208"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At December 31, 2019, our estimated undiscounted reserve for environmental liabilities (including liabilities related to the Line 901 incident, as discussed further below) totaled $140 million, of which $60 million was classified as short-term and $80 million was classified as long-term. At December 31, 2018, our estimated undiscounted reserve for environmental liabilities (including liabilities related to the Line 901 incident) totaled $135 million, of which $43 million was classified as short-term and $92 million was classified as long-term. Such short- and long-term environmental liabilities are reflected in “Other current liabilities” and “Other long-term liabilities and deferred credits,” respectively, on our Consolidated Balance Sheets. At December 31, 2019, we had recorded receivables totaling $72 million for amounts probable of recovery under insurance and from third parties under indemnification agreements, of which $35 million was classified as short-term and $37 million was classified as long-term. At December 31, 2018, we had recorded $61 million of such receivables, of which $28 million was classified as short-term and $33 million was classified as long-term. Such short- and long-term receivables are reflected in “Trade accounts receivable and other receivables, net” and “Other long-term assets, net,” respectively, on our Consolidated Balance Sheets.</w:t>
      </w:r>
    </w:p>
    <w:p>
      <w:pPr>
        <w:spacing w:after="0" w:line="21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4" w:name="page185"/>
    <w:bookmarkEnd w:id="1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In May 2015, we experienced a crude oil release from our Las Flores to Gaviota Pipeline (Line 901) in Santa Barbara County,</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 barrels; of this amount, we estimate that 598 barrels reached the Pacific Ocean.</w:t>
      </w:r>
    </w:p>
    <w:p>
      <w:pPr>
        <w:spacing w:after="0" w:line="1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spacing w:after="0" w:line="21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12,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which was subsequently lifted,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No timeline has been established for the restart of Line 901 or Line 903.</w:t>
      </w:r>
    </w:p>
    <w:p>
      <w:pPr>
        <w:spacing w:after="0" w:line="20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civil charges brought against us, in the future.</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7"/>
          <w:szCs w:val="17"/>
          <w:color w:val="auto"/>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 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 counts against PAA. On July 28, 2016, at an arraignment hearing held in California Superior Court in Santa Barbara County, PAA pled not guilty to all counts. Between May of 2016 and May of 2018, 31 of the criminal charges against PAA (including one felony charge) and all of the criminal charges against our employee, were dismissed. The remaining 15 charges were the subject of a jury trial in California Superior Court in Santa Barbara County that began in May of 2018.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jury deadlocked on three counts (including two felony discharge counts and one strict liability animal takings count), and two misdemeanor discharge counts were dropped. On April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5" w:name="page186"/>
    <w:bookmarkEnd w:id="1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25, 2019, PAA was sentenced to pay fines and penalties in the aggregate amount of just under $3.35 million 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 In April of 2019, the Prosecutors announced their intent to re-try the two felony discharge counts for which no jury verdict was returned. The strict liability animal taking count for which no jury verdict was returned has been dismissed. On October 7, 2019, upon motion from Plains, the court dismissed the two remaining felony counts and vacated a second trial on these counts.</w:t>
      </w:r>
    </w:p>
    <w:p>
      <w:pPr>
        <w:spacing w:after="0" w:line="191"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w:t>
      </w:r>
    </w:p>
    <w:p>
      <w:pPr>
        <w:spacing w:after="0" w:line="2" w:lineRule="exact"/>
        <w:rPr>
          <w:sz w:val="20"/>
          <w:szCs w:val="20"/>
          <w:color w:val="auto"/>
        </w:rPr>
      </w:pPr>
    </w:p>
    <w:p>
      <w:pPr>
        <w:ind w:right="80" w:firstLine="8"/>
        <w:spacing w:after="0" w:line="290" w:lineRule="auto"/>
        <w:tabs>
          <w:tab w:leader="none" w:pos="3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 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spacing w:after="0" w:line="19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 class action lawsuits filed against us, six 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On appeal, the Ninth Circuit Court of Appeals overturned the certification of the oil-industry sub-class, so the remaining sub-classes that have been certified include (i) commercial fishermen who landed fish in certain specified fishing blocks in the waters adjacent to Santa Barbara County or persons or businesses who resold commercial seafood landed in such areas; and (ii) beachfront property and easement owners whose properties were oiled.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spacing w:after="0" w:line="19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There were also two securities law class action lawsuits filed on behalf of certain purported investors in PAA and/or PAGP against PAA, PAGP and/or certain of their respective officers, directors and underwriters. Both of these lawsuits were consolidated into a single proceeding in the United States District Court for the Southern District of Texas. In general, these lawsuits alleged that the various defendants violated securities laws by misleading investors regarding the integrity of PAA’s pipelines and related facilities through false and misleading statements, omission of material facts and concealing of the true extent of the spill. The plaintiffs claimed unspecified damages as a result of the reduction in value of their investments in PAA and PAGP, which they attributed to the alleged wrongful acts of the defendants. PAA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appealed the dismissal, and on July 16, 2019 the Fifth Circuit Court of Appeals affirmed the dismissal. The time period for a further appeal to the U.S. Supreme Court has lapsed so this ruling is now final. Consistent with and subject to the terms of our governing organizational documents (and to the extent applicable, insurance policies), we indemnified and funded the defense costs of our officers and directors in connection with this lawsuit; we also indemnified and funded the defense costs of our underwriters pursuant to the terms of the underwriting agreements we previously entered into with such underwriters.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6" w:name="page187"/>
    <w:bookmarkEnd w:id="1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four unitholder derivative lawsuits have been filed by certain purported investors in PAA against PAGP and certain of PAA’s affiliates, officers and directors. One lawsuit was filed in State District Court in Harris County, Texas and subsequently dismissed by the Court. Two 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w:t>
      </w:r>
    </w:p>
    <w:p>
      <w:pPr>
        <w:spacing w:after="0" w:line="19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Following the order dismissing the Texas Federal Court suits, a new derivative suit brought by different plaintiffs was filed in Delaware Chancery Court and subsequently dismissed without prejudice. Plaintiffs amended and refiled their complaint on June 3, 2019. All claims against the officers and directors of the PAA and all affiliates of PAA, except PAGP, were dismissed with prejudice in January 2020. Consistent with and subject to the terms of our governing organizational documents (and to the extent applicable, insurance policies), we have indemnified and funded the defense costs of our officers and directors in connection with these lawsuits. We will vigorously defend the remaining derivative claim against PAGP.</w:t>
      </w:r>
    </w:p>
    <w:p>
      <w:pPr>
        <w:spacing w:after="0" w:line="20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spacing w:after="0" w:line="208" w:lineRule="exact"/>
        <w:rPr>
          <w:sz w:val="20"/>
          <w:szCs w:val="20"/>
          <w:color w:val="auto"/>
        </w:rPr>
      </w:pPr>
    </w:p>
    <w:p>
      <w:pPr>
        <w:ind w:right="100" w:firstLine="648"/>
        <w:spacing w:after="0" w:line="269"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following federal and state agencies designated or authorized by law to act as trustees for the natural resources of the United States and the State of California (collectively, the “Trustees”): the United States Department of Interior, the National Oceanic and Atmospheric Administration, CDFW, the California Department of Parks and Recreation, the California State Lands Commission, and the Regents of the University of California. As part of the NRDA process, PAA and the Trustees jointly and independently planned and conducted a number of natural resource assessment activities related to the Line 901 incident. We are currently involved in discussions with the Trustees to determine the amount we will be required to pay as compensation for injuries to, destruction of, loss of, or loss of use of natural resources resulting from the Line 901 incident. We also have exposure to the payment of additional fines, penalties and costs under other applicable federal, state and local laws, statutes and regulations. We are actively involved in discussions with the relevant federal and state agencies to determine the amount of such fines, penalties and costs, and we have included an estimate of such costs in the loss accrual described below. To the extent any unpaid natural resource damages or other fines, penalties or costs are reasonably estimable, we have included an estimate of such costs in the loss accrual described below.</w:t>
      </w:r>
    </w:p>
    <w:p>
      <w:pPr>
        <w:spacing w:after="0" w:line="19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Taking the foregoing into account, as of December 31, 2019, we estimate that the aggregate total costs we have incurred or will incur with respect to the Line 901 incident will be approximately $390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87" w:name="page188"/>
    <w:bookmarkEnd w:id="1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of December 31, 2019, we had a remaining undiscounted gross liability of $83 million related to this event, of which approximately $50 million is presented in “Other current liabilities” on our Consolidated Balance Sheet, with the remainder presented in “Other long-term liabilities and deferred credits.”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December 31, 2019, we had collected, subject to customary reservations, $203 million out of the approximate $265 million of release costs that we believe are probable of recovery from insurance carriers, net of deductibles. Therefore, as of December 31, 2019, we have recognized a receivable of approximately $62 million for the portion of the release costs that we believe is probable of recovery from insurance, net of deductibles and amounts already collected. Of this amount, approximately $28 million is recognized as a current asset in “Trade accounts receivable and other receivables, net” on our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spacing w:after="0" w:line="202" w:lineRule="exact"/>
        <w:rPr>
          <w:sz w:val="20"/>
          <w:szCs w:val="20"/>
          <w:color w:val="auto"/>
        </w:rPr>
      </w:pPr>
    </w:p>
    <w:p>
      <w:pPr>
        <w:ind w:firstLine="648"/>
        <w:spacing w:after="0" w:line="268" w:lineRule="auto"/>
        <w:rPr>
          <w:sz w:val="20"/>
          <w:szCs w:val="20"/>
          <w:color w:val="auto"/>
        </w:rPr>
      </w:pPr>
      <w:r>
        <w:rPr>
          <w:rFonts w:ascii="Arial" w:cs="Arial" w:eastAsia="Arial" w:hAnsi="Arial"/>
          <w:sz w:val="16"/>
          <w:szCs w:val="16"/>
          <w:i w:val="1"/>
          <w:iCs w:val="1"/>
          <w:color w:val="auto"/>
        </w:rPr>
        <w:t xml:space="preserve">San Joaquin Valley Air Pollution Control District. </w:t>
      </w:r>
      <w:r>
        <w:rPr>
          <w:rFonts w:ascii="Arial" w:cs="Arial" w:eastAsia="Arial" w:hAnsi="Arial"/>
          <w:sz w:val="16"/>
          <w:szCs w:val="16"/>
          <w:color w:val="auto"/>
        </w:rPr>
        <w:t>After conducting inspections of the Plains LPG Services, L.P. (“Plains LPG”) facility in Shafter,</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during March and June of 2018, the San Joaquin Valley Air Pollution Control District (the “District”) issued four Notices of Violation which totaled $597,000 in the aggregate. Plains LPG entered into a settlement with the District whereby Plains LPG agreed to enter the District’s INSPECT program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self-reporting and inspection program) and pay a reduced fine of $275,000, which was paid in July 2019</w:t>
      </w:r>
      <w:r>
        <w:rPr>
          <w:rFonts w:ascii="Arial" w:cs="Arial" w:eastAsia="Arial" w:hAnsi="Arial"/>
          <w:sz w:val="21"/>
          <w:szCs w:val="21"/>
          <w:color w:val="auto"/>
        </w:rPr>
        <w:t>.</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Environmental Remediation</w:t>
      </w:r>
    </w:p>
    <w:p>
      <w:pPr>
        <w:spacing w:after="0" w:line="12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maintain insurance of various types with varying levels of coverage that we consider adequate under the circumstances to cover our operations and properties. The insurance policies are subject to deductibles and retention levels that we consider reasonable and not excessive. Consistent with insurance coverage generally available in the industry, in certain circumstances our insurance policies provide limited coverage for losses or liabilities relating to gradual pollution, with broader coverage for sudden and accidental occurrences.</w:t>
      </w:r>
    </w:p>
    <w:p>
      <w:pPr>
        <w:spacing w:after="0" w:line="214"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Assets we have acquired or will acquire in the future may have environmental remediation liabilities for which we are not indemnified. We have in the past experienced and in the future likely will experience releases of hydrocarbon products into the environment from our pipeline, rail, storage and other facility operations. We also may discover environmental impacts from past releases that were previously unidentified.</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1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Pipelines, terminals, trucks or other facilities or equipment may experience damage as a result of an accident, natural disaster, terrorist attack, cyber event or other event. These hazards can cause personal injury and loss of life, severe damage to and destruction of property and equipment, pollution or environmental damage and suspension of operations. We maintain various types and varying levels of insurance coverage to cover our operations and properties, and we self-insure certain risks, including gradual pollution, cybersecurity and named windstorms. However, such insurance does not cover every potential risk that might occur, associated with operating pipelines, terminals and other facilities and equipment, including the potential loss of significant revenues and cash flows.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8" w:name="page189"/>
    <w:bookmarkEnd w:id="1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occurrence of a significant event not fully insured, indemnified or reserved against, or the failure of a party to meet its indemnification obligations, could materially and adversely affect our operations and financial condition. We believe that we maintain adequate insurance coverage, although insurance will not cover many types of interruptions that might occur, will not cover amounts up to applicable deductibles and will not cover all risks associated with certain of our assets and operations. With respect to our insurance coverage, our policies are subject to deductibles and retention levels that we consider reasonable and not excessive. Additionally, no assurance can be given that we will be able to maintain adequate insurance in the future at rates we consider reasonable. As a result, we may elect to self-insure or utilize higher deductibles in certain other insurance programs. In addition, although we believe that we have established adequate reserves and liquidity to the extent such risks are not insured, costs incurred in excess of these reserves may be higher or we may not receive insurance proceeds in a timely manner, which may potentially have a material adverse effect on our financial conditions, results of operations or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20—Quarterly Financial Data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14"/>
                <w:szCs w:val="14"/>
                <w:color w:val="auto"/>
              </w:rPr>
            </w:pPr>
          </w:p>
        </w:tc>
        <w:tc>
          <w:tcPr>
            <w:tcW w:w="960" w:type="dxa"/>
            <w:vAlign w:val="bottom"/>
          </w:tcPr>
          <w:p>
            <w:pPr>
              <w:jc w:val="right"/>
              <w:ind w:right="273"/>
              <w:spacing w:after="0"/>
              <w:rPr>
                <w:sz w:val="20"/>
                <w:szCs w:val="20"/>
                <w:color w:val="auto"/>
              </w:rPr>
            </w:pPr>
            <w:r>
              <w:rPr>
                <w:rFonts w:ascii="Arial" w:cs="Arial" w:eastAsia="Arial" w:hAnsi="Arial"/>
                <w:sz w:val="14"/>
                <w:szCs w:val="14"/>
                <w:b w:val="1"/>
                <w:bCs w:val="1"/>
                <w:color w:val="auto"/>
              </w:rPr>
              <w:t>Second</w:t>
            </w:r>
          </w:p>
        </w:tc>
        <w:tc>
          <w:tcPr>
            <w:tcW w:w="360" w:type="dxa"/>
            <w:vAlign w:val="bottom"/>
          </w:tcPr>
          <w:p>
            <w:pPr>
              <w:spacing w:after="0"/>
              <w:rPr>
                <w:sz w:val="14"/>
                <w:szCs w:val="14"/>
                <w:color w:val="auto"/>
              </w:rPr>
            </w:pPr>
          </w:p>
        </w:tc>
        <w:tc>
          <w:tcPr>
            <w:tcW w:w="980" w:type="dxa"/>
            <w:vAlign w:val="bottom"/>
          </w:tcPr>
          <w:p>
            <w:pPr>
              <w:jc w:val="center"/>
              <w:ind w:right="132"/>
              <w:spacing w:after="0"/>
              <w:rPr>
                <w:sz w:val="20"/>
                <w:szCs w:val="20"/>
                <w:color w:val="auto"/>
              </w:rPr>
            </w:pPr>
            <w:r>
              <w:rPr>
                <w:rFonts w:ascii="Arial" w:cs="Arial" w:eastAsia="Arial" w:hAnsi="Arial"/>
                <w:sz w:val="14"/>
                <w:szCs w:val="14"/>
                <w:b w:val="1"/>
                <w:bCs w:val="1"/>
                <w:color w:val="auto"/>
              </w:rPr>
              <w:t>Third</w:t>
            </w:r>
          </w:p>
        </w:tc>
        <w:tc>
          <w:tcPr>
            <w:tcW w:w="460" w:type="dxa"/>
            <w:vAlign w:val="bottom"/>
          </w:tcPr>
          <w:p>
            <w:pPr>
              <w:spacing w:after="0"/>
              <w:rPr>
                <w:sz w:val="14"/>
                <w:szCs w:val="14"/>
                <w:color w:val="auto"/>
              </w:rPr>
            </w:pPr>
          </w:p>
        </w:tc>
        <w:tc>
          <w:tcPr>
            <w:tcW w:w="860" w:type="dxa"/>
            <w:vAlign w:val="bottom"/>
          </w:tcPr>
          <w:p>
            <w:pPr>
              <w:jc w:val="right"/>
              <w:ind w:right="292"/>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14"/>
                <w:szCs w:val="14"/>
                <w:color w:val="auto"/>
              </w:rPr>
            </w:pPr>
          </w:p>
        </w:tc>
        <w:tc>
          <w:tcPr>
            <w:tcW w:w="9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Quarter</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8"/>
              </w:rPr>
              <w:t>Quarter</w:t>
            </w: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8"/>
              </w:rPr>
              <w:t>Quarter</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w w:val="92"/>
              </w:rPr>
              <w:t>(in millions, except per share data)</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8,375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8,253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7,886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9,154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790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525</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713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449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329</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914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291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income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147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66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net income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0.92</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0.41</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0.26</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Diluted net income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0.92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0.40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0.41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0.26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2018</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8,398</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8,080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8,792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8,786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Gross margin </w:t>
            </w:r>
            <w:r>
              <w:rPr>
                <w:rFonts w:ascii="Arial" w:cs="Arial" w:eastAsia="Arial" w:hAnsi="Arial"/>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460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567</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380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86</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492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1,314</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income/(loss) attributable to PAGP</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180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net income/(loss) per Class A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0.05</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Diluted net income/(loss) per Class A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0.23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3"/>
              <w:spacing w:after="0"/>
              <w:rPr>
                <w:sz w:val="20"/>
                <w:szCs w:val="20"/>
                <w:color w:val="auto"/>
              </w:rPr>
            </w:pPr>
            <w:r>
              <w:rPr>
                <w:rFonts w:ascii="Arial" w:cs="Arial" w:eastAsia="Arial" w:hAnsi="Arial"/>
                <w:sz w:val="18"/>
                <w:szCs w:val="18"/>
                <w:color w:val="auto"/>
              </w:rPr>
              <w:t>0.05</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0.70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Cash distributions per Class A share </w:t>
            </w:r>
            <w:r>
              <w:rPr>
                <w:rFonts w:ascii="Arial" w:cs="Arial" w:eastAsia="Arial" w:hAnsi="Arial"/>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0.30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6">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four quarters may not equal the total year due to rounding.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Gross margin is calculated as Total revenues less (i) Purchases and related costs, (ii) Field operating costs, (iii) Depreciation and amortization and</w:t>
      </w:r>
    </w:p>
    <w:p>
      <w:pPr>
        <w:spacing w:after="0" w:line="46" w:lineRule="exact"/>
        <w:rPr>
          <w:sz w:val="20"/>
          <w:szCs w:val="20"/>
          <w:color w:val="auto"/>
        </w:rPr>
      </w:pPr>
    </w:p>
    <w:p>
      <w:pPr>
        <w:ind w:right="5620" w:firstLine="16"/>
        <w:spacing w:after="0" w:line="464" w:lineRule="auto"/>
        <w:tabs>
          <w:tab w:leader="none" w:pos="31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(Gains)/losses on asset sales and asset impairments, net. Represents cash distributions declared and paid in the period presented.</w:t>
      </w:r>
    </w:p>
    <w:p>
      <w:pPr>
        <w:spacing w:after="0" w:line="54"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21—Operating Segments</w:t>
      </w:r>
    </w:p>
    <w:p>
      <w:pPr>
        <w:spacing w:after="0" w:line="256"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manage our operations through three operating segments: Transportation, Facilities and Supply and Logistics. See Note 3 for a summary of the types of products and services from which each segment derives its revenues. Our Chief Operating Decision Maker (“CODM”) (our Chief Executive Officer) evaluates segment performance based on measures including Segment Adjusted EBITDA (as defined below) and maintenance capital investment.</w:t>
      </w:r>
    </w:p>
    <w:p>
      <w:pPr>
        <w:spacing w:after="0" w:line="17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our proportionate share of the</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9" w:name="page190"/>
    <w:bookmarkEnd w:id="1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4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depreciation and amortization expense of,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w:t>
      </w:r>
    </w:p>
    <w:p>
      <w:pPr>
        <w:spacing w:after="0" w:line="1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crude oil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 which is deducted in determining “available cash”. Repair and maintenance expenditures incurred in order to maintain the day to day operation of our existing assets are charged to expense as incurred.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reflect certain financial data for each segment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right"/>
              <w:ind w:right="233"/>
              <w:spacing w:after="0"/>
              <w:rPr>
                <w:sz w:val="20"/>
                <w:szCs w:val="20"/>
                <w:color w:val="auto"/>
              </w:rPr>
            </w:pPr>
            <w:r>
              <w:rPr>
                <w:rFonts w:ascii="Arial" w:cs="Arial" w:eastAsia="Arial" w:hAnsi="Arial"/>
                <w:sz w:val="14"/>
                <w:szCs w:val="14"/>
                <w:b w:val="1"/>
                <w:bCs w:val="1"/>
                <w:color w:val="auto"/>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293"/>
              <w:spacing w:after="0"/>
              <w:rPr>
                <w:sz w:val="20"/>
                <w:szCs w:val="20"/>
                <w:color w:val="auto"/>
              </w:rPr>
            </w:pPr>
            <w:r>
              <w:rPr>
                <w:rFonts w:ascii="Arial" w:cs="Arial" w:eastAsia="Arial" w:hAnsi="Arial"/>
                <w:sz w:val="14"/>
                <w:szCs w:val="14"/>
                <w:b w:val="1"/>
                <w:bCs w:val="1"/>
                <w:color w:val="auto"/>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32,272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1,061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32,276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35,767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15,549</w:t>
            </w:r>
          </w:p>
        </w:tc>
        <w:tc>
          <w:tcPr>
            <w:tcW w:w="120" w:type="dxa"/>
            <w:vAlign w:val="bottom"/>
          </w:tcPr>
          <w:p>
            <w:pPr>
              <w:spacing w:after="0"/>
              <w:rPr>
                <w:sz w:val="23"/>
                <w:szCs w:val="23"/>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6,827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29,969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0" w:name="page191"/>
    <w:bookmarkEnd w:id="1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14"/>
                <w:szCs w:val="1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32,819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34,055</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32,822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35,973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2018</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13,947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7,464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5,419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26,830</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2,594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Transportation</w:t>
            </w:r>
          </w:p>
        </w:tc>
        <w:tc>
          <w:tcPr>
            <w:tcW w:w="240" w:type="dxa"/>
            <w:vAlign w:val="bottom"/>
          </w:tcPr>
          <w:p>
            <w:pPr>
              <w:spacing w:after="0"/>
              <w:rPr>
                <w:sz w:val="24"/>
                <w:szCs w:val="24"/>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Facilities</w:t>
            </w:r>
          </w:p>
        </w:tc>
        <w:tc>
          <w:tcPr>
            <w:tcW w:w="200" w:type="dxa"/>
            <w:vAlign w:val="bottom"/>
          </w:tcPr>
          <w:p>
            <w:pPr>
              <w:spacing w:after="0"/>
              <w:rPr>
                <w:sz w:val="24"/>
                <w:szCs w:val="2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b w:val="1"/>
                <w:bCs w:val="1"/>
                <w:color w:val="auto"/>
                <w:w w:val="92"/>
              </w:rPr>
              <w:t>Supply and</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Intersegment</w:t>
            </w:r>
          </w:p>
        </w:tc>
        <w:tc>
          <w:tcPr>
            <w:tcW w:w="320" w:type="dxa"/>
            <w:vAlign w:val="bottom"/>
          </w:tcPr>
          <w:p>
            <w:pPr>
              <w:spacing w:after="0"/>
              <w:rPr>
                <w:sz w:val="24"/>
                <w:szCs w:val="2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Logistics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External customers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26,223</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23"/>
                <w:szCs w:val="23"/>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84"/>
        </w:trPr>
        <w:tc>
          <w:tcPr>
            <w:tcW w:w="4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 of reportable segments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25,065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27,956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1,287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00" w:type="dxa"/>
            <w:vAlign w:val="bottom"/>
          </w:tcPr>
          <w:p>
            <w:pPr>
              <w:ind w:left="20"/>
              <w:spacing w:after="0" w:line="244" w:lineRule="exact"/>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2017</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13,362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26,753</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ind w:left="20" w:hanging="11"/>
        <w:spacing w:after="0" w:line="276" w:lineRule="auto"/>
        <w:rPr>
          <w:sz w:val="20"/>
          <w:szCs w:val="20"/>
          <w:color w:val="auto"/>
        </w:rPr>
      </w:pPr>
      <w:r>
        <w:rPr>
          <w:rFonts w:ascii="Arial" w:cs="Arial" w:eastAsia="Arial" w:hAnsi="Arial"/>
          <w:sz w:val="17"/>
          <w:szCs w:val="17"/>
          <w:color w:val="auto"/>
        </w:rPr>
        <w:t>Transportation revenues from External customers include certain inventory exchanges with our customers where our Supply and Logistics segment has transacted the inventory exchange and serves as the shipper on our pipeline systems. See Note 3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Consolidated Statements of Operations. This presentation is consistent with the information provided to our CODM.</w:t>
      </w:r>
    </w:p>
    <w:p>
      <w:pPr>
        <w:spacing w:after="0" w:line="64" w:lineRule="exact"/>
        <w:rPr>
          <w:sz w:val="20"/>
          <w:szCs w:val="20"/>
          <w:color w:val="auto"/>
        </w:rPr>
      </w:pPr>
    </w:p>
    <w:p>
      <w:pPr>
        <w:ind w:left="20" w:right="120" w:hanging="11"/>
        <w:spacing w:after="0" w:line="286" w:lineRule="auto"/>
        <w:rPr>
          <w:sz w:val="20"/>
          <w:szCs w:val="20"/>
          <w:color w:val="auto"/>
        </w:rPr>
      </w:pPr>
      <w:r>
        <w:rPr>
          <w:rFonts w:ascii="Arial" w:cs="Arial" w:eastAsia="Arial" w:hAnsi="Arial"/>
          <w:sz w:val="17"/>
          <w:szCs w:val="17"/>
          <w:color w:val="auto"/>
        </w:rPr>
        <w:t>Segment revenues include intersegment amounts that are eliminated in Purchases and related costs and Field operating costs in our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Expenditures for acquisition capital and expansion capital, including investments in unconsolidated entities.</w:t>
      </w:r>
    </w:p>
    <w:p>
      <w:pPr>
        <w:spacing w:after="0" w:line="200" w:lineRule="exact"/>
        <w:rPr>
          <w:sz w:val="20"/>
          <w:szCs w:val="20"/>
          <w:color w:val="auto"/>
        </w:rPr>
      </w:pPr>
    </w:p>
    <w:p>
      <w:pPr>
        <w:sectPr>
          <w:pgSz w:w="11900" w:h="16838" w:orient="portrait"/>
          <w:cols w:equalWidth="0" w:num="2">
            <w:col w:w="140" w:space="500"/>
            <w:col w:w="10780"/>
          </w:cols>
          <w:pgMar w:left="240" w:top="125" w:right="239" w:bottom="1440" w:gutter="0" w:footer="0" w:header="0"/>
          <w:type w:val="continuous"/>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91" w:name="page192"/>
    <w:bookmarkEnd w:id="1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 Reconciliation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Segment Adjusted EBITDA to Net income attributable to PAGP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6"/>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Adjusted EBITDA</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3,230</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2,081</w:t>
            </w:r>
          </w:p>
        </w:tc>
      </w:tr>
      <w:tr>
        <w:trPr>
          <w:trHeight w:val="230"/>
        </w:trPr>
        <w:tc>
          <w:tcPr>
            <w:tcW w:w="6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Depreciation and amortization of unconsolidated entities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w w:val="98"/>
              </w:rPr>
              <w:t xml:space="preserve">Gains/(losses) from derivative activities net of inventory valuation adjustments </w:t>
            </w:r>
            <w:r>
              <w:rPr>
                <w:rFonts w:ascii="Arial" w:cs="Arial" w:eastAsia="Arial" w:hAnsi="Arial"/>
                <w:sz w:val="23"/>
                <w:szCs w:val="23"/>
                <w:color w:val="auto"/>
                <w:w w:val="98"/>
                <w:vertAlign w:val="superscript"/>
              </w:rPr>
              <w:t>(3)</w:t>
            </w: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46</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Long-term inventory costing adjustments </w:t>
            </w:r>
            <w:r>
              <w:rPr>
                <w:rFonts w:ascii="Arial" w:cs="Arial" w:eastAsia="Arial" w:hAnsi="Arial"/>
                <w:sz w:val="23"/>
                <w:szCs w:val="23"/>
                <w:color w:val="auto"/>
                <w:vertAlign w:val="superscript"/>
              </w:rPr>
              <w:t>(4)</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24</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Deficiencies under minimum volume commitments, net </w:t>
            </w:r>
            <w:r>
              <w:rPr>
                <w:rFonts w:ascii="Arial" w:cs="Arial" w:eastAsia="Arial" w:hAnsi="Arial"/>
                <w:sz w:val="23"/>
                <w:szCs w:val="23"/>
                <w:color w:val="auto"/>
                <w:vertAlign w:val="superscript"/>
              </w:rPr>
              <w:t>(5)</w:t>
            </w:r>
          </w:p>
        </w:tc>
        <w:tc>
          <w:tcPr>
            <w:tcW w:w="3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(6)</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Net gain/(loss) on foreign currency revaluation </w:t>
            </w:r>
            <w:r>
              <w:rPr>
                <w:rFonts w:ascii="Arial" w:cs="Arial" w:eastAsia="Arial" w:hAnsi="Arial"/>
                <w:sz w:val="23"/>
                <w:szCs w:val="23"/>
                <w:color w:val="auto"/>
                <w:vertAlign w:val="superscript"/>
              </w:rPr>
              <w:t>(7)</w:t>
            </w: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26</w:t>
            </w:r>
          </w:p>
        </w:tc>
      </w:tr>
      <w:tr>
        <w:trPr>
          <w:trHeight w:val="27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Line 901 incident </w:t>
            </w:r>
            <w:r>
              <w:rPr>
                <w:rFonts w:ascii="Arial" w:cs="Arial" w:eastAsia="Arial" w:hAnsi="Arial"/>
                <w:sz w:val="23"/>
                <w:szCs w:val="23"/>
                <w:color w:val="auto"/>
                <w:vertAlign w:val="superscript"/>
              </w:rPr>
              <w:t>(8)</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r>
      <w:tr>
        <w:trPr>
          <w:trHeight w:val="270"/>
        </w:trPr>
        <w:tc>
          <w:tcPr>
            <w:tcW w:w="6560" w:type="dxa"/>
            <w:vAlign w:val="bottom"/>
          </w:tcPr>
          <w:p>
            <w:pPr>
              <w:ind w:left="220"/>
              <w:spacing w:after="0"/>
              <w:rPr>
                <w:sz w:val="20"/>
                <w:szCs w:val="20"/>
                <w:color w:val="auto"/>
              </w:rPr>
            </w:pPr>
            <w:r>
              <w:rPr>
                <w:rFonts w:ascii="Arial" w:cs="Arial" w:eastAsia="Arial" w:hAnsi="Arial"/>
                <w:sz w:val="18"/>
                <w:szCs w:val="18"/>
                <w:color w:val="auto"/>
              </w:rPr>
              <w:t xml:space="preserve">Significant acquisition-related expenses </w:t>
            </w:r>
            <w:r>
              <w:rPr>
                <w:rFonts w:ascii="Arial" w:cs="Arial" w:eastAsia="Arial" w:hAnsi="Arial"/>
                <w:sz w:val="23"/>
                <w:szCs w:val="23"/>
                <w:color w:val="auto"/>
                <w:vertAlign w:val="superscript"/>
              </w:rPr>
              <w:t>(9)</w:t>
            </w:r>
          </w:p>
        </w:tc>
        <w:tc>
          <w:tcPr>
            <w:tcW w:w="360" w:type="dxa"/>
            <w:vAlign w:val="bottom"/>
          </w:tcPr>
          <w:p>
            <w:pPr>
              <w:spacing w:after="0"/>
              <w:rPr>
                <w:sz w:val="23"/>
                <w:szCs w:val="23"/>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(519)</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Gains/(losses) on asset sales and asset impairments,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Gain on investment in unconsolidated entities</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Other income/(expense), net</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896</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(937)</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r>
      <w:tr>
        <w:trPr>
          <w:trHeight w:val="243"/>
        </w:trPr>
        <w:tc>
          <w:tcPr>
            <w:tcW w:w="656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(690)</w:t>
            </w:r>
          </w:p>
        </w:tc>
      </w:tr>
      <w:tr>
        <w:trPr>
          <w:trHeight w:val="27"/>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income/(loss) attributable to PAGP</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w:t>
            </w: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5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Represents adjustments utilized by our CODM in the evaluation of 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Includes our proportionate share of the depreciation and amortization of, and gains and losses on significant asset sales by, unconsolidated entities.</w:t>
      </w:r>
    </w:p>
    <w:p>
      <w:pPr>
        <w:spacing w:after="0" w:line="140" w:lineRule="exact"/>
        <w:rPr>
          <w:sz w:val="20"/>
          <w:szCs w:val="20"/>
          <w:color w:val="auto"/>
        </w:rPr>
      </w:pPr>
    </w:p>
    <w:p>
      <w:pPr>
        <w:ind w:left="20" w:hanging="11"/>
        <w:spacing w:after="0" w:line="255" w:lineRule="auto"/>
        <w:rPr>
          <w:sz w:val="20"/>
          <w:szCs w:val="20"/>
          <w:color w:val="auto"/>
        </w:rPr>
      </w:pPr>
      <w:r>
        <w:rPr>
          <w:rFonts w:ascii="Arial" w:cs="Arial" w:eastAsia="Arial" w:hAnsi="Arial"/>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p>
      <w:pPr>
        <w:spacing w:after="0" w:line="81" w:lineRule="exact"/>
        <w:rPr>
          <w:sz w:val="20"/>
          <w:szCs w:val="20"/>
          <w:color w:val="auto"/>
        </w:rPr>
      </w:pPr>
    </w:p>
    <w:p>
      <w:pPr>
        <w:ind w:left="20" w:right="180" w:hanging="11"/>
        <w:spacing w:after="0" w:line="297" w:lineRule="auto"/>
        <w:rPr>
          <w:sz w:val="20"/>
          <w:szCs w:val="20"/>
          <w:color w:val="auto"/>
        </w:rPr>
      </w:pPr>
      <w:r>
        <w:rPr>
          <w:rFonts w:ascii="Arial" w:cs="Arial" w:eastAsia="Arial" w:hAnsi="Arial"/>
          <w:sz w:val="16"/>
          <w:szCs w:val="16"/>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92" w:name="page193"/>
    <w:bookmarkEnd w:id="1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98"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(8)</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left="20" w:hanging="11"/>
        <w:spacing w:after="0" w:line="269" w:lineRule="auto"/>
        <w:rPr>
          <w:sz w:val="20"/>
          <w:szCs w:val="20"/>
          <w:color w:val="auto"/>
        </w:rPr>
      </w:pPr>
      <w:r>
        <w:rPr>
          <w:rFonts w:ascii="Arial" w:cs="Arial" w:eastAsia="Arial" w:hAnsi="Arial"/>
          <w:sz w:val="17"/>
          <w:szCs w:val="17"/>
          <w:color w:val="auto"/>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Includes equity-indexed compensation expense associated with awards that will or may be settled in units.</w:t>
      </w:r>
    </w:p>
    <w:p>
      <w:pPr>
        <w:spacing w:after="0" w:line="117" w:lineRule="exact"/>
        <w:rPr>
          <w:sz w:val="20"/>
          <w:szCs w:val="20"/>
          <w:color w:val="auto"/>
        </w:rPr>
      </w:pPr>
    </w:p>
    <w:p>
      <w:pPr>
        <w:ind w:left="20" w:right="440" w:hanging="11"/>
        <w:spacing w:after="0" w:line="277" w:lineRule="auto"/>
        <w:rPr>
          <w:sz w:val="20"/>
          <w:szCs w:val="20"/>
          <w:color w:val="auto"/>
        </w:rPr>
      </w:pPr>
      <w:r>
        <w:rPr>
          <w:rFonts w:ascii="Arial" w:cs="Arial" w:eastAsia="Arial" w:hAnsi="Arial"/>
          <w:sz w:val="18"/>
          <w:szCs w:val="18"/>
          <w:color w:val="auto"/>
        </w:rPr>
        <w:t>Includes gains and losses realized on the settlement of foreign currency transactions as well as the revaluation of monetary assets and liabilities denominated in a foreign currency.</w:t>
      </w:r>
    </w:p>
    <w:p>
      <w:pPr>
        <w:spacing w:after="0" w:line="62" w:lineRule="exact"/>
        <w:rPr>
          <w:sz w:val="20"/>
          <w:szCs w:val="20"/>
          <w:color w:val="auto"/>
        </w:rPr>
      </w:pPr>
    </w:p>
    <w:p>
      <w:pPr>
        <w:ind w:left="20" w:right="260" w:hanging="11"/>
        <w:spacing w:after="0" w:line="277" w:lineRule="auto"/>
        <w:rPr>
          <w:sz w:val="20"/>
          <w:szCs w:val="20"/>
          <w:color w:val="auto"/>
        </w:rPr>
      </w:pPr>
      <w:r>
        <w:rPr>
          <w:rFonts w:ascii="Arial" w:cs="Arial" w:eastAsia="Arial" w:hAnsi="Arial"/>
          <w:sz w:val="18"/>
          <w:szCs w:val="18"/>
          <w:color w:val="auto"/>
        </w:rPr>
        <w:t>Includes costs recognized during the period related to the Line 901 incident that occurred in May 2015, net of amounts we believe are probable of recovery from insurance. See Note 19 for additional information regarding the Line 901 incident.</w:t>
      </w:r>
    </w:p>
    <w:p>
      <w:pPr>
        <w:spacing w:after="0" w:line="62" w:lineRule="exact"/>
        <w:rPr>
          <w:sz w:val="20"/>
          <w:szCs w:val="20"/>
          <w:color w:val="auto"/>
        </w:rPr>
      </w:pPr>
    </w:p>
    <w:p>
      <w:pPr>
        <w:ind w:left="20" w:right="80" w:hanging="11"/>
        <w:spacing w:after="0" w:line="264" w:lineRule="auto"/>
        <w:rPr>
          <w:sz w:val="20"/>
          <w:szCs w:val="20"/>
          <w:color w:val="auto"/>
        </w:rPr>
      </w:pPr>
      <w:r>
        <w:rPr>
          <w:rFonts w:ascii="Arial" w:cs="Arial" w:eastAsia="Arial" w:hAnsi="Arial"/>
          <w:sz w:val="18"/>
          <w:szCs w:val="18"/>
          <w:color w:val="auto"/>
        </w:rPr>
        <w:t>Includes acquisition-related expenses associated with the ACC Acquisition. See Note 7 for additional discussion. An adjustment for these non-recurring expenses is included in the calculation of Segment Adjusted EBITDA for the year ended December 31, 2017 as our CODM does not view such expenses as integral to understanding our core segment operating performance.</w:t>
      </w:r>
    </w:p>
    <w:p>
      <w:pPr>
        <w:spacing w:after="0" w:line="200" w:lineRule="exact"/>
        <w:rPr>
          <w:sz w:val="20"/>
          <w:szCs w:val="20"/>
          <w:color w:val="auto"/>
        </w:rPr>
      </w:pPr>
    </w:p>
    <w:p>
      <w:pPr>
        <w:sectPr>
          <w:pgSz w:w="11900" w:h="16838" w:orient="portrait"/>
          <w:cols w:equalWidth="0" w:num="2">
            <w:col w:w="140" w:space="500"/>
            <w:col w:w="10760"/>
          </w:cols>
          <w:pgMar w:left="240" w:top="125" w:right="25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Data</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have operations in the United States and Canada. Set forth below are revenues and long-lived assets attributable to these geographic areas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7"/>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Revenues </w:t>
            </w: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27,162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28,362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21,443</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6,507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4,780</w:t>
            </w:r>
          </w:p>
        </w:tc>
      </w:tr>
      <w:tr>
        <w:trPr>
          <w:trHeight w:val="27"/>
        </w:trPr>
        <w:tc>
          <w:tcPr>
            <w:tcW w:w="6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33,669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34,055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26,223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53">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Revenues are primarily attributed to each region based on where the services are provided or the product is shipped.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197"/>
        </w:trPr>
        <w:tc>
          <w:tcPr>
            <w:tcW w:w="8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Long-Lived Assets </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17,577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15,900</w:t>
            </w:r>
          </w:p>
        </w:tc>
      </w:tr>
      <w:tr>
        <w:trPr>
          <w:trHeight w:val="243"/>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3,542</w:t>
            </w:r>
          </w:p>
        </w:tc>
      </w:tr>
      <w:tr>
        <w:trPr>
          <w:trHeight w:val="27"/>
        </w:trPr>
        <w:tc>
          <w:tcPr>
            <w:tcW w:w="8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82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21,512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19,442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3241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54">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hanging="632"/>
        <w:spacing w:after="0"/>
        <w:tabs>
          <w:tab w:leader="none" w:pos="640"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Excludes long-term derivative assets, long-term deferred tax assets and goodwill.</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90"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F-70</w:t>
      </w:r>
    </w:p>
    <w:p>
      <w:pPr>
        <w:sectPr>
          <w:pgSz w:w="11900" w:h="16838" w:orient="portrait"/>
          <w:cols w:equalWidth="0" w:num="1">
            <w:col w:w="11400"/>
          </w:cols>
          <w:pgMar w:left="240" w:top="125" w:right="259" w:bottom="1440" w:gutter="0" w:footer="0" w:header="0"/>
          <w:type w:val="continuous"/>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0"/>
          <w:szCs w:val="20"/>
          <w:color w:val="auto"/>
        </w:rPr>
      </w:pPr>
    </w:p>
    <w:p>
      <w:pPr>
        <w:jc w:val="both"/>
        <w:ind w:right="320" w:firstLine="324"/>
        <w:spacing w:after="0" w:line="248" w:lineRule="auto"/>
        <w:rPr>
          <w:sz w:val="20"/>
          <w:szCs w:val="20"/>
          <w:color w:val="auto"/>
        </w:rPr>
      </w:pPr>
      <w:r>
        <w:rPr>
          <w:rFonts w:ascii="Arial" w:cs="Arial" w:eastAsia="Arial" w:hAnsi="Arial"/>
          <w:sz w:val="18"/>
          <w:szCs w:val="18"/>
          <w:color w:val="auto"/>
        </w:rPr>
        <w:t>As of December 31, 2019, Plains GP Holdings, L.P. has one class of securities registered under Section 12 of the Securities Exchange Act of 1934, as amended (the “Exchange Act”): its Class A shares representing limited partner interests, which are described in this Exhibit. The following definitions are used in this Exhibit:</w:t>
      </w:r>
    </w:p>
    <w:p>
      <w:pPr>
        <w:spacing w:after="0" w:line="209" w:lineRule="exact"/>
        <w:rPr>
          <w:sz w:val="20"/>
          <w:szCs w:val="20"/>
          <w:color w:val="auto"/>
        </w:rPr>
      </w:pPr>
    </w:p>
    <w:p>
      <w:pPr>
        <w:ind w:left="660" w:right="80" w:hanging="328"/>
        <w:spacing w:after="0" w:line="263" w:lineRule="auto"/>
        <w:tabs>
          <w:tab w:leader="none" w:pos="7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“our,” “we,” “us,” “the Partnership” or “Plains GP Holdings, L.P.” refers to Plains GP Holdings, L.P., the registrant itself, or to Plains GP Holdings,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6" w:lineRule="exact"/>
        <w:rPr>
          <w:rFonts w:ascii="Arial" w:cs="Arial" w:eastAsia="Arial" w:hAnsi="Arial"/>
          <w:sz w:val="17"/>
          <w:szCs w:val="17"/>
          <w:color w:val="auto"/>
        </w:rPr>
      </w:pPr>
    </w:p>
    <w:p>
      <w:pPr>
        <w:ind w:left="660" w:right="900" w:hanging="328"/>
        <w:spacing w:after="0" w:line="262"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“PAA” refers to Plains All American Pipeline, L.P. (NYSE: PAA), individually, or to Plains All American Pipeline, L.P. and its operating subsidiaries collectively, as the context requires;</w:t>
      </w:r>
    </w:p>
    <w:p>
      <w:pPr>
        <w:spacing w:after="0" w:line="196" w:lineRule="exact"/>
        <w:rPr>
          <w:rFonts w:ascii="Arial" w:cs="Arial" w:eastAsia="Arial" w:hAnsi="Arial"/>
          <w:sz w:val="18"/>
          <w:szCs w:val="18"/>
          <w:color w:val="auto"/>
        </w:rPr>
      </w:pPr>
    </w:p>
    <w:p>
      <w:pPr>
        <w:ind w:left="700" w:hanging="368"/>
        <w:spacing w:after="0"/>
        <w:tabs>
          <w:tab w:leader="none" w:pos="7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“PAA GP” refers to PAA GP LLC, the general partner of PAA;</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“AAP” refers to Plains AAP, L.P., which owns a 100% membership interest in PAA GP;</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“GP LLC” refers to Plains All American GP LLC, the general partner of AAP;</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“general partner” refers to PAA GP Holdings LLC;</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our “partnership agreement” refers to the Second Amended and Restated Agreement of Limited Partnership of Plains GP Holdings, L.P.;</w:t>
      </w:r>
    </w:p>
    <w:p>
      <w:pPr>
        <w:spacing w:after="0" w:line="250" w:lineRule="exact"/>
        <w:rPr>
          <w:rFonts w:ascii="Arial" w:cs="Arial" w:eastAsia="Arial" w:hAnsi="Arial"/>
          <w:sz w:val="17"/>
          <w:szCs w:val="17"/>
          <w:color w:val="auto"/>
        </w:rPr>
      </w:pPr>
    </w:p>
    <w:p>
      <w:pPr>
        <w:ind w:left="660" w:right="120" w:hanging="328"/>
        <w:spacing w:after="0" w:line="241"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“Legacy Owners” refers to owners of AAP immediately prior to our initial public offering (our “IPO”) including, but not limited to certain entities and individuals affiliated with The Energy &amp; Minerals Group (“EMG”) and Kayne Anderson Investment Management Inc. (“Kayne Anderson”). Unless the context requires otherwise, references to “Kayne Anderson” include KAFU Holdings, L.P., KAFU Holdings (QP), L.P., KAFU Holdings II, L.P., Kayne Anderson MLP/Midstream Investment Company, Kayne Anderson Energy Development Company and Kayne Anderson Midstream/Energy Fund, Inc.;</w:t>
      </w:r>
    </w:p>
    <w:p>
      <w:pPr>
        <w:spacing w:after="0" w:line="216" w:lineRule="exact"/>
        <w:rPr>
          <w:rFonts w:ascii="Arial" w:cs="Arial" w:eastAsia="Arial" w:hAnsi="Arial"/>
          <w:sz w:val="18"/>
          <w:szCs w:val="18"/>
          <w:color w:val="auto"/>
        </w:rPr>
      </w:pPr>
    </w:p>
    <w:p>
      <w:pPr>
        <w:ind w:left="660" w:right="140" w:hanging="328"/>
        <w:spacing w:after="0" w:line="248"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“Simplification Agreement” refers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209" w:lineRule="exact"/>
        <w:rPr>
          <w:rFonts w:ascii="Arial" w:cs="Arial" w:eastAsia="Arial" w:hAnsi="Arial"/>
          <w:sz w:val="18"/>
          <w:szCs w:val="18"/>
          <w:color w:val="auto"/>
        </w:rPr>
      </w:pPr>
    </w:p>
    <w:p>
      <w:pPr>
        <w:ind w:left="660" w:right="140" w:hanging="328"/>
        <w:spacing w:after="0"/>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“Omnibus Agreement” refers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 and</w:t>
      </w:r>
    </w:p>
    <w:p>
      <w:pPr>
        <w:spacing w:after="0" w:line="2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ectPr>
          <w:pgSz w:w="11900" w:h="16838" w:orient="portrait"/>
          <w:cols w:equalWidth="0" w:num="1">
            <w:col w:w="11420"/>
          </w:cols>
          <w:pgMar w:left="240" w:top="126" w:right="239" w:bottom="1440" w:gutter="0" w:footer="0" w:header="0"/>
        </w:sectPr>
      </w:pPr>
    </w:p>
    <w:bookmarkStart w:id="194" w:name="page195"/>
    <w:bookmarkEnd w:id="194"/>
    <w:p>
      <w:pPr>
        <w:jc w:val="center"/>
        <w:ind w:right="-39"/>
        <w:spacing w:after="0"/>
        <w:rPr>
          <w:sz w:val="20"/>
          <w:szCs w:val="20"/>
          <w:color w:val="auto"/>
        </w:rPr>
      </w:pPr>
      <w:r>
        <w:rPr>
          <w:rFonts w:ascii="Arial" w:cs="Arial" w:eastAsia="Arial" w:hAnsi="Arial"/>
          <w:sz w:val="18"/>
          <w:szCs w:val="18"/>
          <w:b w:val="1"/>
          <w:bCs w:val="1"/>
          <w:color w:val="auto"/>
        </w:rPr>
        <w:t>DESCRIPTION OF OUR SHARES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23" w:lineRule="exact"/>
        <w:rPr>
          <w:sz w:val="20"/>
          <w:szCs w:val="20"/>
          <w:color w:val="auto"/>
        </w:rPr>
      </w:pPr>
    </w:p>
    <w:p>
      <w:pPr>
        <w:ind w:firstLine="324"/>
        <w:spacing w:after="0" w:line="255" w:lineRule="auto"/>
        <w:rPr>
          <w:sz w:val="20"/>
          <w:szCs w:val="20"/>
          <w:color w:val="auto"/>
        </w:rPr>
      </w:pPr>
      <w:r>
        <w:rPr>
          <w:rFonts w:ascii="Arial" w:cs="Arial" w:eastAsia="Arial" w:hAnsi="Arial"/>
          <w:sz w:val="17"/>
          <w:szCs w:val="17"/>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the right to vote on behalf of PAA common and Series A preferred unitholders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“Description of Our Partnership Agreement.”</w:t>
      </w:r>
    </w:p>
    <w:p>
      <w:pPr>
        <w:spacing w:after="0" w:line="207" w:lineRule="exact"/>
        <w:rPr>
          <w:sz w:val="20"/>
          <w:szCs w:val="20"/>
          <w:color w:val="auto"/>
        </w:rPr>
      </w:pPr>
    </w:p>
    <w:p>
      <w:pPr>
        <w:ind w:right="120" w:firstLine="324"/>
        <w:spacing w:after="0" w:line="243"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or the Class C shares on any stock exchange. All of our Class B shares are owned by the Legacy Owners, including holders of Class B units of AAP (the “AAP management units”) who have exchanged such AAP management units for AAP Class A units and a like number of Class B shares, or their permitted transferees. All of the Class C shares are owned by PAA.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43"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for Class A shares at an exchange ratio of one Class A share for each AAP Class A unit exchanged. The Exchange Right may be exercised only if, simultaneously therewith, an equal number of our Class B shares and general partner units are transferred by the exercising party to us.</w:t>
      </w:r>
    </w:p>
    <w:p>
      <w:pPr>
        <w:spacing w:after="0" w:line="175" w:lineRule="exact"/>
        <w:rPr>
          <w:sz w:val="20"/>
          <w:szCs w:val="20"/>
          <w:color w:val="auto"/>
        </w:rPr>
      </w:pPr>
    </w:p>
    <w:p>
      <w:pPr>
        <w:ind w:right="40" w:firstLine="324"/>
        <w:spacing w:after="0" w:line="243" w:lineRule="auto"/>
        <w:rPr>
          <w:sz w:val="20"/>
          <w:szCs w:val="20"/>
          <w:color w:val="auto"/>
        </w:rPr>
      </w:pPr>
      <w:r>
        <w:rPr>
          <w:rFonts w:ascii="Arial" w:cs="Arial" w:eastAsia="Arial" w:hAnsi="Arial"/>
          <w:sz w:val="18"/>
          <w:szCs w:val="18"/>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215" w:lineRule="exact"/>
        <w:rPr>
          <w:sz w:val="20"/>
          <w:szCs w:val="20"/>
          <w:color w:val="auto"/>
        </w:rPr>
      </w:pPr>
    </w:p>
    <w:p>
      <w:pPr>
        <w:ind w:firstLine="324"/>
        <w:spacing w:after="0" w:line="241"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43" w:lineRule="exact"/>
        <w:rPr>
          <w:sz w:val="20"/>
          <w:szCs w:val="20"/>
          <w:color w:val="auto"/>
        </w:rPr>
      </w:pPr>
    </w:p>
    <w:p>
      <w:pPr>
        <w:ind w:right="40" w:firstLine="324"/>
        <w:spacing w:after="0" w:line="248"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9"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w:t>
      </w:r>
    </w:p>
    <w:p>
      <w:pPr>
        <w:spacing w:after="0" w:line="238" w:lineRule="exact"/>
        <w:rPr>
          <w:rFonts w:ascii="Arial" w:cs="Arial" w:eastAsia="Arial" w:hAnsi="Arial"/>
          <w:sz w:val="18"/>
          <w:szCs w:val="18"/>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automatically agrees to be bound by the terms and conditions of, and is deemed to have executed, our partnership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418" w:right="279" w:bottom="1440" w:gutter="0" w:footer="0" w:header="0"/>
        </w:sectPr>
      </w:pPr>
    </w:p>
    <w:bookmarkStart w:id="195" w:name="page196"/>
    <w:bookmarkEnd w:id="195"/>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39" w:lineRule="exact"/>
        <w:rPr>
          <w:sz w:val="20"/>
          <w:szCs w:val="20"/>
          <w:color w:val="auto"/>
        </w:rPr>
      </w:pPr>
    </w:p>
    <w:p>
      <w:pPr>
        <w:ind w:right="580" w:firstLine="324"/>
        <w:spacing w:after="0" w:line="291" w:lineRule="auto"/>
        <w:rPr>
          <w:sz w:val="20"/>
          <w:szCs w:val="20"/>
          <w:color w:val="auto"/>
        </w:rPr>
      </w:pPr>
      <w:r>
        <w:rPr>
          <w:rFonts w:ascii="Arial" w:cs="Arial" w:eastAsia="Arial" w:hAnsi="Arial"/>
          <w:sz w:val="17"/>
          <w:szCs w:val="17"/>
          <w:color w:val="auto"/>
        </w:rPr>
        <w:t>A transferee will become a substituted limited partner for the transferred shares automatically upon the recording of the transfer on our books and records. Our general partner will cause any transfers to be recorded on our books and records no less frequently than quarterly.</w:t>
      </w:r>
    </w:p>
    <w:p>
      <w:pPr>
        <w:spacing w:after="0" w:line="174" w:lineRule="exact"/>
        <w:rPr>
          <w:sz w:val="20"/>
          <w:szCs w:val="20"/>
          <w:color w:val="auto"/>
        </w:rPr>
      </w:pPr>
    </w:p>
    <w:p>
      <w:pPr>
        <w:ind w:right="160" w:firstLine="324"/>
        <w:spacing w:after="0" w:line="324"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51" w:lineRule="exact"/>
        <w:rPr>
          <w:sz w:val="20"/>
          <w:szCs w:val="20"/>
          <w:color w:val="auto"/>
        </w:rPr>
      </w:pPr>
    </w:p>
    <w:p>
      <w:pPr>
        <w:ind w:right="280" w:firstLine="324"/>
        <w:spacing w:after="0" w:line="324" w:lineRule="auto"/>
        <w:rPr>
          <w:sz w:val="20"/>
          <w:szCs w:val="20"/>
          <w:color w:val="auto"/>
        </w:rPr>
      </w:pPr>
      <w:r>
        <w:rPr>
          <w:rFonts w:ascii="Arial" w:cs="Arial" w:eastAsia="Arial" w:hAnsi="Arial"/>
          <w:sz w:val="16"/>
          <w:szCs w:val="16"/>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51" w:lineRule="exact"/>
        <w:rPr>
          <w:sz w:val="20"/>
          <w:szCs w:val="20"/>
          <w:color w:val="auto"/>
        </w:rPr>
      </w:pPr>
    </w:p>
    <w:p>
      <w:pPr>
        <w:ind w:right="60" w:firstLine="324"/>
        <w:spacing w:after="0" w:line="291" w:lineRule="auto"/>
        <w:rPr>
          <w:sz w:val="20"/>
          <w:szCs w:val="20"/>
          <w:color w:val="auto"/>
        </w:rPr>
      </w:pPr>
      <w:r>
        <w:rPr>
          <w:rFonts w:ascii="Arial" w:cs="Arial" w:eastAsia="Arial" w:hAnsi="Arial"/>
          <w:sz w:val="17"/>
          <w:szCs w:val="17"/>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74" w:lineRule="exact"/>
        <w:rPr>
          <w:sz w:val="20"/>
          <w:szCs w:val="20"/>
          <w:color w:val="auto"/>
        </w:rPr>
      </w:pPr>
    </w:p>
    <w:p>
      <w:pPr>
        <w:ind w:right="200" w:firstLine="324"/>
        <w:spacing w:after="0" w:line="248"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CASH DISTRIBUTION POLICY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4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9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9"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funds for distributions to shareholders;</w:t>
      </w:r>
    </w:p>
    <w:p>
      <w:pPr>
        <w:ind w:left="660" w:hanging="328"/>
        <w:spacing w:after="0" w:line="234"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with respect to the matters described under “The Partnership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available cash also includes cash on hand resulting from borrowings made after the end of the quarter.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43"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Our principal sources of cash flow are derived from our indirect investment in PAA through our ownership of limited partner interests in AAP, which owns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422" w:right="259" w:bottom="1440" w:gutter="0" w:footer="0" w:header="0"/>
        </w:sectPr>
      </w:pPr>
    </w:p>
    <w:bookmarkStart w:id="196" w:name="page197"/>
    <w:bookmarkEnd w:id="196"/>
    <w:p>
      <w:pPr>
        <w:ind w:right="500"/>
        <w:spacing w:after="0" w:line="262" w:lineRule="auto"/>
        <w:rPr>
          <w:sz w:val="20"/>
          <w:szCs w:val="20"/>
          <w:color w:val="auto"/>
        </w:rPr>
      </w:pPr>
      <w:r>
        <w:rPr>
          <w:rFonts w:ascii="Arial" w:cs="Arial" w:eastAsia="Arial" w:hAnsi="Arial"/>
          <w:sz w:val="18"/>
          <w:szCs w:val="18"/>
          <w:color w:val="auto"/>
        </w:rPr>
        <w:t>under the terms of the agreements governing PAA’s debt, it is prohibited from declaring or paying any distribution to unitholders if a default or event of default (as defined in such agreements) exists.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4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200" w:lineRule="exact"/>
        <w:rPr>
          <w:sz w:val="20"/>
          <w:szCs w:val="20"/>
          <w:color w:val="auto"/>
        </w:rPr>
      </w:pPr>
    </w:p>
    <w:p>
      <w:pPr>
        <w:spacing w:after="0" w:line="24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certain material provisions of our partnership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4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96" w:lineRule="exact"/>
        <w:rPr>
          <w:sz w:val="20"/>
          <w:szCs w:val="20"/>
          <w:color w:val="auto"/>
        </w:rPr>
      </w:pPr>
    </w:p>
    <w:p>
      <w:pPr>
        <w:ind w:right="80" w:firstLine="324"/>
        <w:spacing w:after="0" w:line="241" w:lineRule="auto"/>
        <w:rPr>
          <w:sz w:val="20"/>
          <w:szCs w:val="20"/>
          <w:color w:val="auto"/>
        </w:rPr>
      </w:pPr>
      <w:r>
        <w:rPr>
          <w:rFonts w:ascii="Arial" w:cs="Arial" w:eastAsia="Arial" w:hAnsi="Arial"/>
          <w:sz w:val="18"/>
          <w:szCs w:val="18"/>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217" w:lineRule="exact"/>
        <w:rPr>
          <w:sz w:val="20"/>
          <w:szCs w:val="20"/>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11" w:lineRule="exact"/>
        <w:rPr>
          <w:rFonts w:ascii="Arial" w:cs="Arial" w:eastAsia="Arial" w:hAnsi="Arial"/>
          <w:sz w:val="18"/>
          <w:szCs w:val="18"/>
          <w:color w:val="auto"/>
        </w:rPr>
      </w:pPr>
    </w:p>
    <w:p>
      <w:pPr>
        <w:ind w:left="660" w:right="920" w:hanging="328"/>
        <w:spacing w:after="0" w:line="234"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ind w:left="660" w:hanging="328"/>
        <w:spacing w:after="0" w:line="234"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distribution of our cash;</w:t>
      </w:r>
    </w:p>
    <w:p>
      <w:pPr>
        <w:ind w:left="660" w:right="240" w:hanging="328"/>
        <w:spacing w:after="0" w:line="234"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partnership agreement is governed by Delaware law. Our partnership agreement requires that any claims, suits, actions or proceedings:</w:t>
      </w:r>
    </w:p>
    <w:p>
      <w:pPr>
        <w:spacing w:after="0" w:line="250" w:lineRule="exact"/>
        <w:rPr>
          <w:sz w:val="20"/>
          <w:szCs w:val="20"/>
          <w:color w:val="auto"/>
        </w:rPr>
      </w:pPr>
    </w:p>
    <w:p>
      <w:pPr>
        <w:ind w:left="660" w:right="140" w:hanging="328"/>
        <w:spacing w:after="0" w:line="248" w:lineRule="auto"/>
        <w:tabs>
          <w:tab w:leader="none" w:pos="6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22" w:right="239" w:bottom="1440" w:gutter="0" w:footer="0" w:header="0"/>
        </w:sectPr>
      </w:pPr>
    </w:p>
    <w:bookmarkStart w:id="197" w:name="page198"/>
    <w:bookmarkEnd w:id="197"/>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11" w:lineRule="exact"/>
        <w:rPr>
          <w:rFonts w:ascii="Arial" w:cs="Arial" w:eastAsia="Arial" w:hAnsi="Arial"/>
          <w:sz w:val="18"/>
          <w:szCs w:val="18"/>
          <w:color w:val="auto"/>
        </w:rPr>
      </w:pPr>
    </w:p>
    <w:p>
      <w:pPr>
        <w:ind w:left="660" w:right="20" w:hanging="328"/>
        <w:spacing w:after="0" w:line="234"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asserting a claim arising pursuant to any provision of the Delaware Revised Uniform Limited Partnership Act (the “Delaware Act”); or</w:t>
      </w: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3"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The exclusive forum provision would not apply to suits brought to enforce any liability or duty created by the Securities Act of 1933, as amended (the “Securities Act”), or the Exchange Act or any other claim for which the federal courts have exclusive jurisdiction. To the extent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the federal and state courts over all suits brought to enforce any duty or liability created by the Securities Act or the rules and regulations thereunder.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43" w:lineRule="exact"/>
        <w:rPr>
          <w:sz w:val="20"/>
          <w:szCs w:val="20"/>
          <w:color w:val="auto"/>
        </w:rPr>
      </w:pPr>
    </w:p>
    <w:p>
      <w:pPr>
        <w:ind w:right="240" w:firstLine="324"/>
        <w:spacing w:after="0" w:line="243"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15"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 or</w:t>
      </w: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3" w:lineRule="exact"/>
        <w:rPr>
          <w:sz w:val="20"/>
          <w:szCs w:val="20"/>
          <w:color w:val="auto"/>
        </w:rPr>
      </w:pPr>
    </w:p>
    <w:p>
      <w:pPr>
        <w:ind w:right="200"/>
        <w:spacing w:after="0" w:line="279"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87" w:lineRule="exact"/>
        <w:rPr>
          <w:sz w:val="20"/>
          <w:szCs w:val="20"/>
          <w:color w:val="auto"/>
        </w:rPr>
      </w:pPr>
    </w:p>
    <w:p>
      <w:pPr>
        <w:ind w:right="60" w:firstLine="324"/>
        <w:spacing w:after="0" w:line="254" w:lineRule="auto"/>
        <w:rPr>
          <w:sz w:val="20"/>
          <w:szCs w:val="20"/>
          <w:color w:val="auto"/>
        </w:rPr>
      </w:pPr>
      <w:r>
        <w:rPr>
          <w:rFonts w:ascii="Arial" w:cs="Arial" w:eastAsia="Arial" w:hAnsi="Arial"/>
          <w:sz w:val="17"/>
          <w:szCs w:val="17"/>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22" w:right="239" w:bottom="1440" w:gutter="0" w:footer="0" w:header="0"/>
        </w:sectPr>
      </w:pPr>
    </w:p>
    <w:bookmarkStart w:id="198" w:name="page199"/>
    <w:bookmarkEnd w:id="198"/>
    <w:p>
      <w:pPr>
        <w:ind w:right="60" w:firstLine="324"/>
        <w:spacing w:after="0" w:line="254" w:lineRule="auto"/>
        <w:rPr>
          <w:sz w:val="20"/>
          <w:szCs w:val="20"/>
          <w:color w:val="auto"/>
        </w:rPr>
      </w:pPr>
      <w:r>
        <w:rPr>
          <w:rFonts w:ascii="Arial" w:cs="Arial" w:eastAsia="Arial" w:hAnsi="Arial"/>
          <w:sz w:val="17"/>
          <w:szCs w:val="17"/>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43" w:lineRule="exact"/>
        <w:rPr>
          <w:sz w:val="20"/>
          <w:szCs w:val="20"/>
          <w:color w:val="auto"/>
        </w:rPr>
      </w:pPr>
    </w:p>
    <w:p>
      <w:pPr>
        <w:ind w:right="400" w:firstLine="324"/>
        <w:spacing w:after="0" w:line="248" w:lineRule="auto"/>
        <w:rPr>
          <w:sz w:val="20"/>
          <w:szCs w:val="20"/>
          <w:color w:val="auto"/>
        </w:rPr>
      </w:pPr>
      <w:r>
        <w:rPr>
          <w:rFonts w:ascii="Arial" w:cs="Arial" w:eastAsia="Arial" w:hAnsi="Arial"/>
          <w:sz w:val="18"/>
          <w:szCs w:val="18"/>
          <w:color w:val="auto"/>
        </w:rPr>
        <w:t>Our general partner manages us and our operations. Our shareholders will have only limited voting rights on matters affecting our business. Our shareholders will not have the right to elect our general partner or, except as described below under “—Public Election of Directors,” its directors on an annual or other continuing basis.</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7"/>
          <w:szCs w:val="17"/>
          <w:color w:val="auto"/>
        </w:rPr>
        <w:t>Our Class C shares are only entitled to vote on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On such matters, PAA votes the Class C shares on behalf of, and as instructed by, the PAA common and Series A preferred unitholders. Because of the limited voting rights of our Class C shares,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422" w:right="339" w:bottom="1440" w:gutter="0" w:footer="0" w:header="0"/>
        </w:sectPr>
      </w:pPr>
    </w:p>
    <w:bookmarkStart w:id="199" w:name="page200"/>
    <w:bookmarkEnd w:id="199"/>
    <w:p>
      <w:pPr>
        <w:ind w:right="20" w:firstLine="324"/>
        <w:spacing w:after="0" w:line="276" w:lineRule="auto"/>
        <w:rPr>
          <w:sz w:val="20"/>
          <w:szCs w:val="20"/>
          <w:color w:val="auto"/>
        </w:rPr>
      </w:pPr>
      <w:r>
        <w:rPr>
          <w:rFonts w:ascii="Arial" w:cs="Arial" w:eastAsia="Arial" w:hAnsi="Arial"/>
          <w:sz w:val="16"/>
          <w:szCs w:val="16"/>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 general partner will have no fiduciary duty or obligation whatsoever to us or the shareholders, including any duty to act in good faith or in the best interests of us or the shareholders.</w:t>
      </w:r>
    </w:p>
    <w:p>
      <w:pPr>
        <w:sectPr>
          <w:pgSz w:w="11900" w:h="16838" w:orient="portrait"/>
          <w:cols w:equalWidth="0" w:num="1">
            <w:col w:w="11320"/>
          </w:cols>
          <w:pgMar w:left="240" w:top="1422"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of additional shares (or other partnership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w:t>
      </w:r>
    </w:p>
    <w:p>
      <w:pPr>
        <w:spacing w:after="0" w:line="46"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securities)</w:t>
      </w:r>
    </w:p>
    <w:p>
      <w:pPr>
        <w:sectPr>
          <w:pgSz w:w="11900" w:h="16838" w:orient="portrait"/>
          <w:cols w:equalWidth="0" w:num="1">
            <w:col w:w="11320"/>
          </w:cols>
          <w:pgMar w:left="240" w:top="1422" w:right="339" w:bottom="1440" w:gutter="0" w:footer="0" w:header="0"/>
          <w:type w:val="continuous"/>
        </w:sect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Amendment of our partnership agreement</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Amendments to our partnership agreement may be proposed only by or with the consent of</w:t>
      </w:r>
    </w:p>
    <w:p>
      <w:pPr>
        <w:spacing w:after="0" w:line="46"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ind w:left="4560" w:right="60"/>
        <w:spacing w:after="0" w:line="273" w:lineRule="auto"/>
        <w:rPr>
          <w:sz w:val="20"/>
          <w:szCs w:val="20"/>
          <w:color w:val="auto"/>
        </w:rPr>
      </w:pPr>
      <w:r>
        <w:rPr>
          <w:rFonts w:ascii="Arial" w:cs="Arial" w:eastAsia="Arial" w:hAnsi="Arial"/>
          <w:sz w:val="17"/>
          <w:szCs w:val="17"/>
          <w:color w:val="auto"/>
        </w:rPr>
        <w:t>our general partner. Certain amendments may be made by our general partner without the approval of our shareholders. Other amendments generally require the approval of a majority of our outstanding shares (including under certain circumstances, our Class C shares). Please read “—Amendments to Our Partnership Agreement.”</w:t>
      </w:r>
    </w:p>
    <w:p>
      <w:pPr>
        <w:sectPr>
          <w:pgSz w:w="11900" w:h="16838" w:orient="portrait"/>
          <w:cols w:equalWidth="0" w:num="1">
            <w:col w:w="11320"/>
          </w:cols>
          <w:pgMar w:left="240" w:top="1422" w:right="339" w:bottom="1440" w:gutter="0" w:footer="0" w:header="0"/>
          <w:type w:val="continuous"/>
        </w:sect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Merger of our partnership or the sale of all or substantially</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in certain circumstances. Please read “—Merger, Sale or</w:t>
      </w:r>
    </w:p>
    <w:p>
      <w:pPr>
        <w:spacing w:after="0" w:line="46" w:lineRule="exact"/>
        <w:rPr>
          <w:sz w:val="20"/>
          <w:szCs w:val="20"/>
          <w:color w:val="auto"/>
        </w:rPr>
      </w:pPr>
    </w:p>
    <w:p>
      <w:pPr>
        <w:sectPr>
          <w:pgSz w:w="11900" w:h="16838" w:orient="portrait"/>
          <w:cols w:equalWidth="0" w:num="2">
            <w:col w:w="4240" w:space="320"/>
            <w:col w:w="6760"/>
          </w:cols>
          <w:pgMar w:left="240" w:top="1422"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all of our 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Other Disposition of Assets.”</w:t>
      </w:r>
    </w:p>
    <w:p>
      <w:pPr>
        <w:spacing w:after="0" w:line="200"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Dissolution</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Please read “—Termination or Dissolution.”</w:t>
      </w:r>
    </w:p>
    <w:p>
      <w:pPr>
        <w:spacing w:after="0" w:line="211"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spacing w:after="0" w:line="1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Reconstitution upon dissolution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A majority of our outstanding shares. Please read “—Termination or Dissolution.”</w:t>
      </w:r>
    </w:p>
    <w:p>
      <w:pPr>
        <w:spacing w:after="0" w:line="200"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Withdrawal of our general partner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 Please read “—Withdrawal or Removal of the General Partner.”</w:t>
      </w:r>
    </w:p>
    <w:p>
      <w:pPr>
        <w:spacing w:after="0" w:line="200"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Removal of our general partner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Not less than 66 2/3% of our outstanding shares, including shares held by our general partner,</w:t>
      </w:r>
    </w:p>
    <w:p>
      <w:pPr>
        <w:spacing w:after="0" w:line="46"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ind w:left="4560" w:right="100"/>
        <w:spacing w:after="0" w:line="261" w:lineRule="auto"/>
        <w:rPr>
          <w:sz w:val="20"/>
          <w:szCs w:val="20"/>
          <w:color w:val="auto"/>
        </w:rPr>
      </w:pPr>
      <w:r>
        <w:rPr>
          <w:rFonts w:ascii="Arial" w:cs="Arial" w:eastAsia="Arial" w:hAnsi="Arial"/>
          <w:sz w:val="18"/>
          <w:szCs w:val="18"/>
          <w:color w:val="auto"/>
        </w:rPr>
        <w:t>the Legacy Owners and their respective affiliates. Please read “—Withdrawal or Removal of the General Partner.”</w:t>
      </w:r>
    </w:p>
    <w:p>
      <w:pPr>
        <w:sectPr>
          <w:pgSz w:w="11900" w:h="16838" w:orient="portrait"/>
          <w:cols w:equalWidth="0" w:num="1">
            <w:col w:w="11320"/>
          </w:cols>
          <w:pgMar w:left="240" w:top="1422" w:right="339" w:bottom="1440" w:gutter="0" w:footer="0" w:header="0"/>
          <w:type w:val="continuous"/>
        </w:sect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Transfer of the general partner interest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No approval right.</w:t>
      </w:r>
    </w:p>
    <w:p>
      <w:pPr>
        <w:spacing w:after="0" w:line="200" w:lineRule="exact"/>
        <w:rPr>
          <w:sz w:val="20"/>
          <w:szCs w:val="20"/>
          <w:color w:val="auto"/>
        </w:rPr>
      </w:pPr>
    </w:p>
    <w:p>
      <w:pPr>
        <w:sectPr>
          <w:pgSz w:w="11900" w:h="16838" w:orient="portrait"/>
          <w:cols w:equalWidth="0" w:num="2">
            <w:col w:w="3840" w:space="720"/>
            <w:col w:w="6760"/>
          </w:cols>
          <w:pgMar w:left="240" w:top="1422" w:right="339"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43" w:lineRule="exact"/>
        <w:rPr>
          <w:sz w:val="20"/>
          <w:szCs w:val="20"/>
          <w:color w:val="auto"/>
        </w:rPr>
      </w:pPr>
    </w:p>
    <w:p>
      <w:pPr>
        <w:ind w:right="760" w:firstLine="324"/>
        <w:spacing w:after="0" w:line="324"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5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7"/>
          <w:szCs w:val="17"/>
          <w:color w:val="auto"/>
        </w:rPr>
        <w:t>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422" w:right="339" w:bottom="1440" w:gutter="0" w:footer="0" w:header="0"/>
          <w:type w:val="continuous"/>
        </w:sectPr>
      </w:pPr>
    </w:p>
    <w:bookmarkStart w:id="200" w:name="page201"/>
    <w:bookmarkEnd w:id="200"/>
    <w:p>
      <w:pPr>
        <w:ind w:right="200" w:firstLine="324"/>
        <w:spacing w:after="0" w:line="262"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39" w:lineRule="exact"/>
        <w:rPr>
          <w:sz w:val="20"/>
          <w:szCs w:val="20"/>
          <w:color w:val="auto"/>
        </w:rPr>
      </w:pPr>
    </w:p>
    <w:p>
      <w:pPr>
        <w:ind w:right="80" w:firstLine="324"/>
        <w:spacing w:after="0"/>
        <w:rPr>
          <w:sz w:val="20"/>
          <w:szCs w:val="20"/>
          <w:color w:val="auto"/>
        </w:rPr>
      </w:pPr>
      <w:r>
        <w:rPr>
          <w:rFonts w:ascii="Arial" w:cs="Arial" w:eastAsia="Arial" w:hAnsi="Arial"/>
          <w:sz w:val="18"/>
          <w:szCs w:val="18"/>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660" w:right="40" w:hanging="328"/>
        <w:spacing w:after="0" w:line="262" w:lineRule="auto"/>
        <w:tabs>
          <w:tab w:leader="none" w:pos="65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196" w:lineRule="exact"/>
        <w:rPr>
          <w:rFonts w:ascii="Arial" w:cs="Arial" w:eastAsia="Arial" w:hAnsi="Arial"/>
          <w:sz w:val="18"/>
          <w:szCs w:val="18"/>
          <w:color w:val="auto"/>
        </w:rPr>
      </w:pPr>
    </w:p>
    <w:p>
      <w:pPr>
        <w:ind w:left="660" w:right="140" w:hanging="328"/>
        <w:spacing w:after="0" w:line="248" w:lineRule="auto"/>
        <w:tabs>
          <w:tab w:leader="none" w:pos="65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209"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38" w:lineRule="exact"/>
        <w:rPr>
          <w:rFonts w:ascii="Arial" w:cs="Arial" w:eastAsia="Arial" w:hAnsi="Arial"/>
          <w:sz w:val="18"/>
          <w:szCs w:val="18"/>
          <w:color w:val="auto"/>
        </w:rPr>
      </w:pPr>
    </w:p>
    <w:p>
      <w:pPr>
        <w:ind w:left="660" w:right="320" w:hanging="328"/>
        <w:spacing w:after="0" w:line="262" w:lineRule="auto"/>
        <w:tabs>
          <w:tab w:leader="none" w:pos="5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96" w:lineRule="exact"/>
        <w:rPr>
          <w:rFonts w:ascii="Arial" w:cs="Arial" w:eastAsia="Arial" w:hAnsi="Arial"/>
          <w:sz w:val="18"/>
          <w:szCs w:val="18"/>
          <w:color w:val="auto"/>
        </w:rPr>
      </w:pPr>
    </w:p>
    <w:p>
      <w:pPr>
        <w:ind w:left="660" w:hanging="328"/>
        <w:spacing w:after="0" w:line="243" w:lineRule="auto"/>
        <w:tabs>
          <w:tab w:leader="none" w:pos="5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w:t>
      </w:r>
    </w:p>
    <w:p>
      <w:pPr>
        <w:spacing w:after="0" w:line="215" w:lineRule="exact"/>
        <w:rPr>
          <w:rFonts w:ascii="Arial" w:cs="Arial" w:eastAsia="Arial" w:hAnsi="Arial"/>
          <w:sz w:val="18"/>
          <w:szCs w:val="18"/>
          <w:color w:val="auto"/>
        </w:rPr>
      </w:pPr>
    </w:p>
    <w:p>
      <w:pPr>
        <w:ind w:left="660" w:right="40" w:hanging="328"/>
        <w:spacing w:after="0" w:line="262" w:lineRule="auto"/>
        <w:tabs>
          <w:tab w:leader="none" w:pos="5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196" w:lineRule="exact"/>
        <w:rPr>
          <w:rFonts w:ascii="Arial" w:cs="Arial" w:eastAsia="Arial" w:hAnsi="Arial"/>
          <w:sz w:val="18"/>
          <w:szCs w:val="18"/>
          <w:color w:val="auto"/>
        </w:rPr>
      </w:pPr>
    </w:p>
    <w:p>
      <w:pPr>
        <w:ind w:left="580" w:hanging="248"/>
        <w:spacing w:after="0"/>
        <w:tabs>
          <w:tab w:leader="none" w:pos="5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1422" w:right="319" w:bottom="1440" w:gutter="0" w:footer="0" w:header="0"/>
        </w:sectPr>
      </w:pPr>
    </w:p>
    <w:bookmarkStart w:id="201" w:name="page202"/>
    <w:bookmarkEnd w:id="201"/>
    <w:p>
      <w:pPr>
        <w:ind w:left="580" w:hanging="248"/>
        <w:spacing w:after="0"/>
        <w:tabs>
          <w:tab w:leader="none" w:pos="5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 amendment effected, necessitated or contemplated by a merger agreement that has been approved under the terms of our partnership agreement;</w:t>
      </w:r>
    </w:p>
    <w:p>
      <w:pPr>
        <w:spacing w:after="0" w:line="261" w:lineRule="exact"/>
        <w:rPr>
          <w:rFonts w:ascii="Arial" w:cs="Arial" w:eastAsia="Arial" w:hAnsi="Arial"/>
          <w:sz w:val="16"/>
          <w:szCs w:val="16"/>
          <w:color w:val="auto"/>
        </w:rPr>
      </w:pPr>
    </w:p>
    <w:p>
      <w:pPr>
        <w:ind w:left="660" w:right="440" w:hanging="328"/>
        <w:spacing w:after="0" w:line="262" w:lineRule="auto"/>
        <w:tabs>
          <w:tab w:leader="none" w:pos="59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196" w:lineRule="exact"/>
        <w:rPr>
          <w:rFonts w:ascii="Arial" w:cs="Arial" w:eastAsia="Arial" w:hAnsi="Arial"/>
          <w:sz w:val="18"/>
          <w:szCs w:val="18"/>
          <w:color w:val="auto"/>
        </w:rPr>
      </w:pPr>
    </w:p>
    <w:p>
      <w:pPr>
        <w:ind w:left="580" w:hanging="248"/>
        <w:spacing w:after="0"/>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660" w:right="160" w:hanging="328"/>
        <w:spacing w:after="0" w:line="248" w:lineRule="auto"/>
        <w:tabs>
          <w:tab w:leader="none" w:pos="68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9" w:lineRule="exact"/>
        <w:rPr>
          <w:rFonts w:ascii="Arial" w:cs="Arial" w:eastAsia="Arial" w:hAnsi="Arial"/>
          <w:sz w:val="18"/>
          <w:szCs w:val="18"/>
          <w:color w:val="auto"/>
        </w:rPr>
      </w:pPr>
    </w:p>
    <w:p>
      <w:pPr>
        <w:ind w:left="660" w:right="100" w:hanging="328"/>
        <w:spacing w:after="0" w:line="248" w:lineRule="auto"/>
        <w:tabs>
          <w:tab w:leader="none" w:pos="67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09" w:lineRule="exact"/>
        <w:rPr>
          <w:rFonts w:ascii="Arial" w:cs="Arial" w:eastAsia="Arial" w:hAnsi="Arial"/>
          <w:sz w:val="18"/>
          <w:szCs w:val="18"/>
          <w:color w:val="auto"/>
        </w:rPr>
      </w:pPr>
    </w:p>
    <w:p>
      <w:pPr>
        <w:ind w:left="680" w:hanging="348"/>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39" w:lineRule="exact"/>
        <w:rPr>
          <w:sz w:val="20"/>
          <w:szCs w:val="20"/>
          <w:color w:val="auto"/>
        </w:rPr>
      </w:pPr>
    </w:p>
    <w:p>
      <w:pPr>
        <w:ind w:right="580" w:firstLine="324"/>
        <w:spacing w:after="0" w:line="262"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6" w:lineRule="exact"/>
        <w:rPr>
          <w:sz w:val="20"/>
          <w:szCs w:val="20"/>
          <w:color w:val="auto"/>
        </w:rPr>
      </w:pPr>
    </w:p>
    <w:p>
      <w:pPr>
        <w:ind w:left="660" w:right="400" w:hanging="328"/>
        <w:spacing w:after="0" w:line="262" w:lineRule="auto"/>
        <w:tabs>
          <w:tab w:leader="none" w:pos="5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5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5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6" w:lineRule="exact"/>
        <w:rPr>
          <w:rFonts w:ascii="Arial" w:cs="Arial" w:eastAsia="Arial" w:hAnsi="Arial"/>
          <w:sz w:val="18"/>
          <w:szCs w:val="18"/>
          <w:color w:val="auto"/>
        </w:rPr>
      </w:pPr>
    </w:p>
    <w:p>
      <w:pPr>
        <w:ind w:left="660" w:right="540" w:hanging="328"/>
        <w:spacing w:after="0" w:line="262" w:lineRule="auto"/>
        <w:tabs>
          <w:tab w:leader="none" w:pos="59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 or</w:t>
      </w:r>
    </w:p>
    <w:p>
      <w:pPr>
        <w:spacing w:after="0" w:line="196" w:lineRule="exact"/>
        <w:rPr>
          <w:rFonts w:ascii="Arial" w:cs="Arial" w:eastAsia="Arial" w:hAnsi="Arial"/>
          <w:sz w:val="18"/>
          <w:szCs w:val="18"/>
          <w:color w:val="auto"/>
        </w:rPr>
      </w:pPr>
    </w:p>
    <w:p>
      <w:pPr>
        <w:ind w:left="580" w:hanging="248"/>
        <w:spacing w:after="0"/>
        <w:tabs>
          <w:tab w:leader="none" w:pos="5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are required to effect the intent of the provisions of our partnership agreement or as are otherwise contemplated by our partnership agreement.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39"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21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422" w:right="299" w:bottom="1440" w:gutter="0" w:footer="0" w:header="0"/>
        </w:sectPr>
      </w:pPr>
    </w:p>
    <w:bookmarkStart w:id="202" w:name="page203"/>
    <w:bookmarkEnd w:id="202"/>
    <w:p>
      <w:pPr>
        <w:ind w:right="60" w:firstLine="324"/>
        <w:spacing w:after="0" w:line="284"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8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7"/>
          <w:szCs w:val="17"/>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201"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580" w:hanging="248"/>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38" w:lineRule="exact"/>
        <w:rPr>
          <w:rFonts w:ascii="Arial" w:cs="Arial" w:eastAsia="Arial" w:hAnsi="Arial"/>
          <w:sz w:val="18"/>
          <w:szCs w:val="18"/>
          <w:color w:val="auto"/>
        </w:rPr>
      </w:pPr>
    </w:p>
    <w:p>
      <w:pPr>
        <w:ind w:left="580" w:hanging="248"/>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there being no holders of partnership interests, unless we are continued without dissolution in accordance with applicable Delaware law;</w:t>
      </w:r>
    </w:p>
    <w:p>
      <w:pPr>
        <w:spacing w:after="0" w:line="238" w:lineRule="exact"/>
        <w:rPr>
          <w:rFonts w:ascii="Arial" w:cs="Arial" w:eastAsia="Arial" w:hAnsi="Arial"/>
          <w:sz w:val="18"/>
          <w:szCs w:val="18"/>
          <w:color w:val="auto"/>
        </w:rPr>
      </w:pPr>
    </w:p>
    <w:p>
      <w:pPr>
        <w:ind w:left="580" w:hanging="248"/>
        <w:spacing w:after="0"/>
        <w:tabs>
          <w:tab w:leader="none" w:pos="5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660" w:right="500" w:hanging="328"/>
        <w:spacing w:after="0" w:line="248" w:lineRule="auto"/>
        <w:tabs>
          <w:tab w:leader="none" w:pos="59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209"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43"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9"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9"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1400"/>
          </w:cols>
          <w:pgMar w:left="240" w:top="1422" w:right="259" w:bottom="1440" w:gutter="0" w:footer="0" w:header="0"/>
        </w:sectPr>
      </w:pPr>
    </w:p>
    <w:bookmarkStart w:id="203" w:name="page204"/>
    <w:bookmarkEnd w:id="203"/>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39" w:lineRule="exact"/>
        <w:rPr>
          <w:sz w:val="20"/>
          <w:szCs w:val="20"/>
          <w:color w:val="auto"/>
        </w:rPr>
      </w:pPr>
    </w:p>
    <w:p>
      <w:pPr>
        <w:ind w:right="180" w:firstLine="324"/>
        <w:spacing w:after="0" w:line="324"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43" w:lineRule="exact"/>
        <w:rPr>
          <w:sz w:val="20"/>
          <w:szCs w:val="20"/>
          <w:color w:val="auto"/>
        </w:rPr>
      </w:pPr>
    </w:p>
    <w:p>
      <w:pPr>
        <w:ind w:right="840" w:firstLine="324"/>
        <w:spacing w:after="0" w:line="262"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96" w:lineRule="exact"/>
        <w:rPr>
          <w:sz w:val="20"/>
          <w:szCs w:val="20"/>
          <w:color w:val="auto"/>
        </w:rPr>
      </w:pPr>
    </w:p>
    <w:p>
      <w:pPr>
        <w:ind w:right="300" w:firstLine="324"/>
        <w:spacing w:after="0" w:line="263" w:lineRule="auto"/>
        <w:rPr>
          <w:sz w:val="20"/>
          <w:szCs w:val="20"/>
          <w:color w:val="auto"/>
        </w:rPr>
      </w:pPr>
      <w:r>
        <w:rPr>
          <w:rFonts w:ascii="Arial" w:cs="Arial" w:eastAsia="Arial" w:hAnsi="Arial"/>
          <w:sz w:val="17"/>
          <w:szCs w:val="17"/>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97" w:lineRule="exact"/>
        <w:rPr>
          <w:sz w:val="20"/>
          <w:szCs w:val="20"/>
          <w:color w:val="auto"/>
        </w:rPr>
      </w:pPr>
    </w:p>
    <w:p>
      <w:pPr>
        <w:ind w:right="240" w:firstLine="324"/>
        <w:spacing w:after="0" w:line="241"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66 2/3%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 1/3% of our outstanding shares by any person or group would give such persons the practical ability to prevent our general partner’s removal.</w:t>
      </w:r>
    </w:p>
    <w:p>
      <w:pPr>
        <w:spacing w:after="0" w:line="217" w:lineRule="exact"/>
        <w:rPr>
          <w:sz w:val="20"/>
          <w:szCs w:val="20"/>
          <w:color w:val="auto"/>
        </w:rPr>
      </w:pPr>
    </w:p>
    <w:p>
      <w:pPr>
        <w:ind w:right="240" w:firstLine="324"/>
        <w:spacing w:after="0" w:line="248"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43" w:lineRule="exact"/>
        <w:rPr>
          <w:sz w:val="20"/>
          <w:szCs w:val="20"/>
          <w:color w:val="auto"/>
        </w:rPr>
      </w:pPr>
    </w:p>
    <w:p>
      <w:pPr>
        <w:ind w:right="40" w:firstLine="324"/>
        <w:spacing w:after="0" w:line="254" w:lineRule="auto"/>
        <w:rPr>
          <w:sz w:val="20"/>
          <w:szCs w:val="20"/>
          <w:color w:val="auto"/>
        </w:rPr>
      </w:pPr>
      <w:r>
        <w:rPr>
          <w:rFonts w:ascii="Arial" w:cs="Arial" w:eastAsia="Arial" w:hAnsi="Arial"/>
          <w:sz w:val="17"/>
          <w:szCs w:val="17"/>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43" w:lineRule="exact"/>
        <w:rPr>
          <w:sz w:val="20"/>
          <w:szCs w:val="20"/>
          <w:color w:val="auto"/>
        </w:rPr>
      </w:pPr>
    </w:p>
    <w:p>
      <w:pPr>
        <w:ind w:firstLine="324"/>
        <w:spacing w:after="0" w:line="276"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422" w:right="259" w:bottom="1440" w:gutter="0" w:footer="0" w:header="0"/>
        </w:sectPr>
      </w:pPr>
    </w:p>
    <w:bookmarkStart w:id="204" w:name="page205"/>
    <w:bookmarkEnd w:id="204"/>
    <w:p>
      <w:pPr>
        <w:ind w:right="300" w:firstLine="324"/>
        <w:spacing w:after="0" w:line="248" w:lineRule="auto"/>
        <w:rPr>
          <w:sz w:val="20"/>
          <w:szCs w:val="20"/>
          <w:color w:val="auto"/>
        </w:rPr>
      </w:pPr>
      <w:r>
        <w:rPr>
          <w:rFonts w:ascii="Arial" w:cs="Arial" w:eastAsia="Arial" w:hAnsi="Arial"/>
          <w:sz w:val="18"/>
          <w:szCs w:val="18"/>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4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Subject to limited exceptions, PAGP GP’s Third Amended and Restated Limited Liability Company Agreement (as amended, the “PAGP GP LLC Agreement”) provides that the Board will consist of up to 13 members, including the CEO and, based on current ownership levels, up to two designated directors. In addition, if PAA fails to make three distributions on its Series A preferred units (whether or not consecutive), the holders of PAA’s Series A preferred units will have the right to appoint a new member of the Board to serve until such time as all accrued and unpaid distributions on such Series A preferred units have been paid in full.</w:t>
      </w:r>
    </w:p>
    <w:p>
      <w:pPr>
        <w:spacing w:after="0" w:line="217" w:lineRule="exact"/>
        <w:rPr>
          <w:sz w:val="20"/>
          <w:szCs w:val="20"/>
          <w:color w:val="auto"/>
        </w:rPr>
      </w:pPr>
    </w:p>
    <w:p>
      <w:pPr>
        <w:ind w:right="180" w:firstLine="324"/>
        <w:spacing w:after="0" w:line="284" w:lineRule="auto"/>
        <w:rPr>
          <w:sz w:val="20"/>
          <w:szCs w:val="20"/>
          <w:color w:val="auto"/>
        </w:rPr>
      </w:pPr>
      <w:r>
        <w:rPr>
          <w:rFonts w:ascii="Arial" w:cs="Arial" w:eastAsia="Arial" w:hAnsi="Arial"/>
          <w:sz w:val="16"/>
          <w:szCs w:val="16"/>
          <w:color w:val="auto"/>
        </w:rPr>
        <w:t>The Board is divided into three staggered classes (excluding those directors who are also officers or employees of GP LLC). At each annual meeting, only the eligible directors of a class whose term is expiring (i.e., directors of such class who are not "designated" directors) will be up for election and, upon election, the elected directors in that class will serve for a term of three years, subject to a director's earlier resignation, death or removal. If a director is elected to the board of directors of our general partner to fill a vacancy, that director will have the same remaining term as his or her predecessor.</w:t>
      </w:r>
    </w:p>
    <w:p>
      <w:pPr>
        <w:spacing w:after="0" w:line="18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7"/>
          <w:szCs w:val="17"/>
          <w:color w:val="auto"/>
        </w:rPr>
        <w:t xml:space="preserve">We will hold annual meetings of our shareholders for the purpose of electing directors of the board with expiring terms other than any designated director, any director who is currently serving (or has served in the last three years) as an officer or employee of GP LLC, and any director subject to appointment by the holders of PAA’s Series A preferred units. Voting at any such shareholder meetings will be non-cumulative. The presence in person or by proxy of the holders of a majority of our outstanding Class A shares, Class B shares and Class C shares, voting together as a single class, will constitute a quorum;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19.9% of the outstanding Class A shares, Class B shares and Class C shares beneficially owned by a greater than 20% owner will be counted for purposes of determining a quorum for the election of our general partner’s board of directors.</w:t>
      </w:r>
    </w:p>
    <w:p>
      <w:pPr>
        <w:spacing w:after="0" w:line="203" w:lineRule="exact"/>
        <w:rPr>
          <w:sz w:val="20"/>
          <w:szCs w:val="20"/>
          <w:color w:val="auto"/>
        </w:rPr>
      </w:pPr>
    </w:p>
    <w:p>
      <w:pPr>
        <w:ind w:right="20" w:firstLine="324"/>
        <w:spacing w:after="0" w:line="272"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96"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62" w:lineRule="exact"/>
        <w:rPr>
          <w:sz w:val="20"/>
          <w:szCs w:val="20"/>
          <w:color w:val="auto"/>
        </w:rPr>
      </w:pPr>
    </w:p>
    <w:p>
      <w:pPr>
        <w:ind w:right="160" w:firstLine="324"/>
        <w:spacing w:after="0" w:line="248"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22" w:right="239" w:bottom="1440" w:gutter="0" w:footer="0" w:header="0"/>
        </w:sectPr>
      </w:pPr>
    </w:p>
    <w:bookmarkStart w:id="205" w:name="page206"/>
    <w:bookmarkEnd w:id="205"/>
    <w:p>
      <w:pPr>
        <w:spacing w:after="0"/>
        <w:rPr>
          <w:sz w:val="20"/>
          <w:szCs w:val="20"/>
          <w:color w:val="auto"/>
        </w:rPr>
      </w:pPr>
      <w:r>
        <w:rPr>
          <w:rFonts w:ascii="Arial" w:cs="Arial" w:eastAsia="Arial" w:hAnsi="Arial"/>
          <w:sz w:val="17"/>
          <w:szCs w:val="17"/>
          <w:color w:val="auto"/>
        </w:rPr>
        <w:t>office until such successor director is elected at the third succeeding annual meeting or until such director’s earlier death, resignation or removal.</w:t>
      </w:r>
    </w:p>
    <w:p>
      <w:pPr>
        <w:spacing w:after="0" w:line="250" w:lineRule="exact"/>
        <w:rPr>
          <w:sz w:val="20"/>
          <w:szCs w:val="20"/>
          <w:color w:val="auto"/>
        </w:rPr>
      </w:pPr>
    </w:p>
    <w:p>
      <w:pPr>
        <w:ind w:firstLine="324"/>
        <w:spacing w:after="0" w:line="238" w:lineRule="auto"/>
        <w:rPr>
          <w:sz w:val="20"/>
          <w:szCs w:val="20"/>
          <w:color w:val="auto"/>
        </w:rPr>
      </w:pPr>
      <w:r>
        <w:rPr>
          <w:rFonts w:ascii="Arial" w:cs="Arial" w:eastAsia="Arial" w:hAnsi="Arial"/>
          <w:sz w:val="18"/>
          <w:szCs w:val="18"/>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If each designating party’s ownership of limited partner interests in AAP falls below the minimum ownership requirement, then all of our directors (other than any director who is currently serving (or who has served in the last three years) as an officer or employee of GP LLC and any director subject to appointment by the holders of PAA’s Series A preferred units) will become subject to election by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43" w:lineRule="exact"/>
        <w:rPr>
          <w:sz w:val="20"/>
          <w:szCs w:val="20"/>
          <w:color w:val="auto"/>
        </w:rPr>
      </w:pPr>
    </w:p>
    <w:p>
      <w:pPr>
        <w:ind w:right="120" w:firstLine="324"/>
        <w:spacing w:after="0" w:line="248"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43" w:lineRule="exact"/>
        <w:rPr>
          <w:sz w:val="20"/>
          <w:szCs w:val="20"/>
          <w:color w:val="auto"/>
        </w:rPr>
      </w:pPr>
    </w:p>
    <w:p>
      <w:pPr>
        <w:ind w:firstLine="324"/>
        <w:spacing w:after="0" w:line="254" w:lineRule="auto"/>
        <w:rPr>
          <w:sz w:val="20"/>
          <w:szCs w:val="20"/>
          <w:color w:val="auto"/>
        </w:rPr>
      </w:pPr>
      <w:r>
        <w:rPr>
          <w:rFonts w:ascii="Arial" w:cs="Arial" w:eastAsia="Arial" w:hAnsi="Arial"/>
          <w:sz w:val="17"/>
          <w:szCs w:val="17"/>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22"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Third Amended and Restated Employment Agreement (“Agreement”), effective as of the date specified in Section 1 below, is by and between Plains All American GP LLC (the “Company”) and Greg L Armstrong (“Armstrong” or the “Employee”). The Company and the Employee are at times referred to collectively as “the Parties.” For purposes of this Agreement, the term “Company Group” means Plains GP Holdings, L.P., PAA GP Holdings LLC (“GP Holdings”), the Company and all of the entities over which the Company has or exercises direct or indirect control, including Plains All American Pipeline, L.P. and its subsidiaries.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3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2"/>
          <w:szCs w:val="22"/>
          <w:color w:val="auto"/>
        </w:rPr>
        <w:t>WHEREAS, Armstrong and the Company were parties to that certain Amended and Restated Employment Agreement dated as of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June, 2001, as modified by Waiver Agreements dated August 12, 2005, December 23, 2010 and October 21, 2013 (the “Original Agreement”);</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Armstrong and the Company amended and restated the Original Agreement by entering into that certain Second Amended and Restated Employment Agreement between Armstrong and the Company dated as of October 1, 2018 (the “Prior Agreement”);</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WHEREAS, Armstrong is currently serving as non-executive Chairman of the Board pursuant to the terms of the Prior Agreement, which provides that such arrangement will end on December 31, 2019;</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on November 21, 2019, the Board of Directors of PAA GP Holdings LLC appointed Mr. Armstrong to continue to serve as a Director for an additional two-year term and also approved a two-year extension of his employment with the Company; and</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Company and Armstrong desire to amend and restate the Prior Agreement by entering into this Agreement, which sets forth their mutual agreement and understanding related to the continued employment of Armstrong and certain related matters as set forth herein.</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NOW, THEREFORE, in consideration of the covenants and conditions herein contained, the Parties agree as follows:</w:t>
      </w:r>
    </w:p>
    <w:p>
      <w:pPr>
        <w:spacing w:after="0" w:line="245" w:lineRule="exact"/>
        <w:rPr>
          <w:sz w:val="20"/>
          <w:szCs w:val="20"/>
          <w:color w:val="auto"/>
        </w:rPr>
      </w:pPr>
    </w:p>
    <w:p>
      <w:pPr>
        <w:ind w:left="980" w:hanging="972"/>
        <w:spacing w:after="0"/>
        <w:tabs>
          <w:tab w:leader="none" w:pos="98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Employment; Prior Agreement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460" w:hanging="480"/>
        <w:spacing w:after="0" w:line="238" w:lineRule="auto"/>
        <w:tabs>
          <w:tab w:leader="none" w:pos="1457"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Effective January 1, 2020 (the “Effective Date”) and subject to the terms hereof, Armstrong hereby (i) resigns his position as non-executive Chairman of the Board, and (ii) continues his employment with the Company as a Senior Advisor to the Chief Executive Officer of the Company (“CEO”). During the Term (as defined below), Armstrong agrees to devote such time and energy as</w:t>
      </w:r>
    </w:p>
    <w:p>
      <w:pPr>
        <w:sectPr>
          <w:pgSz w:w="11900" w:h="16838" w:orient="portrait"/>
          <w:cols w:equalWidth="0" w:num="1">
            <w:col w:w="11420"/>
          </w:cols>
          <w:pgMar w:left="240" w:top="125" w:right="239" w:bottom="1440" w:gutter="0" w:footer="0" w:header="0"/>
        </w:sectPr>
      </w:pPr>
    </w:p>
    <w:bookmarkStart w:id="207" w:name="page208"/>
    <w:bookmarkEnd w:id="207"/>
    <w:p>
      <w:pPr>
        <w:ind w:left="1452"/>
        <w:spacing w:after="0"/>
        <w:rPr>
          <w:sz w:val="20"/>
          <w:szCs w:val="20"/>
          <w:color w:val="auto"/>
        </w:rPr>
      </w:pPr>
      <w:r>
        <w:rPr>
          <w:rFonts w:ascii="Arial" w:cs="Arial" w:eastAsia="Arial" w:hAnsi="Arial"/>
          <w:sz w:val="19"/>
          <w:szCs w:val="19"/>
          <w:color w:val="auto"/>
        </w:rPr>
        <w:t>may be reasonably necessary to perform the duties and responsibilities requested by the CEO of the Company.</w:t>
      </w:r>
    </w:p>
    <w:p>
      <w:pPr>
        <w:spacing w:after="0" w:line="268" w:lineRule="exact"/>
        <w:rPr>
          <w:sz w:val="20"/>
          <w:szCs w:val="20"/>
          <w:color w:val="auto"/>
        </w:rPr>
      </w:pPr>
    </w:p>
    <w:p>
      <w:pPr>
        <w:jc w:val="both"/>
        <w:ind w:left="1452" w:hanging="480"/>
        <w:spacing w:after="0" w:line="274" w:lineRule="auto"/>
        <w:tabs>
          <w:tab w:leader="none" w:pos="144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The Parties acknowledge and agree that except as may be expressly provided for hereunder (i) this Agreement shall govern the duties, obligations and rights of the Parties with respect to Armstrong’s employment by the Company during the Term, (ii) the Prior Agreement shall govern the duties, obligations and rights of the Parties with respect to Armstrong’s employment by the Company during the period from October 1, 2018 through the Effective Date, and (iii) the Original Agreement shall govern the duties, obligations and rights of the Parties with respect to Armstrong’s employment by the Company prior to October 1, 2018. Accordingly, the Parties acknowledge and agree that by virtue of their execution and delivery of this Agreement neither Party shall be deemed to have waived any of its rights or claims under the Original Agreement or the Prior Agreement with respect to Armstrong’s employment by the Company prior to the Effective Date.</w:t>
      </w:r>
    </w:p>
    <w:p>
      <w:pPr>
        <w:spacing w:after="0" w:line="185" w:lineRule="exact"/>
        <w:rPr>
          <w:rFonts w:ascii="Arial" w:cs="Arial" w:eastAsia="Arial" w:hAnsi="Arial"/>
          <w:sz w:val="19"/>
          <w:szCs w:val="19"/>
          <w:color w:val="auto"/>
        </w:rPr>
      </w:pPr>
    </w:p>
    <w:p>
      <w:pPr>
        <w:jc w:val="both"/>
        <w:ind w:left="972" w:hanging="972"/>
        <w:spacing w:after="0" w:line="275" w:lineRule="auto"/>
        <w:tabs>
          <w:tab w:leader="none" w:pos="972"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Armstrong’s employment with the Company as provided hereunder (the “Term”) shall commence on the Effective Date and terminate on December 31, 2021; provided, however, that (a) Armstrong may terminate his employment with the Company as of any date prior to December 31, 2021 by giving written notice to the Company at least two weeks prior to the effective date of such termination, (b) at the direction of the Board, the Company may terminate Armstrong’s employment with the Company as of any date prior to December 31, 2021 by giving written notice to Armstrong at least two weeks prior to the effective date of such termination, and (c) Armstrong’s employment relationship with the Company shall automatically terminate in the event of his death. The date as of which the employment relationship terminates shall constitute the “Termination Date” for purposes hereof.</w:t>
      </w:r>
    </w:p>
    <w:p>
      <w:pPr>
        <w:spacing w:after="0" w:line="185" w:lineRule="exact"/>
        <w:rPr>
          <w:rFonts w:ascii="Arial" w:cs="Arial" w:eastAsia="Arial" w:hAnsi="Arial"/>
          <w:sz w:val="19"/>
          <w:szCs w:val="19"/>
          <w:color w:val="auto"/>
        </w:rPr>
      </w:pPr>
    </w:p>
    <w:p>
      <w:pPr>
        <w:ind w:left="972" w:hanging="972"/>
        <w:spacing w:after="0"/>
        <w:tabs>
          <w:tab w:leader="none" w:pos="972"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32" w:hanging="560"/>
        <w:spacing w:after="0" w:line="252" w:lineRule="auto"/>
        <w:tabs>
          <w:tab w:leader="none" w:pos="1529"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Armstrong shall be paid a monthly salary that equates with an annual payment of $250,000, payable semi-monthly in cash for so long as Armstrong is employed by the Company under the terms of this Agreement. During the Term, Armstrong shall remain eligible to participate in all employee benefit plans generally available to employees of the Company (including, without limitation, all health and medical benefit plans).</w:t>
      </w:r>
    </w:p>
    <w:p>
      <w:pPr>
        <w:spacing w:after="0" w:line="201" w:lineRule="exact"/>
        <w:rPr>
          <w:rFonts w:ascii="Arial" w:cs="Arial" w:eastAsia="Arial" w:hAnsi="Arial"/>
          <w:sz w:val="21"/>
          <w:szCs w:val="21"/>
          <w:color w:val="auto"/>
        </w:rPr>
      </w:pPr>
    </w:p>
    <w:p>
      <w:pPr>
        <w:jc w:val="both"/>
        <w:ind w:left="1532" w:hanging="560"/>
        <w:spacing w:after="0" w:line="282" w:lineRule="auto"/>
        <w:tabs>
          <w:tab w:leader="none" w:pos="1527"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Armstrong will be entitled to receive prompt reimbursement for all reasonable expenses, including travel and entertainment expenses, incurred by him during the Term in connection with (i) his service as Senior Advisor to the CEO as contemplated hereunder, (ii) his prior service as non-executive Chairman of the Board pursuant to the Prior Agreement, and (iii) the provision by Armstrong of any assistance with litigation or investigations as contemplated by Section 6 hereof; it being specifically agreed that such reimbursement obligation shall</w:t>
      </w:r>
    </w:p>
    <w:p>
      <w:pPr>
        <w:sectPr>
          <w:pgSz w:w="11900" w:h="16838" w:orient="portrait"/>
          <w:cols w:equalWidth="0" w:num="1">
            <w:col w:w="11412"/>
          </w:cols>
          <w:pgMar w:left="248" w:top="1415" w:right="239" w:bottom="1440" w:gutter="0" w:footer="0" w:header="0"/>
        </w:sectPr>
      </w:pPr>
    </w:p>
    <w:bookmarkStart w:id="208" w:name="page209"/>
    <w:bookmarkEnd w:id="208"/>
    <w:p>
      <w:pPr>
        <w:ind w:left="1532"/>
        <w:spacing w:after="0" w:line="251" w:lineRule="auto"/>
        <w:rPr>
          <w:sz w:val="20"/>
          <w:szCs w:val="20"/>
          <w:color w:val="auto"/>
        </w:rPr>
      </w:pPr>
      <w:r>
        <w:rPr>
          <w:rFonts w:ascii="Arial" w:cs="Arial" w:eastAsia="Arial" w:hAnsi="Arial"/>
          <w:sz w:val="22"/>
          <w:szCs w:val="22"/>
          <w:color w:val="auto"/>
        </w:rPr>
        <w:t>cover and include any costs or expenses incurred by Armstrong for private aviation services associated with travel on Company related business.</w:t>
      </w:r>
    </w:p>
    <w:p>
      <w:pPr>
        <w:spacing w:after="0" w:line="200" w:lineRule="exact"/>
        <w:rPr>
          <w:sz w:val="20"/>
          <w:szCs w:val="20"/>
          <w:color w:val="auto"/>
        </w:rPr>
      </w:pPr>
    </w:p>
    <w:p>
      <w:pPr>
        <w:jc w:val="both"/>
        <w:ind w:left="1532" w:hanging="560"/>
        <w:spacing w:after="0" w:line="244" w:lineRule="auto"/>
        <w:tabs>
          <w:tab w:leader="none" w:pos="1529" w:val="left"/>
        </w:tabs>
        <w:numPr>
          <w:ilvl w:val="1"/>
          <w:numId w:val="135"/>
        </w:numPr>
        <w:rPr>
          <w:rFonts w:ascii="Arial" w:cs="Arial" w:eastAsia="Arial" w:hAnsi="Arial"/>
          <w:sz w:val="21"/>
          <w:szCs w:val="21"/>
          <w:color w:val="auto"/>
        </w:rPr>
      </w:pPr>
      <w:r>
        <w:rPr>
          <w:rFonts w:ascii="Arial" w:cs="Arial" w:eastAsia="Arial" w:hAnsi="Arial"/>
          <w:sz w:val="21"/>
          <w:szCs w:val="21"/>
          <w:color w:val="auto"/>
        </w:rPr>
        <w:t>The Company will provide Armstrong with a private office, parking space, electronic equipment, administrative support and such other facilities and services as reasonably necessary for Armstrong to adequately and efficiently perform services hereunder and that are comparable to similar services, support and facilities provided to Armstrong under the Prior Agreement; provided, however, it is understood and agreed that the Company’s obligation to provide dedicated administrative support to Armstrong ([name]) shall run through August 2020 and, thereafter, the Company will provide non-dedicated administrative support to Armstrong as needed in connection with the performance of his duties hereunder. Within 30 days following the expiration of the Term, Armstrong shall return all keys, access badges and Company credit cards to the Company; provided, however, that Armstrong shall be entitled to retain any computers, iPhones, iPads, printers, monitors and similar Company issued equipment used by him in connection with this employment (with Company data and software to be removed by the Company).</w:t>
      </w:r>
    </w:p>
    <w:p>
      <w:pPr>
        <w:spacing w:after="0" w:line="216" w:lineRule="exact"/>
        <w:rPr>
          <w:rFonts w:ascii="Arial" w:cs="Arial" w:eastAsia="Arial" w:hAnsi="Arial"/>
          <w:sz w:val="21"/>
          <w:szCs w:val="21"/>
          <w:color w:val="auto"/>
        </w:rPr>
      </w:pPr>
    </w:p>
    <w:p>
      <w:pPr>
        <w:jc w:val="both"/>
        <w:ind w:left="972" w:hanging="972"/>
        <w:spacing w:after="0" w:line="238" w:lineRule="auto"/>
        <w:tabs>
          <w:tab w:leader="none" w:pos="972"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Indemnity</w:t>
      </w:r>
      <w:r>
        <w:rPr>
          <w:rFonts w:ascii="Arial" w:cs="Arial" w:eastAsia="Arial" w:hAnsi="Arial"/>
          <w:sz w:val="22"/>
          <w:szCs w:val="22"/>
          <w:color w:val="auto"/>
        </w:rPr>
        <w:t>. Notwithstanding anything herein to the contrary, Armstrong shall remain a full beneficiary with respect to any obligation of any member of the Company Group (as such obligation exists as of the Effective Date with respect to active officers and employees of such member) to indemnify, keep well and hold harmless or similarly protect Armstrong against third-party claims.</w:t>
      </w:r>
    </w:p>
    <w:p>
      <w:pPr>
        <w:spacing w:after="0" w:line="212" w:lineRule="exact"/>
        <w:rPr>
          <w:rFonts w:ascii="Arial" w:cs="Arial" w:eastAsia="Arial" w:hAnsi="Arial"/>
          <w:sz w:val="22"/>
          <w:szCs w:val="22"/>
          <w:color w:val="auto"/>
        </w:rPr>
      </w:pPr>
    </w:p>
    <w:p>
      <w:pPr>
        <w:ind w:left="972" w:hanging="972"/>
        <w:spacing w:after="0"/>
        <w:tabs>
          <w:tab w:leader="none" w:pos="972"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Access to Certain Information; Confidentiality Obligations.</w:t>
      </w:r>
    </w:p>
    <w:p>
      <w:pPr>
        <w:spacing w:after="0" w:line="98" w:lineRule="exact"/>
        <w:rPr>
          <w:rFonts w:ascii="Arial" w:cs="Arial" w:eastAsia="Arial" w:hAnsi="Arial"/>
          <w:sz w:val="22"/>
          <w:szCs w:val="22"/>
          <w:color w:val="auto"/>
        </w:rPr>
      </w:pPr>
    </w:p>
    <w:p>
      <w:pPr>
        <w:jc w:val="both"/>
        <w:ind w:left="1532" w:hanging="560"/>
        <w:spacing w:after="0" w:line="273" w:lineRule="auto"/>
        <w:tabs>
          <w:tab w:leader="none" w:pos="1529" w:val="left"/>
        </w:tabs>
        <w:numPr>
          <w:ilvl w:val="1"/>
          <w:numId w:val="136"/>
        </w:numPr>
        <w:rPr>
          <w:rFonts w:ascii="Arial" w:cs="Arial" w:eastAsia="Arial" w:hAnsi="Arial"/>
          <w:sz w:val="19"/>
          <w:szCs w:val="19"/>
          <w:color w:val="auto"/>
        </w:rPr>
      </w:pPr>
      <w:r>
        <w:rPr>
          <w:rFonts w:ascii="Arial" w:cs="Arial" w:eastAsia="Arial" w:hAnsi="Arial"/>
          <w:sz w:val="19"/>
          <w:szCs w:val="19"/>
          <w:color w:val="auto"/>
        </w:rPr>
        <w:t>During the Term and for a period of two years following the Term, except to the extent not permitted by applicable law or the terms of any agreements entered into by any member of the Company Group with third party service or information providers, the Company agrees that Armstrong shall have the right to (i) receive copies of any materials and analyses prepared by the Company’s market fundamentals group (together with Company personnel performing similar functions, the “Fundamentals Group”) and (ii) request special research or analyses from the Fundamentals Group; it being understood and agreed that (A) the Fundamentals Group shall give priority to research and analysis requested or required by any member of the Company Group, (B) special research and analyses requests by Armstrong may not be unduly burdensome, and (C) any information or materials provided by the Fundamentals Group to Armstrong shall be and remain the property of the Company Group and shall be subject to the confidentiality obligations referenced in Section 5(b) immediately below.</w:t>
      </w:r>
    </w:p>
    <w:p>
      <w:pPr>
        <w:spacing w:after="0" w:line="53" w:lineRule="exact"/>
        <w:rPr>
          <w:rFonts w:ascii="Arial" w:cs="Arial" w:eastAsia="Arial" w:hAnsi="Arial"/>
          <w:sz w:val="19"/>
          <w:szCs w:val="19"/>
          <w:color w:val="auto"/>
        </w:rPr>
      </w:pPr>
    </w:p>
    <w:p>
      <w:pPr>
        <w:jc w:val="both"/>
        <w:ind w:left="1532" w:hanging="560"/>
        <w:spacing w:after="0" w:line="238" w:lineRule="auto"/>
        <w:tabs>
          <w:tab w:leader="none" w:pos="1527" w:val="left"/>
        </w:tabs>
        <w:numPr>
          <w:ilvl w:val="1"/>
          <w:numId w:val="136"/>
        </w:numPr>
        <w:rPr>
          <w:rFonts w:ascii="Arial" w:cs="Arial" w:eastAsia="Arial" w:hAnsi="Arial"/>
          <w:sz w:val="22"/>
          <w:szCs w:val="22"/>
          <w:color w:val="auto"/>
        </w:rPr>
      </w:pPr>
      <w:r>
        <w:rPr>
          <w:rFonts w:ascii="Arial" w:cs="Arial" w:eastAsia="Arial" w:hAnsi="Arial"/>
          <w:sz w:val="22"/>
          <w:szCs w:val="22"/>
          <w:color w:val="auto"/>
        </w:rPr>
        <w:t>Armstrong acknowledges and agrees that (i) the confidentiality and non-disclosure obligations set forth in Section 6 of the Original Agreement are incorporated herein by reference and shall remain in full force and effect during the Term and for a period of five years following the Termination Date and (ii) any information or materials provided by the Fundamentals Group to</w:t>
      </w:r>
    </w:p>
    <w:p>
      <w:pPr>
        <w:sectPr>
          <w:pgSz w:w="11900" w:h="16838" w:orient="portrait"/>
          <w:cols w:equalWidth="0" w:num="1">
            <w:col w:w="11412"/>
          </w:cols>
          <w:pgMar w:left="248" w:top="1415" w:right="239" w:bottom="1440" w:gutter="0" w:footer="0" w:header="0"/>
        </w:sectPr>
      </w:pPr>
    </w:p>
    <w:bookmarkStart w:id="209" w:name="page210"/>
    <w:bookmarkEnd w:id="209"/>
    <w:p>
      <w:pPr>
        <w:spacing w:after="0" w:line="83" w:lineRule="exact"/>
        <w:rPr>
          <w:sz w:val="20"/>
          <w:szCs w:val="20"/>
          <w:color w:val="auto"/>
        </w:rPr>
      </w:pPr>
    </w:p>
    <w:p>
      <w:pPr>
        <w:jc w:val="both"/>
        <w:ind w:left="1532"/>
        <w:spacing w:after="0" w:line="297" w:lineRule="auto"/>
        <w:rPr>
          <w:sz w:val="20"/>
          <w:szCs w:val="20"/>
          <w:color w:val="auto"/>
        </w:rPr>
      </w:pPr>
      <w:r>
        <w:rPr>
          <w:rFonts w:ascii="Arial" w:cs="Arial" w:eastAsia="Arial" w:hAnsi="Arial"/>
          <w:sz w:val="19"/>
          <w:szCs w:val="19"/>
          <w:color w:val="auto"/>
        </w:rPr>
        <w:t>Armstrong pursuant to Section 5(a) above shall constitute “confidential information” obtained by Armstrong that is subject to such confidentiality and non-disclosure obligation (including the exceptions therefrom set forth in the proviso clause of Section 6 of the Original Agreement) until the fifth anniversary of the Termination Date.</w:t>
      </w:r>
    </w:p>
    <w:p>
      <w:pPr>
        <w:spacing w:after="0" w:line="161" w:lineRule="exact"/>
        <w:rPr>
          <w:sz w:val="20"/>
          <w:szCs w:val="20"/>
          <w:color w:val="auto"/>
        </w:rPr>
      </w:pPr>
    </w:p>
    <w:p>
      <w:pPr>
        <w:jc w:val="both"/>
        <w:ind w:left="972" w:hanging="972"/>
        <w:spacing w:after="0" w:line="275" w:lineRule="auto"/>
        <w:tabs>
          <w:tab w:leader="none" w:pos="97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Cooperation with Litigation.</w:t>
      </w:r>
      <w:r>
        <w:rPr>
          <w:rFonts w:ascii="Arial" w:cs="Arial" w:eastAsia="Arial" w:hAnsi="Arial"/>
          <w:sz w:val="19"/>
          <w:szCs w:val="19"/>
          <w:color w:val="auto"/>
        </w:rPr>
        <w:t xml:space="preserve"> Armstrong agrees to render reasonable assistance to the Company in connection with any litigation or investigation relating to the business of the Company Group. Such assistance shall include, but not be limited to, attending meetings, assisting with discovery responses, giving depositions and making court appearances. The Company shall use commercially reasonable efforts to schedule such assistance at times and places that do not present scheduling issues for Armstrong. The Parties agree that Armstrong shall render the first 100 hours of assistance pursuant to this Section 6 in exchange for the consideration described in Section 3 hereof; provided, however, that with respect to any assistance provided by Armstrong pursuant to this Section 6 in excess of 100 hours, the Company and Armstrong shall agree upon reasonable and appropriate consideration to be paid by the Company to Armstrong.</w:t>
      </w:r>
    </w:p>
    <w:p>
      <w:pPr>
        <w:spacing w:after="0" w:line="185" w:lineRule="exact"/>
        <w:rPr>
          <w:rFonts w:ascii="Arial" w:cs="Arial" w:eastAsia="Arial" w:hAnsi="Arial"/>
          <w:sz w:val="19"/>
          <w:szCs w:val="19"/>
          <w:color w:val="auto"/>
        </w:rPr>
      </w:pPr>
    </w:p>
    <w:p>
      <w:pPr>
        <w:jc w:val="both"/>
        <w:ind w:left="972" w:hanging="972"/>
        <w:spacing w:after="0" w:line="236" w:lineRule="auto"/>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COBRA Payments</w:t>
      </w:r>
      <w:r>
        <w:rPr>
          <w:rFonts w:ascii="Arial" w:cs="Arial" w:eastAsia="Arial" w:hAnsi="Arial"/>
          <w:sz w:val="22"/>
          <w:szCs w:val="22"/>
          <w:color w:val="auto"/>
        </w:rPr>
        <w:t>. The Company will, after the Termination Date, reimburse Armstrong for all costs of maintaining health insurance benefits for Armstrong and his family under, and for the maximum time period allowed by, COBRA at such time; provided, however, that such reimbursement obligation shall not extend beyond the first to occur of (i) the date on which Armstrong first becomes eligible to receive benefits under Medicare, or (ii) the date that is 18 months following the Termination Date.</w:t>
      </w:r>
    </w:p>
    <w:p>
      <w:pPr>
        <w:spacing w:after="0" w:line="214" w:lineRule="exact"/>
        <w:rPr>
          <w:rFonts w:ascii="Arial" w:cs="Arial" w:eastAsia="Arial" w:hAnsi="Arial"/>
          <w:sz w:val="22"/>
          <w:szCs w:val="22"/>
          <w:color w:val="auto"/>
        </w:rPr>
      </w:pPr>
    </w:p>
    <w:p>
      <w:pPr>
        <w:jc w:val="both"/>
        <w:ind w:left="972" w:hanging="972"/>
        <w:spacing w:after="0" w:line="279" w:lineRule="auto"/>
        <w:tabs>
          <w:tab w:leader="none" w:pos="97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Amendment; Governing Law; Jurisdiction</w:t>
      </w:r>
      <w:r>
        <w:rPr>
          <w:rFonts w:ascii="Arial" w:cs="Arial" w:eastAsia="Arial" w:hAnsi="Arial"/>
          <w:sz w:val="19"/>
          <w:szCs w:val="19"/>
          <w:color w:val="auto"/>
        </w:rPr>
        <w:t>. This Agreement supersedes any and all oral agreements and can only be modified by the Parties in a writing signed by both Parties expressly stating a specific intent to modify this Agreement. This Agreement shall be governed by and construed in accordance with the laws of the State of Texas without giving effect to any choice of law or conflict of law provision or rule (whether of the State of Texas or any other jurisdiction) that would cause the application of the laws of any jurisdiction other than the State of Texas. The Parties hereby submit to the exclusive jurisdiction of the state courts of Texas, located in Harris County.</w:t>
      </w:r>
    </w:p>
    <w:p>
      <w:pPr>
        <w:spacing w:after="0" w:line="177" w:lineRule="exact"/>
        <w:rPr>
          <w:rFonts w:ascii="Arial" w:cs="Arial" w:eastAsia="Arial" w:hAnsi="Arial"/>
          <w:sz w:val="19"/>
          <w:szCs w:val="19"/>
          <w:color w:val="auto"/>
        </w:rPr>
      </w:pPr>
    </w:p>
    <w:p>
      <w:pPr>
        <w:jc w:val="both"/>
        <w:ind w:left="972" w:hanging="972"/>
        <w:spacing w:after="0" w:line="234" w:lineRule="auto"/>
        <w:tabs>
          <w:tab w:leader="none" w:pos="972"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Section 409A Compliance</w:t>
      </w:r>
      <w:r>
        <w:rPr>
          <w:rFonts w:ascii="Arial" w:cs="Arial" w:eastAsia="Arial" w:hAnsi="Arial"/>
          <w:sz w:val="22"/>
          <w:szCs w:val="22"/>
          <w:color w:val="auto"/>
        </w:rPr>
        <w:t>. This Agreement shall be interpreted and administered in a manner so that any amount or benefit payable hereunder shall be paid or provided in a manner that is either exempt from or compliant with the requirements of Section 409A of the Internal Revenue Code and applicable Internal Revenue Service guidance and Treasury Regulations issued thereunder (“Section 409A”). If the Parties determine that any payments or benefits to be made or provided hereunder do not comply with Section 409A, the Parties agree to interpret or amend this Agreement or take such other actions as reasonably necessary or appropriate to either (i) remove such payments or benefits from the ambit of Section 409A or (ii) render such payments or benefits compliant thereunder, in any case while preserving to the extent</w:t>
      </w:r>
    </w:p>
    <w:p>
      <w:pPr>
        <w:sectPr>
          <w:pgSz w:w="11900" w:h="16838" w:orient="portrait"/>
          <w:cols w:equalWidth="0" w:num="1">
            <w:col w:w="11412"/>
          </w:cols>
          <w:pgMar w:left="248" w:top="1440" w:right="239" w:bottom="1440" w:gutter="0" w:footer="0" w:header="0"/>
        </w:sectPr>
      </w:pPr>
    </w:p>
    <w:bookmarkStart w:id="210" w:name="page211"/>
    <w:bookmarkEnd w:id="210"/>
    <w:p>
      <w:pPr>
        <w:jc w:val="both"/>
        <w:ind w:left="972"/>
        <w:spacing w:after="0" w:line="247" w:lineRule="auto"/>
        <w:rPr>
          <w:sz w:val="20"/>
          <w:szCs w:val="20"/>
          <w:color w:val="auto"/>
        </w:rPr>
      </w:pPr>
      <w:r>
        <w:rPr>
          <w:rFonts w:ascii="Arial" w:cs="Arial" w:eastAsia="Arial" w:hAnsi="Arial"/>
          <w:sz w:val="21"/>
          <w:szCs w:val="21"/>
          <w:color w:val="auto"/>
        </w:rPr>
        <w:t>possible the economic agreement of the Parties. Notwithstanding any provision in this Agreement to the contrary, if any payment or benefit provided for herein would be subject to additional taxes and interest under Section 409A if the Employee’s receipt of such payment or benefit is not delayed until the Section 409A Payment Date, then such payment or benefit shall not be provided to the Employee (or the Employee’s estate, if applicable) until the Section 409A Payment Date. The term “Section 409A Payment Date” means the earlier of (a) the date of the Employee’s death or (b) the date that is six months after the date of the Employee’s separation from service with the Company (as determined in accordance with Section 409A).</w:t>
      </w:r>
    </w:p>
    <w:p>
      <w:pPr>
        <w:spacing w:after="0" w:line="205" w:lineRule="exact"/>
        <w:rPr>
          <w:sz w:val="20"/>
          <w:szCs w:val="20"/>
          <w:color w:val="auto"/>
        </w:rPr>
      </w:pPr>
    </w:p>
    <w:p>
      <w:pPr>
        <w:jc w:val="both"/>
        <w:ind w:left="972" w:hanging="972"/>
        <w:spacing w:after="0"/>
        <w:tabs>
          <w:tab w:leader="none" w:pos="972"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notices and all other communications shall be in writing and shall have been duly given when personally delivered or when mailed by United States certified or registered mail, or transmitted electronically, addressed as follows:</w:t>
      </w:r>
    </w:p>
    <w:p>
      <w:pPr>
        <w:spacing w:after="0" w:line="213"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If to the Company:</w:t>
      </w:r>
    </w:p>
    <w:p>
      <w:pPr>
        <w:spacing w:after="0" w:line="238"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Plains All American GP LLC</w:t>
      </w:r>
    </w:p>
    <w:p>
      <w:pPr>
        <w:ind w:left="1952"/>
        <w:spacing w:after="0" w:line="227" w:lineRule="auto"/>
        <w:rPr>
          <w:sz w:val="20"/>
          <w:szCs w:val="20"/>
          <w:color w:val="auto"/>
        </w:rPr>
      </w:pPr>
      <w:r>
        <w:rPr>
          <w:rFonts w:ascii="Arial" w:cs="Arial" w:eastAsia="Arial" w:hAnsi="Arial"/>
          <w:sz w:val="20"/>
          <w:szCs w:val="20"/>
          <w:color w:val="auto"/>
        </w:rPr>
        <w:t>333 Clay Street, Suite 1600</w:t>
      </w:r>
    </w:p>
    <w:p>
      <w:pPr>
        <w:ind w:left="1952"/>
        <w:spacing w:after="0"/>
        <w:rPr>
          <w:sz w:val="20"/>
          <w:szCs w:val="20"/>
          <w:color w:val="auto"/>
        </w:rPr>
      </w:pPr>
      <w:r>
        <w:rPr>
          <w:rFonts w:ascii="Arial" w:cs="Arial" w:eastAsia="Arial" w:hAnsi="Arial"/>
          <w:sz w:val="20"/>
          <w:szCs w:val="20"/>
          <w:color w:val="auto"/>
        </w:rPr>
        <w:t>Houston, Texas 77002</w:t>
      </w:r>
    </w:p>
    <w:p>
      <w:pPr>
        <w:ind w:left="1952"/>
        <w:spacing w:after="0"/>
        <w:rPr>
          <w:sz w:val="20"/>
          <w:szCs w:val="20"/>
          <w:color w:val="auto"/>
        </w:rPr>
      </w:pPr>
      <w:r>
        <w:rPr>
          <w:rFonts w:ascii="Arial" w:cs="Arial" w:eastAsia="Arial" w:hAnsi="Arial"/>
          <w:sz w:val="20"/>
          <w:szCs w:val="20"/>
          <w:color w:val="auto"/>
        </w:rPr>
        <w:t>Attention: Jim Tillis, VP - Human Resources</w:t>
      </w:r>
    </w:p>
    <w:p>
      <w:pPr>
        <w:ind w:left="1952"/>
        <w:spacing w:after="0" w:line="225" w:lineRule="auto"/>
        <w:rPr>
          <w:sz w:val="20"/>
          <w:szCs w:val="20"/>
          <w:color w:val="auto"/>
        </w:rPr>
      </w:pPr>
      <w:r>
        <w:rPr>
          <w:rFonts w:ascii="Arial" w:cs="Arial" w:eastAsia="Arial" w:hAnsi="Arial"/>
          <w:sz w:val="20"/>
          <w:szCs w:val="20"/>
          <w:color w:val="auto"/>
        </w:rPr>
        <w:t>Telephone:</w:t>
      </w:r>
    </w:p>
    <w:p>
      <w:pPr>
        <w:ind w:left="1952"/>
        <w:spacing w:after="0" w:line="225" w:lineRule="auto"/>
        <w:rPr>
          <w:sz w:val="20"/>
          <w:szCs w:val="20"/>
          <w:color w:val="auto"/>
        </w:rPr>
      </w:pPr>
      <w:r>
        <w:rPr>
          <w:rFonts w:ascii="Arial" w:cs="Arial" w:eastAsia="Arial" w:hAnsi="Arial"/>
          <w:sz w:val="20"/>
          <w:szCs w:val="20"/>
          <w:color w:val="auto"/>
        </w:rPr>
        <w:t>Facsimile:</w:t>
      </w:r>
    </w:p>
    <w:p>
      <w:pPr>
        <w:spacing w:after="0" w:line="1"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E-mail:</w:t>
      </w:r>
    </w:p>
    <w:p>
      <w:pPr>
        <w:spacing w:after="0" w:line="213"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Plains All American GP LLC</w:t>
      </w:r>
    </w:p>
    <w:p>
      <w:pPr>
        <w:ind w:left="1952"/>
        <w:spacing w:after="0" w:line="227" w:lineRule="auto"/>
        <w:rPr>
          <w:sz w:val="20"/>
          <w:szCs w:val="20"/>
          <w:color w:val="auto"/>
        </w:rPr>
      </w:pPr>
      <w:r>
        <w:rPr>
          <w:rFonts w:ascii="Arial" w:cs="Arial" w:eastAsia="Arial" w:hAnsi="Arial"/>
          <w:sz w:val="20"/>
          <w:szCs w:val="20"/>
          <w:color w:val="auto"/>
        </w:rPr>
        <w:t>333 Clay Street, Suite 1600</w:t>
      </w:r>
    </w:p>
    <w:p>
      <w:pPr>
        <w:ind w:left="1952"/>
        <w:spacing w:after="0"/>
        <w:rPr>
          <w:sz w:val="20"/>
          <w:szCs w:val="20"/>
          <w:color w:val="auto"/>
        </w:rPr>
      </w:pPr>
      <w:r>
        <w:rPr>
          <w:rFonts w:ascii="Arial" w:cs="Arial" w:eastAsia="Arial" w:hAnsi="Arial"/>
          <w:sz w:val="20"/>
          <w:szCs w:val="20"/>
          <w:color w:val="auto"/>
        </w:rPr>
        <w:t>Houston, Texas 77002</w:t>
      </w:r>
    </w:p>
    <w:p>
      <w:pPr>
        <w:ind w:left="1952"/>
        <w:spacing w:after="0"/>
        <w:rPr>
          <w:sz w:val="20"/>
          <w:szCs w:val="20"/>
          <w:color w:val="auto"/>
        </w:rPr>
      </w:pPr>
      <w:r>
        <w:rPr>
          <w:rFonts w:ascii="Arial" w:cs="Arial" w:eastAsia="Arial" w:hAnsi="Arial"/>
          <w:sz w:val="20"/>
          <w:szCs w:val="20"/>
          <w:color w:val="auto"/>
        </w:rPr>
        <w:t>Attention: Richard K. McGee, General Counsel</w:t>
      </w:r>
    </w:p>
    <w:p>
      <w:pPr>
        <w:ind w:left="1952"/>
        <w:spacing w:after="0" w:line="225" w:lineRule="auto"/>
        <w:rPr>
          <w:sz w:val="20"/>
          <w:szCs w:val="20"/>
          <w:color w:val="auto"/>
        </w:rPr>
      </w:pPr>
      <w:r>
        <w:rPr>
          <w:rFonts w:ascii="Arial" w:cs="Arial" w:eastAsia="Arial" w:hAnsi="Arial"/>
          <w:sz w:val="20"/>
          <w:szCs w:val="20"/>
          <w:color w:val="auto"/>
        </w:rPr>
        <w:t>Telephone:</w:t>
      </w:r>
    </w:p>
    <w:p>
      <w:pPr>
        <w:ind w:left="1952"/>
        <w:spacing w:after="0"/>
        <w:rPr>
          <w:sz w:val="20"/>
          <w:szCs w:val="20"/>
          <w:color w:val="auto"/>
        </w:rPr>
      </w:pPr>
      <w:r>
        <w:rPr>
          <w:rFonts w:ascii="Arial" w:cs="Arial" w:eastAsia="Arial" w:hAnsi="Arial"/>
          <w:sz w:val="20"/>
          <w:szCs w:val="20"/>
          <w:color w:val="auto"/>
        </w:rPr>
        <w:t>E-mail:</w:t>
      </w:r>
    </w:p>
    <w:p>
      <w:pPr>
        <w:spacing w:after="0" w:line="209" w:lineRule="exact"/>
        <w:rPr>
          <w:sz w:val="20"/>
          <w:szCs w:val="20"/>
          <w:color w:val="auto"/>
        </w:rPr>
      </w:pPr>
    </w:p>
    <w:p>
      <w:pPr>
        <w:ind w:left="1292"/>
        <w:spacing w:after="0"/>
        <w:rPr>
          <w:sz w:val="20"/>
          <w:szCs w:val="20"/>
          <w:color w:val="auto"/>
        </w:rPr>
      </w:pPr>
      <w:r>
        <w:rPr>
          <w:rFonts w:ascii="Arial" w:cs="Arial" w:eastAsia="Arial" w:hAnsi="Arial"/>
          <w:sz w:val="22"/>
          <w:szCs w:val="22"/>
          <w:color w:val="auto"/>
        </w:rPr>
        <w:t>If to the Employee:</w:t>
      </w:r>
    </w:p>
    <w:p>
      <w:pPr>
        <w:spacing w:after="0" w:line="238"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Greg L. Armstrong</w:t>
      </w:r>
    </w:p>
    <w:p>
      <w:pPr>
        <w:spacing w:after="0" w:line="229"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Telephone:</w:t>
      </w:r>
    </w:p>
    <w:p>
      <w:pPr>
        <w:spacing w:after="0" w:line="2" w:lineRule="exact"/>
        <w:rPr>
          <w:sz w:val="20"/>
          <w:szCs w:val="20"/>
          <w:color w:val="auto"/>
        </w:rPr>
      </w:pPr>
    </w:p>
    <w:p>
      <w:pPr>
        <w:ind w:left="1952"/>
        <w:spacing w:after="0"/>
        <w:rPr>
          <w:sz w:val="20"/>
          <w:szCs w:val="20"/>
          <w:color w:val="auto"/>
        </w:rPr>
      </w:pPr>
      <w:r>
        <w:rPr>
          <w:rFonts w:ascii="Arial" w:cs="Arial" w:eastAsia="Arial" w:hAnsi="Arial"/>
          <w:sz w:val="20"/>
          <w:szCs w:val="20"/>
          <w:color w:val="auto"/>
        </w:rPr>
        <w:t>Email:</w:t>
      </w:r>
    </w:p>
    <w:p>
      <w:pPr>
        <w:spacing w:after="0" w:line="209" w:lineRule="exact"/>
        <w:rPr>
          <w:sz w:val="20"/>
          <w:szCs w:val="20"/>
          <w:color w:val="auto"/>
        </w:rPr>
      </w:pPr>
    </w:p>
    <w:p>
      <w:pPr>
        <w:ind w:left="972" w:hanging="972"/>
        <w:spacing w:after="0" w:line="251" w:lineRule="auto"/>
        <w:tabs>
          <w:tab w:leader="none" w:pos="964"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ectPr>
          <w:pgSz w:w="11900" w:h="16838" w:orient="portrait"/>
          <w:cols w:equalWidth="0" w:num="1">
            <w:col w:w="11412"/>
          </w:cols>
          <w:pgMar w:left="248" w:top="1415" w:right="239" w:bottom="1440" w:gutter="0" w:footer="0" w:header="0"/>
        </w:sectPr>
      </w:pPr>
    </w:p>
    <w:bookmarkStart w:id="211" w:name="page212"/>
    <w:bookmarkEnd w:id="211"/>
    <w:p>
      <w:pPr>
        <w:spacing w:after="0" w:line="218"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Parties have executed this Agreement as of the Effective Date.</w:t>
      </w:r>
    </w:p>
    <w:p>
      <w:pPr>
        <w:sectPr>
          <w:pgSz w:w="11900" w:h="16838" w:orient="portrait"/>
          <w:cols w:equalWidth="0" w:num="1">
            <w:col w:w="9559"/>
          </w:cols>
          <w:pgMar w:left="9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__________________________________</w:t>
      </w:r>
    </w:p>
    <w:p>
      <w:pPr>
        <w:spacing w:after="0" w:line="4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Greg L. Armstrong</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40"/>
        <w:spacing w:after="0"/>
        <w:rPr>
          <w:sz w:val="20"/>
          <w:szCs w:val="20"/>
          <w:color w:val="auto"/>
        </w:rPr>
      </w:pPr>
      <w:r>
        <w:rPr>
          <w:rFonts w:ascii="Arial" w:cs="Arial" w:eastAsia="Arial" w:hAnsi="Arial"/>
          <w:sz w:val="21"/>
          <w:szCs w:val="21"/>
          <w:color w:val="auto"/>
        </w:rPr>
        <w:t>PLAINS ALL AMERICAN GP LLC</w:t>
      </w:r>
    </w:p>
    <w:p>
      <w:pPr>
        <w:spacing w:after="0" w:line="200" w:lineRule="exact"/>
        <w:rPr>
          <w:sz w:val="20"/>
          <w:szCs w:val="20"/>
          <w:color w:val="auto"/>
        </w:rPr>
      </w:pP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9"/>
          <w:szCs w:val="19"/>
          <w:color w:val="auto"/>
        </w:rPr>
        <w:t>By: ________________________________</w:t>
      </w:r>
    </w:p>
    <w:p>
      <w:pPr>
        <w:spacing w:after="0" w:line="3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Richard McGee</w:t>
      </w:r>
    </w:p>
    <w:p>
      <w:pPr>
        <w:ind w:left="3640"/>
        <w:spacing w:after="0"/>
        <w:rPr>
          <w:sz w:val="20"/>
          <w:szCs w:val="20"/>
          <w:color w:val="auto"/>
        </w:rPr>
      </w:pPr>
      <w:r>
        <w:rPr>
          <w:rFonts w:ascii="Arial" w:cs="Arial" w:eastAsia="Arial" w:hAnsi="Arial"/>
          <w:sz w:val="22"/>
          <w:szCs w:val="22"/>
          <w:color w:val="auto"/>
        </w:rPr>
        <w:t>Executive Vice President</w:t>
      </w:r>
    </w:p>
    <w:p>
      <w:pPr>
        <w:sectPr>
          <w:pgSz w:w="11900" w:h="16838" w:orient="portrait"/>
          <w:cols w:equalWidth="0" w:num="1">
            <w:col w:w="9559"/>
          </w:cols>
          <w:pgMar w:left="900" w:top="1440" w:right="1440" w:bottom="1440" w:gutter="0" w:footer="0" w:header="0"/>
          <w:type w:val="continuous"/>
        </w:sectPr>
      </w:pPr>
    </w:p>
    <w:bookmarkStart w:id="212" w:name="page213"/>
    <w:bookmarkEnd w:id="212"/>
    <w:p>
      <w:pPr>
        <w:jc w:val="right"/>
        <w:spacing w:after="0"/>
        <w:rPr>
          <w:sz w:val="20"/>
          <w:szCs w:val="20"/>
          <w:color w:val="auto"/>
        </w:rPr>
      </w:pPr>
      <w:r>
        <w:rPr>
          <w:rFonts w:ascii="Arial" w:cs="Arial" w:eastAsia="Arial" w:hAnsi="Arial"/>
          <w:sz w:val="22"/>
          <w:szCs w:val="22"/>
          <w:b w:val="1"/>
          <w:bCs w:val="1"/>
          <w:color w:val="auto"/>
        </w:rPr>
        <w:t>Exhibit 10.72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11430</wp:posOffset>
            </wp:positionV>
            <wp:extent cx="2521585" cy="6089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55">
                      <a:extLst>
                        <a:ext uri="{28A0092B-C50C-407E-A947-70E740481C1C}"/>
                      </a:extLst>
                    </a:blip>
                    <a:srcRect/>
                    <a:stretch>
                      <a:fillRect/>
                    </a:stretch>
                  </pic:blipFill>
                  <pic:spPr bwMode="auto">
                    <a:xfrm>
                      <a:off x="0" y="0"/>
                      <a:ext cx="252158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INITIAL DIRECTOR GRANT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January 8, 2020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Mr. Lawrence M. Ziemba</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Houston, TX</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Re: Grant of Phantom Class A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Larry:</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 am pleased to inform you that you have been granted 23,490 Phantom Class A Shares as of the above date pursuant to the Plains GP Holdings, L.P. Long-Term Incentive Plan (the "Plan"). In tandem with each Phantom Class A Share granted hereby you have been granted a distribution equivalent right (a “DER”). A DER represents the right to receive a cash payment equivalent to the amount, if any, paid in cash distributions on one Class A Share of Plains GP Holdings, L.P. (“PAGP” or the “Partnership”) to the holder of such Class A Share. The terms and conditions of this grant are as set forth below.</w:t>
      </w:r>
    </w:p>
    <w:p>
      <w:pPr>
        <w:spacing w:after="0" w:line="175" w:lineRule="exact"/>
        <w:rPr>
          <w:sz w:val="20"/>
          <w:szCs w:val="20"/>
          <w:color w:val="auto"/>
        </w:rPr>
      </w:pPr>
    </w:p>
    <w:p>
      <w:pPr>
        <w:jc w:val="both"/>
        <w:ind w:left="660" w:hanging="328"/>
        <w:spacing w:after="0" w:line="252" w:lineRule="auto"/>
        <w:tabs>
          <w:tab w:leader="none" w:pos="6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Subject to the further provisions of this Agreement, your Phantom Class A Shares shall vest (become payable in the form of one Class A Share of PAGP for each Phantom Class A Share that vests) as follows: (a) 4,050 will vest on the August 2020 Distribution Date, (b) 6,480 will vest on the August 2021 Distribution Date, (c) 6,480 will vest on the August 2022 Distribution Date, and (d) 6,480 will vest on the August 2023 Distribution Date.</w:t>
      </w:r>
    </w:p>
    <w:p>
      <w:pPr>
        <w:spacing w:after="0" w:line="201" w:lineRule="exact"/>
        <w:rPr>
          <w:rFonts w:ascii="Arial" w:cs="Arial" w:eastAsia="Arial" w:hAnsi="Arial"/>
          <w:sz w:val="21"/>
          <w:szCs w:val="21"/>
          <w:color w:val="auto"/>
        </w:rPr>
      </w:pPr>
    </w:p>
    <w:p>
      <w:pPr>
        <w:ind w:left="660" w:hanging="328"/>
        <w:spacing w:after="0" w:line="251" w:lineRule="auto"/>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Subject to the further provisions of this Agreement, your DERs shall be payable in cash substantially contemporaneously with each Distribution Date.</w:t>
      </w:r>
    </w:p>
    <w:p>
      <w:pPr>
        <w:spacing w:after="0" w:line="200" w:lineRule="exact"/>
        <w:rPr>
          <w:rFonts w:ascii="Arial" w:cs="Arial" w:eastAsia="Arial" w:hAnsi="Arial"/>
          <w:sz w:val="22"/>
          <w:szCs w:val="22"/>
          <w:color w:val="auto"/>
        </w:rPr>
      </w:pPr>
    </w:p>
    <w:p>
      <w:pPr>
        <w:ind w:left="660" w:hanging="328"/>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Immediately after the vesting of any Phantom Class A Shares, an equal number of DERs shall expire.</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Upon any forfeiture of Phantom Class A Shares, an equal number of DERs shall expire.</w:t>
      </w:r>
    </w:p>
    <w:p>
      <w:pPr>
        <w:spacing w:after="0" w:line="233" w:lineRule="exact"/>
        <w:rPr>
          <w:rFonts w:ascii="Arial" w:cs="Arial" w:eastAsia="Arial" w:hAnsi="Arial"/>
          <w:sz w:val="22"/>
          <w:szCs w:val="22"/>
          <w:color w:val="auto"/>
        </w:rPr>
      </w:pPr>
    </w:p>
    <w:p>
      <w:pPr>
        <w:jc w:val="both"/>
        <w:ind w:left="660" w:hanging="328"/>
        <w:spacing w:after="0" w:line="238" w:lineRule="auto"/>
        <w:tabs>
          <w:tab w:leader="none" w:pos="66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In the event that (i) you voluntarily terminate your service on the Board of Directors (other than for Retirement) or (ii) your service on the Board of Directors is terminated by the Board (by a majority vote of the remaining Directors) for Cause (as defined in the LLC Agreement), all unvested Phantom Class A Shares (and tandem DERs) shall be forfeited as of the date service terminates.</w:t>
      </w:r>
    </w:p>
    <w:p>
      <w:pPr>
        <w:sectPr>
          <w:pgSz w:w="11900" w:h="16838" w:orient="portrait"/>
          <w:cols w:equalWidth="0" w:num="1">
            <w:col w:w="11420"/>
          </w:cols>
          <w:pgMar w:left="240" w:top="126" w:right="239" w:bottom="1440" w:gutter="0" w:footer="0" w:header="0"/>
        </w:sectPr>
      </w:pPr>
    </w:p>
    <w:bookmarkStart w:id="213" w:name="page214"/>
    <w:bookmarkEnd w:id="213"/>
    <w:p>
      <w:pPr>
        <w:ind w:left="20"/>
        <w:spacing w:after="0"/>
        <w:tabs>
          <w:tab w:leader="none" w:pos="5880" w:val="left"/>
          <w:tab w:leader="none" w:pos="10000" w:val="left"/>
        </w:tabs>
        <w:rPr>
          <w:sz w:val="20"/>
          <w:szCs w:val="20"/>
          <w:color w:val="auto"/>
        </w:rPr>
      </w:pPr>
      <w:r>
        <w:rPr>
          <w:rFonts w:ascii="Arial" w:cs="Arial" w:eastAsia="Arial" w:hAnsi="Arial"/>
          <w:sz w:val="22"/>
          <w:szCs w:val="22"/>
          <w:color w:val="auto"/>
        </w:rPr>
        <w:t>Lawrence M. Ziemba</w:t>
      </w:r>
      <w:r>
        <w:rPr>
          <w:sz w:val="20"/>
          <w:szCs w:val="20"/>
          <w:color w:val="auto"/>
        </w:rPr>
        <w:tab/>
      </w:r>
      <w:r>
        <w:rPr>
          <w:rFonts w:ascii="Arial" w:cs="Arial" w:eastAsia="Arial" w:hAnsi="Arial"/>
          <w:sz w:val="22"/>
          <w:szCs w:val="22"/>
          <w:color w:val="auto"/>
        </w:rPr>
        <w:t>- 2 -</w:t>
      </w:r>
      <w:r>
        <w:rPr>
          <w:sz w:val="20"/>
          <w:szCs w:val="20"/>
          <w:color w:val="auto"/>
        </w:rPr>
        <w:tab/>
      </w:r>
      <w:r>
        <w:rPr>
          <w:rFonts w:ascii="Arial" w:cs="Arial" w:eastAsia="Arial" w:hAnsi="Arial"/>
          <w:sz w:val="19"/>
          <w:szCs w:val="19"/>
          <w:color w:val="auto"/>
        </w:rPr>
        <w:t>January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660" w:hanging="328"/>
        <w:spacing w:after="0" w:line="249" w:lineRule="auto"/>
        <w:tabs>
          <w:tab w:leader="none" w:pos="6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In the event your service on the Board of Directors is terminated (i) because of your death or disability (as determined in good faith by the Board), (ii) due to your Retirement, or (iii) for any reason other than as described in clauses (i) and (ii) of paragraph 5 above, all unvested Phantom Class A Shares (and any tandem DERs) shall immediately become nonforfeitable, and shall vest in full as of the next following Distribution Date. Upon such payment, the tandem DERs associated with the Phantom Class A Shares that are vesting shall expire.</w:t>
      </w:r>
    </w:p>
    <w:p>
      <w:pPr>
        <w:spacing w:after="0" w:line="205" w:lineRule="exact"/>
        <w:rPr>
          <w:rFonts w:ascii="Arial" w:cs="Arial" w:eastAsia="Arial" w:hAnsi="Arial"/>
          <w:sz w:val="21"/>
          <w:szCs w:val="21"/>
          <w:color w:val="auto"/>
        </w:rPr>
      </w:pPr>
    </w:p>
    <w:p>
      <w:pPr>
        <w:ind w:left="660" w:hanging="328"/>
        <w:spacing w:after="0" w:line="328" w:lineRule="auto"/>
        <w:tabs>
          <w:tab w:leader="none" w:pos="66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For the avoidance of doubt, to the extent the expiration of a DER relates to the vesting of a Phantom Class A Share on a Distribution Date, the intent is for the DER to be paid with respect to such Distribution Date before the DER expires.</w:t>
      </w:r>
    </w:p>
    <w:p>
      <w:pPr>
        <w:spacing w:after="0" w:line="13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used herein, (i) “Company” refers to PAA GP Holdings LLC, (ii) “Distribution Date” means the day in February, May, August or November in any year (as context dictates) that is 45 days after the end of a calendar quarter (or, if not a business day, the closest previous business day), (iii) “Board of Directors” or “Board” means the Board of Directors of the Company, and (iv) “Retirement” means you have provided the Chairman of the Board of the Company with written notice indicating that (a) you have retired (or will retire within the next sixty days) from full-time employment and from service as a director of the Company, and (b) excluding director positions held by you at such time, you do not intend to serve as a director of any other public company.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Terms used herein that are not defined herein shall have the meanings set forth in the Plan or, if not defined in the Plan, in the Second Amended and Restated Agreement of Limited Partnership of Plains GP Holdings, L.P., as amended (the "Partnership Agreement") or the Third Amended and Restated Limited Liability Company Agreement of PAA GP Holdings LLC, as amended (the “LLC Agreement”). By signing below, you agree that the Phantom Class A Shares and DERs granted hereunder are governed by the terms of the Plan. Copies of the Plan, the Partnership Agreement and the LLC Agreement are available upon request.</w:t>
      </w:r>
    </w:p>
    <w:p>
      <w:pPr>
        <w:sectPr>
          <w:pgSz w:w="11900" w:h="16838" w:orient="portrait"/>
          <w:cols w:equalWidth="0" w:num="1">
            <w:col w:w="11420"/>
          </w:cols>
          <w:pgMar w:left="240" w:top="172" w:right="239" w:bottom="1440" w:gutter="0" w:footer="0" w:header="0"/>
        </w:sectPr>
      </w:pPr>
    </w:p>
    <w:bookmarkStart w:id="214" w:name="page215"/>
    <w:bookmarkEnd w:id="214"/>
    <w:p>
      <w:pPr>
        <w:ind w:left="20"/>
        <w:spacing w:after="0"/>
        <w:tabs>
          <w:tab w:leader="none" w:pos="5880" w:val="left"/>
          <w:tab w:leader="none" w:pos="10000" w:val="left"/>
        </w:tabs>
        <w:rPr>
          <w:sz w:val="20"/>
          <w:szCs w:val="20"/>
          <w:color w:val="auto"/>
        </w:rPr>
      </w:pPr>
      <w:r>
        <w:rPr>
          <w:rFonts w:ascii="Arial" w:cs="Arial" w:eastAsia="Arial" w:hAnsi="Arial"/>
          <w:sz w:val="22"/>
          <w:szCs w:val="22"/>
          <w:color w:val="auto"/>
        </w:rPr>
        <w:t>Lawrence M. Ziemba</w:t>
      </w:r>
      <w:r>
        <w:rPr>
          <w:sz w:val="20"/>
          <w:szCs w:val="20"/>
          <w:color w:val="auto"/>
        </w:rPr>
        <w:tab/>
      </w:r>
      <w:r>
        <w:rPr>
          <w:rFonts w:ascii="Arial" w:cs="Arial" w:eastAsia="Arial" w:hAnsi="Arial"/>
          <w:sz w:val="22"/>
          <w:szCs w:val="22"/>
          <w:color w:val="auto"/>
        </w:rPr>
        <w:t>- 3 -</w:t>
      </w:r>
      <w:r>
        <w:rPr>
          <w:sz w:val="20"/>
          <w:szCs w:val="20"/>
          <w:color w:val="auto"/>
        </w:rPr>
        <w:tab/>
      </w:r>
      <w:r>
        <w:rPr>
          <w:rFonts w:ascii="Arial" w:cs="Arial" w:eastAsia="Arial" w:hAnsi="Arial"/>
          <w:sz w:val="19"/>
          <w:szCs w:val="19"/>
          <w:color w:val="auto"/>
        </w:rPr>
        <w:t>January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Please designate in the space provided below a beneficiary to receive benefits payable under this grant in the event of your death. In addition, please execute and return a copy of this grant letter to me and retain a copy for your records.</w:t>
      </w: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280" w:type="dxa"/>
            <w:vAlign w:val="bottom"/>
            <w:gridSpan w:val="3"/>
          </w:tcPr>
          <w:p>
            <w:pPr>
              <w:jc w:val="right"/>
              <w:ind w:right="1220"/>
              <w:spacing w:after="0"/>
              <w:rPr>
                <w:sz w:val="20"/>
                <w:szCs w:val="20"/>
                <w:color w:val="auto"/>
              </w:rPr>
            </w:pPr>
            <w:r>
              <w:rPr>
                <w:rFonts w:ascii="Arial" w:cs="Arial" w:eastAsia="Arial" w:hAnsi="Arial"/>
                <w:sz w:val="22"/>
                <w:szCs w:val="22"/>
                <w:color w:val="auto"/>
              </w:rPr>
              <w:t>PLAINS GP HOLDINGS, L.P.</w:t>
            </w:r>
          </w:p>
        </w:tc>
        <w:tc>
          <w:tcPr>
            <w:tcW w:w="3640" w:type="dxa"/>
            <w:vAlign w:val="bottom"/>
          </w:tcPr>
          <w:p>
            <w:pPr>
              <w:spacing w:after="0"/>
              <w:rPr>
                <w:sz w:val="23"/>
                <w:szCs w:val="23"/>
                <w:color w:val="auto"/>
              </w:rPr>
            </w:pPr>
          </w:p>
        </w:tc>
      </w:tr>
      <w:tr>
        <w:trPr>
          <w:trHeight w:val="486"/>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3"/>
          </w:tcPr>
          <w:p>
            <w:pPr>
              <w:ind w:left="380"/>
              <w:spacing w:after="0"/>
              <w:rPr>
                <w:sz w:val="20"/>
                <w:szCs w:val="20"/>
                <w:color w:val="auto"/>
              </w:rPr>
            </w:pPr>
            <w:r>
              <w:rPr>
                <w:rFonts w:ascii="Arial" w:cs="Arial" w:eastAsia="Arial" w:hAnsi="Arial"/>
                <w:sz w:val="22"/>
                <w:szCs w:val="22"/>
                <w:color w:val="auto"/>
              </w:rPr>
              <w:t>By: PAA GP HOLDINGS LLC</w:t>
            </w:r>
          </w:p>
        </w:tc>
        <w:tc>
          <w:tcPr>
            <w:tcW w:w="3640" w:type="dxa"/>
            <w:vAlign w:val="bottom"/>
          </w:tcPr>
          <w:p>
            <w:pPr>
              <w:spacing w:after="0"/>
              <w:rPr>
                <w:sz w:val="24"/>
                <w:szCs w:val="24"/>
                <w:color w:val="auto"/>
              </w:rPr>
            </w:pPr>
          </w:p>
        </w:tc>
      </w:tr>
      <w:tr>
        <w:trPr>
          <w:trHeight w:val="698"/>
        </w:trPr>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80" w:type="dxa"/>
            <w:vAlign w:val="bottom"/>
            <w:gridSpan w:val="3"/>
          </w:tcPr>
          <w:p>
            <w:pPr>
              <w:ind w:left="940"/>
              <w:spacing w:after="0"/>
              <w:rPr>
                <w:sz w:val="20"/>
                <w:szCs w:val="20"/>
                <w:color w:val="auto"/>
              </w:rPr>
            </w:pPr>
            <w:r>
              <w:rPr>
                <w:rFonts w:ascii="Arial" w:cs="Arial" w:eastAsia="Arial" w:hAnsi="Arial"/>
                <w:sz w:val="22"/>
                <w:szCs w:val="22"/>
                <w:color w:val="auto"/>
                <w:w w:val="89"/>
              </w:rPr>
              <w:t>By: ___________________________</w:t>
            </w:r>
          </w:p>
        </w:tc>
        <w:tc>
          <w:tcPr>
            <w:tcW w:w="3640" w:type="dxa"/>
            <w:vAlign w:val="bottom"/>
          </w:tcPr>
          <w:p>
            <w:pPr>
              <w:spacing w:after="0"/>
              <w:rPr>
                <w:sz w:val="24"/>
                <w:szCs w:val="24"/>
                <w:color w:val="auto"/>
              </w:rPr>
            </w:pPr>
          </w:p>
        </w:tc>
      </w:tr>
      <w:tr>
        <w:trPr>
          <w:trHeight w:val="243"/>
        </w:trPr>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280" w:type="dxa"/>
            <w:vAlign w:val="bottom"/>
            <w:gridSpan w:val="3"/>
          </w:tcPr>
          <w:p>
            <w:pPr>
              <w:ind w:left="1020"/>
              <w:spacing w:after="0" w:line="243" w:lineRule="exact"/>
              <w:rPr>
                <w:sz w:val="20"/>
                <w:szCs w:val="20"/>
                <w:color w:val="auto"/>
              </w:rPr>
            </w:pPr>
            <w:r>
              <w:rPr>
                <w:rFonts w:ascii="Arial" w:cs="Arial" w:eastAsia="Arial" w:hAnsi="Arial"/>
                <w:sz w:val="22"/>
                <w:szCs w:val="22"/>
                <w:color w:val="auto"/>
              </w:rPr>
              <w:t>Name: Richard McGee</w:t>
            </w:r>
          </w:p>
        </w:tc>
        <w:tc>
          <w:tcPr>
            <w:tcW w:w="3640" w:type="dxa"/>
            <w:vAlign w:val="bottom"/>
          </w:tcPr>
          <w:p>
            <w:pPr>
              <w:spacing w:after="0"/>
              <w:rPr>
                <w:sz w:val="21"/>
                <w:szCs w:val="21"/>
                <w:color w:val="auto"/>
              </w:rPr>
            </w:pPr>
          </w:p>
        </w:tc>
      </w:tr>
      <w:tr>
        <w:trPr>
          <w:trHeight w:val="275"/>
        </w:trPr>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4280" w:type="dxa"/>
            <w:vAlign w:val="bottom"/>
            <w:gridSpan w:val="3"/>
          </w:tcPr>
          <w:p>
            <w:pPr>
              <w:ind w:left="1020"/>
              <w:spacing w:after="0"/>
              <w:rPr>
                <w:sz w:val="20"/>
                <w:szCs w:val="20"/>
                <w:color w:val="auto"/>
              </w:rPr>
            </w:pPr>
            <w:r>
              <w:rPr>
                <w:rFonts w:ascii="Arial" w:cs="Arial" w:eastAsia="Arial" w:hAnsi="Arial"/>
                <w:sz w:val="22"/>
                <w:szCs w:val="22"/>
                <w:color w:val="auto"/>
              </w:rPr>
              <w:t>Title: Executive Vice President</w:t>
            </w:r>
          </w:p>
        </w:tc>
        <w:tc>
          <w:tcPr>
            <w:tcW w:w="3640" w:type="dxa"/>
            <w:vAlign w:val="bottom"/>
          </w:tcPr>
          <w:p>
            <w:pPr>
              <w:spacing w:after="0"/>
              <w:rPr>
                <w:sz w:val="23"/>
                <w:szCs w:val="23"/>
                <w:color w:val="auto"/>
              </w:rPr>
            </w:pPr>
          </w:p>
        </w:tc>
      </w:tr>
      <w:tr>
        <w:trPr>
          <w:trHeight w:val="1016"/>
        </w:trPr>
        <w:tc>
          <w:tcPr>
            <w:tcW w:w="340" w:type="dxa"/>
            <w:vAlign w:val="bottom"/>
          </w:tcPr>
          <w:p>
            <w:pPr>
              <w:spacing w:after="0"/>
              <w:rPr>
                <w:sz w:val="24"/>
                <w:szCs w:val="24"/>
                <w:color w:val="auto"/>
              </w:rPr>
            </w:pPr>
          </w:p>
        </w:tc>
        <w:tc>
          <w:tcPr>
            <w:tcW w:w="3180" w:type="dxa"/>
            <w:vAlign w:val="bottom"/>
            <w:tcBorders>
              <w:bottom w:val="single" w:sz="8" w:color="auto"/>
            </w:tcBorders>
            <w:gridSpan w:val="2"/>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4"/>
        </w:trPr>
        <w:tc>
          <w:tcPr>
            <w:tcW w:w="340" w:type="dxa"/>
            <w:vAlign w:val="bottom"/>
          </w:tcPr>
          <w:p>
            <w:pPr>
              <w:spacing w:after="0"/>
              <w:rPr>
                <w:sz w:val="23"/>
                <w:szCs w:val="23"/>
                <w:color w:val="auto"/>
              </w:rPr>
            </w:pPr>
          </w:p>
        </w:tc>
        <w:tc>
          <w:tcPr>
            <w:tcW w:w="3180" w:type="dxa"/>
            <w:vAlign w:val="bottom"/>
            <w:gridSpan w:val="2"/>
          </w:tcPr>
          <w:p>
            <w:pPr>
              <w:ind w:left="20"/>
              <w:spacing w:after="0"/>
              <w:rPr>
                <w:sz w:val="20"/>
                <w:szCs w:val="20"/>
                <w:color w:val="auto"/>
              </w:rPr>
            </w:pPr>
            <w:r>
              <w:rPr>
                <w:rFonts w:ascii="Arial" w:cs="Arial" w:eastAsia="Arial" w:hAnsi="Arial"/>
                <w:sz w:val="22"/>
                <w:szCs w:val="22"/>
                <w:color w:val="auto"/>
              </w:rPr>
              <w:t>Lawrence M. Ziemba</w:t>
            </w:r>
          </w:p>
        </w:tc>
        <w:tc>
          <w:tcPr>
            <w:tcW w:w="196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40" w:type="dxa"/>
            <w:vAlign w:val="bottom"/>
          </w:tcPr>
          <w:p>
            <w:pPr>
              <w:spacing w:after="0"/>
              <w:rPr>
                <w:sz w:val="23"/>
                <w:szCs w:val="23"/>
                <w:color w:val="auto"/>
              </w:rPr>
            </w:pPr>
          </w:p>
        </w:tc>
      </w:tr>
      <w:tr>
        <w:trPr>
          <w:trHeight w:val="567"/>
        </w:trPr>
        <w:tc>
          <w:tcPr>
            <w:tcW w:w="340" w:type="dxa"/>
            <w:vAlign w:val="bottom"/>
          </w:tcPr>
          <w:p>
            <w:pPr>
              <w:spacing w:after="0"/>
              <w:rPr>
                <w:sz w:val="24"/>
                <w:szCs w:val="24"/>
                <w:color w:val="auto"/>
              </w:rPr>
            </w:pPr>
          </w:p>
        </w:tc>
        <w:tc>
          <w:tcPr>
            <w:tcW w:w="3180" w:type="dxa"/>
            <w:vAlign w:val="bottom"/>
            <w:gridSpan w:val="2"/>
          </w:tcPr>
          <w:p>
            <w:pPr>
              <w:ind w:left="20"/>
              <w:spacing w:after="0"/>
              <w:rPr>
                <w:sz w:val="20"/>
                <w:szCs w:val="20"/>
                <w:color w:val="auto"/>
              </w:rPr>
            </w:pPr>
            <w:r>
              <w:rPr>
                <w:rFonts w:ascii="Arial" w:cs="Arial" w:eastAsia="Arial" w:hAnsi="Arial"/>
                <w:sz w:val="22"/>
                <w:szCs w:val="22"/>
                <w:color w:val="auto"/>
                <w:w w:val="99"/>
              </w:rPr>
              <w:t>No. of Phantom Class A Shares:</w:t>
            </w:r>
          </w:p>
        </w:tc>
        <w:tc>
          <w:tcPr>
            <w:tcW w:w="4080" w:type="dxa"/>
            <w:vAlign w:val="bottom"/>
            <w:gridSpan w:val="2"/>
          </w:tcPr>
          <w:p>
            <w:pPr>
              <w:jc w:val="right"/>
              <w:ind w:right="1072"/>
              <w:spacing w:after="0"/>
              <w:rPr>
                <w:sz w:val="20"/>
                <w:szCs w:val="20"/>
                <w:color w:val="auto"/>
              </w:rPr>
            </w:pPr>
            <w:r>
              <w:rPr>
                <w:rFonts w:ascii="Arial" w:cs="Arial" w:eastAsia="Arial" w:hAnsi="Arial"/>
                <w:sz w:val="22"/>
                <w:szCs w:val="22"/>
                <w:color w:val="auto"/>
              </w:rPr>
              <w:t>23,490</w:t>
            </w: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08"/>
        </w:trPr>
        <w:tc>
          <w:tcPr>
            <w:tcW w:w="34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2"/>
                <w:szCs w:val="22"/>
                <w:color w:val="auto"/>
              </w:rPr>
              <w:t>Dated:</w:t>
            </w:r>
          </w:p>
        </w:tc>
        <w:tc>
          <w:tcPr>
            <w:tcW w:w="18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39"/>
        </w:trPr>
        <w:tc>
          <w:tcPr>
            <w:tcW w:w="340" w:type="dxa"/>
            <w:vAlign w:val="bottom"/>
          </w:tcPr>
          <w:p>
            <w:pPr>
              <w:spacing w:after="0"/>
              <w:rPr>
                <w:sz w:val="24"/>
                <w:szCs w:val="24"/>
                <w:color w:val="auto"/>
              </w:rPr>
            </w:pPr>
          </w:p>
        </w:tc>
        <w:tc>
          <w:tcPr>
            <w:tcW w:w="3180" w:type="dxa"/>
            <w:vAlign w:val="bottom"/>
            <w:gridSpan w:val="2"/>
          </w:tcPr>
          <w:p>
            <w:pPr>
              <w:spacing w:after="0"/>
              <w:rPr>
                <w:sz w:val="20"/>
                <w:szCs w:val="20"/>
                <w:color w:val="auto"/>
              </w:rPr>
            </w:pPr>
            <w:r>
              <w:rPr>
                <w:rFonts w:ascii="Arial" w:cs="Arial" w:eastAsia="Arial" w:hAnsi="Arial"/>
                <w:sz w:val="22"/>
                <w:szCs w:val="22"/>
                <w:color w:val="auto"/>
              </w:rPr>
              <w:t>Beneficiary Designation</w:t>
            </w: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60"/>
        </w:trPr>
        <w:tc>
          <w:tcPr>
            <w:tcW w:w="3520" w:type="dxa"/>
            <w:vAlign w:val="bottom"/>
            <w:tcBorders>
              <w:bottom w:val="single" w:sz="8" w:color="auto"/>
            </w:tcBorders>
            <w:gridSpan w:val="3"/>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2"/>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r>
      <w:tr>
        <w:trPr>
          <w:trHeight w:val="284"/>
        </w:trPr>
        <w:tc>
          <w:tcPr>
            <w:tcW w:w="3520" w:type="dxa"/>
            <w:vAlign w:val="bottom"/>
            <w:tcBorders>
              <w:left w:val="single" w:sz="8" w:color="auto"/>
              <w:bottom w:val="single" w:sz="8" w:color="auto"/>
            </w:tcBorders>
            <w:gridSpan w:val="3"/>
            <w:shd w:val="clear" w:color="auto" w:fill="C0C0C0"/>
          </w:tcPr>
          <w:p>
            <w:pPr>
              <w:ind w:left="40"/>
              <w:spacing w:after="0"/>
              <w:rPr>
                <w:sz w:val="20"/>
                <w:szCs w:val="20"/>
                <w:color w:val="auto"/>
              </w:rPr>
            </w:pPr>
            <w:r>
              <w:rPr>
                <w:rFonts w:ascii="Arial" w:cs="Arial" w:eastAsia="Arial" w:hAnsi="Arial"/>
                <w:sz w:val="22"/>
                <w:szCs w:val="22"/>
                <w:color w:val="auto"/>
              </w:rPr>
              <w:t>Primary Beneficiary Name</w:t>
            </w:r>
          </w:p>
        </w:tc>
        <w:tc>
          <w:tcPr>
            <w:tcW w:w="1960" w:type="dxa"/>
            <w:vAlign w:val="bottom"/>
            <w:tcBorders>
              <w:bottom w:val="single" w:sz="8" w:color="auto"/>
              <w:right w:val="single" w:sz="8" w:color="auto"/>
            </w:tcBorders>
            <w:shd w:val="clear" w:color="auto" w:fill="C0C0C0"/>
          </w:tcPr>
          <w:p>
            <w:pPr>
              <w:spacing w:after="0"/>
              <w:rPr>
                <w:sz w:val="24"/>
                <w:szCs w:val="24"/>
                <w:color w:val="auto"/>
              </w:rPr>
            </w:pPr>
          </w:p>
        </w:tc>
        <w:tc>
          <w:tcPr>
            <w:tcW w:w="2320" w:type="dxa"/>
            <w:vAlign w:val="bottom"/>
            <w:tcBorders>
              <w:bottom w:val="single" w:sz="8" w:color="auto"/>
              <w:right w:val="single" w:sz="8" w:color="auto"/>
            </w:tcBorders>
            <w:gridSpan w:val="2"/>
            <w:shd w:val="clear" w:color="auto" w:fill="C0C0C0"/>
          </w:tcPr>
          <w:p>
            <w:pPr>
              <w:jc w:val="right"/>
              <w:ind w:right="1220"/>
              <w:spacing w:after="0"/>
              <w:rPr>
                <w:sz w:val="20"/>
                <w:szCs w:val="20"/>
                <w:color w:val="auto"/>
              </w:rPr>
            </w:pPr>
            <w:r>
              <w:rPr>
                <w:rFonts w:ascii="Arial" w:cs="Arial" w:eastAsia="Arial" w:hAnsi="Arial"/>
                <w:sz w:val="22"/>
                <w:szCs w:val="22"/>
                <w:color w:val="auto"/>
                <w:w w:val="89"/>
              </w:rPr>
              <w:t>Relationship</w:t>
            </w:r>
          </w:p>
        </w:tc>
        <w:tc>
          <w:tcPr>
            <w:tcW w:w="3640" w:type="dxa"/>
            <w:vAlign w:val="bottom"/>
            <w:tcBorders>
              <w:bottom w:val="single" w:sz="8" w:color="auto"/>
              <w:right w:val="single" w:sz="8" w:color="auto"/>
            </w:tcBorders>
            <w:shd w:val="clear" w:color="auto" w:fill="C0C0C0"/>
          </w:tcPr>
          <w:p>
            <w:pPr>
              <w:spacing w:after="0"/>
              <w:rPr>
                <w:sz w:val="20"/>
                <w:szCs w:val="20"/>
                <w:color w:val="auto"/>
              </w:rPr>
            </w:pPr>
            <w:r>
              <w:rPr>
                <w:rFonts w:ascii="Arial" w:cs="Arial" w:eastAsia="Arial" w:hAnsi="Arial"/>
                <w:sz w:val="22"/>
                <w:szCs w:val="22"/>
                <w:color w:val="auto"/>
              </w:rPr>
              <w:t>Percent (Must total 100%)</w:t>
            </w: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284"/>
        </w:trPr>
        <w:tc>
          <w:tcPr>
            <w:tcW w:w="3520" w:type="dxa"/>
            <w:vAlign w:val="bottom"/>
            <w:tcBorders>
              <w:left w:val="single" w:sz="8" w:color="auto"/>
              <w:bottom w:val="single" w:sz="8" w:color="auto"/>
            </w:tcBorders>
            <w:gridSpan w:val="3"/>
            <w:shd w:val="clear" w:color="auto" w:fill="C0C0C0"/>
          </w:tcPr>
          <w:p>
            <w:pPr>
              <w:ind w:left="40"/>
              <w:spacing w:after="0"/>
              <w:rPr>
                <w:sz w:val="20"/>
                <w:szCs w:val="20"/>
                <w:color w:val="auto"/>
              </w:rPr>
            </w:pPr>
            <w:r>
              <w:rPr>
                <w:rFonts w:ascii="Arial" w:cs="Arial" w:eastAsia="Arial" w:hAnsi="Arial"/>
                <w:sz w:val="22"/>
                <w:szCs w:val="22"/>
                <w:color w:val="auto"/>
              </w:rPr>
              <w:t>Secondary Beneficiary Name</w:t>
            </w:r>
          </w:p>
        </w:tc>
        <w:tc>
          <w:tcPr>
            <w:tcW w:w="1960" w:type="dxa"/>
            <w:vAlign w:val="bottom"/>
            <w:tcBorders>
              <w:bottom w:val="single" w:sz="8" w:color="auto"/>
              <w:right w:val="single" w:sz="8" w:color="auto"/>
            </w:tcBorders>
            <w:shd w:val="clear" w:color="auto" w:fill="C0C0C0"/>
          </w:tcPr>
          <w:p>
            <w:pPr>
              <w:spacing w:after="0"/>
              <w:rPr>
                <w:sz w:val="24"/>
                <w:szCs w:val="24"/>
                <w:color w:val="auto"/>
              </w:rPr>
            </w:pPr>
          </w:p>
        </w:tc>
        <w:tc>
          <w:tcPr>
            <w:tcW w:w="2320" w:type="dxa"/>
            <w:vAlign w:val="bottom"/>
            <w:tcBorders>
              <w:bottom w:val="single" w:sz="8" w:color="auto"/>
              <w:right w:val="single" w:sz="8" w:color="auto"/>
            </w:tcBorders>
            <w:gridSpan w:val="2"/>
            <w:shd w:val="clear" w:color="auto" w:fill="C0C0C0"/>
          </w:tcPr>
          <w:p>
            <w:pPr>
              <w:jc w:val="right"/>
              <w:ind w:right="1220"/>
              <w:spacing w:after="0"/>
              <w:rPr>
                <w:sz w:val="20"/>
                <w:szCs w:val="20"/>
                <w:color w:val="auto"/>
              </w:rPr>
            </w:pPr>
            <w:r>
              <w:rPr>
                <w:rFonts w:ascii="Arial" w:cs="Arial" w:eastAsia="Arial" w:hAnsi="Arial"/>
                <w:sz w:val="22"/>
                <w:szCs w:val="22"/>
                <w:color w:val="auto"/>
                <w:w w:val="89"/>
              </w:rPr>
              <w:t>Relationship</w:t>
            </w:r>
          </w:p>
        </w:tc>
        <w:tc>
          <w:tcPr>
            <w:tcW w:w="3640" w:type="dxa"/>
            <w:vAlign w:val="bottom"/>
            <w:tcBorders>
              <w:bottom w:val="single" w:sz="8" w:color="auto"/>
              <w:right w:val="single" w:sz="8" w:color="auto"/>
            </w:tcBorders>
            <w:shd w:val="clear" w:color="auto" w:fill="C0C0C0"/>
          </w:tcPr>
          <w:p>
            <w:pPr>
              <w:spacing w:after="0"/>
              <w:rPr>
                <w:sz w:val="20"/>
                <w:szCs w:val="20"/>
                <w:color w:val="auto"/>
              </w:rPr>
            </w:pPr>
            <w:r>
              <w:rPr>
                <w:rFonts w:ascii="Arial" w:cs="Arial" w:eastAsia="Arial" w:hAnsi="Arial"/>
                <w:sz w:val="22"/>
                <w:szCs w:val="22"/>
                <w:color w:val="auto"/>
              </w:rPr>
              <w:t>Percent (Must total 100%)</w:t>
            </w: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r>
        <w:trPr>
          <w:trHeight w:val="196"/>
        </w:trPr>
        <w:tc>
          <w:tcPr>
            <w:tcW w:w="340" w:type="dxa"/>
            <w:vAlign w:val="bottom"/>
            <w:tcBorders>
              <w:left w:val="single" w:sz="8" w:color="auto"/>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364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1440"/>
          </w:cols>
          <w:pgMar w:left="240" w:top="172" w:right="21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80" w:type="dxa"/>
            <w:vAlign w:val="bottom"/>
            <w:gridSpan w:val="2"/>
          </w:tcPr>
          <w:p>
            <w:pPr>
              <w:ind w:left="1940"/>
              <w:spacing w:after="0"/>
              <w:rPr>
                <w:sz w:val="20"/>
                <w:szCs w:val="20"/>
                <w:color w:val="auto"/>
              </w:rPr>
            </w:pPr>
            <w:r>
              <w:rPr>
                <w:rFonts w:ascii="Arial" w:cs="Arial" w:eastAsia="Arial" w:hAnsi="Arial"/>
                <w:sz w:val="18"/>
                <w:szCs w:val="18"/>
                <w:b w:val="1"/>
                <w:bCs w:val="1"/>
                <w:color w:val="auto"/>
                <w:w w:val="91"/>
              </w:rPr>
              <w:t>Exhibit 21.1</w:t>
            </w:r>
          </w:p>
        </w:tc>
      </w:tr>
      <w:tr>
        <w:trPr>
          <w:trHeight w:val="216"/>
        </w:trPr>
        <w:tc>
          <w:tcPr>
            <w:tcW w:w="4040" w:type="dxa"/>
            <w:vAlign w:val="bottom"/>
          </w:tcPr>
          <w:p>
            <w:pPr>
              <w:spacing w:after="0"/>
              <w:rPr>
                <w:sz w:val="18"/>
                <w:szCs w:val="18"/>
                <w:color w:val="auto"/>
              </w:rPr>
            </w:pPr>
          </w:p>
        </w:tc>
        <w:tc>
          <w:tcPr>
            <w:tcW w:w="734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98"/>
              </w:rPr>
              <w:t>SUBSIDIARIES OF</w:t>
            </w:r>
          </w:p>
        </w:tc>
      </w:tr>
      <w:tr>
        <w:trPr>
          <w:trHeight w:val="220"/>
        </w:trPr>
        <w:tc>
          <w:tcPr>
            <w:tcW w:w="4040" w:type="dxa"/>
            <w:vAlign w:val="bottom"/>
          </w:tcPr>
          <w:p>
            <w:pPr>
              <w:spacing w:after="0"/>
              <w:rPr>
                <w:sz w:val="19"/>
                <w:szCs w:val="19"/>
                <w:color w:val="auto"/>
              </w:rPr>
            </w:pPr>
          </w:p>
        </w:tc>
        <w:tc>
          <w:tcPr>
            <w:tcW w:w="7340" w:type="dxa"/>
            <w:vAlign w:val="bottom"/>
            <w:gridSpan w:val="4"/>
          </w:tcPr>
          <w:p>
            <w:pPr>
              <w:jc w:val="center"/>
              <w:ind w:right="4060"/>
              <w:spacing w:after="0"/>
              <w:rPr>
                <w:sz w:val="20"/>
                <w:szCs w:val="20"/>
                <w:color w:val="auto"/>
              </w:rPr>
            </w:pPr>
            <w:r>
              <w:rPr>
                <w:rFonts w:ascii="Arial" w:cs="Arial" w:eastAsia="Arial" w:hAnsi="Arial"/>
                <w:sz w:val="18"/>
                <w:szCs w:val="18"/>
                <w:b w:val="1"/>
                <w:bCs w:val="1"/>
                <w:color w:val="auto"/>
                <w:w w:val="98"/>
              </w:rPr>
              <w:t>PLAINS GP HOLDINGS, L.P.</w:t>
            </w:r>
          </w:p>
        </w:tc>
      </w:tr>
      <w:tr>
        <w:trPr>
          <w:trHeight w:val="230"/>
        </w:trPr>
        <w:tc>
          <w:tcPr>
            <w:tcW w:w="4040" w:type="dxa"/>
            <w:vAlign w:val="bottom"/>
          </w:tcPr>
          <w:p>
            <w:pPr>
              <w:spacing w:after="0"/>
              <w:rPr>
                <w:sz w:val="20"/>
                <w:szCs w:val="20"/>
                <w:color w:val="auto"/>
              </w:rPr>
            </w:pPr>
          </w:p>
        </w:tc>
        <w:tc>
          <w:tcPr>
            <w:tcW w:w="7340" w:type="dxa"/>
            <w:vAlign w:val="bottom"/>
            <w:gridSpan w:val="4"/>
          </w:tcPr>
          <w:p>
            <w:pPr>
              <w:jc w:val="center"/>
              <w:ind w:right="40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i w:val="1"/>
                <w:iCs w:val="1"/>
                <w:color w:val="auto"/>
                <w:w w:val="92"/>
              </w:rPr>
              <w:t>As of 1/1/2020</w:t>
            </w:r>
            <w:r>
              <w:rPr>
                <w:rFonts w:ascii="Arial" w:cs="Arial" w:eastAsia="Arial" w:hAnsi="Arial"/>
                <w:sz w:val="18"/>
                <w:szCs w:val="18"/>
                <w:color w:val="auto"/>
                <w:w w:val="92"/>
              </w:rPr>
              <w:t>)</w:t>
            </w:r>
          </w:p>
        </w:tc>
      </w:tr>
      <w:tr>
        <w:trPr>
          <w:trHeight w:val="224"/>
        </w:trPr>
        <w:tc>
          <w:tcPr>
            <w:tcW w:w="40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0"/>
        </w:trPr>
        <w:tc>
          <w:tcPr>
            <w:tcW w:w="40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Aurora Pipeline Company Ltd.</w:t>
            </w:r>
          </w:p>
        </w:tc>
        <w:tc>
          <w:tcPr>
            <w:tcW w:w="404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CCEEFF"/>
              <w:bottom w:val="single" w:sz="8" w:color="CCEEFF"/>
            </w:tcBorders>
            <w:shd w:val="clear" w:color="auto" w:fill="CCEEFF"/>
          </w:tcPr>
          <w:p>
            <w:pPr>
              <w:spacing w:after="0"/>
              <w:rPr>
                <w:sz w:val="21"/>
                <w:szCs w:val="21"/>
                <w:color w:val="auto"/>
              </w:rPr>
            </w:pPr>
          </w:p>
        </w:tc>
        <w:tc>
          <w:tcPr>
            <w:tcW w:w="28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Canada</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Bakersfield Crude Terminal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Cactus II Pipeline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Capline Pipeline Company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Eagle Ford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FM Midstream Holdings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Niobrara Crude Terminal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PAA Finance Corp.</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GP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PAA Luxembourg S.a.r.l.</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Luxembourg</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Midstream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PAA Natural Gas Canada ULC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Alberta</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Natural Gas Storage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PAA Natural Gas Storage, L.P.</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Service Corp.</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PAA/Vulcan Gas Storage,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Pacific Energy Group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Pacific L.A. Marine Terminal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Pacific Pipeline System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Pine Prairie Energy Center,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AAP, L.P.</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All American Emergency Relief Fund, Inc.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Texas</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All American GP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All American Pipeline, L.P.</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Capline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Gas Solutions,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Texas</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GP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LPG Services GP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LPG Services, L.P.</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Marketing Bondholder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Marketing Canada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Marketing, L.P.</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Texas</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Midstream Canada ULC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British Columbia</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Midstream Luxembourg S.a.r.l.</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Luxembourg</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Midstream Superior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Texas</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Pipeline, L.P.</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Texas</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Pipeline Montana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Products Terminals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Rail Holdings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Plains South Texas Gathering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Texas</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Plains West Coast Terminals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PMC (Nova Scotia) Company</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Nova Scotia</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PNG Marketing, LLC</w:t>
            </w:r>
          </w:p>
        </w:tc>
        <w:tc>
          <w:tcPr>
            <w:tcW w:w="4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PNGS GP LLC</w:t>
            </w:r>
          </w:p>
        </w:tc>
        <w:tc>
          <w:tcPr>
            <w:tcW w:w="4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Delaware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80" w:type="dxa"/>
            <w:vAlign w:val="bottom"/>
            <w:gridSpan w:val="2"/>
          </w:tcPr>
          <w:p>
            <w:pPr>
              <w:spacing w:after="0"/>
              <w:rPr>
                <w:sz w:val="2"/>
                <w:szCs w:val="2"/>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PPEC Bondholder, LLC</w:t>
            </w:r>
          </w:p>
        </w:tc>
        <w:tc>
          <w:tcPr>
            <w:tcW w:w="40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21"/>
                <w:szCs w:val="21"/>
                <w:color w:val="auto"/>
              </w:rPr>
            </w:pPr>
          </w:p>
        </w:tc>
      </w:tr>
      <w:tr>
        <w:trPr>
          <w:trHeight w:val="27"/>
        </w:trPr>
        <w:tc>
          <w:tcPr>
            <w:tcW w:w="404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380"/>
          </w:cols>
          <w:pgMar w:left="280" w:top="891" w:right="239" w:bottom="1440" w:gutter="0" w:footer="0" w:header="0"/>
        </w:sectPr>
      </w:pPr>
    </w:p>
    <w:bookmarkStart w:id="216" w:name="page217"/>
    <w:bookmarkEnd w:id="2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360" w:type="dxa"/>
            <w:vAlign w:val="bottom"/>
          </w:tcPr>
          <w:p>
            <w:pPr>
              <w:jc w:val="center"/>
              <w:ind w:left="2412"/>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55"/>
        </w:trPr>
        <w:tc>
          <w:tcPr>
            <w:tcW w:w="6000" w:type="dxa"/>
            <w:vAlign w:val="bottom"/>
          </w:tcPr>
          <w:p>
            <w:pPr>
              <w:spacing w:after="0"/>
              <w:rPr>
                <w:sz w:val="20"/>
                <w:szCs w:val="20"/>
                <w:color w:val="auto"/>
              </w:rPr>
            </w:pPr>
            <w:r>
              <w:rPr>
                <w:rFonts w:ascii="Arial" w:cs="Arial" w:eastAsia="Arial" w:hAnsi="Arial"/>
                <w:sz w:val="18"/>
                <w:szCs w:val="18"/>
                <w:color w:val="auto"/>
              </w:rPr>
              <w:t>Rancho LPG Holdings LLC</w:t>
            </w:r>
          </w:p>
        </w:tc>
        <w:tc>
          <w:tcPr>
            <w:tcW w:w="5360" w:type="dxa"/>
            <w:vAlign w:val="bottom"/>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Red River Pipeline Company LLC</w:t>
            </w:r>
          </w:p>
        </w:tc>
        <w:tc>
          <w:tcPr>
            <w:tcW w:w="5360" w:type="dxa"/>
            <w:vAlign w:val="bottom"/>
            <w:tcBorders>
              <w:bottom w:val="single" w:sz="8" w:color="CCEEFF"/>
            </w:tcBorders>
            <w:shd w:val="clear" w:color="auto" w:fill="CCEEFF"/>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Rocky Mountain Pipeline Montana LLC</w:t>
            </w:r>
          </w:p>
        </w:tc>
        <w:tc>
          <w:tcPr>
            <w:tcW w:w="5360" w:type="dxa"/>
            <w:vAlign w:val="bottom"/>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Rocky Mountain Pipeline System LLC</w:t>
            </w:r>
          </w:p>
        </w:tc>
        <w:tc>
          <w:tcPr>
            <w:tcW w:w="5360" w:type="dxa"/>
            <w:vAlign w:val="bottom"/>
            <w:tcBorders>
              <w:bottom w:val="single" w:sz="8" w:color="CCEEFF"/>
            </w:tcBorders>
            <w:shd w:val="clear" w:color="auto" w:fill="CCEEFF"/>
          </w:tcPr>
          <w:p>
            <w:pPr>
              <w:jc w:val="center"/>
              <w:ind w:left="2412"/>
              <w:spacing w:after="0"/>
              <w:rPr>
                <w:sz w:val="20"/>
                <w:szCs w:val="20"/>
                <w:color w:val="auto"/>
              </w:rPr>
            </w:pPr>
            <w:r>
              <w:rPr>
                <w:rFonts w:ascii="Arial" w:cs="Arial" w:eastAsia="Arial" w:hAnsi="Arial"/>
                <w:sz w:val="18"/>
                <w:szCs w:val="18"/>
                <w:color w:val="auto"/>
                <w:w w:val="85"/>
              </w:rPr>
              <w:t>Texas</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SG Resources Mississippi, L.L.C.</w:t>
            </w:r>
          </w:p>
        </w:tc>
        <w:tc>
          <w:tcPr>
            <w:tcW w:w="5360" w:type="dxa"/>
            <w:vAlign w:val="bottom"/>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 James Rail Terminal LLC</w:t>
            </w:r>
          </w:p>
        </w:tc>
        <w:tc>
          <w:tcPr>
            <w:tcW w:w="5360" w:type="dxa"/>
            <w:vAlign w:val="bottom"/>
            <w:tcBorders>
              <w:bottom w:val="single" w:sz="8" w:color="CCEEFF"/>
            </w:tcBorders>
            <w:shd w:val="clear" w:color="auto" w:fill="CCEEFF"/>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Sunrise Pipeline LLC</w:t>
            </w:r>
          </w:p>
        </w:tc>
        <w:tc>
          <w:tcPr>
            <w:tcW w:w="5360" w:type="dxa"/>
            <w:vAlign w:val="bottom"/>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7"/>
        </w:trPr>
        <w:tc>
          <w:tcPr>
            <w:tcW w:w="60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Van Hook Crude Terminal LLC</w:t>
            </w:r>
          </w:p>
        </w:tc>
        <w:tc>
          <w:tcPr>
            <w:tcW w:w="5360" w:type="dxa"/>
            <w:vAlign w:val="bottom"/>
            <w:tcBorders>
              <w:bottom w:val="single" w:sz="8" w:color="CCEEFF"/>
            </w:tcBorders>
            <w:shd w:val="clear" w:color="auto" w:fill="CCEEFF"/>
          </w:tcPr>
          <w:p>
            <w:pPr>
              <w:jc w:val="center"/>
              <w:ind w:left="2412"/>
              <w:spacing w:after="0"/>
              <w:rPr>
                <w:sz w:val="20"/>
                <w:szCs w:val="20"/>
                <w:color w:val="auto"/>
              </w:rPr>
            </w:pPr>
            <w:r>
              <w:rPr>
                <w:rFonts w:ascii="Arial" w:cs="Arial" w:eastAsia="Arial" w:hAnsi="Arial"/>
                <w:sz w:val="18"/>
                <w:szCs w:val="18"/>
                <w:color w:val="auto"/>
                <w:w w:val="92"/>
              </w:rPr>
              <w:t>Delaware</w:t>
            </w:r>
          </w:p>
        </w:tc>
      </w:tr>
      <w:tr>
        <w:trPr>
          <w:trHeight w:val="243"/>
        </w:trPr>
        <w:tc>
          <w:tcPr>
            <w:tcW w:w="6000" w:type="dxa"/>
            <w:vAlign w:val="bottom"/>
          </w:tcPr>
          <w:p>
            <w:pPr>
              <w:spacing w:after="0"/>
              <w:rPr>
                <w:sz w:val="20"/>
                <w:szCs w:val="20"/>
                <w:color w:val="auto"/>
              </w:rPr>
            </w:pPr>
            <w:r>
              <w:rPr>
                <w:rFonts w:ascii="Arial" w:cs="Arial" w:eastAsia="Arial" w:hAnsi="Arial"/>
                <w:sz w:val="18"/>
                <w:szCs w:val="18"/>
                <w:color w:val="auto"/>
              </w:rPr>
              <w:t>Western Corridor Pipeline LLC</w:t>
            </w:r>
          </w:p>
        </w:tc>
        <w:tc>
          <w:tcPr>
            <w:tcW w:w="5360" w:type="dxa"/>
            <w:vAlign w:val="bottom"/>
          </w:tcPr>
          <w:p>
            <w:pPr>
              <w:jc w:val="center"/>
              <w:ind w:left="2412"/>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1360"/>
          </w:cols>
          <w:pgMar w:left="280" w:top="941" w:right="259"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333-200596, 333-210067, 333-218463, 333-235481 and 333-235482) and on Form S-8 (No. 333-193141) of Plains GP Holdings, L.P. of our report dated February 27, 2020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2020</w:t>
      </w:r>
    </w:p>
    <w:p>
      <w:pPr>
        <w:sectPr>
          <w:pgSz w:w="11900" w:h="16838" w:orient="portrait"/>
          <w:cols w:equalWidth="0" w:num="1">
            <w:col w:w="11420"/>
          </w:cols>
          <w:pgMar w:left="240" w:top="891"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1380" w:hanging="724"/>
        <w:spacing w:after="0" w:line="264" w:lineRule="auto"/>
        <w:tabs>
          <w:tab w:leader="none" w:pos="137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7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7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7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60" w:hanging="724"/>
        <w:spacing w:after="0" w:line="342" w:lineRule="auto"/>
        <w:tabs>
          <w:tab w:leader="none" w:pos="137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7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061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Willie Chiang</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891"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Plains GP Holdings, L.P. (the “registrant”);</w:t>
      </w:r>
    </w:p>
    <w:p>
      <w:pPr>
        <w:spacing w:after="0" w:line="225" w:lineRule="exact"/>
        <w:rPr>
          <w:rFonts w:ascii="Arial" w:cs="Arial" w:eastAsia="Arial" w:hAnsi="Arial"/>
          <w:sz w:val="18"/>
          <w:szCs w:val="18"/>
          <w:color w:val="auto"/>
        </w:rPr>
      </w:pPr>
    </w:p>
    <w:p>
      <w:pPr>
        <w:ind w:right="60" w:firstLine="656"/>
        <w:spacing w:after="0" w:line="342" w:lineRule="auto"/>
        <w:tabs>
          <w:tab w:leader="none" w:pos="87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 w:firstLine="656"/>
        <w:spacing w:after="0" w:line="277" w:lineRule="auto"/>
        <w:tabs>
          <w:tab w:leader="none" w:pos="8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656"/>
        <w:spacing w:after="0" w:line="264" w:lineRule="auto"/>
        <w:tabs>
          <w:tab w:leader="none" w:pos="87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1380" w:hanging="724"/>
        <w:spacing w:after="0" w:line="264" w:lineRule="auto"/>
        <w:tabs>
          <w:tab w:leader="none" w:pos="137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80" w:right="140" w:hanging="724"/>
        <w:spacing w:after="0" w:line="264" w:lineRule="auto"/>
        <w:tabs>
          <w:tab w:leader="none" w:pos="137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80" w:right="300" w:hanging="724"/>
        <w:spacing w:after="0" w:line="342" w:lineRule="auto"/>
        <w:tabs>
          <w:tab w:leader="none" w:pos="137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80" w:hanging="724"/>
        <w:spacing w:after="0" w:line="264" w:lineRule="auto"/>
        <w:tabs>
          <w:tab w:leader="none" w:pos="137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sz w:val="20"/>
          <w:szCs w:val="20"/>
          <w:color w:val="auto"/>
        </w:rPr>
      </w:pPr>
    </w:p>
    <w:p>
      <w:pPr>
        <w:ind w:right="40" w:firstLine="656"/>
        <w:spacing w:after="0" w:line="308" w:lineRule="auto"/>
        <w:tabs>
          <w:tab w:leader="none" w:pos="873"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left="1380" w:right="560" w:hanging="724"/>
        <w:spacing w:after="0" w:line="342" w:lineRule="auto"/>
        <w:tabs>
          <w:tab w:leader="none" w:pos="1377"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80" w:right="240" w:hanging="724"/>
        <w:spacing w:after="0" w:line="277" w:lineRule="auto"/>
        <w:tabs>
          <w:tab w:leader="none" w:pos="137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2020</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106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 Swanson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891"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Willie Chiang, Chief Executive Officer of Plains GP Holdings, L.P. (the “Company”), hereby certify that:</w:t>
      </w:r>
    </w:p>
    <w:p>
      <w:pPr>
        <w:spacing w:after="0" w:line="252" w:lineRule="exact"/>
        <w:rPr>
          <w:sz w:val="20"/>
          <w:szCs w:val="20"/>
          <w:color w:val="auto"/>
        </w:rPr>
      </w:pPr>
    </w:p>
    <w:p>
      <w:pPr>
        <w:ind w:right="320" w:firstLine="486"/>
        <w:spacing w:after="0" w:line="264" w:lineRule="auto"/>
        <w:tabs>
          <w:tab w:leader="none" w:pos="69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2019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700" w:hanging="264"/>
        <w:spacing w:after="0"/>
        <w:tabs>
          <w:tab w:leader="none" w:pos="7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8">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Willie Chiang</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February 27, 2020</w:t>
      </w:r>
    </w:p>
    <w:p>
      <w:pPr>
        <w:sectPr>
          <w:pgSz w:w="11900" w:h="16838" w:orient="portrait"/>
          <w:cols w:equalWidth="0" w:num="1">
            <w:col w:w="11420"/>
          </w:cols>
          <w:pgMar w:left="240" w:top="891"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PLAINS GP HOLDINGS, 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225" w:lineRule="exact"/>
        <w:rPr>
          <w:sz w:val="20"/>
          <w:szCs w:val="20"/>
          <w:color w:val="auto"/>
        </w:rPr>
      </w:pPr>
    </w:p>
    <w:p>
      <w:pPr>
        <w:ind w:right="320" w:firstLine="486"/>
        <w:spacing w:after="0" w:line="264" w:lineRule="auto"/>
        <w:tabs>
          <w:tab w:leader="none" w:pos="69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accompanying report on Form 10-K for the period ended December 31, 2019 and filed with the Securities and Exchange Commission on the date hereof (the “Report”) by the Company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700" w:hanging="264"/>
        <w:spacing w:after="0"/>
        <w:tabs>
          <w:tab w:leader="none" w:pos="7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361061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Al Swanson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February 27, 2020</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1)"/>
      <w:numFmt w:val="lowerRoman"/>
      <w:start w:val="2"/>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1)"/>
      <w:numFmt w:val="decimal"/>
      <w:start w:val="1"/>
    </w:lvl>
  </w:abstractNum>
  <w:abstractNum w:abstractNumId="11">
    <w:nsid w:val="6A5EE64"/>
    <w:multiLevelType w:val="hybridMultilevel"/>
    <w:lvl w:ilvl="0">
      <w:lvlJc w:val="left"/>
      <w:lvlText w:val="(%1)"/>
      <w:numFmt w:val="decimal"/>
      <w:start w:val="1"/>
    </w:lvl>
  </w:abstractNum>
  <w:abstractNum w:abstractNumId="12">
    <w:nsid w:val="14330624"/>
    <w:multiLevelType w:val="hybridMultilevel"/>
    <w:lvl w:ilvl="0">
      <w:lvlJc w:val="left"/>
      <w:lvlText w:val="(%1)"/>
      <w:numFmt w:val="decimal"/>
      <w:start w:val="1"/>
    </w:lvl>
  </w:abstractNum>
  <w:abstractNum w:abstractNumId="13">
    <w:nsid w:val="7FFFCA11"/>
    <w:multiLevelType w:val="hybridMultilevel"/>
    <w:lvl w:ilvl="0">
      <w:lvlJc w:val="left"/>
      <w:lvlText w:val="(%1)"/>
      <w:numFmt w:val="decimal"/>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1)"/>
      <w:numFmt w:val="lowerRoman"/>
      <w:start w:val="3"/>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1)"/>
      <w:numFmt w:val="decimal"/>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1"/>
      <w:numFmt w:val="upperLetter"/>
      <w:start w:val="35"/>
    </w:lvl>
  </w:abstractNum>
  <w:abstractNum w:abstractNumId="22">
    <w:nsid w:val="76272110"/>
    <w:multiLevelType w:val="hybridMultilevel"/>
    <w:lvl w:ilvl="0">
      <w:lvlJc w:val="left"/>
      <w:lvlText w:val="(%1)"/>
      <w:numFmt w:val="lowerRoman"/>
      <w:start w:val="2"/>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1)"/>
      <w:numFmt w:val="decimal"/>
      <w:start w:val="1"/>
    </w:lvl>
  </w:abstractNum>
  <w:abstractNum w:abstractNumId="27">
    <w:nsid w:val="74DE0EE3"/>
    <w:multiLevelType w:val="hybridMultilevel"/>
    <w:lvl w:ilvl="0">
      <w:lvlJc w:val="left"/>
      <w:lvlText w:val="(%1)"/>
      <w:numFmt w:val="lowerRoman"/>
      <w:start w:val="3"/>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abstractNum>
  <w:abstractNum w:abstractNumId="30">
    <w:nsid w:val="46B7D447"/>
    <w:multiLevelType w:val="hybridMultilevel"/>
    <w:lvl w:ilvl="0">
      <w:lvlJc w:val="left"/>
      <w:lvlText w:val="(%1)"/>
      <w:numFmt w:val="lowerRoman"/>
      <w:start w:val="1"/>
    </w:lvl>
  </w:abstractNum>
  <w:abstractNum w:abstractNumId="31">
    <w:nsid w:val="4A2AC315"/>
    <w:multiLevelType w:val="hybridMultilevel"/>
    <w:lvl w:ilvl="0">
      <w:lvlJc w:val="left"/>
      <w:lvlText w:val="(%1)"/>
      <w:numFmt w:val="lowerRoman"/>
      <w:start w:val="3"/>
    </w:lvl>
  </w:abstractNum>
  <w:abstractNum w:abstractNumId="32">
    <w:nsid w:val="39EE015C"/>
    <w:multiLevelType w:val="hybridMultilevel"/>
    <w:lvl w:ilvl="0">
      <w:lvlJc w:val="left"/>
      <w:lvlText w:val="•"/>
      <w:numFmt w:val="bullet"/>
      <w:start w:val="1"/>
    </w:lvl>
  </w:abstractNum>
  <w:abstractNum w:abstractNumId="33">
    <w:nsid w:val="57FC4FBB"/>
    <w:multiLevelType w:val="hybridMultilevel"/>
    <w:lvl w:ilvl="0">
      <w:lvlJc w:val="left"/>
      <w:lvlText w:val="•"/>
      <w:numFmt w:val="bullet"/>
      <w:start w:val="1"/>
    </w:lvl>
  </w:abstractNum>
  <w:abstractNum w:abstractNumId="34">
    <w:nsid w:val="CC1016F"/>
    <w:multiLevelType w:val="hybridMultilevel"/>
    <w:lvl w:ilvl="0">
      <w:lvlJc w:val="left"/>
      <w:lvlText w:val="•"/>
      <w:numFmt w:val="bullet"/>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lvl w:ilvl="1">
      <w:lvlJc w:val="left"/>
      <w:lvlText w:val="◦"/>
      <w:numFmt w:val="bullet"/>
      <w:start w:val="1"/>
    </w:lvl>
  </w:abstractNum>
  <w:abstractNum w:abstractNumId="38">
    <w:nsid w:val="7F01579B"/>
    <w:multiLevelType w:val="hybridMultilevel"/>
    <w:lvl w:ilvl="0">
      <w:lvlJc w:val="left"/>
      <w:lvlText w:val="•"/>
      <w:numFmt w:val="bullet"/>
      <w:start w:val="1"/>
    </w:lvl>
    <w:lvl w:ilvl="1">
      <w:lvlJc w:val="left"/>
      <w:lvlText w:val="◦"/>
      <w:numFmt w:val="bullet"/>
      <w:start w:val="1"/>
    </w:lvl>
  </w:abstractNum>
  <w:abstractNum w:abstractNumId="39">
    <w:nsid w:val="49DA307D"/>
    <w:multiLevelType w:val="hybridMultilevel"/>
    <w:lvl w:ilvl="0">
      <w:lvlJc w:val="left"/>
      <w:lvlText w:val="(%1)"/>
      <w:numFmt w:val="lowerRoman"/>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1)"/>
      <w:numFmt w:val="decimal"/>
      <w:start w:val="1"/>
    </w:lvl>
  </w:abstractNum>
  <w:abstractNum w:abstractNumId="51">
    <w:nsid w:val="73A1821B"/>
    <w:multiLevelType w:val="hybridMultilevel"/>
    <w:lvl w:ilvl="0">
      <w:lvlJc w:val="left"/>
      <w:lvlText w:val="(%1)"/>
      <w:numFmt w:val="lowerRoman"/>
      <w:start w:val="4"/>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1)"/>
      <w:numFmt w:val="decimal"/>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1)"/>
      <w:numFmt w:val="decimal"/>
      <w:start w:val="3"/>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1)"/>
      <w:numFmt w:val="decimal"/>
      <w:start w:val="1"/>
    </w:lvl>
  </w:abstractNum>
  <w:abstractNum w:abstractNumId="63">
    <w:nsid w:val="59ADEA3D"/>
    <w:multiLevelType w:val="hybridMultilevel"/>
    <w:lvl w:ilvl="0">
      <w:lvlJc w:val="left"/>
      <w:lvlText w:val="(%1)"/>
      <w:numFmt w:val="lowerRoman"/>
      <w:start w:val="2"/>
    </w:lvl>
  </w:abstractNum>
  <w:abstractNum w:abstractNumId="64">
    <w:nsid w:val="288F1A34"/>
    <w:multiLevelType w:val="hybridMultilevel"/>
    <w:lvl w:ilvl="0">
      <w:lvlJc w:val="left"/>
      <w:lvlText w:val="(%1)"/>
      <w:numFmt w:val="decimal"/>
      <w:start w:val="2"/>
    </w:lvl>
  </w:abstractNum>
  <w:abstractNum w:abstractNumId="65">
    <w:nsid w:val="2A155DBC"/>
    <w:multiLevelType w:val="hybridMultilevel"/>
    <w:lvl w:ilvl="0">
      <w:lvlJc w:val="left"/>
      <w:lvlText w:val="(%1)"/>
      <w:numFmt w:val="decimal"/>
      <w:start w:val="2"/>
    </w:lvl>
  </w:abstractNum>
  <w:abstractNum w:abstractNumId="66">
    <w:nsid w:val="1D9F6E5F"/>
    <w:multiLevelType w:val="hybridMultilevel"/>
    <w:lvl w:ilvl="0">
      <w:lvlJc w:val="left"/>
      <w:lvlText w:val="(%1)"/>
      <w:numFmt w:val="decimal"/>
      <w:start w:val="4"/>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1)"/>
      <w:numFmt w:val="decimal"/>
      <w:start w:val="1"/>
    </w:lvl>
  </w:abstractNum>
  <w:abstractNum w:abstractNumId="69">
    <w:nsid w:val="1CA0C5FA"/>
    <w:multiLevelType w:val="hybridMultilevel"/>
    <w:lvl w:ilvl="0">
      <w:lvlJc w:val="left"/>
      <w:lvlText w:val="(%1)"/>
      <w:numFmt w:val="lowerLetter"/>
      <w:start w:val="1"/>
    </w:lvl>
  </w:abstractNum>
  <w:abstractNum w:abstractNumId="70">
    <w:nsid w:val="53584BCB"/>
    <w:multiLevelType w:val="hybridMultilevel"/>
    <w:lvl w:ilvl="0">
      <w:lvlJc w:val="left"/>
      <w:lvlText w:val="(%1)"/>
      <w:numFmt w:val="decimal"/>
      <w:start w:val="2"/>
    </w:lvl>
  </w:abstractNum>
  <w:abstractNum w:abstractNumId="71">
    <w:nsid w:val="415E286C"/>
    <w:multiLevelType w:val="hybridMultilevel"/>
    <w:lvl w:ilvl="0">
      <w:lvlJc w:val="left"/>
      <w:lvlText w:val="(%1)"/>
      <w:numFmt w:val="decimal"/>
      <w:start w:val="3"/>
    </w:lvl>
  </w:abstractNum>
  <w:abstractNum w:abstractNumId="72">
    <w:nsid w:val="7C58FD05"/>
    <w:multiLevelType w:val="hybridMultilevel"/>
    <w:lvl w:ilvl="0">
      <w:lvlJc w:val="left"/>
      <w:lvlText w:val="†"/>
      <w:numFmt w:val="bullet"/>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
      <w:numFmt w:val="bullet"/>
      <w:start w:val="1"/>
    </w:lvl>
  </w:abstractNum>
  <w:abstractNum w:abstractNumId="76">
    <w:nsid w:val="E7FFA2B"/>
    <w:multiLevelType w:val="hybridMultilevel"/>
    <w:lvl w:ilvl="0">
      <w:lvlJc w:val="left"/>
      <w:lvlText w:val="•"/>
      <w:numFmt w:val="bullet"/>
      <w:start w:val="1"/>
    </w:lvl>
  </w:abstractNum>
  <w:abstractNum w:abstractNumId="77">
    <w:nsid w:val="3C5991AA"/>
    <w:multiLevelType w:val="hybridMultilevel"/>
    <w:lvl w:ilvl="0">
      <w:lvlJc w:val="left"/>
      <w:lvlText w:val="(%1)"/>
      <w:numFmt w:val="lowerRoman"/>
      <w:start w:val="3"/>
    </w:lvl>
  </w:abstractNum>
  <w:abstractNum w:abstractNumId="78">
    <w:nsid w:val="4BD8591A"/>
    <w:multiLevelType w:val="hybridMultilevel"/>
    <w:lvl w:ilvl="0">
      <w:lvlJc w:val="left"/>
      <w:lvlText w:val="(%1)"/>
      <w:numFmt w:val="lowerRoman"/>
      <w:start w:val="3"/>
    </w:lvl>
  </w:abstractNum>
  <w:abstractNum w:abstractNumId="79">
    <w:nsid w:val="78DF6A55"/>
    <w:multiLevelType w:val="hybridMultilevel"/>
    <w:lvl w:ilvl="0">
      <w:lvlJc w:val="left"/>
      <w:lvlText w:val="(%1)"/>
      <w:numFmt w:val="lowerRoman"/>
      <w:start w:val="13"/>
    </w:lvl>
  </w:abstractNum>
  <w:abstractNum w:abstractNumId="80">
    <w:nsid w:val="39B7AAA2"/>
    <w:multiLevelType w:val="hybridMultilevel"/>
    <w:lvl w:ilvl="0">
      <w:lvlJc w:val="left"/>
      <w:lvlText w:val="(%1)"/>
      <w:numFmt w:val="decimal"/>
      <w:start w:val="1"/>
    </w:lvl>
  </w:abstractNum>
  <w:abstractNum w:abstractNumId="81">
    <w:nsid w:val="2B0D8DBE"/>
    <w:multiLevelType w:val="hybridMultilevel"/>
    <w:lvl w:ilvl="0">
      <w:lvlJc w:val="left"/>
      <w:lvlText w:val="(%1)"/>
      <w:numFmt w:val="decimal"/>
      <w:start w:val="1"/>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1)"/>
      <w:numFmt w:val="lowerRoman"/>
      <w:start w:val="1"/>
    </w:lvl>
  </w:abstractNum>
  <w:abstractNum w:abstractNumId="86">
    <w:nsid w:val="4C9B0904"/>
    <w:multiLevelType w:val="hybridMultilevel"/>
    <w:lvl w:ilvl="0">
      <w:lvlJc w:val="left"/>
      <w:lvlText w:val="(%1)"/>
      <w:numFmt w:val="decimal"/>
      <w:start w:val="1"/>
    </w:lvl>
  </w:abstractNum>
  <w:abstractNum w:abstractNumId="87">
    <w:nsid w:val="6AA7B75C"/>
    <w:multiLevelType w:val="hybridMultilevel"/>
    <w:lvl w:ilvl="0">
      <w:lvlJc w:val="left"/>
      <w:lvlText w:val="(%1)"/>
      <w:numFmt w:val="decimal"/>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1)"/>
      <w:numFmt w:val="decimal"/>
      <w:start w:val="1"/>
    </w:lvl>
  </w:abstractNum>
  <w:abstractNum w:abstractNumId="91">
    <w:nsid w:val="3DB012B3"/>
    <w:multiLevelType w:val="hybridMultilevel"/>
    <w:lvl w:ilvl="0">
      <w:lvlJc w:val="left"/>
      <w:lvlText w:val="(%1)"/>
      <w:numFmt w:val="decimal"/>
      <w:start w:val="3"/>
    </w:lvl>
  </w:abstractNum>
  <w:abstractNum w:abstractNumId="92">
    <w:nsid w:val="2708C9AF"/>
    <w:multiLevelType w:val="hybridMultilevel"/>
    <w:lvl w:ilvl="0">
      <w:lvlJc w:val="left"/>
      <w:lvlText w:val="(%1)"/>
      <w:numFmt w:val="decimal"/>
      <w:start w:val="2"/>
    </w:lvl>
  </w:abstractNum>
  <w:abstractNum w:abstractNumId="93">
    <w:nsid w:val="5B25ACE2"/>
    <w:multiLevelType w:val="hybridMultilevel"/>
    <w:lvl w:ilvl="0">
      <w:lvlJc w:val="left"/>
      <w:lvlText w:val="(%1)"/>
      <w:numFmt w:val="decimal"/>
      <w:start w:val="2"/>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1)"/>
      <w:numFmt w:val="decimal"/>
      <w:start w:val="1"/>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1)"/>
      <w:numFmt w:val="decimal"/>
      <w:start w:val="1"/>
    </w:lvl>
  </w:abstractNum>
  <w:abstractNum w:abstractNumId="99">
    <w:nsid w:val="56438D15"/>
    <w:multiLevelType w:val="hybridMultilevel"/>
    <w:lvl w:ilvl="0">
      <w:lvlJc w:val="left"/>
      <w:lvlText w:val="(%1)"/>
      <w:numFmt w:val="decimal"/>
      <w:start w:val="1"/>
    </w:lvl>
  </w:abstractNum>
  <w:abstractNum w:abstractNumId="100">
    <w:nsid w:val="519E3149"/>
    <w:multiLevelType w:val="hybridMultilevel"/>
    <w:lvl w:ilvl="0">
      <w:lvlJc w:val="left"/>
      <w:lvlText w:val="(%1)"/>
      <w:numFmt w:val="decimal"/>
      <w:start w:val="1"/>
    </w:lvl>
  </w:abstractNum>
  <w:abstractNum w:abstractNumId="101">
    <w:nsid w:val="2C6E4AFD"/>
    <w:multiLevelType w:val="hybridMultilevel"/>
    <w:lvl w:ilvl="0">
      <w:lvlJc w:val="left"/>
      <w:lvlText w:val="(%1)"/>
      <w:numFmt w:val="decimal"/>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1)"/>
      <w:numFmt w:val="decimal"/>
      <w:start w:val="1"/>
    </w:lvl>
  </w:abstractNum>
  <w:abstractNum w:abstractNumId="105">
    <w:nsid w:val="5D888A08"/>
    <w:multiLevelType w:val="hybridMultilevel"/>
    <w:lvl w:ilvl="0">
      <w:lvlJc w:val="left"/>
      <w:lvlText w:val="(%1)"/>
      <w:numFmt w:val="decimal"/>
      <w:start w:val="1"/>
    </w:lvl>
  </w:abstractNum>
  <w:abstractNum w:abstractNumId="106">
    <w:nsid w:val="2A082C70"/>
    <w:multiLevelType w:val="hybridMultilevel"/>
    <w:lvl w:ilvl="0">
      <w:lvlJc w:val="left"/>
      <w:lvlText w:val="(%1)"/>
      <w:numFmt w:val="decimal"/>
      <w:start w:val="1"/>
    </w:lvl>
  </w:abstractNum>
  <w:abstractNum w:abstractNumId="107">
    <w:nsid w:val="5EC6AFD4"/>
    <w:multiLevelType w:val="hybridMultilevel"/>
    <w:lvl w:ilvl="0">
      <w:lvlJc w:val="left"/>
      <w:lvlText w:val="•"/>
      <w:numFmt w:val="bullet"/>
      <w:start w:val="1"/>
    </w:lvl>
  </w:abstractNum>
  <w:abstractNum w:abstractNumId="108">
    <w:nsid w:val="19E21BB2"/>
    <w:multiLevelType w:val="hybridMultilevel"/>
    <w:lvl w:ilvl="0">
      <w:lvlJc w:val="left"/>
      <w:lvlText w:val="•"/>
      <w:numFmt w:val="bullet"/>
      <w:start w:val="1"/>
    </w:lvl>
  </w:abstractNum>
  <w:abstractNum w:abstractNumId="109">
    <w:nsid w:val="75E0858A"/>
    <w:multiLevelType w:val="hybridMultilevel"/>
    <w:lvl w:ilvl="0">
      <w:lvlJc w:val="left"/>
      <w:lvlText w:val="(%1)"/>
      <w:numFmt w:val="decimal"/>
      <w:start w:val="3"/>
    </w:lvl>
  </w:abstractNum>
  <w:abstractNum w:abstractNumId="110">
    <w:nsid w:val="57A61A29"/>
    <w:multiLevelType w:val="hybridMultilevel"/>
    <w:lvl w:ilvl="0">
      <w:lvlJc w:val="left"/>
      <w:lvlText w:val="(%1)"/>
      <w:numFmt w:val="decimal"/>
      <w:start w:val="1"/>
    </w:lvl>
  </w:abstractNum>
  <w:abstractNum w:abstractNumId="111">
    <w:nsid w:val="5399C654"/>
    <w:multiLevelType w:val="hybridMultilevel"/>
    <w:lvl w:ilvl="0">
      <w:lvlJc w:val="left"/>
      <w:lvlText w:val="(%1)"/>
      <w:numFmt w:val="decimal"/>
      <w:start w:val="1"/>
    </w:lvl>
  </w:abstractNum>
  <w:abstractNum w:abstractNumId="112">
    <w:nsid w:val="20EE1348"/>
    <w:multiLevelType w:val="hybridMultilevel"/>
    <w:lvl w:ilvl="0">
      <w:lvlJc w:val="left"/>
      <w:lvlText w:val="%1."/>
      <w:numFmt w:val="decimal"/>
      <w:start w:val="901"/>
    </w:lvl>
  </w:abstractNum>
  <w:abstractNum w:abstractNumId="113">
    <w:nsid w:val="4427069A"/>
    <w:multiLevelType w:val="hybridMultilevel"/>
    <w:lvl w:ilvl="0">
      <w:lvlJc w:val="left"/>
      <w:lvlText w:val="(%1)"/>
      <w:numFmt w:val="lowerRoman"/>
      <w:start w:val="4"/>
    </w:lvl>
  </w:abstractNum>
  <w:abstractNum w:abstractNumId="114">
    <w:nsid w:val="B37E80A"/>
    <w:multiLevelType w:val="hybridMultilevel"/>
    <w:lvl w:ilvl="0">
      <w:lvlJc w:val="left"/>
      <w:lvlText w:val="(%1)"/>
      <w:numFmt w:val="decimal"/>
      <w:start w:val="1"/>
    </w:lvl>
  </w:abstractNum>
  <w:abstractNum w:abstractNumId="115">
    <w:nsid w:val="2157F6BC"/>
    <w:multiLevelType w:val="hybridMultilevel"/>
    <w:lvl w:ilvl="0">
      <w:lvlJc w:val="left"/>
      <w:lvlText w:val="(%1)"/>
      <w:numFmt w:val="decimal"/>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
      <w:numFmt w:val="bullet"/>
      <w:start w:val="1"/>
    </w:lvl>
  </w:abstractNum>
  <w:abstractNum w:abstractNumId="121">
    <w:nsid w:val="49D0FEAC"/>
    <w:multiLevelType w:val="hybridMultilevel"/>
    <w:lvl w:ilvl="0">
      <w:lvlJc w:val="left"/>
      <w:lvlText w:val="•"/>
      <w:numFmt w:val="bullet"/>
      <w:start w:val="1"/>
    </w:lvl>
  </w:abstractNum>
  <w:abstractNum w:abstractNumId="122">
    <w:nsid w:val="4BEE5A5B"/>
    <w:multiLevelType w:val="hybridMultilevel"/>
    <w:lvl w:ilvl="0">
      <w:lvlJc w:val="left"/>
      <w:lvlText w:val="•"/>
      <w:numFmt w:val="bullet"/>
      <w:start w:val="1"/>
    </w:lvl>
  </w:abstractNum>
  <w:abstractNum w:abstractNumId="123">
    <w:nsid w:val="5551B9F3"/>
    <w:multiLevelType w:val="hybridMultilevel"/>
    <w:lvl w:ilvl="0">
      <w:lvlJc w:val="left"/>
      <w:lvlText w:val="•"/>
      <w:numFmt w:val="bullet"/>
      <w:start w:val="1"/>
    </w:lvl>
  </w:abstractNum>
  <w:abstractNum w:abstractNumId="124">
    <w:nsid w:val="24F6AB8E"/>
    <w:multiLevelType w:val="hybridMultilevel"/>
    <w:lvl w:ilvl="0">
      <w:lvlJc w:val="left"/>
      <w:lvlText w:val="(%1)"/>
      <w:numFmt w:val="decimal"/>
      <w:start w:val="1"/>
    </w:lvl>
  </w:abstractNum>
  <w:abstractNum w:abstractNumId="125">
    <w:nsid w:val="634C574C"/>
    <w:multiLevelType w:val="hybridMultilevel"/>
    <w:lvl w:ilvl="0">
      <w:lvlJc w:val="left"/>
      <w:lvlText w:val="(%1)"/>
      <w:numFmt w:val="decimal"/>
      <w:start w:val="1"/>
    </w:lvl>
  </w:abstractNum>
  <w:abstractNum w:abstractNumId="126">
    <w:nsid w:val="24E99DD7"/>
    <w:multiLevelType w:val="hybridMultilevel"/>
    <w:lvl w:ilvl="0">
      <w:lvlJc w:val="left"/>
      <w:lvlText w:val="(%1)"/>
      <w:numFmt w:val="decimal"/>
      <w:start w:val="7"/>
    </w:lvl>
  </w:abstractNum>
  <w:abstractNum w:abstractNumId="127">
    <w:nsid w:val="2A31B62D"/>
    <w:multiLevelType w:val="hybridMultilevel"/>
    <w:lvl w:ilvl="0">
      <w:lvlJc w:val="left"/>
      <w:lvlText w:val="(%1)"/>
      <w:numFmt w:val="decimal"/>
      <w:start w:val="1"/>
    </w:lvl>
  </w:abstractNum>
  <w:abstractNum w:abstractNumId="128">
    <w:nsid w:val="1849C29B"/>
    <w:multiLevelType w:val="hybridMultilevel"/>
    <w:lvl w:ilvl="0">
      <w:lvlJc w:val="left"/>
      <w:lvlText w:val="(%1)"/>
      <w:numFmt w:val="decimal"/>
      <w:start w:val="1"/>
    </w:lvl>
  </w:abstractNum>
  <w:abstractNum w:abstractNumId="129">
    <w:nsid w:val="7DFF9D09"/>
    <w:multiLevelType w:val="hybridMultilevel"/>
    <w:lvl w:ilvl="0">
      <w:lvlJc w:val="left"/>
      <w:lvlText w:val="•"/>
      <w:numFmt w:val="bullet"/>
      <w:start w:val="1"/>
    </w:lvl>
  </w:abstractNum>
  <w:abstractNum w:abstractNumId="130">
    <w:nsid w:val="754342"/>
    <w:multiLevelType w:val="hybridMultilevel"/>
    <w:lvl w:ilvl="0">
      <w:lvlJc w:val="left"/>
      <w:lvlText w:val="•"/>
      <w:numFmt w:val="bullet"/>
      <w:start w:val="1"/>
    </w:lvl>
  </w:abstractNum>
  <w:abstractNum w:abstractNumId="131">
    <w:nsid w:val="69E7F3E5"/>
    <w:multiLevelType w:val="hybridMultilevel"/>
    <w:lvl w:ilvl="0">
      <w:lvlJc w:val="left"/>
      <w:lvlText w:val="%1."/>
      <w:numFmt w:val="decimal"/>
      <w:start w:val="1"/>
    </w:lvl>
    <w:lvl w:ilvl="1">
      <w:lvlJc w:val="left"/>
      <w:lvlText w:val="(%2)"/>
      <w:numFmt w:val="lowerLetter"/>
      <w:start w:val="1"/>
    </w:lvl>
  </w:abstractNum>
  <w:abstractNum w:abstractNumId="132">
    <w:nsid w:val="2A6DE806"/>
    <w:multiLevelType w:val="hybridMultilevel"/>
    <w:lvl w:ilvl="0">
      <w:lvlJc w:val="left"/>
      <w:lvlText w:val="%1"/>
      <w:numFmt w:val="decimal"/>
      <w:start w:val="1"/>
    </w:lvl>
    <w:lvl w:ilvl="1">
      <w:lvlJc w:val="left"/>
      <w:lvlText w:val="(%2)"/>
      <w:numFmt w:val="lowerLetter"/>
      <w:start w:val="2"/>
    </w:lvl>
  </w:abstractNum>
  <w:abstractNum w:abstractNumId="133">
    <w:nsid w:val="1816F8C4"/>
    <w:multiLevelType w:val="hybridMultilevel"/>
    <w:lvl w:ilvl="0">
      <w:lvlJc w:val="left"/>
      <w:lvlText w:val="%1."/>
      <w:numFmt w:val="decimal"/>
      <w:start w:val="2"/>
    </w:lvl>
    <w:lvl w:ilvl="1">
      <w:lvlJc w:val="left"/>
      <w:lvlText w:val="(%2)"/>
      <w:numFmt w:val="lowerLetter"/>
      <w:start w:val="1"/>
    </w:lvl>
  </w:abstractNum>
  <w:abstractNum w:abstractNumId="134">
    <w:nsid w:val="37DF2233"/>
    <w:multiLevelType w:val="hybridMultilevel"/>
    <w:lvl w:ilvl="0">
      <w:lvlJc w:val="left"/>
      <w:lvlText w:val="%1"/>
      <w:numFmt w:val="decimal"/>
      <w:start w:val="1"/>
    </w:lvl>
    <w:lvl w:ilvl="1">
      <w:lvlJc w:val="left"/>
      <w:lvlText w:val="(%2)"/>
      <w:numFmt w:val="lowerLetter"/>
      <w:start w:val="3"/>
    </w:lvl>
  </w:abstractNum>
  <w:abstractNum w:abstractNumId="135">
    <w:nsid w:val="7AB49DAF"/>
    <w:multiLevelType w:val="hybridMultilevel"/>
    <w:lvl w:ilvl="0">
      <w:lvlJc w:val="left"/>
      <w:lvlText w:val="%1."/>
      <w:numFmt w:val="decimal"/>
      <w:start w:val="4"/>
    </w:lvl>
    <w:lvl w:ilvl="1">
      <w:lvlJc w:val="left"/>
      <w:lvlText w:val="(%2)"/>
      <w:numFmt w:val="lowerLetter"/>
      <w:start w:val="1"/>
    </w:lvl>
  </w:abstractNum>
  <w:abstractNum w:abstractNumId="136">
    <w:nsid w:val="759F82CD"/>
    <w:multiLevelType w:val="hybridMultilevel"/>
    <w:lvl w:ilvl="0">
      <w:lvlJc w:val="left"/>
      <w:lvlText w:val="%1."/>
      <w:numFmt w:val="decimal"/>
      <w:start w:val="6"/>
    </w:lvl>
  </w:abstractNum>
  <w:abstractNum w:abstractNumId="137">
    <w:nsid w:val="61E74EA3"/>
    <w:multiLevelType w:val="hybridMultilevel"/>
    <w:lvl w:ilvl="0">
      <w:lvlJc w:val="left"/>
      <w:lvlText w:val="%1."/>
      <w:numFmt w:val="decimal"/>
      <w:start w:val="10"/>
    </w:lvl>
  </w:abstractNum>
  <w:abstractNum w:abstractNumId="138">
    <w:nsid w:val="597B4D84"/>
    <w:multiLevelType w:val="hybridMultilevel"/>
    <w:lvl w:ilvl="0">
      <w:lvlJc w:val="left"/>
      <w:lvlText w:val="%1."/>
      <w:numFmt w:val="decimal"/>
      <w:start w:val="11"/>
    </w:lvl>
  </w:abstractNum>
  <w:abstractNum w:abstractNumId="139">
    <w:nsid w:val="F819E7F"/>
    <w:multiLevelType w:val="hybridMultilevel"/>
    <w:lvl w:ilvl="0">
      <w:lvlJc w:val="left"/>
      <w:lvlText w:val="%1."/>
      <w:numFmt w:val="decimal"/>
      <w:start w:val="1"/>
    </w:lvl>
  </w:abstractNum>
  <w:abstractNum w:abstractNumId="140">
    <w:nsid w:val="57C7D42D"/>
    <w:multiLevelType w:val="hybridMultilevel"/>
    <w:lvl w:ilvl="0">
      <w:lvlJc w:val="left"/>
      <w:lvlText w:val="%1."/>
      <w:numFmt w:val="decimal"/>
      <w:start w:val="6"/>
    </w:lvl>
  </w:abstractNum>
  <w:abstractNum w:abstractNumId="141">
    <w:nsid w:val="312167AD"/>
    <w:multiLevelType w:val="hybridMultilevel"/>
    <w:lvl w:ilvl="0">
      <w:lvlJc w:val="left"/>
      <w:lvlText w:val="%1."/>
      <w:numFmt w:val="decimal"/>
      <w:start w:val="1"/>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decimal"/>
      <w:start w:val="5"/>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decimal"/>
      <w:start w:val="1"/>
    </w:lvl>
  </w:abstractNum>
  <w:abstractNum w:abstractNumId="146">
    <w:nsid w:val="1A0DDE32"/>
    <w:multiLevelType w:val="hybridMultilevel"/>
    <w:lvl w:ilvl="0">
      <w:lvlJc w:val="left"/>
      <w:lvlText w:val="(%1)"/>
      <w:numFmt w:val="lowerLetter"/>
      <w:start w:val="1"/>
    </w:lvl>
  </w:abstractNum>
  <w:abstractNum w:abstractNumId="147">
    <w:nsid w:val="65968C1C"/>
    <w:multiLevelType w:val="hybridMultilevel"/>
    <w:lvl w:ilvl="0">
      <w:lvlJc w:val="left"/>
      <w:lvlText w:val="%1."/>
      <w:numFmt w:val="decimal"/>
      <w:start w:val="5"/>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lowerRoman"/>
      <w:start w:val="1"/>
    </w:lvl>
  </w:abstractNum>
  <w:abstractNum w:abstractNumId="150">
    <w:nsid w:val="73D4D3C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6" Type="http://schemas.openxmlformats.org/officeDocument/2006/relationships/image" Target="media/image208.png"/><Relationship Id="rId243" Type="http://schemas.openxmlformats.org/officeDocument/2006/relationships/image" Target="media/image209.png"/><Relationship Id="rId257" Type="http://schemas.openxmlformats.org/officeDocument/2006/relationships/image" Target="media/image210.png"/><Relationship Id="rId269" Type="http://schemas.openxmlformats.org/officeDocument/2006/relationships/image" Target="media/image211.png"/><Relationship Id="rId285" Type="http://schemas.openxmlformats.org/officeDocument/2006/relationships/image" Target="media/image212.png"/><Relationship Id="rId304" Type="http://schemas.openxmlformats.org/officeDocument/2006/relationships/image" Target="media/image213.png"/><Relationship Id="rId305" Type="http://schemas.openxmlformats.org/officeDocument/2006/relationships/image" Target="media/image214.png"/><Relationship Id="rId323" Type="http://schemas.openxmlformats.org/officeDocument/2006/relationships/image" Target="media/image215.png"/><Relationship Id="rId324" Type="http://schemas.openxmlformats.org/officeDocument/2006/relationships/image" Target="media/image216.png"/><Relationship Id="rId325" Type="http://schemas.openxmlformats.org/officeDocument/2006/relationships/image" Target="media/image217.png"/><Relationship Id="rId326" Type="http://schemas.openxmlformats.org/officeDocument/2006/relationships/image" Target="media/image218.png"/><Relationship Id="rId327" Type="http://schemas.openxmlformats.org/officeDocument/2006/relationships/image" Target="media/image219.png"/><Relationship Id="rId328" Type="http://schemas.openxmlformats.org/officeDocument/2006/relationships/image" Target="media/image220.png"/><Relationship Id="rId329" Type="http://schemas.openxmlformats.org/officeDocument/2006/relationships/image" Target="media/image221.png"/><Relationship Id="rId330" Type="http://schemas.openxmlformats.org/officeDocument/2006/relationships/image" Target="media/image222.png"/><Relationship Id="rId331" Type="http://schemas.openxmlformats.org/officeDocument/2006/relationships/image" Target="media/image223.png"/><Relationship Id="rId332" Type="http://schemas.openxmlformats.org/officeDocument/2006/relationships/image" Target="media/image224.png"/><Relationship Id="rId333" Type="http://schemas.openxmlformats.org/officeDocument/2006/relationships/image" Target="media/image225.png"/><Relationship Id="rId334" Type="http://schemas.openxmlformats.org/officeDocument/2006/relationships/image" Target="media/image226.png"/><Relationship Id="rId335" Type="http://schemas.openxmlformats.org/officeDocument/2006/relationships/image" Target="media/image227.png"/><Relationship Id="rId336" Type="http://schemas.openxmlformats.org/officeDocument/2006/relationships/image" Target="media/image228.png"/><Relationship Id="rId337" Type="http://schemas.openxmlformats.org/officeDocument/2006/relationships/image" Target="media/image229.png"/><Relationship Id="rId338" Type="http://schemas.openxmlformats.org/officeDocument/2006/relationships/image" Target="media/image230.png"/><Relationship Id="rId339" Type="http://schemas.openxmlformats.org/officeDocument/2006/relationships/image" Target="media/image231.png"/><Relationship Id="rId340" Type="http://schemas.openxmlformats.org/officeDocument/2006/relationships/image" Target="media/image232.png"/><Relationship Id="rId341" Type="http://schemas.openxmlformats.org/officeDocument/2006/relationships/image" Target="media/image233.png"/><Relationship Id="rId342" Type="http://schemas.openxmlformats.org/officeDocument/2006/relationships/image" Target="media/image234.png"/><Relationship Id="rId343" Type="http://schemas.openxmlformats.org/officeDocument/2006/relationships/image" Target="media/image235.png"/><Relationship Id="rId344" Type="http://schemas.openxmlformats.org/officeDocument/2006/relationships/image" Target="media/image236.png"/><Relationship Id="rId345" Type="http://schemas.openxmlformats.org/officeDocument/2006/relationships/image" Target="media/image237.png"/><Relationship Id="rId346" Type="http://schemas.openxmlformats.org/officeDocument/2006/relationships/image" Target="media/image238.png"/><Relationship Id="rId347" Type="http://schemas.openxmlformats.org/officeDocument/2006/relationships/image" Target="media/image239.png"/><Relationship Id="rId348" Type="http://schemas.openxmlformats.org/officeDocument/2006/relationships/image" Target="media/image240.png"/><Relationship Id="rId349" Type="http://schemas.openxmlformats.org/officeDocument/2006/relationships/image" Target="media/image241.png"/><Relationship Id="rId350" Type="http://schemas.openxmlformats.org/officeDocument/2006/relationships/image" Target="media/image242.png"/><Relationship Id="rId351" Type="http://schemas.openxmlformats.org/officeDocument/2006/relationships/image" Target="media/image243.png"/><Relationship Id="rId352" Type="http://schemas.openxmlformats.org/officeDocument/2006/relationships/image" Target="media/image244.png"/><Relationship Id="rId353" Type="http://schemas.openxmlformats.org/officeDocument/2006/relationships/image" Target="media/image245.png"/><Relationship Id="rId354" Type="http://schemas.openxmlformats.org/officeDocument/2006/relationships/image" Target="media/image246.png"/><Relationship Id="rId355" Type="http://schemas.openxmlformats.org/officeDocument/2006/relationships/image" Target="media/image247.png"/><Relationship Id="rId356" Type="http://schemas.openxmlformats.org/officeDocument/2006/relationships/image" Target="media/image248.png"/><Relationship Id="rId357" Type="http://schemas.openxmlformats.org/officeDocument/2006/relationships/image" Target="media/image249.png"/><Relationship Id="rId358" Type="http://schemas.openxmlformats.org/officeDocument/2006/relationships/image" Target="media/image250.png"/><Relationship Id="rId359" Type="http://schemas.openxmlformats.org/officeDocument/2006/relationships/image" Target="media/image251.png"/><Relationship Id="rId360" Type="http://schemas.openxmlformats.org/officeDocument/2006/relationships/image" Target="media/image252.png"/><Relationship Id="rId361" Type="http://schemas.openxmlformats.org/officeDocument/2006/relationships/image" Target="media/image253.png"/><Relationship Id="rId362" Type="http://schemas.openxmlformats.org/officeDocument/2006/relationships/image" Target="media/image254.png"/><Relationship Id="rId363" Type="http://schemas.openxmlformats.org/officeDocument/2006/relationships/image" Target="media/image255.png"/><Relationship Id="rId364" Type="http://schemas.openxmlformats.org/officeDocument/2006/relationships/image" Target="media/image256.png"/><Relationship Id="rId365" Type="http://schemas.openxmlformats.org/officeDocument/2006/relationships/image" Target="media/image257.png"/><Relationship Id="rId366" Type="http://schemas.openxmlformats.org/officeDocument/2006/relationships/image" Target="media/image258.png"/><Relationship Id="rId367" Type="http://schemas.openxmlformats.org/officeDocument/2006/relationships/image" Target="media/image259.png"/><Relationship Id="rId368" Type="http://schemas.openxmlformats.org/officeDocument/2006/relationships/image" Target="media/image260.png"/><Relationship Id="rId369" Type="http://schemas.openxmlformats.org/officeDocument/2006/relationships/image" Target="media/image261.png"/><Relationship Id="rId370" Type="http://schemas.openxmlformats.org/officeDocument/2006/relationships/image" Target="media/image262.png"/><Relationship Id="rId371" Type="http://schemas.openxmlformats.org/officeDocument/2006/relationships/image" Target="media/image263.png"/><Relationship Id="rId372" Type="http://schemas.openxmlformats.org/officeDocument/2006/relationships/image" Target="media/image264.png"/><Relationship Id="rId373" Type="http://schemas.openxmlformats.org/officeDocument/2006/relationships/image" Target="media/image265.png"/><Relationship Id="rId374" Type="http://schemas.openxmlformats.org/officeDocument/2006/relationships/image" Target="media/image266.png"/><Relationship Id="rId375" Type="http://schemas.openxmlformats.org/officeDocument/2006/relationships/image" Target="media/image267.png"/><Relationship Id="rId376" Type="http://schemas.openxmlformats.org/officeDocument/2006/relationships/image" Target="media/image268.png"/><Relationship Id="rId377" Type="http://schemas.openxmlformats.org/officeDocument/2006/relationships/image" Target="media/image269.png"/><Relationship Id="rId378" Type="http://schemas.openxmlformats.org/officeDocument/2006/relationships/image" Target="media/image270.png"/><Relationship Id="rId379" Type="http://schemas.openxmlformats.org/officeDocument/2006/relationships/image" Target="media/image271.png"/><Relationship Id="rId380" Type="http://schemas.openxmlformats.org/officeDocument/2006/relationships/image" Target="media/image272.png"/><Relationship Id="rId381" Type="http://schemas.openxmlformats.org/officeDocument/2006/relationships/image" Target="media/image273.png"/><Relationship Id="rId382" Type="http://schemas.openxmlformats.org/officeDocument/2006/relationships/image" Target="media/image274.png"/><Relationship Id="rId383" Type="http://schemas.openxmlformats.org/officeDocument/2006/relationships/image" Target="media/image275.png"/><Relationship Id="rId384" Type="http://schemas.openxmlformats.org/officeDocument/2006/relationships/image" Target="media/image276.png"/><Relationship Id="rId385" Type="http://schemas.openxmlformats.org/officeDocument/2006/relationships/image" Target="media/image277.png"/><Relationship Id="rId386" Type="http://schemas.openxmlformats.org/officeDocument/2006/relationships/image" Target="media/image278.png"/><Relationship Id="rId387" Type="http://schemas.openxmlformats.org/officeDocument/2006/relationships/image" Target="media/image279.png"/><Relationship Id="rId388" Type="http://schemas.openxmlformats.org/officeDocument/2006/relationships/image" Target="media/image280.png"/><Relationship Id="rId389" Type="http://schemas.openxmlformats.org/officeDocument/2006/relationships/image" Target="media/image281.png"/><Relationship Id="rId390" Type="http://schemas.openxmlformats.org/officeDocument/2006/relationships/image" Target="media/image282.png"/><Relationship Id="rId391" Type="http://schemas.openxmlformats.org/officeDocument/2006/relationships/image" Target="media/image283.png"/><Relationship Id="rId392" Type="http://schemas.openxmlformats.org/officeDocument/2006/relationships/image" Target="media/image284.png"/><Relationship Id="rId393" Type="http://schemas.openxmlformats.org/officeDocument/2006/relationships/image" Target="media/image285.png"/><Relationship Id="rId394" Type="http://schemas.openxmlformats.org/officeDocument/2006/relationships/image" Target="media/image286.png"/><Relationship Id="rId395" Type="http://schemas.openxmlformats.org/officeDocument/2006/relationships/image" Target="media/image287.png"/><Relationship Id="rId396" Type="http://schemas.openxmlformats.org/officeDocument/2006/relationships/image" Target="media/image288.png"/><Relationship Id="rId397" Type="http://schemas.openxmlformats.org/officeDocument/2006/relationships/image" Target="media/image289.png"/><Relationship Id="rId398" Type="http://schemas.openxmlformats.org/officeDocument/2006/relationships/image" Target="media/image290.png"/><Relationship Id="rId399" Type="http://schemas.openxmlformats.org/officeDocument/2006/relationships/image" Target="media/image291.png"/><Relationship Id="rId400" Type="http://schemas.openxmlformats.org/officeDocument/2006/relationships/image" Target="media/image292.png"/><Relationship Id="rId401" Type="http://schemas.openxmlformats.org/officeDocument/2006/relationships/image" Target="media/image293.png"/><Relationship Id="rId402" Type="http://schemas.openxmlformats.org/officeDocument/2006/relationships/image" Target="media/image294.png"/><Relationship Id="rId403" Type="http://schemas.openxmlformats.org/officeDocument/2006/relationships/image" Target="media/image295.png"/><Relationship Id="rId404" Type="http://schemas.openxmlformats.org/officeDocument/2006/relationships/image" Target="media/image296.png"/><Relationship Id="rId405" Type="http://schemas.openxmlformats.org/officeDocument/2006/relationships/image" Target="media/image297.png"/><Relationship Id="rId406" Type="http://schemas.openxmlformats.org/officeDocument/2006/relationships/image" Target="media/image298.png"/><Relationship Id="rId407" Type="http://schemas.openxmlformats.org/officeDocument/2006/relationships/image" Target="media/image299.png"/><Relationship Id="rId408" Type="http://schemas.openxmlformats.org/officeDocument/2006/relationships/image" Target="media/image300.png"/><Relationship Id="rId409" Type="http://schemas.openxmlformats.org/officeDocument/2006/relationships/image" Target="media/image301.png"/><Relationship Id="rId410" Type="http://schemas.openxmlformats.org/officeDocument/2006/relationships/image" Target="media/image302.png"/><Relationship Id="rId411" Type="http://schemas.openxmlformats.org/officeDocument/2006/relationships/image" Target="media/image303.png"/><Relationship Id="rId412" Type="http://schemas.openxmlformats.org/officeDocument/2006/relationships/image" Target="media/image304.png"/><Relationship Id="rId413" Type="http://schemas.openxmlformats.org/officeDocument/2006/relationships/image" Target="media/image305.png"/><Relationship Id="rId414" Type="http://schemas.openxmlformats.org/officeDocument/2006/relationships/image" Target="media/image306.png"/><Relationship Id="rId415" Type="http://schemas.openxmlformats.org/officeDocument/2006/relationships/image" Target="media/image307.png"/><Relationship Id="rId416" Type="http://schemas.openxmlformats.org/officeDocument/2006/relationships/image" Target="media/image308.png"/><Relationship Id="rId417" Type="http://schemas.openxmlformats.org/officeDocument/2006/relationships/image" Target="media/image309.png"/><Relationship Id="rId418" Type="http://schemas.openxmlformats.org/officeDocument/2006/relationships/image" Target="media/image310.png"/><Relationship Id="rId419" Type="http://schemas.openxmlformats.org/officeDocument/2006/relationships/image" Target="media/image311.png"/><Relationship Id="rId420" Type="http://schemas.openxmlformats.org/officeDocument/2006/relationships/image" Target="media/image312.png"/><Relationship Id="rId421" Type="http://schemas.openxmlformats.org/officeDocument/2006/relationships/image" Target="media/image313.png"/><Relationship Id="rId422" Type="http://schemas.openxmlformats.org/officeDocument/2006/relationships/image" Target="media/image314.png"/><Relationship Id="rId423" Type="http://schemas.openxmlformats.org/officeDocument/2006/relationships/image" Target="media/image315.png"/><Relationship Id="rId424" Type="http://schemas.openxmlformats.org/officeDocument/2006/relationships/image" Target="media/image316.png"/><Relationship Id="rId425" Type="http://schemas.openxmlformats.org/officeDocument/2006/relationships/image" Target="media/image317.png"/><Relationship Id="rId426" Type="http://schemas.openxmlformats.org/officeDocument/2006/relationships/image" Target="media/image318.png"/><Relationship Id="rId427" Type="http://schemas.openxmlformats.org/officeDocument/2006/relationships/image" Target="media/image319.png"/><Relationship Id="rId428" Type="http://schemas.openxmlformats.org/officeDocument/2006/relationships/image" Target="media/image320.png"/><Relationship Id="rId429" Type="http://schemas.openxmlformats.org/officeDocument/2006/relationships/image" Target="media/image321.png"/><Relationship Id="rId430" Type="http://schemas.openxmlformats.org/officeDocument/2006/relationships/image" Target="media/image322.png"/><Relationship Id="rId431" Type="http://schemas.openxmlformats.org/officeDocument/2006/relationships/image" Target="media/image323.png"/><Relationship Id="rId432" Type="http://schemas.openxmlformats.org/officeDocument/2006/relationships/image" Target="media/image324.png"/><Relationship Id="rId433" Type="http://schemas.openxmlformats.org/officeDocument/2006/relationships/image" Target="media/image325.png"/><Relationship Id="rId434" Type="http://schemas.openxmlformats.org/officeDocument/2006/relationships/image" Target="media/image326.png"/><Relationship Id="rId435" Type="http://schemas.openxmlformats.org/officeDocument/2006/relationships/image" Target="media/image327.png"/><Relationship Id="rId436" Type="http://schemas.openxmlformats.org/officeDocument/2006/relationships/image" Target="media/image328.png"/><Relationship Id="rId437" Type="http://schemas.openxmlformats.org/officeDocument/2006/relationships/image" Target="media/image329.png"/><Relationship Id="rId438" Type="http://schemas.openxmlformats.org/officeDocument/2006/relationships/image" Target="media/image330.png"/><Relationship Id="rId439" Type="http://schemas.openxmlformats.org/officeDocument/2006/relationships/image" Target="media/image331.png"/><Relationship Id="rId440" Type="http://schemas.openxmlformats.org/officeDocument/2006/relationships/image" Target="media/image332.png"/><Relationship Id="rId441" Type="http://schemas.openxmlformats.org/officeDocument/2006/relationships/image" Target="media/image333.png"/><Relationship Id="rId442" Type="http://schemas.openxmlformats.org/officeDocument/2006/relationships/image" Target="media/image334.png"/><Relationship Id="rId443" Type="http://schemas.openxmlformats.org/officeDocument/2006/relationships/image" Target="media/image335.png"/><Relationship Id="rId444" Type="http://schemas.openxmlformats.org/officeDocument/2006/relationships/image" Target="media/image336.png"/><Relationship Id="rId445" Type="http://schemas.openxmlformats.org/officeDocument/2006/relationships/image" Target="media/image337.png"/><Relationship Id="rId446" Type="http://schemas.openxmlformats.org/officeDocument/2006/relationships/image" Target="media/image338.png"/><Relationship Id="rId447" Type="http://schemas.openxmlformats.org/officeDocument/2006/relationships/image" Target="media/image339.png"/><Relationship Id="rId448" Type="http://schemas.openxmlformats.org/officeDocument/2006/relationships/image" Target="media/image340.png"/><Relationship Id="rId449" Type="http://schemas.openxmlformats.org/officeDocument/2006/relationships/image" Target="media/image341.png"/><Relationship Id="rId450" Type="http://schemas.openxmlformats.org/officeDocument/2006/relationships/image" Target="media/image342.png"/><Relationship Id="rId451" Type="http://schemas.openxmlformats.org/officeDocument/2006/relationships/image" Target="media/image343.png"/><Relationship Id="rId452" Type="http://schemas.openxmlformats.org/officeDocument/2006/relationships/image" Target="media/image344.png"/><Relationship Id="rId453" Type="http://schemas.openxmlformats.org/officeDocument/2006/relationships/image" Target="media/image345.png"/><Relationship Id="rId454" Type="http://schemas.openxmlformats.org/officeDocument/2006/relationships/image" Target="media/image346.png"/><Relationship Id="rId455" Type="http://schemas.openxmlformats.org/officeDocument/2006/relationships/image" Target="media/image347.jpeg"/><Relationship Id="rId456" Type="http://schemas.openxmlformats.org/officeDocument/2006/relationships/image" Target="media/image348.png"/><Relationship Id="rId457" Type="http://schemas.openxmlformats.org/officeDocument/2006/relationships/image" Target="media/image349.png"/><Relationship Id="rId458" Type="http://schemas.openxmlformats.org/officeDocument/2006/relationships/image" Target="media/image350.png"/><Relationship Id="rId459" Type="http://schemas.openxmlformats.org/officeDocument/2006/relationships/image" Target="media/image351.png"/><Relationship Id="rId215" Type="http://schemas.openxmlformats.org/officeDocument/2006/relationships/hyperlink" Target="http://www.sec.gov/Archives/edgar/data/1070423/000110465912013480/a11-30215_1ex2d1.htm" TargetMode="External"/><Relationship Id="rId216" Type="http://schemas.openxmlformats.org/officeDocument/2006/relationships/hyperlink" Target="http://www.sec.gov/Archives/edgar/data/1070423/000110465913077387/a13-22640_1ex2d1.htm" TargetMode="External"/><Relationship Id="rId217" Type="http://schemas.openxmlformats.org/officeDocument/2006/relationships/hyperlink" Target="http://www.sec.gov/Archives/edgar/data/1070423/000110465916132668/a16-14925_1ex2d1.htm" TargetMode="External"/><Relationship Id="rId218" Type="http://schemas.openxmlformats.org/officeDocument/2006/relationships/hyperlink" Target="http://www.sec.gov/Archives/edgar/data/1070423/000107042317000009/paa03312017exhibit21.htm" TargetMode="External"/><Relationship Id="rId219" Type="http://schemas.openxmlformats.org/officeDocument/2006/relationships/hyperlink" Target="http://www.sec.gov/Archives/edgar/data/1070423/000107042317000009/paa03312017exhibit22.htm" TargetMode="External"/><Relationship Id="rId220" Type="http://schemas.openxmlformats.org/officeDocument/2006/relationships/hyperlink" Target="http://www.sec.gov/Archives/edgar/data/1070423/000110465917061889/a17-22685_5ex3d1.htm" TargetMode="External"/><Relationship Id="rId221" Type="http://schemas.openxmlformats.org/officeDocument/2006/relationships/hyperlink" Target="http://www.sec.gov/Archives/edgar/data/1070423/000110465916158355/a16-21841_1ex3d3.htm" TargetMode="External"/><Relationship Id="rId222" Type="http://schemas.openxmlformats.org/officeDocument/2006/relationships/hyperlink" Target="http://www.sec.gov/Archives/edgar/data/1070423/000110465916158355/a16-21841_1ex3d4.htm" TargetMode="External"/><Relationship Id="rId223" Type="http://schemas.openxmlformats.org/officeDocument/2006/relationships/hyperlink" Target="http://www.sec.gov/Archives/edgar/data/1581990/000110465918060012/a18-36197_1ex3d1.htm" TargetMode="External"/><Relationship Id="rId224" Type="http://schemas.openxmlformats.org/officeDocument/2006/relationships/hyperlink" Target="http://www.sec.gov/Archives/edgar/data/1581990/000110465919032813/a19-10857_1ex3d1.htm" TargetMode="External"/><Relationship Id="rId225" Type="http://schemas.openxmlformats.org/officeDocument/2006/relationships/hyperlink" Target="http://www.sec.gov/Archives/edgar/data/1070423/000095012908000071/h52770exv3w3.htm" TargetMode="External"/><Relationship Id="rId227" Type="http://schemas.openxmlformats.org/officeDocument/2006/relationships/hyperlink" Target="http://www.sec.gov/Archives/edgar/data/1581990/000104746913007875/a2216069zex-3_1.htm" TargetMode="External"/><Relationship Id="rId228" Type="http://schemas.openxmlformats.org/officeDocument/2006/relationships/hyperlink" Target="http://www.sec.gov/Archives/edgar/data/1581990/000110465916158356/a16-21845_1ex3d2.htm" TargetMode="External"/><Relationship Id="rId229" Type="http://schemas.openxmlformats.org/officeDocument/2006/relationships/hyperlink" Target="http://www.sec.gov/Archives/edgar/data/1581990/000104746913007875/a2216069zex-3_3.htm" TargetMode="External"/><Relationship Id="rId230" Type="http://schemas.openxmlformats.org/officeDocument/2006/relationships/hyperlink" Target="http://www.sec.gov/Archives/edgar/data/1581990/000110465917010602/a17-6893_1ex3d1.htm" TargetMode="External"/><Relationship Id="rId231" Type="http://schemas.openxmlformats.org/officeDocument/2006/relationships/hyperlink" Target="http://www.sec.gov/Archives/edgar/data/1581990/000110465918052852/a18-18386_2ex3d1.htm" TargetMode="External"/><Relationship Id="rId232" Type="http://schemas.openxmlformats.org/officeDocument/2006/relationships/hyperlink" Target="http://www.sec.gov/Archives/edgar/data/1581990/000110465918072385/a18-41342_1ex3d1.htm" TargetMode="External"/><Relationship Id="rId233" Type="http://schemas.openxmlformats.org/officeDocument/2006/relationships/hyperlink" Target="http://www.sec.gov/Archives/edgar/data/1581990/000110465919067784/tm1923980d1_ex3-1.htm" TargetMode="External"/><Relationship Id="rId234" Type="http://schemas.openxmlformats.org/officeDocument/2006/relationships/hyperlink" Target="http://www.sec.gov/Archives/edgar/data/1070423/000089924302002834/dex41.txt" TargetMode="External"/><Relationship Id="rId235" Type="http://schemas.openxmlformats.org/officeDocument/2006/relationships/hyperlink" Target="http://www.sec.gov/Archives/edgar/data/1070423/000110465906034368/a06-11663_1ex4d1.htm" TargetMode="External"/><Relationship Id="rId236" Type="http://schemas.openxmlformats.org/officeDocument/2006/relationships/hyperlink" Target="http://www.sec.gov/Archives/edgar/data/1070423/000095012906009235/h40667exv4w2.htm" TargetMode="External"/><Relationship Id="rId237" Type="http://schemas.openxmlformats.org/officeDocument/2006/relationships/hyperlink" Target="http://www.sec.gov/Archives/edgar/data/1070423/000095012311002051/h78739exv4w1.htm" TargetMode="External"/><Relationship Id="rId238" Type="http://schemas.openxmlformats.org/officeDocument/2006/relationships/hyperlink" Target="http://www.sec.gov/Archives/edgar/data/1070423/000119312512132295/d321017dex41.htm" TargetMode="External"/><Relationship Id="rId239" Type="http://schemas.openxmlformats.org/officeDocument/2006/relationships/hyperlink" Target="http://www.sec.gov/Archives/edgar/data/1070423/000119312512132295/d321017dex43.htm" TargetMode="External"/><Relationship Id="rId240" Type="http://schemas.openxmlformats.org/officeDocument/2006/relationships/hyperlink" Target="http://www.sec.gov/Archives/edgar/data/1070423/000119312512499932/d453762dex41.htm" TargetMode="External"/><Relationship Id="rId241" Type="http://schemas.openxmlformats.org/officeDocument/2006/relationships/hyperlink" Target="http://www.sec.gov/Archives/edgar/data/1070423/000119312512499932/d453762dex43.htm" TargetMode="External"/><Relationship Id="rId242" Type="http://schemas.openxmlformats.org/officeDocument/2006/relationships/hyperlink" Target="http://www.sec.gov/Archives/edgar/data/1070423/000119312513336066/d581734dex41.htm" TargetMode="External"/><Relationship Id="rId244" Type="http://schemas.openxmlformats.org/officeDocument/2006/relationships/hyperlink" Target="http://www.sec.gov/Archives/edgar/data/1070423/000119312514164183/d713938dex41.htm" TargetMode="External"/><Relationship Id="rId245" Type="http://schemas.openxmlformats.org/officeDocument/2006/relationships/hyperlink" Target="http://www.sec.gov/Archives/edgar/data/1070423/000119312514338289/d787160dex41.htm" TargetMode="External"/><Relationship Id="rId246" Type="http://schemas.openxmlformats.org/officeDocument/2006/relationships/hyperlink" Target="http://www.sec.gov/Archives/edgar/data/1070423/000119312514440007/d833885dex43.htm" TargetMode="External"/><Relationship Id="rId247" Type="http://schemas.openxmlformats.org/officeDocument/2006/relationships/hyperlink" Target="http://www.sec.gov/Archives/edgar/data/1070423/000119312515302829/d45393dex41.htm" TargetMode="External"/><Relationship Id="rId248" Type="http://schemas.openxmlformats.org/officeDocument/2006/relationships/hyperlink" Target="http://www.sec.gov/Archives/edgar/data/1070423/000110465916159593/a16-22232_1ex4d1.htm" TargetMode="External"/><Relationship Id="rId249" Type="http://schemas.openxmlformats.org/officeDocument/2006/relationships/hyperlink" Target="http://www.sec.gov/Archives/edgar/data/1070423/000141057819001281/tv529555_ex4-1.htm" TargetMode="External"/><Relationship Id="rId250" Type="http://schemas.openxmlformats.org/officeDocument/2006/relationships/hyperlink" Target="http://www.sec.gov/Archives/edgar/data/1581990/000110465913078057/a13-22338_2ex4d1.htm" TargetMode="External"/><Relationship Id="rId251" Type="http://schemas.openxmlformats.org/officeDocument/2006/relationships/hyperlink" Target="http://www.sec.gov/Archives/edgar/data/1070423/000095012311080225/h84381exv10w1.htm" TargetMode="External"/><Relationship Id="rId252" Type="http://schemas.openxmlformats.org/officeDocument/2006/relationships/hyperlink" Target="http://www.sec.gov/Archives/edgar/data/1070423/000119312512293769/d374172dex102.htm" TargetMode="External"/><Relationship Id="rId253" Type="http://schemas.openxmlformats.org/officeDocument/2006/relationships/hyperlink" Target="http://www.sec.gov/Archives/edgar/data/1070423/000119312513340586/d585794dex102.htm" TargetMode="External"/><Relationship Id="rId254" Type="http://schemas.openxmlformats.org/officeDocument/2006/relationships/hyperlink" Target="http://www.sec.gov/Archives/edgar/data/1070423/000110465916140243/a16-16900_1ex10d1.htm" TargetMode="External"/><Relationship Id="rId255" Type="http://schemas.openxmlformats.org/officeDocument/2006/relationships/hyperlink" Target="http://www.sec.gov/Archives/edgar/data/1070423/000095012311080225/h84381exv10w2.htm" TargetMode="External"/><Relationship Id="rId256" Type="http://schemas.openxmlformats.org/officeDocument/2006/relationships/hyperlink" Target="http://www.sec.gov/Archives/edgar/data/1070423/000119312512293769/d374172dex101.htm" TargetMode="External"/><Relationship Id="rId258" Type="http://schemas.openxmlformats.org/officeDocument/2006/relationships/hyperlink" Target="http://www.sec.gov/Archives/edgar/data/1070423/000119312513340586/d585794dex101.htm" TargetMode="External"/><Relationship Id="rId259" Type="http://schemas.openxmlformats.org/officeDocument/2006/relationships/hyperlink" Target="http://www.sec.gov/Archives/edgar/data/1070423/000110465916140243/a16-16900_1ex10d3.htm" TargetMode="External"/><Relationship Id="rId260" Type="http://schemas.openxmlformats.org/officeDocument/2006/relationships/hyperlink" Target="http://www.sec.gov/Archives/edgar/data/1070423/000107042317000021/paa09302017exhibit106.htm" TargetMode="External"/><Relationship Id="rId261" Type="http://schemas.openxmlformats.org/officeDocument/2006/relationships/hyperlink" Target="http://www.sec.gov/Archives/edgar/data/1070423/0000899243-99-000614.txt" TargetMode="External"/><Relationship Id="rId262" Type="http://schemas.openxmlformats.org/officeDocument/2006/relationships/hyperlink" Target="http://www.sec.gov/Archives/edgar/data/1070423/000089924301500835/dex101.txt" TargetMode="External"/><Relationship Id="rId263" Type="http://schemas.openxmlformats.org/officeDocument/2006/relationships/hyperlink" Target="http://www.sec.gov/Archives/edgar/data/1070423/000089924301500767/dex101.txt" TargetMode="External"/><Relationship Id="rId264" Type="http://schemas.openxmlformats.org/officeDocument/2006/relationships/hyperlink" Target="http://www.sec.gov/Archives/edgar/data/1070423/000089924301500767/dex102.txt" TargetMode="External"/><Relationship Id="rId265" Type="http://schemas.openxmlformats.org/officeDocument/2006/relationships/hyperlink" Target="http://www.sec.gov/Archives/edgar/data/1070423/000089924301500767/dex103.txt" TargetMode="External"/><Relationship Id="rId266" Type="http://schemas.openxmlformats.org/officeDocument/2006/relationships/hyperlink" Target="http://www.sec.gov/Archives/edgar/data/1070423/000095012908000071/h52770exv10w2.htm" TargetMode="External"/><Relationship Id="rId267" Type="http://schemas.openxmlformats.org/officeDocument/2006/relationships/hyperlink" Target="http://www.sec.gov/Archives/edgar/data/1070423/000089924301500419/dex991.txt" TargetMode="External"/><Relationship Id="rId268" Type="http://schemas.openxmlformats.org/officeDocument/2006/relationships/hyperlink" Target="http://www.sec.gov/Archives/edgar/data/1070423/0000899243-98-001792.txt" TargetMode="External"/><Relationship Id="rId270" Type="http://schemas.openxmlformats.org/officeDocument/2006/relationships/hyperlink" Target="http://www.sec.gov/Archives/edgar/data/1070423/000110465905044729/a05-16431_1ex1d2.htm" TargetMode="External"/><Relationship Id="rId271" Type="http://schemas.openxmlformats.org/officeDocument/2006/relationships/hyperlink" Target="http://www.sec.gov/Archives/edgar/data/1481506/000095012310043694/h72693exv10w1.htm" TargetMode="External"/><Relationship Id="rId272" Type="http://schemas.openxmlformats.org/officeDocument/2006/relationships/hyperlink" Target="http://www.sec.gov/Archives/edgar/data/1481506/000095012310047963/h72950exv10w1.htm" TargetMode="External"/><Relationship Id="rId273" Type="http://schemas.openxmlformats.org/officeDocument/2006/relationships/hyperlink" Target="http://www.sec.gov/Archives/edgar/data/1070423/000110465916158355/a16-21841_1ex10d1.htm" TargetMode="External"/><Relationship Id="rId274" Type="http://schemas.openxmlformats.org/officeDocument/2006/relationships/hyperlink" Target="http://www.sec.gov/Archives/edgar/data/1070423/000110465916158355/a16-21841_1ex10d2.htm" TargetMode="External"/><Relationship Id="rId275" Type="http://schemas.openxmlformats.org/officeDocument/2006/relationships/hyperlink" Target="http://www.sec.gov/Archives/edgar/data/1070423/000089924301501783/dex101.txt" TargetMode="External"/><Relationship Id="rId276" Type="http://schemas.openxmlformats.org/officeDocument/2006/relationships/hyperlink" Target="http://www.sec.gov/Archives/edgar/data/1070423/000104746909001897/a2190434zex-10_49.htm" TargetMode="External"/><Relationship Id="rId277" Type="http://schemas.openxmlformats.org/officeDocument/2006/relationships/hyperlink" Target="http://www.sec.gov/Archives/edgar/data/1070423/000110465911010359/a11-2319_1ex10d31.htm" TargetMode="External"/><Relationship Id="rId278" Type="http://schemas.openxmlformats.org/officeDocument/2006/relationships/hyperlink" Target="http://www.sec.gov/Archives/edgar/data/1581990/000110465913078057/a13-22338_2ex10d4.htm" TargetMode="External"/><Relationship Id="rId279" Type="http://schemas.openxmlformats.org/officeDocument/2006/relationships/hyperlink" Target="http://www.sec.gov/Archives/edgar/data/1581990/000158199018000014/pagpq32018exhibit106.htm" TargetMode="External"/><Relationship Id="rId280" Type="http://schemas.openxmlformats.org/officeDocument/2006/relationships/hyperlink" Target="http://www.sec.gov/Archives/edgar/data/1070423/000089924301501783/dex102.txt" TargetMode="External"/><Relationship Id="rId281" Type="http://schemas.openxmlformats.org/officeDocument/2006/relationships/hyperlink" Target="http://www.sec.gov/Archives/edgar/data/1070423/000104746909001897/a2190434zex-10_50.htm" TargetMode="External"/><Relationship Id="rId282" Type="http://schemas.openxmlformats.org/officeDocument/2006/relationships/hyperlink" Target="http://www.sec.gov/Archives/edgar/data/1581990/000158199019000013/pagpq32019exhibit101.htm" TargetMode="External"/><Relationship Id="rId283" Type="http://schemas.openxmlformats.org/officeDocument/2006/relationships/hyperlink" Target="http://www.sec.gov/Archives/edgar/data/1070423/000110465911010359/a11-2319_1ex10d32.htm" TargetMode="External"/><Relationship Id="rId284" Type="http://schemas.openxmlformats.org/officeDocument/2006/relationships/hyperlink" Target="http://www.sec.gov/Archives/edgar/data/1581990/000110465913078057/a13-22338_2ex10d5.htm" TargetMode="External"/><Relationship Id="rId286" Type="http://schemas.openxmlformats.org/officeDocument/2006/relationships/hyperlink" Target="http://www.sec.gov/Archives/edgar/data/1070423/000110465916100030/a15-24557_1ex10d53.htm" TargetMode="External"/><Relationship Id="rId287" Type="http://schemas.openxmlformats.org/officeDocument/2006/relationships/hyperlink" Target="http://www.sec.gov/Archives/edgar/data/1581990/000158199018000014/pagpq32018exhibit107.htm" TargetMode="External"/><Relationship Id="rId288" Type="http://schemas.openxmlformats.org/officeDocument/2006/relationships/hyperlink" Target="http://www.sec.gov/Archives/edgar/data/1070423/000107042316000004/paa09302016exhibit108.htm" TargetMode="External"/><Relationship Id="rId289" Type="http://schemas.openxmlformats.org/officeDocument/2006/relationships/hyperlink" Target="http://www.sec.gov/Archives/edgar/data/1581990/000158199018000008/pagpq12018exhibit101.htm" TargetMode="External"/><Relationship Id="rId290" Type="http://schemas.openxmlformats.org/officeDocument/2006/relationships/hyperlink" Target="http://www.sec.gov/Archives/edgar/data/1070423/000107042316000004/paa09302016exhibit107.htm" TargetMode="External"/><Relationship Id="rId291" Type="http://schemas.openxmlformats.org/officeDocument/2006/relationships/hyperlink" Target="http://www.sec.gov/Archives/edgar/data/1581990/000158199018000008/pagpq12018exhibit103.htm" TargetMode="External"/><Relationship Id="rId292" Type="http://schemas.openxmlformats.org/officeDocument/2006/relationships/hyperlink" Target="http://www.sec.gov/Archives/edgar/data/1581990/000158199018000014/pagpq32018exhibit108.htm" TargetMode="External"/><Relationship Id="rId293" Type="http://schemas.openxmlformats.org/officeDocument/2006/relationships/hyperlink" Target="http://www.sec.gov/Archives/edgar/data/1070423/000095012901504458/h92828ex99-1.txt" TargetMode="External"/><Relationship Id="rId294" Type="http://schemas.openxmlformats.org/officeDocument/2006/relationships/hyperlink" Target="http://www.sec.gov/Archives/edgar/data/1070423/000119312503033153/dex101.htm" TargetMode="External"/><Relationship Id="rId295" Type="http://schemas.openxmlformats.org/officeDocument/2006/relationships/hyperlink" Target="http://www.sec.gov/Archives/edgar/data/1070423/000104746909001897/a2190434zex-10_52.htm" TargetMode="External"/><Relationship Id="rId296" Type="http://schemas.openxmlformats.org/officeDocument/2006/relationships/hyperlink" Target="http://www.sec.gov/Archives/edgar/data/1070423/000095012905000593/h21990exv10w1.htm" TargetMode="External"/><Relationship Id="rId297" Type="http://schemas.openxmlformats.org/officeDocument/2006/relationships/hyperlink" Target="http://www.sec.gov/Archives/edgar/data/1070423/000104746909001897/a2190434zex-10_51.htm" TargetMode="External"/><Relationship Id="rId298" Type="http://schemas.openxmlformats.org/officeDocument/2006/relationships/hyperlink" Target="http://www.sec.gov/Archives/edgar/data/1070423/000095012907001096/h43224exv10w45.htm" TargetMode="External"/><Relationship Id="rId299" Type="http://schemas.openxmlformats.org/officeDocument/2006/relationships/hyperlink" Target="http://www.sec.gov/Archives/edgar/data/1070423/000110465913093006/a13-26950_1ex4d4.htm" TargetMode="External"/><Relationship Id="rId300" Type="http://schemas.openxmlformats.org/officeDocument/2006/relationships/hyperlink" Target="http://www.sec.gov/Archives/edgar/data/1481506/000095012310047963/h72950exv10w2.htm" TargetMode="External"/><Relationship Id="rId301" Type="http://schemas.openxmlformats.org/officeDocument/2006/relationships/hyperlink" Target="http://www.sec.gov/Archives/edgar/data/1581990/000110465913078057/a13-22338_2ex10d3.htm" TargetMode="External"/><Relationship Id="rId302" Type="http://schemas.openxmlformats.org/officeDocument/2006/relationships/hyperlink" Target="http://www.sec.gov/Archives/edgar/data/1070423/000095012908000071/h52770exv10w1.htm" TargetMode="External"/><Relationship Id="rId303" Type="http://schemas.openxmlformats.org/officeDocument/2006/relationships/hyperlink" Target="http://www.sec.gov/Archives/edgar/data/1581990/000110465913078057/a13-22338_2ex10d6.htm" TargetMode="External"/><Relationship Id="rId306" Type="http://schemas.openxmlformats.org/officeDocument/2006/relationships/hyperlink" Target="http://www.sec.gov/Archives/edgar/data/1070423/000107042316000004/paa09302016exhibit106.htm" TargetMode="External"/><Relationship Id="rId307" Type="http://schemas.openxmlformats.org/officeDocument/2006/relationships/hyperlink" Target="http://www.sec.gov/Archives/edgar/data/1581990/000158199018000008/pagpq12018exhibit102.htm" TargetMode="External"/><Relationship Id="rId308" Type="http://schemas.openxmlformats.org/officeDocument/2006/relationships/hyperlink" Target="http://www.sec.gov/Archives/edgar/data/1070423/000107042316000004/paa09302016exhibit105.htm" TargetMode="External"/><Relationship Id="rId309" Type="http://schemas.openxmlformats.org/officeDocument/2006/relationships/hyperlink" Target="http://www.sec.gov/Archives/edgar/data/1581990/000158199018000008/pagpq12018exhibit104.htm" TargetMode="External"/><Relationship Id="rId310" Type="http://schemas.openxmlformats.org/officeDocument/2006/relationships/hyperlink" Target="http://www.sec.gov/Archives/edgar/data/1070423/000107042317000015/paa06302017exhibit104.htm" TargetMode="External"/><Relationship Id="rId311" Type="http://schemas.openxmlformats.org/officeDocument/2006/relationships/hyperlink" Target="http://www.sec.gov/Archives/edgar/data/1581990/000158199018000008/pagpq12018exhibit105.htm" TargetMode="External"/><Relationship Id="rId312" Type="http://schemas.openxmlformats.org/officeDocument/2006/relationships/hyperlink" Target="http://www.sec.gov/Archives/edgar/data/1070423/000107042317000009/paa03312017exhibit101.htm" TargetMode="External"/><Relationship Id="rId313" Type="http://schemas.openxmlformats.org/officeDocument/2006/relationships/hyperlink" Target="http://www.sec.gov/Archives/edgar/data/1070423/000107042317000009/paa03312017exhibit102.htm" TargetMode="External"/><Relationship Id="rId314" Type="http://schemas.openxmlformats.org/officeDocument/2006/relationships/hyperlink" Target="http://www.sec.gov/Archives/edgar/data/1070423/000107042317000009/paa03312017exhibit103.htm" TargetMode="External"/><Relationship Id="rId315" Type="http://schemas.openxmlformats.org/officeDocument/2006/relationships/hyperlink" Target="http://www.sec.gov/Archives/edgar/data/1581990/000158199017000009/pagp03312017exhibit101.htm" TargetMode="External"/><Relationship Id="rId316" Type="http://schemas.openxmlformats.org/officeDocument/2006/relationships/hyperlink" Target="http://www.sec.gov/Archives/edgar/data/1581990/000158199017000009/pagp03312017exhibit102.htm" TargetMode="External"/><Relationship Id="rId317" Type="http://schemas.openxmlformats.org/officeDocument/2006/relationships/hyperlink" Target="http://www.sec.gov/Archives/edgar/data/1581990/000158199017000009/pagp03312017exhibit103.htm" TargetMode="External"/><Relationship Id="rId318" Type="http://schemas.openxmlformats.org/officeDocument/2006/relationships/hyperlink" Target="http://www.sec.gov/Archives/edgar/data/1581990/000158199019000004/pagp201810-kexhibit1066.htm" TargetMode="External"/><Relationship Id="rId319" Type="http://schemas.openxmlformats.org/officeDocument/2006/relationships/hyperlink" Target="http://www.sec.gov/Archives/edgar/data/1581990/000158199019000004/pagp201810-kexhibit1067.htm" TargetMode="External"/><Relationship Id="rId320" Type="http://schemas.openxmlformats.org/officeDocument/2006/relationships/hyperlink" Target="http://www.sec.gov/Archives/edgar/data/1581990/000158199019000013/pagpq32019exhibit102.htm" TargetMode="External"/><Relationship Id="rId321" Type="http://schemas.openxmlformats.org/officeDocument/2006/relationships/hyperlink" Target="http://www.sec.gov/Archives/edgar/data/1581990/000158199019000013/pagpq32019exhibit103.htm" TargetMode="External"/><Relationship Id="rId322" Type="http://schemas.openxmlformats.org/officeDocument/2006/relationships/hyperlink" Target="http://www.sec.gov/Archives/edgar/data/1581990/000110465913078057/a13-22338_2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2020-02-27T13:41:17Z</dcterms:created>
  <dcterms:modified xsi:type="dcterms:W3CDTF">2020-02-27T13:41:17Z</dcterms:modified>
</cp:coreProperties>
</file>