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PLAINS ALL AMERICAN PIPELINE, L.P.</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726503105</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6"/>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20" w:hanging="216"/>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220" w:hanging="216"/>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40" w:hanging="436"/>
        <w:spacing w:after="0" w:line="308"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20" w:type="dxa"/>
            <w:vAlign w:val="bottom"/>
          </w:tcPr>
          <w:p>
            <w:pPr>
              <w:ind w:left="342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324"/>
        </w:trPr>
        <w:tc>
          <w:tcPr>
            <w:tcW w:w="11060" w:type="dxa"/>
            <w:vAlign w:val="bottom"/>
            <w:gridSpan w:val="8"/>
          </w:tcPr>
          <w:p>
            <w:pPr>
              <w:spacing w:after="0"/>
              <w:rPr>
                <w:sz w:val="20"/>
                <w:szCs w:val="20"/>
                <w:color w:val="auto"/>
              </w:rPr>
            </w:pPr>
            <w:r>
              <w:rPr>
                <w:rFonts w:ascii="Arial" w:cs="Arial" w:eastAsia="Arial" w:hAnsi="Arial"/>
                <w:sz w:val="18"/>
                <w:szCs w:val="18"/>
                <w:color w:val="auto"/>
              </w:rPr>
              <w:t>CUSIP No. 726503105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Harvest Fund Advisors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(a)</w:t>
            </w:r>
          </w:p>
        </w:tc>
        <w:tc>
          <w:tcPr>
            <w:tcW w:w="540" w:type="dxa"/>
            <w:vAlign w:val="bottom"/>
            <w:gridSpan w:val="3"/>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62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Delaware</w:t>
            </w: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9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34,919,531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2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0"/>
              </w:rPr>
              <w:t>Number of</w:t>
            </w:r>
          </w:p>
        </w:tc>
        <w:tc>
          <w:tcPr>
            <w:tcW w:w="3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9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4"/>
              </w:rPr>
              <w:t>Shares</w:t>
            </w:r>
          </w:p>
        </w:tc>
        <w:tc>
          <w:tcPr>
            <w:tcW w:w="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3"/>
              </w:rPr>
              <w:t>Owned by</w:t>
            </w:r>
          </w:p>
        </w:tc>
        <w:tc>
          <w:tcPr>
            <w:tcW w:w="3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0" w:type="dxa"/>
            <w:vAlign w:val="bottom"/>
            <w:tcBorders>
              <w:left w:val="single" w:sz="8" w:color="auto"/>
            </w:tcBorders>
          </w:tcPr>
          <w:p>
            <w:pPr>
              <w:spacing w:after="0"/>
              <w:rPr>
                <w:sz w:val="15"/>
                <w:szCs w:val="15"/>
                <w:color w:val="auto"/>
              </w:rPr>
            </w:pPr>
          </w:p>
        </w:tc>
        <w:tc>
          <w:tcPr>
            <w:tcW w:w="540" w:type="dxa"/>
            <w:vAlign w:val="bottom"/>
            <w:gridSpan w:val="2"/>
          </w:tcPr>
          <w:p>
            <w:pPr>
              <w:jc w:val="center"/>
              <w:ind w:right="90"/>
              <w:spacing w:after="0" w:line="182" w:lineRule="exact"/>
              <w:rPr>
                <w:sz w:val="20"/>
                <w:szCs w:val="20"/>
                <w:color w:val="auto"/>
              </w:rPr>
            </w:pPr>
            <w:r>
              <w:rPr>
                <w:rFonts w:ascii="Arial" w:cs="Arial" w:eastAsia="Arial" w:hAnsi="Arial"/>
                <w:sz w:val="18"/>
                <w:szCs w:val="18"/>
                <w:color w:val="auto"/>
                <w:w w:val="87"/>
              </w:rPr>
              <w:t>Each</w:t>
            </w:r>
          </w:p>
        </w:tc>
        <w:tc>
          <w:tcPr>
            <w:tcW w:w="4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962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Reporting</w:t>
            </w:r>
          </w:p>
        </w:tc>
        <w:tc>
          <w:tcPr>
            <w:tcW w:w="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80" w:type="dxa"/>
            <w:vAlign w:val="bottom"/>
            <w:tcBorders>
              <w:lef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4"/>
              </w:rPr>
              <w:t>Person</w:t>
            </w:r>
          </w:p>
        </w:tc>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34,919,531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9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800" w:type="dxa"/>
            <w:vAlign w:val="bottom"/>
            <w:gridSpan w:val="3"/>
          </w:tcPr>
          <w:p>
            <w:pPr>
              <w:ind w:left="160"/>
              <w:spacing w:after="0"/>
              <w:rPr>
                <w:sz w:val="20"/>
                <w:szCs w:val="20"/>
                <w:color w:val="auto"/>
              </w:rPr>
            </w:pPr>
            <w:r>
              <w:rPr>
                <w:rFonts w:ascii="Arial" w:cs="Arial" w:eastAsia="Arial" w:hAnsi="Arial"/>
                <w:sz w:val="18"/>
                <w:szCs w:val="18"/>
                <w:color w:val="auto"/>
                <w:w w:val="72"/>
              </w:rPr>
              <w:t>Aggregate</w:t>
            </w:r>
          </w:p>
        </w:tc>
        <w:tc>
          <w:tcPr>
            <w:tcW w:w="980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88"/>
              </w:rPr>
              <w:t>34,919,531</w:t>
            </w: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IA</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20" w:type="dxa"/>
            <w:vAlign w:val="bottom"/>
          </w:tcPr>
          <w:p>
            <w:pPr>
              <w:ind w:left="3660"/>
              <w:spacing w:after="0"/>
              <w:rPr>
                <w:sz w:val="20"/>
                <w:szCs w:val="20"/>
                <w:color w:val="auto"/>
              </w:rPr>
            </w:pPr>
            <w:r>
              <w:rPr>
                <w:rFonts w:ascii="Arial" w:cs="Arial" w:eastAsia="Arial" w:hAnsi="Arial"/>
                <w:sz w:val="18"/>
                <w:szCs w:val="18"/>
                <w:color w:val="auto"/>
              </w:rPr>
              <w:t>Page 2 of 8</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20" w:type="dxa"/>
            <w:vAlign w:val="bottom"/>
          </w:tcPr>
          <w:p>
            <w:pPr>
              <w:ind w:left="342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324"/>
        </w:trPr>
        <w:tc>
          <w:tcPr>
            <w:tcW w:w="11060" w:type="dxa"/>
            <w:vAlign w:val="bottom"/>
            <w:gridSpan w:val="8"/>
          </w:tcPr>
          <w:p>
            <w:pPr>
              <w:spacing w:after="0"/>
              <w:rPr>
                <w:sz w:val="20"/>
                <w:szCs w:val="20"/>
                <w:color w:val="auto"/>
              </w:rPr>
            </w:pPr>
            <w:r>
              <w:rPr>
                <w:rFonts w:ascii="Arial" w:cs="Arial" w:eastAsia="Arial" w:hAnsi="Arial"/>
                <w:sz w:val="18"/>
                <w:szCs w:val="18"/>
                <w:color w:val="auto"/>
              </w:rPr>
              <w:t>CUSIP No. 726503105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Eric M. Conklin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(a)</w:t>
            </w:r>
          </w:p>
        </w:tc>
        <w:tc>
          <w:tcPr>
            <w:tcW w:w="540" w:type="dxa"/>
            <w:vAlign w:val="bottom"/>
            <w:gridSpan w:val="3"/>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62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9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34,919,531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2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0"/>
              </w:rPr>
              <w:t>Number of</w:t>
            </w:r>
          </w:p>
        </w:tc>
        <w:tc>
          <w:tcPr>
            <w:tcW w:w="3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9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4"/>
              </w:rPr>
              <w:t>Shares</w:t>
            </w:r>
          </w:p>
        </w:tc>
        <w:tc>
          <w:tcPr>
            <w:tcW w:w="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3"/>
              </w:rPr>
              <w:t>Owned by</w:t>
            </w:r>
          </w:p>
        </w:tc>
        <w:tc>
          <w:tcPr>
            <w:tcW w:w="3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0" w:type="dxa"/>
            <w:vAlign w:val="bottom"/>
            <w:tcBorders>
              <w:left w:val="single" w:sz="8" w:color="auto"/>
            </w:tcBorders>
          </w:tcPr>
          <w:p>
            <w:pPr>
              <w:spacing w:after="0"/>
              <w:rPr>
                <w:sz w:val="15"/>
                <w:szCs w:val="15"/>
                <w:color w:val="auto"/>
              </w:rPr>
            </w:pPr>
          </w:p>
        </w:tc>
        <w:tc>
          <w:tcPr>
            <w:tcW w:w="540" w:type="dxa"/>
            <w:vAlign w:val="bottom"/>
            <w:gridSpan w:val="2"/>
          </w:tcPr>
          <w:p>
            <w:pPr>
              <w:jc w:val="center"/>
              <w:ind w:right="90"/>
              <w:spacing w:after="0" w:line="182" w:lineRule="exact"/>
              <w:rPr>
                <w:sz w:val="20"/>
                <w:szCs w:val="20"/>
                <w:color w:val="auto"/>
              </w:rPr>
            </w:pPr>
            <w:r>
              <w:rPr>
                <w:rFonts w:ascii="Arial" w:cs="Arial" w:eastAsia="Arial" w:hAnsi="Arial"/>
                <w:sz w:val="18"/>
                <w:szCs w:val="18"/>
                <w:color w:val="auto"/>
                <w:w w:val="87"/>
              </w:rPr>
              <w:t>Each</w:t>
            </w:r>
          </w:p>
        </w:tc>
        <w:tc>
          <w:tcPr>
            <w:tcW w:w="4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962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Reporting</w:t>
            </w:r>
          </w:p>
        </w:tc>
        <w:tc>
          <w:tcPr>
            <w:tcW w:w="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80" w:type="dxa"/>
            <w:vAlign w:val="bottom"/>
            <w:tcBorders>
              <w:lef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4"/>
              </w:rPr>
              <w:t>Person</w:t>
            </w:r>
          </w:p>
        </w:tc>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34,919,531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9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800" w:type="dxa"/>
            <w:vAlign w:val="bottom"/>
            <w:gridSpan w:val="3"/>
          </w:tcPr>
          <w:p>
            <w:pPr>
              <w:ind w:left="160"/>
              <w:spacing w:after="0"/>
              <w:rPr>
                <w:sz w:val="20"/>
                <w:szCs w:val="20"/>
                <w:color w:val="auto"/>
              </w:rPr>
            </w:pPr>
            <w:r>
              <w:rPr>
                <w:rFonts w:ascii="Arial" w:cs="Arial" w:eastAsia="Arial" w:hAnsi="Arial"/>
                <w:sz w:val="18"/>
                <w:szCs w:val="18"/>
                <w:color w:val="auto"/>
                <w:w w:val="72"/>
              </w:rPr>
              <w:t>Aggregate</w:t>
            </w:r>
          </w:p>
        </w:tc>
        <w:tc>
          <w:tcPr>
            <w:tcW w:w="980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88"/>
              </w:rPr>
              <w:t>34,919,531</w:t>
            </w: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IN, HC</w:t>
            </w: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20" w:type="dxa"/>
            <w:vAlign w:val="bottom"/>
          </w:tcPr>
          <w:p>
            <w:pPr>
              <w:ind w:left="3660"/>
              <w:spacing w:after="0"/>
              <w:rPr>
                <w:sz w:val="20"/>
                <w:szCs w:val="20"/>
                <w:color w:val="auto"/>
              </w:rPr>
            </w:pPr>
            <w:r>
              <w:rPr>
                <w:rFonts w:ascii="Arial" w:cs="Arial" w:eastAsia="Arial" w:hAnsi="Arial"/>
                <w:sz w:val="18"/>
                <w:szCs w:val="18"/>
                <w:color w:val="auto"/>
              </w:rPr>
              <w:t>Page 3 of 8</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1"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Plains All American Pipeline, L.P.</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333 Clay Street, Suite 1600, Houston, Texas 77002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Statement is being filed on behalf of Harvest Fund Advisors LLC (“</w:t>
      </w:r>
      <w:r>
        <w:rPr>
          <w:rFonts w:ascii="Arial" w:cs="Arial" w:eastAsia="Arial" w:hAnsi="Arial"/>
          <w:sz w:val="18"/>
          <w:szCs w:val="18"/>
          <w:u w:val="single" w:color="auto"/>
          <w:color w:val="auto"/>
        </w:rPr>
        <w:t>HFA</w:t>
      </w:r>
      <w:r>
        <w:rPr>
          <w:rFonts w:ascii="Arial" w:cs="Arial" w:eastAsia="Arial" w:hAnsi="Arial"/>
          <w:sz w:val="18"/>
          <w:szCs w:val="18"/>
          <w:color w:val="auto"/>
        </w:rPr>
        <w:t>”) and Eric M. Conklin (each a “</w:t>
      </w:r>
      <w:r>
        <w:rPr>
          <w:rFonts w:ascii="Arial" w:cs="Arial" w:eastAsia="Arial" w:hAnsi="Arial"/>
          <w:sz w:val="18"/>
          <w:szCs w:val="18"/>
          <w:u w:val="single" w:color="auto"/>
          <w:color w:val="auto"/>
        </w:rPr>
        <w:t>Reporting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Mr. Conklin is the Managing Partner and Chair of the Investment Committee of HFA.</w:t>
      </w:r>
    </w:p>
    <w:p>
      <w:pPr>
        <w:spacing w:after="0" w:line="72" w:lineRule="exact"/>
        <w:rPr>
          <w:sz w:val="20"/>
          <w:szCs w:val="20"/>
          <w:color w:val="auto"/>
        </w:rPr>
      </w:pPr>
    </w:p>
    <w:p>
      <w:pPr>
        <w:ind w:left="440" w:hanging="436"/>
        <w:spacing w:after="0"/>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business address of each Reporting Person is 100 W. Lancaster Avenue, Suite 200, Wayne, PA 19087.</w:t>
      </w:r>
    </w:p>
    <w:p>
      <w:pPr>
        <w:spacing w:after="0" w:line="127"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Harvest Fund Advisors LLC is a Delaware limited liability company. Mr. Conklin is a citizen of the United States of America.</w:t>
      </w:r>
    </w:p>
    <w:p>
      <w:pPr>
        <w:spacing w:after="0" w:line="127"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and Class of Securities: </w:t>
      </w:r>
      <w:r>
        <w:rPr>
          <w:rFonts w:ascii="Arial" w:cs="Arial" w:eastAsia="Arial" w:hAnsi="Arial"/>
          <w:sz w:val="18"/>
          <w:szCs w:val="18"/>
          <w:color w:val="auto"/>
        </w:rPr>
        <w:t>Common Units Representing Limited Partner Interests</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726503105</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02" w:lineRule="exact"/>
        <w:rPr>
          <w:sz w:val="20"/>
          <w:szCs w:val="20"/>
          <w:color w:val="auto"/>
        </w:rPr>
      </w:pPr>
    </w:p>
    <w:p>
      <w:pPr>
        <w:ind w:left="460" w:hanging="456"/>
        <w:spacing w:after="0" w:line="207" w:lineRule="exact"/>
        <w:tabs>
          <w:tab w:leader="none" w:pos="4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460" w:hanging="456"/>
        <w:spacing w:after="0" w:line="207" w:lineRule="exact"/>
        <w:tabs>
          <w:tab w:leader="none" w:pos="4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460" w:hanging="456"/>
        <w:spacing w:after="0" w:line="207" w:lineRule="exact"/>
        <w:tabs>
          <w:tab w:leader="none" w:pos="4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460" w:hanging="456"/>
        <w:spacing w:after="0" w:line="207" w:lineRule="exact"/>
        <w:tabs>
          <w:tab w:leader="none" w:pos="4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460" w:hanging="456"/>
        <w:spacing w:after="0" w:line="207" w:lineRule="exact"/>
        <w:tabs>
          <w:tab w:leader="none" w:pos="4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460" w:hanging="456"/>
        <w:spacing w:after="0" w:line="207" w:lineRule="exact"/>
        <w:tabs>
          <w:tab w:leader="none" w:pos="4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460" w:hanging="456"/>
        <w:spacing w:after="0" w:line="207" w:lineRule="exact"/>
        <w:tabs>
          <w:tab w:leader="none" w:pos="4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460" w:hanging="456"/>
        <w:spacing w:after="0" w:line="207" w:lineRule="exact"/>
        <w:tabs>
          <w:tab w:leader="none" w:pos="4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460" w:hanging="456"/>
        <w:spacing w:after="0" w:line="184" w:lineRule="exact"/>
        <w:tabs>
          <w:tab w:leader="none" w:pos="460" w:val="left"/>
        </w:tabs>
        <w:numPr>
          <w:ilvl w:val="0"/>
          <w:numId w:val="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w:t>
      </w:r>
    </w:p>
    <w:p>
      <w:pPr>
        <w:spacing w:after="0" w:line="140" w:lineRule="exact"/>
        <w:rPr>
          <w:rFonts w:ascii="Arial" w:cs="Arial" w:eastAsia="Arial" w:hAnsi="Arial"/>
          <w:sz w:val="16"/>
          <w:szCs w:val="16"/>
          <w:color w:val="auto"/>
        </w:rPr>
      </w:pPr>
    </w:p>
    <w:p>
      <w:pPr>
        <w:ind w:left="460" w:hanging="456"/>
        <w:spacing w:after="0" w:line="207" w:lineRule="exact"/>
        <w:tabs>
          <w:tab w:leader="none" w:pos="4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17" w:lineRule="exact"/>
        <w:rPr>
          <w:rFonts w:ascii="Arial" w:cs="Arial" w:eastAsia="Arial" w:hAnsi="Arial"/>
          <w:sz w:val="18"/>
          <w:szCs w:val="18"/>
          <w:color w:val="auto"/>
        </w:rPr>
      </w:pPr>
    </w:p>
    <w:p>
      <w:pPr>
        <w:ind w:left="780" w:right="360" w:hanging="776"/>
        <w:spacing w:after="0" w:line="239" w:lineRule="exact"/>
        <w:tabs>
          <w:tab w:leader="none" w:pos="456"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 240.13d-1(b)(1)(ii)(J), please specify the type of institution:</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 of 8</w:t>
      </w:r>
    </w:p>
    <w:p>
      <w:pPr>
        <w:sectPr>
          <w:pgSz w:w="11900" w:h="16838" w:orient="portrait"/>
          <w:cols w:equalWidth="0" w:num="1">
            <w:col w:w="10980"/>
          </w:cols>
          <w:pgMar w:left="440" w:top="270" w:right="47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34,919,531</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4.8%</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130" w:lineRule="exact"/>
        <w:rPr>
          <w:rFonts w:ascii="Arial" w:cs="Arial" w:eastAsia="Arial" w:hAnsi="Arial"/>
          <w:sz w:val="18"/>
          <w:szCs w:val="18"/>
          <w:b w:val="1"/>
          <w:bCs w:val="1"/>
          <w:color w:val="auto"/>
        </w:rPr>
      </w:pPr>
    </w:p>
    <w:p>
      <w:pPr>
        <w:ind w:left="980" w:hanging="544"/>
        <w:spacing w:after="0"/>
        <w:tabs>
          <w:tab w:leader="none" w:pos="98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34,919,531</w:t>
      </w:r>
    </w:p>
    <w:p>
      <w:pPr>
        <w:spacing w:after="0" w:line="130" w:lineRule="exact"/>
        <w:rPr>
          <w:rFonts w:ascii="Arial" w:cs="Arial" w:eastAsia="Arial" w:hAnsi="Arial"/>
          <w:sz w:val="18"/>
          <w:szCs w:val="18"/>
          <w:b w:val="1"/>
          <w:bCs w:val="1"/>
          <w:color w:val="auto"/>
        </w:rPr>
      </w:pPr>
    </w:p>
    <w:p>
      <w:pPr>
        <w:ind w:left="980" w:hanging="544"/>
        <w:spacing w:after="0"/>
        <w:tabs>
          <w:tab w:leader="none" w:pos="98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0</w:t>
      </w:r>
    </w:p>
    <w:p>
      <w:pPr>
        <w:spacing w:after="0" w:line="130" w:lineRule="exact"/>
        <w:rPr>
          <w:rFonts w:ascii="Arial" w:cs="Arial" w:eastAsia="Arial" w:hAnsi="Arial"/>
          <w:sz w:val="18"/>
          <w:szCs w:val="18"/>
          <w:b w:val="1"/>
          <w:bCs w:val="1"/>
          <w:color w:val="auto"/>
        </w:rPr>
      </w:pPr>
    </w:p>
    <w:p>
      <w:pPr>
        <w:ind w:left="980" w:hanging="544"/>
        <w:spacing w:after="0"/>
        <w:tabs>
          <w:tab w:leader="none" w:pos="98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34,919,531</w:t>
      </w:r>
    </w:p>
    <w:p>
      <w:pPr>
        <w:spacing w:after="0" w:line="130" w:lineRule="exact"/>
        <w:rPr>
          <w:rFonts w:ascii="Arial" w:cs="Arial" w:eastAsia="Arial" w:hAnsi="Arial"/>
          <w:sz w:val="18"/>
          <w:szCs w:val="18"/>
          <w:b w:val="1"/>
          <w:bCs w:val="1"/>
          <w:color w:val="auto"/>
        </w:rPr>
      </w:pPr>
    </w:p>
    <w:p>
      <w:pPr>
        <w:ind w:left="980" w:hanging="544"/>
        <w:spacing w:after="0"/>
        <w:tabs>
          <w:tab w:leader="none" w:pos="98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0</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percentage relating to beneficial ownership of Common Units held by the Reporting Persons is based on 728,028,576 Common Units outstanding as of October 31, 2019 as reported in the Issuer’s Form 10-Q filed with the Securities and Exchange Commission on November 7, 2019.</w:t>
      </w:r>
    </w:p>
    <w:p>
      <w:pPr>
        <w:spacing w:after="0" w:line="124"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This filing reflects the securities beneficially owned by the Harvest Fund Advisors LLC business, a subsidiary business of The Blackstone Group Inc. (the “</w:t>
      </w:r>
      <w:r>
        <w:rPr>
          <w:rFonts w:ascii="Arial" w:cs="Arial" w:eastAsia="Arial" w:hAnsi="Arial"/>
          <w:sz w:val="17"/>
          <w:szCs w:val="17"/>
          <w:u w:val="single" w:color="auto"/>
          <w:color w:val="auto"/>
        </w:rPr>
        <w:t>HFA Business</w:t>
      </w:r>
      <w:r>
        <w:rPr>
          <w:rFonts w:ascii="Arial" w:cs="Arial" w:eastAsia="Arial" w:hAnsi="Arial"/>
          <w:sz w:val="17"/>
          <w:szCs w:val="17"/>
          <w:color w:val="auto"/>
        </w:rPr>
        <w:t>”). In accordance with the Securities and Exchange Commission Release No. 34-39538 (the “</w:t>
      </w:r>
      <w:r>
        <w:rPr>
          <w:rFonts w:ascii="Arial" w:cs="Arial" w:eastAsia="Arial" w:hAnsi="Arial"/>
          <w:sz w:val="17"/>
          <w:szCs w:val="17"/>
          <w:u w:val="single" w:color="auto"/>
          <w:color w:val="auto"/>
        </w:rPr>
        <w:t>Release</w:t>
      </w:r>
      <w:r>
        <w:rPr>
          <w:rFonts w:ascii="Arial" w:cs="Arial" w:eastAsia="Arial" w:hAnsi="Arial"/>
          <w:sz w:val="17"/>
          <w:szCs w:val="17"/>
          <w:color w:val="auto"/>
        </w:rPr>
        <w:t>”), this filing does not reflect securities, if any, beneficially owned by The Blackstone Group Inc. and its affiliates, other than those comprising the HFA Business, whose ownership of securities is disaggregated from that of the HFA Business in accordance with the Release.</w:t>
      </w:r>
    </w:p>
    <w:p>
      <w:pPr>
        <w:spacing w:after="0" w:line="3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securities as to which this Schedule is filed are owned of record by clients represented by Harvest Fund Advisors LLC. Those clients each have the right to receive, or the power to direct the receipt of, dividends from, and the proceeds from the sale of, such securities. No such client is known to have such right or power with respect to more than five percent of this class of securities.</w:t>
      </w:r>
    </w:p>
    <w:p>
      <w:pPr>
        <w:spacing w:after="0" w:line="326" w:lineRule="exact"/>
        <w:rPr>
          <w:sz w:val="20"/>
          <w:szCs w:val="20"/>
          <w:color w:val="auto"/>
        </w:rPr>
      </w:pPr>
    </w:p>
    <w:p>
      <w:pPr>
        <w:ind w:left="980" w:right="6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8</w:t>
      </w:r>
    </w:p>
    <w:p>
      <w:pPr>
        <w:sectPr>
          <w:pgSz w:w="11900" w:h="16838" w:orient="portrait"/>
          <w:cols w:equalWidth="0" w:num="1">
            <w:col w:w="11020"/>
          </w:cols>
          <w:pgMar w:left="440" w:top="270" w:right="4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8</w:t>
      </w:r>
    </w:p>
    <w:p>
      <w:pPr>
        <w:sectPr>
          <w:pgSz w:w="11900" w:h="16838" w:orient="portrait"/>
          <w:cols w:equalWidth="0" w:num="1">
            <w:col w:w="11020"/>
          </w:cols>
          <w:pgMar w:left="440" w:top="270" w:right="439" w:bottom="1440" w:gutter="0" w:footer="0" w:header="0"/>
        </w:sectPr>
      </w:pPr>
    </w:p>
    <w:bookmarkStart w:id="6" w:name="page7"/>
    <w:bookmarkEnd w:id="6"/>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HARVEST FUND ADVISORS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Merhige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Anthony Merhige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Managing Director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ERIC M. CONKLIN</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Merhige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Anthony Merhige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Attorney-in-Fact</w:t>
      </w:r>
    </w:p>
    <w:p>
      <w:pPr>
        <w:spacing w:after="0" w:line="14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7 of 8</w:t>
      </w:r>
    </w:p>
    <w:p>
      <w:pPr>
        <w:sectPr>
          <w:pgSz w:w="11900" w:h="16838" w:orient="portrait"/>
          <w:cols w:equalWidth="0" w:num="1">
            <w:col w:w="10460"/>
          </w:cols>
          <w:pgMar w:left="440" w:top="270" w:right="999" w:bottom="1440" w:gutter="0" w:footer="0" w:header="0"/>
        </w:sectPr>
      </w:pPr>
    </w:p>
    <w:bookmarkStart w:id="7" w:name="page8"/>
    <w:bookmarkEnd w:id="7"/>
    <w:p>
      <w:pPr>
        <w:ind w:left="4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LIST</w:t>
      </w:r>
    </w:p>
    <w:p>
      <w:pPr>
        <w:spacing w:after="0" w:line="36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Exhibit A</w:t>
      </w:r>
      <w:r>
        <w:rPr>
          <w:sz w:val="20"/>
          <w:szCs w:val="20"/>
          <w:color w:val="auto"/>
        </w:rPr>
        <w:tab/>
      </w:r>
      <w:r>
        <w:rPr>
          <w:rFonts w:ascii="Arial" w:cs="Arial" w:eastAsia="Arial" w:hAnsi="Arial"/>
          <w:sz w:val="16"/>
          <w:szCs w:val="16"/>
          <w:color w:val="auto"/>
        </w:rPr>
        <w:t>Joint Filing Agreement (incorporated by reference to Schedule 13G filed on February 14, 2019)</w:t>
      </w:r>
    </w:p>
    <w:p>
      <w:pPr>
        <w:spacing w:after="0" w:line="117" w:lineRule="exact"/>
        <w:rPr>
          <w:sz w:val="20"/>
          <w:szCs w:val="20"/>
          <w:color w:val="auto"/>
        </w:rPr>
      </w:pPr>
    </w:p>
    <w:p>
      <w:pPr>
        <w:ind w:left="1120" w:right="319" w:hanging="5102"/>
        <w:spacing w:after="0" w:line="449" w:lineRule="auto"/>
        <w:tabs>
          <w:tab w:leader="none" w:pos="1100" w:val="left"/>
        </w:tabs>
        <w:rPr>
          <w:sz w:val="20"/>
          <w:szCs w:val="20"/>
          <w:color w:val="auto"/>
        </w:rPr>
      </w:pPr>
      <w:r>
        <w:rPr>
          <w:rFonts w:ascii="Arial" w:cs="Arial" w:eastAsia="Arial" w:hAnsi="Arial"/>
          <w:sz w:val="18"/>
          <w:szCs w:val="18"/>
          <w:u w:val="single" w:color="auto"/>
          <w:color w:val="auto"/>
        </w:rPr>
        <w:t>Exhibit B</w:t>
      </w:r>
      <w:r>
        <w:rPr>
          <w:sz w:val="20"/>
          <w:szCs w:val="20"/>
          <w:color w:val="auto"/>
        </w:rPr>
        <w:tab/>
      </w:r>
      <w:r>
        <w:rPr>
          <w:rFonts w:ascii="Arial" w:cs="Arial" w:eastAsia="Arial" w:hAnsi="Arial"/>
          <w:sz w:val="18"/>
          <w:szCs w:val="18"/>
          <w:color w:val="auto"/>
        </w:rPr>
        <w:t>Power of Attorney granted by Eric M. Conklin (incorporated by reference to Schedule 13G filed on February 14, 2019) Page 8 of 8</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4"/>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2020-02-14T06:01:30Z</dcterms:created>
  <dcterms:modified xsi:type="dcterms:W3CDTF">2020-02-14T06:01:30Z</dcterms:modified>
</cp:coreProperties>
</file>