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6998335" cy="4858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485838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50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McGee Richard K.</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333 CLAY STREET</w:t>
            </w:r>
          </w:p>
        </w:tc>
        <w:tc>
          <w:tcPr>
            <w:tcW w:w="162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43"/>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1"/>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143"/>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780" w:type="dxa"/>
            <w:vAlign w:val="bottom"/>
            <w:gridSpan w:val="2"/>
          </w:tcPr>
          <w:p>
            <w:pPr>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PLAINS ALL AMERICAN PIPELINE LP </w:t>
              </w:r>
            </w:hyperlink>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vMerge w:val="restart"/>
          </w:tcPr>
          <w:p>
            <w:pPr>
              <w:spacing w:after="0"/>
              <w:rPr>
                <w:sz w:val="12"/>
                <w:szCs w:val="12"/>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340" w:type="dxa"/>
            <w:vAlign w:val="bottom"/>
            <w:vMerge w:val="restart"/>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20"/>
        </w:trPr>
        <w:tc>
          <w:tcPr>
            <w:tcW w:w="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57"/>
        </w:trPr>
        <w:tc>
          <w:tcPr>
            <w:tcW w:w="60" w:type="dxa"/>
            <w:vAlign w:val="bottom"/>
            <w:tcBorders>
              <w:bottom w:val="single" w:sz="8" w:color="808080"/>
            </w:tcBorders>
          </w:tcPr>
          <w:p>
            <w:pPr>
              <w:spacing w:after="0"/>
              <w:rPr>
                <w:sz w:val="4"/>
                <w:szCs w:val="4"/>
                <w:color w:val="auto"/>
              </w:rPr>
            </w:pPr>
          </w:p>
        </w:tc>
        <w:tc>
          <w:tcPr>
            <w:tcW w:w="34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8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820" w:type="dxa"/>
            <w:vAlign w:val="bottom"/>
          </w:tcPr>
          <w:p>
            <w:pPr>
              <w:ind w:left="580"/>
              <w:spacing w:after="0" w:line="120"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7"/>
        </w:trPr>
        <w:tc>
          <w:tcPr>
            <w:tcW w:w="3840" w:type="dxa"/>
            <w:vAlign w:val="bottom"/>
            <w:gridSpan w:val="3"/>
            <w:vMerge w:val="continue"/>
          </w:tcPr>
          <w:p>
            <w:pPr>
              <w:spacing w:after="0"/>
              <w:rPr>
                <w:sz w:val="4"/>
                <w:szCs w:val="4"/>
                <w:color w:val="auto"/>
              </w:rPr>
            </w:pPr>
          </w:p>
        </w:tc>
        <w:tc>
          <w:tcPr>
            <w:tcW w:w="32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EVP, General Counsel &amp; Sec.</w:t>
            </w:r>
          </w:p>
        </w:tc>
        <w:tc>
          <w:tcPr>
            <w:tcW w:w="0" w:type="dxa"/>
            <w:vAlign w:val="bottom"/>
          </w:tcPr>
          <w:p>
            <w:pPr>
              <w:spacing w:after="0"/>
              <w:rPr>
                <w:sz w:val="1"/>
                <w:szCs w:val="1"/>
                <w:color w:val="auto"/>
              </w:rPr>
            </w:pPr>
          </w:p>
        </w:tc>
      </w:tr>
      <w:tr>
        <w:trPr>
          <w:trHeight w:val="210"/>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08/14/2024</w:t>
            </w:r>
          </w:p>
        </w:tc>
        <w:tc>
          <w:tcPr>
            <w:tcW w:w="340" w:type="dxa"/>
            <w:vAlign w:val="bottom"/>
          </w:tcPr>
          <w:p>
            <w:pPr>
              <w:spacing w:after="0"/>
              <w:rPr>
                <w:sz w:val="18"/>
                <w:szCs w:val="18"/>
                <w:color w:val="auto"/>
              </w:rPr>
            </w:pPr>
          </w:p>
        </w:tc>
        <w:tc>
          <w:tcPr>
            <w:tcW w:w="3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08/14/2024</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167,378</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right="11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565,030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08/14/2024</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65,864</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17.05</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499,166</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56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40" w:type="dxa"/>
            <w:vAlign w:val="bottom"/>
            <w:tcBorders>
              <w:top w:val="single" w:sz="8" w:color="2C2C2C"/>
            </w:tcBorders>
            <w:gridSpan w:val="11"/>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88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08/14/2024</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167,378</w:t>
            </w:r>
          </w:p>
        </w:tc>
        <w:tc>
          <w:tcPr>
            <w:tcW w:w="760" w:type="dxa"/>
            <w:vAlign w:val="bottom"/>
            <w:vMerge w:val="restart"/>
          </w:tcPr>
          <w:p>
            <w:pPr>
              <w:jc w:val="right"/>
              <w:ind w:right="43"/>
              <w:spacing w:after="0"/>
              <w:rPr>
                <w:sz w:val="20"/>
                <w:szCs w:val="20"/>
                <w:color w:val="auto"/>
              </w:rPr>
            </w:pPr>
            <w:r>
              <w:rPr>
                <w:rFonts w:ascii="Times New Roman" w:cs="Times New Roman" w:eastAsia="Times New Roman" w:hAnsi="Times New Roman"/>
                <w:sz w:val="12"/>
                <w:szCs w:val="12"/>
                <w:color w:val="0000FF"/>
              </w:rPr>
              <w:t>08/14/2024</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08/14/2024</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167,378</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08/15/2024</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108,000</w:t>
            </w:r>
          </w:p>
        </w:tc>
        <w:tc>
          <w:tcPr>
            <w:tcW w:w="480" w:type="dxa"/>
            <w:vAlign w:val="bottom"/>
          </w:tcPr>
          <w:p>
            <w:pPr>
              <w:spacing w:after="0"/>
              <w:rPr>
                <w:sz w:val="15"/>
                <w:szCs w:val="15"/>
                <w:color w:val="auto"/>
              </w:rPr>
            </w:pPr>
          </w:p>
        </w:tc>
        <w:tc>
          <w:tcPr>
            <w:tcW w:w="760" w:type="dxa"/>
            <w:vAlign w:val="bottom"/>
            <w:vMerge w:val="restart"/>
          </w:tcPr>
          <w:p>
            <w:pPr>
              <w:jc w:val="right"/>
              <w:ind w:right="143"/>
              <w:spacing w:after="0"/>
              <w:rPr>
                <w:sz w:val="20"/>
                <w:szCs w:val="20"/>
                <w:color w:val="auto"/>
              </w:rPr>
            </w:pPr>
            <w:r>
              <w:rPr>
                <w:rFonts w:ascii="Times New Roman" w:cs="Times New Roman" w:eastAsia="Times New Roman" w:hAnsi="Times New Roman"/>
                <w:sz w:val="10"/>
                <w:szCs w:val="10"/>
                <w:color w:val="008000"/>
              </w:rPr>
              <w:t>(3)(4)(5)</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(3)(4)(5)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108,000</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108,000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-1820545</wp:posOffset>
            </wp:positionV>
            <wp:extent cx="28575" cy="1825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256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Units granted under Long-Term Incentive Plan (includes distribution equivalent rights payable in cash).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common unit is deliverable, upon vesting, for each Phantom Unit that vests.</w:t>
      </w:r>
    </w:p>
    <w:p>
      <w:pPr>
        <w:spacing w:after="0" w:line="48" w:lineRule="exact"/>
        <w:rPr>
          <w:rFonts w:ascii="Times New Roman" w:cs="Times New Roman" w:eastAsia="Times New Roman" w:hAnsi="Times New Roman"/>
          <w:sz w:val="12"/>
          <w:szCs w:val="12"/>
          <w:color w:val="008000"/>
        </w:rPr>
      </w:pPr>
    </w:p>
    <w:p>
      <w:pPr>
        <w:ind w:left="40" w:right="24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as follows: (a) Tranche 1, consisting of 54,000 phantom units, will vest on the August 2027 distribution date assuming continued service through such date; (b) Tranche 2, consisting of 27,000 phantom units (assuming 100% payout at target), will potentially vest on the August 2027 distribution date at a scaled payout range of between 0% to 200% based on PAA's total shareholder return (TSR) over the three-year period ending June 30, 2027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17" w:lineRule="exact"/>
        <w:rPr>
          <w:rFonts w:ascii="Times New Roman" w:cs="Times New Roman" w:eastAsia="Times New Roman" w:hAnsi="Times New Roman"/>
          <w:sz w:val="12"/>
          <w:szCs w:val="12"/>
          <w:color w:val="008000"/>
        </w:rPr>
      </w:pPr>
    </w:p>
    <w:p>
      <w:pPr>
        <w:ind w:left="40" w:right="160" w:hanging="3"/>
        <w:spacing w:after="0" w:line="24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 Tranche 3, consisting of 27,000 phantom units (assuming 100% payout at target), will potentially vest on the Aug. 2027 distribution date at a scaled payout range of between 0% and 200% based on PAA achieving cumul. distributable cash flow (DCF) per common unit equivalent (CUE) of $7.75 over the 3-year period ending 6/30/27 (with payout equaling 100% at cumul. DCF/CUE over such period of $7.75 and being equal to 0% for cumul. DCF/CUE over such period of $6.975 or lower and 200% for cumul. DCF/CUE over such period of $8.71875 or higher, with interpolation btw. such points, and with payout being subject to reduction by</w:t>
      </w:r>
    </w:p>
    <w:p>
      <w:pPr>
        <w:ind w:left="40" w:right="200" w:hanging="3"/>
        <w:spacing w:after="0" w:line="256" w:lineRule="auto"/>
        <w:tabs>
          <w:tab w:leader="none" w:pos="19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basis pts. if PAA's leverage ratio (long term debt to adj. EBITDA as calculated pursuant to PAA's sr. unsecured revolving credit facility) as of 6/30/27 is greater than the leverage ratio that equals the upper end of our then applicable target leverage ratio range (e.g., 3.0x is the upper end of PAA's current target leverage ratio range of 2.5x to 3.0x).</w:t>
      </w:r>
    </w:p>
    <w:p>
      <w:pPr>
        <w:spacing w:after="0" w:line="14" w:lineRule="exact"/>
        <w:rPr>
          <w:rFonts w:ascii="Times New Roman" w:cs="Times New Roman" w:eastAsia="Times New Roman" w:hAnsi="Times New Roman"/>
          <w:sz w:val="12"/>
          <w:szCs w:val="12"/>
          <w:color w:val="008000"/>
        </w:rPr>
      </w:pPr>
    </w:p>
    <w:p>
      <w:pPr>
        <w:ind w:left="40" w:right="300" w:hanging="3"/>
        <w:spacing w:after="0" w:line="259"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associated with Tranche 1 will accrue for the first year and be paid in cash in a lump sum on the August 2025 distribution date; beginning in November 2025, DERs associated with Tranche 1 will be paid quarterly until the phantom units vest or terminate. DERs associated with Tranches 2 and 3 will accrue during the three-year vesting period and be paid in cash in a lump sum on the August 2027 distribution date with respect to each phantom unit that vests, if any, on such date. Any Tranche 2 or Tranche 3 phantom units that are determined to not have vested as of the August 2027 distribution date shall expire as of such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Richard K. McGee</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08/16/2024</w:t>
            </w: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5"/>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0023"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2024-08-16T14:19:08Z</dcterms:created>
  <dcterms:modified xsi:type="dcterms:W3CDTF">2024-08-16T14:19:08Z</dcterms:modified>
</cp:coreProperties>
</file>