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 </w:t>
      </w:r>
      <w:r>
        <w:rPr>
          <w:rFonts w:ascii="Times New Roman" w:cs="Times New Roman" w:eastAsia="Times New Roman" w:hAnsi="Times New Roman"/>
          <w:sz w:val="18"/>
          <w:szCs w:val="18"/>
          <w:b w:val="1"/>
          <w:bCs w:val="1"/>
          <w:color w:val="auto"/>
        </w:rPr>
        <w:t>May 21, 2025</w:t>
      </w: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Plains All American Pipeline, L.P.</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8" w:right="339" w:bottom="1440" w:gutter="0" w:footer="0" w:header="0"/>
        </w:sectPr>
      </w:pPr>
    </w:p>
    <w:p>
      <w:pPr>
        <w:spacing w:after="0" w:line="20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1"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color w:val="auto"/>
        </w:rPr>
        <w:t>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1-14569</w:t>
      </w:r>
    </w:p>
    <w:p>
      <w:pPr>
        <w:spacing w:after="0" w:line="31"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76-0582150</w:t>
      </w:r>
    </w:p>
    <w:p>
      <w:pPr>
        <w:spacing w:after="0" w:line="3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360" w:space="720"/>
            <w:col w:w="2520"/>
          </w:cols>
          <w:pgMar w:left="320" w:top="758" w:right="339" w:bottom="1440" w:gutter="0" w:footer="0" w:header="0"/>
          <w:type w:val="continuous"/>
        </w:sectPr>
      </w:pPr>
    </w:p>
    <w:p>
      <w:pPr>
        <w:spacing w:after="0" w:line="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333 Clay Street, Suite 1600, Houston, Texas 77002</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ectPr>
          <w:pgSz w:w="11900" w:h="16838" w:orient="portrait"/>
          <w:cols w:equalWidth="0" w:num="1">
            <w:col w:w="11240"/>
          </w:cols>
          <w:pgMar w:left="320" w:top="758" w:right="339" w:bottom="1440" w:gutter="0" w:footer="0" w:header="0"/>
          <w:type w:val="continuous"/>
        </w:sectPr>
      </w:pPr>
    </w:p>
    <w:p>
      <w:pPr>
        <w:spacing w:after="0" w:line="23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20" w:firstLine="8"/>
        <w:spacing w:after="0" w:line="498" w:lineRule="auto"/>
        <w:tabs>
          <w:tab w:leader="none" w:pos="37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Units</w:t>
            </w:r>
          </w:p>
        </w:tc>
        <w:tc>
          <w:tcPr>
            <w:tcW w:w="100" w:type="dxa"/>
            <w:vAlign w:val="bottom"/>
          </w:tcPr>
          <w:p>
            <w:pPr>
              <w:spacing w:after="0"/>
              <w:rPr>
                <w:sz w:val="19"/>
                <w:szCs w:val="19"/>
                <w:color w:val="auto"/>
              </w:rPr>
            </w:pPr>
          </w:p>
        </w:tc>
        <w:tc>
          <w:tcPr>
            <w:tcW w:w="3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PAA</w:t>
            </w:r>
          </w:p>
        </w:tc>
        <w:tc>
          <w:tcPr>
            <w:tcW w:w="100" w:type="dxa"/>
            <w:vAlign w:val="bottom"/>
          </w:tcPr>
          <w:p>
            <w:pPr>
              <w:spacing w:after="0"/>
              <w:rPr>
                <w:sz w:val="19"/>
                <w:szCs w:val="19"/>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79" w:lineRule="exact"/>
        <w:rPr>
          <w:sz w:val="24"/>
          <w:szCs w:val="24"/>
          <w:color w:val="auto"/>
        </w:rPr>
      </w:pPr>
    </w:p>
    <w:p>
      <w:pPr>
        <w:jc w:val="both"/>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type w:val="continuous"/>
        </w:sectPr>
      </w:pPr>
    </w:p>
    <w:bookmarkStart w:id="1" w:name="page2"/>
    <w:bookmarkEnd w:id="1"/>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right="140" w:firstLine="324"/>
        <w:spacing w:after="0" w:line="270" w:lineRule="auto"/>
        <w:rPr>
          <w:sz w:val="20"/>
          <w:szCs w:val="20"/>
          <w:color w:val="auto"/>
        </w:rPr>
      </w:pPr>
      <w:r>
        <w:rPr>
          <w:rFonts w:ascii="Times New Roman" w:cs="Times New Roman" w:eastAsia="Times New Roman" w:hAnsi="Times New Roman"/>
          <w:sz w:val="17"/>
          <w:szCs w:val="17"/>
          <w:color w:val="auto"/>
        </w:rPr>
        <w:t>The 2025 annual meeting of common unitholders and Series A Convertible Preferred unitholders (collectively, the “Unitholders”) of Plains All American Pipeline, L.P. (“PAA” or the “Partnership”) was held on May 21, 2025. At the annual meeting, the Unitholders (other than Plains AAP, L.P.) considered and voted on how to instruct PAA to vote the Class C shares of Plains GP Holdings, L.P. (“PAGP”) that PAA owns at PAGP’s annual meeting with respect to the following matters, each of which is described in greater detail in PAA’s Proxy Statement dated April 11, 2025 (the “Proxy Statement”):</w:t>
      </w:r>
    </w:p>
    <w:p>
      <w:pPr>
        <w:spacing w:after="0" w:line="3" w:lineRule="exact"/>
        <w:rPr>
          <w:sz w:val="20"/>
          <w:szCs w:val="20"/>
          <w:color w:val="auto"/>
        </w:rPr>
      </w:pPr>
    </w:p>
    <w:p>
      <w:pPr>
        <w:ind w:right="200" w:firstLine="8"/>
        <w:spacing w:after="0" w:line="255" w:lineRule="auto"/>
        <w:tabs>
          <w:tab w:leader="none" w:pos="2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four Class II directors to serve on the board of directors of PAA GP Holdings LLC until the 2028 annual meeting; (ii) the ratification of the appointment of PricewaterhouseCoopers LLP as PAGP’s and PAA’s independent registered public accounting firm for the fiscal year ending December 31, 2025; and (iii) the approval, on a non-binding advisory basis, of our 2024 named executive officer compensation.</w:t>
      </w:r>
    </w:p>
    <w:p>
      <w:pPr>
        <w:spacing w:after="0" w:line="186"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Out of the 529,331,928 common units and Series A Preferred units entitled to vote on Items 1, 2 and 3, approximately 82.4%, or 436,097,919 units, were represented in person or by proxy at the PAA annual meeting. The voting results for each matter presented at the PAA annual meeting were as follows:</w:t>
      </w:r>
    </w:p>
    <w:p>
      <w:pPr>
        <w:spacing w:after="0" w:line="176" w:lineRule="exact"/>
        <w:rPr>
          <w:sz w:val="20"/>
          <w:szCs w:val="20"/>
          <w:color w:val="auto"/>
        </w:rPr>
      </w:pPr>
    </w:p>
    <w:p>
      <w:pPr>
        <w:ind w:left="1000" w:right="100" w:hanging="344"/>
        <w:spacing w:after="0" w:line="312" w:lineRule="auto"/>
        <w:tabs>
          <w:tab w:leader="none" w:pos="10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Unitholders (other than Plains AAP, L.P.) voted to instruct PAA to vote the PAGP Class C shares that it owns at the PAGP annual meeting on the election of four Class II directors to serve on the board of directors of PAA GP Holdings LLC until the 2028 annual meeting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Percentage of Votes Cast</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Nominees</w:t>
            </w:r>
          </w:p>
        </w:tc>
        <w:tc>
          <w:tcPr>
            <w:tcW w:w="152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For</w:t>
            </w:r>
          </w:p>
        </w:tc>
        <w:tc>
          <w:tcPr>
            <w:tcW w:w="15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FOR*</w:t>
            </w: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4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Victor Burk</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304,083,979</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3,155,349</w:t>
            </w:r>
          </w:p>
        </w:tc>
        <w:tc>
          <w:tcPr>
            <w:tcW w:w="1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128,858,591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Kevin McCarthy</w:t>
            </w: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267,043,461</w:t>
            </w:r>
          </w:p>
        </w:tc>
        <w:tc>
          <w:tcPr>
            <w:tcW w:w="100" w:type="dxa"/>
            <w:vAlign w:val="bottom"/>
          </w:tcPr>
          <w:p>
            <w:pPr>
              <w:spacing w:after="0"/>
              <w:rPr>
                <w:sz w:val="18"/>
                <w:szCs w:val="18"/>
                <w:color w:val="auto"/>
              </w:rPr>
            </w:pPr>
          </w:p>
        </w:tc>
        <w:tc>
          <w:tcPr>
            <w:tcW w:w="14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40,195,867</w:t>
            </w:r>
          </w:p>
        </w:tc>
        <w:tc>
          <w:tcPr>
            <w:tcW w:w="100" w:type="dxa"/>
            <w:vAlign w:val="bottom"/>
          </w:tcPr>
          <w:p>
            <w:pPr>
              <w:spacing w:after="0"/>
              <w:rPr>
                <w:sz w:val="18"/>
                <w:szCs w:val="18"/>
                <w:color w:val="auto"/>
              </w:rPr>
            </w:pPr>
          </w:p>
        </w:tc>
        <w:tc>
          <w:tcPr>
            <w:tcW w:w="19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tcPr>
          <w:p>
            <w:pPr>
              <w:spacing w:after="0"/>
              <w:rPr>
                <w:sz w:val="18"/>
                <w:szCs w:val="18"/>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128,858,591</w:t>
            </w:r>
          </w:p>
        </w:tc>
        <w:tc>
          <w:tcPr>
            <w:tcW w:w="100" w:type="dxa"/>
            <w:vAlign w:val="bottom"/>
          </w:tcPr>
          <w:p>
            <w:pPr>
              <w:spacing w:after="0"/>
              <w:rPr>
                <w:sz w:val="18"/>
                <w:szCs w:val="18"/>
                <w:color w:val="auto"/>
              </w:rPr>
            </w:pPr>
          </w:p>
        </w:tc>
      </w:tr>
      <w:tr>
        <w:trPr>
          <w:trHeight w:val="216"/>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Harry Pefanis</w:t>
            </w:r>
          </w:p>
        </w:tc>
        <w:tc>
          <w:tcPr>
            <w:tcW w:w="1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304,225,943</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3,013,385</w:t>
            </w: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128,858,591</w:t>
            </w:r>
          </w:p>
        </w:tc>
        <w:tc>
          <w:tcPr>
            <w:tcW w:w="100" w:type="dxa"/>
            <w:vAlign w:val="bottom"/>
            <w:shd w:val="clear" w:color="auto" w:fill="CCEEFF"/>
          </w:tcPr>
          <w:p>
            <w:pPr>
              <w:spacing w:after="0"/>
              <w:rPr>
                <w:sz w:val="18"/>
                <w:szCs w:val="18"/>
                <w:color w:val="auto"/>
              </w:rPr>
            </w:pPr>
          </w:p>
        </w:tc>
      </w:tr>
      <w:tr>
        <w:trPr>
          <w:trHeight w:val="23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Gary Petersen</w:t>
            </w: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294,771,460</w:t>
            </w:r>
          </w:p>
        </w:tc>
        <w:tc>
          <w:tcPr>
            <w:tcW w:w="100" w:type="dxa"/>
            <w:vAlign w:val="bottom"/>
          </w:tcPr>
          <w:p>
            <w:pPr>
              <w:spacing w:after="0"/>
              <w:rPr>
                <w:sz w:val="20"/>
                <w:szCs w:val="20"/>
                <w:color w:val="auto"/>
              </w:rPr>
            </w:pPr>
          </w:p>
        </w:tc>
        <w:tc>
          <w:tcPr>
            <w:tcW w:w="14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12,467,868</w:t>
            </w:r>
          </w:p>
        </w:tc>
        <w:tc>
          <w:tcPr>
            <w:tcW w:w="100" w:type="dxa"/>
            <w:vAlign w:val="bottom"/>
          </w:tcPr>
          <w:p>
            <w:pPr>
              <w:spacing w:after="0"/>
              <w:rPr>
                <w:sz w:val="20"/>
                <w:szCs w:val="20"/>
                <w:color w:val="auto"/>
              </w:rPr>
            </w:pPr>
          </w:p>
        </w:tc>
        <w:tc>
          <w:tcPr>
            <w:tcW w:w="19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Pr>
          <w:p>
            <w:pPr>
              <w:spacing w:after="0"/>
              <w:rPr>
                <w:sz w:val="20"/>
                <w:szCs w:val="20"/>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128,858,591</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ind w:left="1000" w:right="100" w:hanging="344"/>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Unitholders (other than Plains AAP, L.P.) voted to instruct PAA to vote the PAGP Class C shares that it owns at the PAGP annual meeting on the ratification of the appointment of PricewaterhouseCoopers LLP as PAGP’s and PAA’s independent registered public accounting firm for the fiscal year ending December 31, 2025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Percentage of Votes Cast</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40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For</w:t>
            </w:r>
          </w:p>
        </w:tc>
        <w:tc>
          <w:tcPr>
            <w:tcW w:w="248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12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Abstained</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FOR*</w:t>
            </w:r>
          </w:p>
        </w:tc>
        <w:tc>
          <w:tcPr>
            <w:tcW w:w="21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2280" w:type="dxa"/>
            <w:vAlign w:val="bottom"/>
            <w:tcBorders>
              <w:top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431,418,975</w:t>
            </w:r>
          </w:p>
        </w:tc>
        <w:tc>
          <w:tcPr>
            <w:tcW w:w="12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4,099,836</w:t>
            </w: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579,108</w:t>
            </w: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1000" w:right="100" w:hanging="344"/>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Unitholders (other than Plains AAP, L.P.) voted to instruct PAA to vote the PAGP Class C shares that it owns at the PAGP annual meeting on the approval, on a non-binding advisory basis, of our 2024 named executive officer compensation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Percentage of Votes Cast</w:t>
            </w:r>
          </w:p>
        </w:tc>
        <w:tc>
          <w:tcPr>
            <w:tcW w:w="21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0" w:type="dxa"/>
            <w:vAlign w:val="bottom"/>
          </w:tcPr>
          <w:p>
            <w:pPr>
              <w:spacing w:after="0"/>
              <w:rPr>
                <w:sz w:val="1"/>
                <w:szCs w:val="1"/>
                <w:color w:val="auto"/>
              </w:rPr>
            </w:pPr>
          </w:p>
        </w:tc>
      </w:tr>
      <w:tr>
        <w:trPr>
          <w:trHeight w:val="238"/>
        </w:trPr>
        <w:tc>
          <w:tcPr>
            <w:tcW w:w="240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For</w:t>
            </w:r>
          </w:p>
        </w:tc>
        <w:tc>
          <w:tcPr>
            <w:tcW w:w="248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12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Abstained</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FOR*</w:t>
            </w:r>
          </w:p>
        </w:tc>
        <w:tc>
          <w:tcPr>
            <w:tcW w:w="21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80" w:type="dxa"/>
            <w:vAlign w:val="bottom"/>
            <w:tcBorders>
              <w:top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299,540,725</w:t>
            </w:r>
          </w:p>
        </w:tc>
        <w:tc>
          <w:tcPr>
            <w:tcW w:w="12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6,294,888</w:t>
            </w: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1,403,714</w:t>
            </w: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128,858,592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3"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*With respect to Items 1, 2 and 3, PAA Unitholders (other than Plains AAP, L.P.) voted on a “pass-through” basis by instructing PAA how to vote the PAGP Class C shares that it owns on Items 1, 2 and 3 at the PAGP annual meeting.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May 22, 2025</w:t>
      </w:r>
      <w:r>
        <w:rPr>
          <w:sz w:val="20"/>
          <w:szCs w:val="20"/>
          <w:color w:val="auto"/>
        </w:rPr>
        <w:tab/>
      </w:r>
      <w:r>
        <w:rPr>
          <w:rFonts w:ascii="Times New Roman" w:cs="Times New Roman" w:eastAsia="Times New Roman" w:hAnsi="Times New Roman"/>
          <w:sz w:val="17"/>
          <w:szCs w:val="17"/>
          <w:b w:val="1"/>
          <w:bCs w:val="1"/>
          <w:color w:val="auto"/>
        </w:rPr>
        <w:t>PLAINS ALL AMERICAN PIPELINE,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PAA GP LLC, its general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Plains AAP, L.P., its sole member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Plains All American GP LLC, its general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Richard McGee</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General Counsel &amp; Secretary</w:t>
      </w: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20"/>
      </w:cols>
      <w:pgMar w:left="320" w:top="90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Roman"/>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2025-05-23T05:10:07Z</dcterms:created>
  <dcterms:modified xsi:type="dcterms:W3CDTF">2025-05-23T05:10:07Z</dcterms:modified>
</cp:coreProperties>
</file>