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2"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-225425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39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399"/>
              <w:spacing w:after="0" w:line="129"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3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140" w:type="dxa"/>
            <w:vAlign w:val="bottom"/>
            <w:gridSpan w:val="3"/>
            <w:vMerge w:val="restart"/>
          </w:tcPr>
          <w:p>
            <w:pPr>
              <w:ind w:left="42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399"/>
              <w:spacing w:after="0" w:line="182"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3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6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40" w:type="dxa"/>
            <w:vAlign w:val="bottom"/>
            <w:vMerge w:val="restart"/>
          </w:tcPr>
          <w:p>
            <w:pPr>
              <w:jc w:val="center"/>
              <w:ind w:right="3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6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5364480</wp:posOffset>
            </wp:positionH>
            <wp:positionV relativeFrom="paragraph">
              <wp:posOffset>-607060</wp:posOffset>
            </wp:positionV>
            <wp:extent cx="57150" cy="6203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039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-607060</wp:posOffset>
            </wp:positionV>
            <wp:extent cx="57150"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039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-1828165</wp:posOffset>
            </wp:positionH>
            <wp:positionV relativeFrom="paragraph">
              <wp:posOffset>19050</wp:posOffset>
            </wp:positionV>
            <wp:extent cx="7327900" cy="4942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7900" cy="494284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180" w:space="680"/>
            <w:col w:w="8660"/>
          </w:cols>
          <w:pgMar w:left="240" w:top="220" w:right="13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SINNOTT ROBERT V</w:t>
        </w:r>
      </w:hyperlink>
    </w:p>
    <w:p>
      <w:pPr>
        <w:spacing w:after="0" w:line="297"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1800 AVE OF THE STATE</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2ND FLR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11" w:lineRule="exact"/>
        <w:rPr>
          <w:sz w:val="24"/>
          <w:szCs w:val="24"/>
          <w:color w:val="auto"/>
        </w:rPr>
      </w:pPr>
    </w:p>
    <w:p>
      <w:pPr>
        <w:jc w:val="center"/>
        <w:ind w:right="223"/>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PLAINS GP HOLDINGS LP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PAGP</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0000FF"/>
        </w:rPr>
        <w:t>06/30/2015</w:t>
      </w:r>
    </w:p>
    <w:p>
      <w:pPr>
        <w:spacing w:after="0" w:line="20" w:lineRule="exact"/>
        <w:rPr>
          <w:sz w:val="24"/>
          <w:szCs w:val="24"/>
          <w:color w:val="auto"/>
        </w:rPr>
      </w:pPr>
      <w:r>
        <w:rPr>
          <w:sz w:val="24"/>
          <w:szCs w:val="24"/>
          <w:color w:val="auto"/>
        </w:rPr>
        <w:br w:type="column"/>
      </w:r>
    </w:p>
    <w:p>
      <w:pPr>
        <w:ind w:left="-3" w:right="840" w:firstLine="3"/>
        <w:spacing w:after="0" w:line="258" w:lineRule="auto"/>
        <w:tabs>
          <w:tab w:leader="none" w:pos="135"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217"/>
        <w:spacing w:after="0"/>
        <w:tabs>
          <w:tab w:leader="none" w:pos="536" w:val="left"/>
          <w:tab w:leader="none" w:pos="2156"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108" w:lineRule="exact"/>
        <w:rPr>
          <w:sz w:val="24"/>
          <w:szCs w:val="24"/>
          <w:color w:val="auto"/>
        </w:rPr>
      </w:pPr>
    </w:p>
    <w:p>
      <w:pPr>
        <w:jc w:val="right"/>
        <w:ind w:right="520"/>
        <w:spacing w:after="0"/>
        <w:tabs>
          <w:tab w:leader="none" w:pos="76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ind w:left="557"/>
        <w:spacing w:after="0"/>
        <w:tabs>
          <w:tab w:leader="none" w:pos="2156"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699" w:lineRule="exact"/>
        <w:rPr>
          <w:sz w:val="24"/>
          <w:szCs w:val="24"/>
          <w:color w:val="auto"/>
        </w:rPr>
      </w:pPr>
    </w:p>
    <w:p>
      <w:pPr>
        <w:sectPr>
          <w:pgSz w:w="11900" w:h="16838" w:orient="portrait"/>
          <w:cols w:equalWidth="0" w:num="3">
            <w:col w:w="3340" w:space="720"/>
            <w:col w:w="3263" w:space="720"/>
            <w:col w:w="3477"/>
          </w:cols>
          <w:pgMar w:left="240" w:top="220" w:right="139" w:bottom="1440" w:gutter="0" w:footer="0" w:header="0"/>
          <w:type w:val="continuous"/>
        </w:sectPr>
      </w:pPr>
    </w:p>
    <w:tbl>
      <w:tblPr>
        <w:tblLayout w:type="fixed"/>
        <w:tblInd w:w="0" w:type="dxa"/>
        <w:tblCellMar>
          <w:top w:w="0" w:type="dxa"/>
          <w:left w:w="0" w:type="dxa"/>
          <w:bottom w:w="0" w:type="dxa"/>
          <w:right w:w="0" w:type="dxa"/>
        </w:tblCellMar>
      </w:tblP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9A9A9A"/>
          </w:tcPr>
          <w:p>
            <w:pPr>
              <w:spacing w:after="0"/>
              <w:rPr>
                <w:sz w:val="2"/>
                <w:szCs w:val="2"/>
                <w:color w:val="auto"/>
              </w:rPr>
            </w:pPr>
          </w:p>
        </w:tc>
        <w:tc>
          <w:tcPr>
            <w:tcW w:w="700" w:type="dxa"/>
            <w:vAlign w:val="bottom"/>
            <w:shd w:val="clear" w:color="auto" w:fill="9A9A9A"/>
          </w:tcPr>
          <w:p>
            <w:pPr>
              <w:spacing w:after="0"/>
              <w:rPr>
                <w:sz w:val="2"/>
                <w:szCs w:val="2"/>
                <w:color w:val="auto"/>
              </w:rPr>
            </w:pPr>
          </w:p>
        </w:tc>
        <w:tc>
          <w:tcPr>
            <w:tcW w:w="110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40" w:type="dxa"/>
            <w:vAlign w:val="bottom"/>
            <w:shd w:val="clear" w:color="auto" w:fill="9A9A9A"/>
          </w:tcPr>
          <w:p>
            <w:pPr>
              <w:spacing w:after="0"/>
              <w:rPr>
                <w:sz w:val="2"/>
                <w:szCs w:val="2"/>
                <w:color w:val="auto"/>
              </w:rPr>
            </w:pPr>
          </w:p>
        </w:tc>
        <w:tc>
          <w:tcPr>
            <w:tcW w:w="360" w:type="dxa"/>
            <w:vAlign w:val="bottom"/>
            <w:shd w:val="clear" w:color="auto" w:fill="9A9A9A"/>
          </w:tcPr>
          <w:p>
            <w:pPr>
              <w:spacing w:after="0"/>
              <w:rPr>
                <w:sz w:val="2"/>
                <w:szCs w:val="2"/>
                <w:color w:val="auto"/>
              </w:rPr>
            </w:pPr>
          </w:p>
        </w:tc>
        <w:tc>
          <w:tcPr>
            <w:tcW w:w="3440" w:type="dxa"/>
            <w:vAlign w:val="bottom"/>
            <w:gridSpan w:val="8"/>
            <w:vMerge w:val="restart"/>
          </w:tcPr>
          <w:p>
            <w:pPr>
              <w:ind w:left="160"/>
              <w:spacing w:after="0"/>
              <w:rPr>
                <w:sz w:val="20"/>
                <w:szCs w:val="20"/>
                <w:color w:val="auto"/>
              </w:rPr>
            </w:pPr>
            <w:r>
              <w:rPr>
                <w:rFonts w:ascii="Arial" w:cs="Arial" w:eastAsia="Arial" w:hAnsi="Arial"/>
                <w:sz w:val="12"/>
                <w:szCs w:val="12"/>
                <w:color w:val="auto"/>
              </w:rPr>
              <w:t>4. If Amendment, Date of Original Filed (Month/Day/Year)</w:t>
            </w: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0" w:type="dxa"/>
            <w:vAlign w:val="bottom"/>
            <w:gridSpan w:val="4"/>
            <w:vMerge w:val="restart"/>
          </w:tcPr>
          <w:p>
            <w:pPr>
              <w:ind w:left="20"/>
              <w:spacing w:after="0"/>
              <w:rPr>
                <w:sz w:val="20"/>
                <w:szCs w:val="20"/>
                <w:color w:val="auto"/>
              </w:rPr>
            </w:pPr>
            <w:r>
              <w:rPr>
                <w:rFonts w:ascii="Arial" w:cs="Arial" w:eastAsia="Arial" w:hAnsi="Arial"/>
                <w:sz w:val="12"/>
                <w:szCs w:val="12"/>
                <w:color w:val="auto"/>
              </w:rPr>
              <w:t>6. Individual or Joint/Group Filing (Check Applicable Line)</w:t>
            </w: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7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40" w:type="dxa"/>
            <w:vAlign w:val="bottom"/>
            <w:gridSpan w:val="8"/>
            <w:vMerge w:val="continue"/>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7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0" w:type="dxa"/>
            <w:vAlign w:val="bottom"/>
            <w:gridSpan w:val="4"/>
            <w:vMerge w:val="restart"/>
          </w:tcPr>
          <w:p>
            <w:pPr>
              <w:ind w:left="24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6"/>
                <w:szCs w:val="16"/>
                <w:color w:val="0000FF"/>
              </w:rPr>
              <w:t>LOS ANGELES</w:t>
            </w:r>
          </w:p>
        </w:tc>
        <w:tc>
          <w:tcPr>
            <w:tcW w:w="1100" w:type="dxa"/>
            <w:vAlign w:val="bottom"/>
            <w:vMerge w:val="restart"/>
          </w:tcPr>
          <w:p>
            <w:pPr>
              <w:spacing w:after="0"/>
              <w:rPr>
                <w:sz w:val="20"/>
                <w:szCs w:val="20"/>
                <w:color w:val="auto"/>
              </w:rPr>
            </w:pPr>
            <w:r>
              <w:rPr>
                <w:rFonts w:ascii="Arial" w:cs="Arial" w:eastAsia="Arial" w:hAnsi="Arial"/>
                <w:sz w:val="16"/>
                <w:szCs w:val="16"/>
                <w:color w:val="0000FF"/>
              </w:rPr>
              <w:t>CA</w:t>
            </w:r>
          </w:p>
        </w:tc>
        <w:tc>
          <w:tcPr>
            <w:tcW w:w="1020" w:type="dxa"/>
            <w:vAlign w:val="bottom"/>
            <w:vMerge w:val="restart"/>
          </w:tcPr>
          <w:p>
            <w:pPr>
              <w:ind w:left="180"/>
              <w:spacing w:after="0"/>
              <w:rPr>
                <w:sz w:val="20"/>
                <w:szCs w:val="20"/>
                <w:color w:val="auto"/>
              </w:rPr>
            </w:pPr>
            <w:r>
              <w:rPr>
                <w:rFonts w:ascii="Arial" w:cs="Arial" w:eastAsia="Arial" w:hAnsi="Arial"/>
                <w:sz w:val="16"/>
                <w:szCs w:val="16"/>
                <w:color w:val="0000FF"/>
              </w:rPr>
              <w:t>90067</w:t>
            </w: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0" w:type="dxa"/>
            <w:vAlign w:val="bottom"/>
            <w:gridSpan w:val="4"/>
            <w:vMerge w:val="restart"/>
          </w:tcPr>
          <w:p>
            <w:pPr>
              <w:ind w:left="580"/>
              <w:spacing w:after="0"/>
              <w:rPr>
                <w:sz w:val="20"/>
                <w:szCs w:val="20"/>
                <w:color w:val="auto"/>
              </w:rPr>
            </w:pPr>
            <w:r>
              <w:rPr>
                <w:rFonts w:ascii="Arial" w:cs="Arial" w:eastAsia="Arial" w:hAnsi="Arial"/>
                <w:sz w:val="12"/>
                <w:szCs w:val="12"/>
                <w:color w:val="auto"/>
              </w:rPr>
              <w:t>Form filed by More than One Reporting Person</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700" w:type="dxa"/>
            <w:vAlign w:val="bottom"/>
            <w:tcBorders>
              <w:bottom w:val="single" w:sz="8" w:color="9A9A9A"/>
            </w:tcBorders>
          </w:tcPr>
          <w:p>
            <w:pPr>
              <w:spacing w:after="0"/>
              <w:rPr>
                <w:sz w:val="4"/>
                <w:szCs w:val="4"/>
                <w:color w:val="auto"/>
              </w:rPr>
            </w:pPr>
          </w:p>
        </w:tc>
        <w:tc>
          <w:tcPr>
            <w:tcW w:w="110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360" w:type="dxa"/>
            <w:vAlign w:val="bottom"/>
            <w:tcBorders>
              <w:bottom w:val="single" w:sz="8" w:color="9A9A9A"/>
            </w:tcBorders>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70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2"/>
                <w:szCs w:val="12"/>
                <w:color w:val="auto"/>
              </w:rPr>
              <w:t>(State)</w:t>
            </w:r>
          </w:p>
        </w:tc>
        <w:tc>
          <w:tcPr>
            <w:tcW w:w="1020" w:type="dxa"/>
            <w:vAlign w:val="bottom"/>
          </w:tcPr>
          <w:p>
            <w:pPr>
              <w:ind w:left="18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300" w:type="dxa"/>
            <w:vAlign w:val="bottom"/>
            <w:tcBorders>
              <w:bottom w:val="single" w:sz="8" w:color="2C2C2C"/>
            </w:tcBorders>
            <w:gridSpan w:val="3"/>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3"/>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1100" w:type="dxa"/>
            <w:vAlign w:val="bottom"/>
            <w:tcBorders>
              <w:top w:val="single" w:sz="8" w:color="2C2C2C"/>
            </w:tcBorders>
          </w:tcPr>
          <w:p>
            <w:pPr>
              <w:spacing w:after="0"/>
              <w:rPr>
                <w:sz w:val="20"/>
                <w:szCs w:val="20"/>
                <w:color w:val="auto"/>
              </w:rPr>
            </w:pPr>
          </w:p>
        </w:tc>
        <w:tc>
          <w:tcPr>
            <w:tcW w:w="7040" w:type="dxa"/>
            <w:vAlign w:val="bottom"/>
            <w:tcBorders>
              <w:top w:val="single" w:sz="8" w:color="2C2C2C"/>
            </w:tcBorders>
            <w:gridSpan w:val="16"/>
          </w:tcPr>
          <w:p>
            <w:pPr>
              <w:ind w:left="1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0"/>
                <w:szCs w:val="20"/>
                <w:color w:val="auto"/>
              </w:rPr>
            </w:pPr>
          </w:p>
        </w:tc>
        <w:tc>
          <w:tcPr>
            <w:tcW w:w="1400" w:type="dxa"/>
            <w:vAlign w:val="bottom"/>
            <w:tcBorders>
              <w:top w:val="single" w:sz="8" w:color="2C2C2C"/>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460" w:type="dxa"/>
            <w:vAlign w:val="bottom"/>
            <w:tcBorders>
              <w:bottom w:val="single" w:sz="8" w:color="2C2C2C"/>
            </w:tcBorders>
            <w:gridSpan w:val="4"/>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660" w:type="dxa"/>
            <w:vAlign w:val="bottom"/>
            <w:gridSpan w:val="4"/>
          </w:tcPr>
          <w:p>
            <w:pPr>
              <w:ind w:left="680"/>
              <w:spacing w:after="0"/>
              <w:rPr>
                <w:sz w:val="20"/>
                <w:szCs w:val="20"/>
                <w:color w:val="auto"/>
              </w:rPr>
            </w:pPr>
            <w:r>
              <w:rPr>
                <w:rFonts w:ascii="Arial" w:cs="Arial" w:eastAsia="Arial" w:hAnsi="Arial"/>
                <w:sz w:val="11"/>
                <w:szCs w:val="11"/>
                <w:b w:val="1"/>
                <w:bCs w:val="1"/>
                <w:color w:val="auto"/>
              </w:rPr>
              <w:t>2. Transaction</w:t>
            </w: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2A. Deemed</w:t>
            </w:r>
          </w:p>
        </w:tc>
        <w:tc>
          <w:tcPr>
            <w:tcW w:w="180" w:type="dxa"/>
            <w:vAlign w:val="bottom"/>
          </w:tcPr>
          <w:p>
            <w:pPr>
              <w:jc w:val="right"/>
              <w:ind w:right="5"/>
              <w:spacing w:after="0"/>
              <w:rPr>
                <w:sz w:val="20"/>
                <w:szCs w:val="20"/>
                <w:color w:val="auto"/>
              </w:rPr>
            </w:pPr>
            <w:r>
              <w:rPr>
                <w:rFonts w:ascii="Arial" w:cs="Arial" w:eastAsia="Arial" w:hAnsi="Arial"/>
                <w:sz w:val="11"/>
                <w:szCs w:val="11"/>
                <w:b w:val="1"/>
                <w:bCs w:val="1"/>
                <w:color w:val="auto"/>
              </w:rPr>
              <w:t>3.</w:t>
            </w:r>
          </w:p>
        </w:tc>
        <w:tc>
          <w:tcPr>
            <w:tcW w:w="580" w:type="dxa"/>
            <w:vAlign w:val="bottom"/>
          </w:tcPr>
          <w:p>
            <w:pPr>
              <w:spacing w:after="0"/>
              <w:rPr>
                <w:sz w:val="14"/>
                <w:szCs w:val="14"/>
                <w:color w:val="auto"/>
              </w:rPr>
            </w:pPr>
          </w:p>
        </w:tc>
        <w:tc>
          <w:tcPr>
            <w:tcW w:w="202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700" w:type="dxa"/>
            <w:vAlign w:val="bottom"/>
          </w:tcPr>
          <w:p>
            <w:pPr>
              <w:spacing w:after="0"/>
              <w:rPr>
                <w:sz w:val="20"/>
                <w:szCs w:val="20"/>
                <w:color w:val="auto"/>
              </w:rPr>
            </w:pPr>
            <w:r>
              <w:rPr>
                <w:rFonts w:ascii="Arial" w:cs="Arial" w:eastAsia="Arial" w:hAnsi="Arial"/>
                <w:sz w:val="11"/>
                <w:szCs w:val="11"/>
                <w:b w:val="1"/>
                <w:bCs w:val="1"/>
                <w:color w:val="auto"/>
              </w:rPr>
              <w:t>5. Amount of</w:t>
            </w:r>
          </w:p>
        </w:tc>
        <w:tc>
          <w:tcPr>
            <w:tcW w:w="1300" w:type="dxa"/>
            <w:vAlign w:val="bottom"/>
            <w:gridSpan w:val="2"/>
          </w:tcPr>
          <w:p>
            <w:pPr>
              <w:ind w:left="440"/>
              <w:spacing w:after="0"/>
              <w:rPr>
                <w:sz w:val="20"/>
                <w:szCs w:val="20"/>
                <w:color w:val="auto"/>
              </w:rPr>
            </w:pPr>
            <w:r>
              <w:rPr>
                <w:rFonts w:ascii="Arial" w:cs="Arial" w:eastAsia="Arial" w:hAnsi="Arial"/>
                <w:sz w:val="11"/>
                <w:szCs w:val="11"/>
                <w:b w:val="1"/>
                <w:bCs w:val="1"/>
                <w:color w:val="auto"/>
              </w:rPr>
              <w:t>6. Ownership</w:t>
            </w:r>
          </w:p>
        </w:tc>
        <w:tc>
          <w:tcPr>
            <w:tcW w:w="1400" w:type="dxa"/>
            <w:vAlign w:val="bottom"/>
          </w:tcPr>
          <w:p>
            <w:pPr>
              <w:ind w:left="80"/>
              <w:spacing w:after="0"/>
              <w:rPr>
                <w:sz w:val="20"/>
                <w:szCs w:val="20"/>
                <w:color w:val="auto"/>
              </w:rPr>
            </w:pPr>
            <w:r>
              <w:rPr>
                <w:rFonts w:ascii="Arial" w:cs="Arial" w:eastAsia="Arial" w:hAnsi="Arial"/>
                <w:sz w:val="11"/>
                <w:szCs w:val="11"/>
                <w:b w:val="1"/>
                <w:bCs w:val="1"/>
                <w:color w:val="auto"/>
              </w:rPr>
              <w:t>7. Nature of Indirect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ind w:left="680"/>
              <w:spacing w:after="0" w:line="122" w:lineRule="exact"/>
              <w:rPr>
                <w:sz w:val="20"/>
                <w:szCs w:val="20"/>
                <w:color w:val="auto"/>
              </w:rPr>
            </w:pPr>
            <w:r>
              <w:rPr>
                <w:rFonts w:ascii="Arial" w:cs="Arial" w:eastAsia="Arial" w:hAnsi="Arial"/>
                <w:sz w:val="11"/>
                <w:szCs w:val="11"/>
                <w:b w:val="1"/>
                <w:bCs w:val="1"/>
                <w:color w:val="auto"/>
              </w:rPr>
              <w:t>Date</w:t>
            </w: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Transaction</w:t>
            </w:r>
          </w:p>
        </w:tc>
        <w:tc>
          <w:tcPr>
            <w:tcW w:w="2020" w:type="dxa"/>
            <w:vAlign w:val="bottom"/>
            <w:gridSpan w:val="5"/>
          </w:tcPr>
          <w:p>
            <w:pPr>
              <w:ind w:left="6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spacing w:after="0" w:line="122" w:lineRule="exact"/>
              <w:rPr>
                <w:sz w:val="20"/>
                <w:szCs w:val="20"/>
                <w:color w:val="auto"/>
              </w:rPr>
            </w:pPr>
            <w:r>
              <w:rPr>
                <w:rFonts w:ascii="Arial" w:cs="Arial" w:eastAsia="Arial" w:hAnsi="Arial"/>
                <w:sz w:val="11"/>
                <w:szCs w:val="11"/>
                <w:b w:val="1"/>
                <w:bCs w:val="1"/>
                <w:color w:val="auto"/>
              </w:rPr>
              <w:t>Securities</w:t>
            </w:r>
          </w:p>
        </w:tc>
        <w:tc>
          <w:tcPr>
            <w:tcW w:w="1300" w:type="dxa"/>
            <w:vAlign w:val="bottom"/>
            <w:gridSpan w:val="2"/>
          </w:tcPr>
          <w:p>
            <w:pPr>
              <w:ind w:left="440"/>
              <w:spacing w:after="0" w:line="122" w:lineRule="exact"/>
              <w:rPr>
                <w:sz w:val="20"/>
                <w:szCs w:val="20"/>
                <w:color w:val="auto"/>
              </w:rPr>
            </w:pPr>
            <w:r>
              <w:rPr>
                <w:rFonts w:ascii="Arial" w:cs="Arial" w:eastAsia="Arial" w:hAnsi="Arial"/>
                <w:sz w:val="11"/>
                <w:szCs w:val="11"/>
                <w:b w:val="1"/>
                <w:bCs w:val="1"/>
                <w:color w:val="auto"/>
              </w:rPr>
              <w:t>Form: Direct</w:t>
            </w:r>
          </w:p>
        </w:tc>
        <w:tc>
          <w:tcPr>
            <w:tcW w:w="140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Beneficial Ownership</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660" w:type="dxa"/>
            <w:vAlign w:val="bottom"/>
            <w:gridSpan w:val="4"/>
          </w:tcPr>
          <w:p>
            <w:pPr>
              <w:ind w:left="680"/>
              <w:spacing w:after="0" w:line="125" w:lineRule="exact"/>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Code (Instr.</w:t>
            </w:r>
          </w:p>
        </w:tc>
        <w:tc>
          <w:tcPr>
            <w:tcW w:w="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1300" w:type="dxa"/>
            <w:vAlign w:val="bottom"/>
            <w:gridSpan w:val="2"/>
          </w:tcPr>
          <w:p>
            <w:pPr>
              <w:ind w:left="440"/>
              <w:spacing w:after="0" w:line="125" w:lineRule="exact"/>
              <w:rPr>
                <w:sz w:val="20"/>
                <w:szCs w:val="20"/>
                <w:color w:val="auto"/>
              </w:rPr>
            </w:pPr>
            <w:r>
              <w:rPr>
                <w:rFonts w:ascii="Arial" w:cs="Arial" w:eastAsia="Arial" w:hAnsi="Arial"/>
                <w:sz w:val="11"/>
                <w:szCs w:val="11"/>
                <w:b w:val="1"/>
                <w:bCs w:val="1"/>
                <w:color w:val="auto"/>
              </w:rPr>
              <w:t>(D) or Indirect</w:t>
            </w:r>
          </w:p>
        </w:tc>
        <w:tc>
          <w:tcPr>
            <w:tcW w:w="14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(Instr. 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80" w:type="dxa"/>
            <w:vAlign w:val="bottom"/>
          </w:tcPr>
          <w:p>
            <w:pPr>
              <w:jc w:val="right"/>
              <w:ind w:right="5"/>
              <w:spacing w:after="0" w:line="125" w:lineRule="exact"/>
              <w:rPr>
                <w:sz w:val="20"/>
                <w:szCs w:val="20"/>
                <w:color w:val="auto"/>
              </w:rPr>
            </w:pPr>
            <w:r>
              <w:rPr>
                <w:rFonts w:ascii="Arial" w:cs="Arial" w:eastAsia="Arial" w:hAnsi="Arial"/>
                <w:sz w:val="11"/>
                <w:szCs w:val="11"/>
                <w:b w:val="1"/>
                <w:bCs w:val="1"/>
                <w:color w:val="auto"/>
              </w:rPr>
              <w:t>8)</w:t>
            </w: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Owned Following    (I) (Instr. 4)</w:t>
            </w: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vMerge w:val="restart"/>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 or</w:t>
            </w:r>
          </w:p>
        </w:tc>
        <w:tc>
          <w:tcPr>
            <w:tcW w:w="68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5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4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3"/>
            <w:vMerge w:val="continue"/>
          </w:tcPr>
          <w:p>
            <w:pPr>
              <w:spacing w:after="0"/>
              <w:rPr>
                <w:sz w:val="7"/>
                <w:szCs w:val="7"/>
                <w:color w:val="auto"/>
              </w:rPr>
            </w:pPr>
          </w:p>
        </w:tc>
        <w:tc>
          <w:tcPr>
            <w:tcW w:w="15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(Instr. 3 and 4)</w:t>
            </w:r>
          </w:p>
        </w:tc>
        <w:tc>
          <w:tcPr>
            <w:tcW w:w="5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6"/>
                <w:szCs w:val="16"/>
                <w:color w:val="0000FF"/>
              </w:rPr>
              <w:t>Class A Shares</w:t>
            </w:r>
          </w:p>
        </w:tc>
        <w:tc>
          <w:tcPr>
            <w:tcW w:w="1100" w:type="dxa"/>
            <w:vAlign w:val="bottom"/>
          </w:tcPr>
          <w:p>
            <w:pPr>
              <w:spacing w:after="0"/>
              <w:rPr>
                <w:sz w:val="22"/>
                <w:szCs w:val="22"/>
                <w:color w:val="auto"/>
              </w:rPr>
            </w:pPr>
          </w:p>
        </w:tc>
        <w:tc>
          <w:tcPr>
            <w:tcW w:w="1660" w:type="dxa"/>
            <w:vAlign w:val="bottom"/>
            <w:gridSpan w:val="4"/>
          </w:tcPr>
          <w:p>
            <w:pPr>
              <w:ind w:left="780"/>
              <w:spacing w:after="0"/>
              <w:rPr>
                <w:sz w:val="20"/>
                <w:szCs w:val="20"/>
                <w:color w:val="auto"/>
              </w:rPr>
            </w:pPr>
            <w:r>
              <w:rPr>
                <w:rFonts w:ascii="Arial" w:cs="Arial" w:eastAsia="Arial" w:hAnsi="Arial"/>
                <w:sz w:val="16"/>
                <w:szCs w:val="16"/>
                <w:color w:val="0000FF"/>
              </w:rPr>
              <w:t>06/30/2015</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gridSpan w:val="2"/>
          </w:tcPr>
          <w:p>
            <w:pPr>
              <w:ind w:left="20"/>
              <w:spacing w:after="0" w:line="263" w:lineRule="exact"/>
              <w:rPr>
                <w:sz w:val="20"/>
                <w:szCs w:val="20"/>
                <w:color w:val="auto"/>
              </w:rPr>
            </w:pPr>
            <w:r>
              <w:rPr>
                <w:rFonts w:ascii="Arial" w:cs="Arial" w:eastAsia="Arial" w:hAnsi="Arial"/>
                <w:sz w:val="24"/>
                <w:szCs w:val="24"/>
                <w:color w:val="0000FF"/>
                <w:vertAlign w:val="subscript"/>
              </w:rPr>
              <w:t>A</w:t>
            </w:r>
            <w:r>
              <w:rPr>
                <w:rFonts w:ascii="Arial" w:cs="Arial" w:eastAsia="Arial" w:hAnsi="Arial"/>
                <w:sz w:val="10"/>
                <w:szCs w:val="10"/>
                <w:color w:val="008000"/>
              </w:rPr>
              <w:t>(3)(5)</w:t>
            </w:r>
          </w:p>
        </w:tc>
        <w:tc>
          <w:tcPr>
            <w:tcW w:w="860" w:type="dxa"/>
            <w:vAlign w:val="bottom"/>
          </w:tcPr>
          <w:p>
            <w:pPr>
              <w:jc w:val="right"/>
              <w:ind w:right="37"/>
              <w:spacing w:after="0"/>
              <w:rPr>
                <w:sz w:val="20"/>
                <w:szCs w:val="20"/>
                <w:color w:val="auto"/>
              </w:rPr>
            </w:pPr>
            <w:r>
              <w:rPr>
                <w:rFonts w:ascii="Arial" w:cs="Arial" w:eastAsia="Arial" w:hAnsi="Arial"/>
                <w:sz w:val="16"/>
                <w:szCs w:val="16"/>
                <w:color w:val="0000FF"/>
                <w:w w:val="99"/>
              </w:rPr>
              <w:t>521,644</w:t>
            </w:r>
            <w:r>
              <w:rPr>
                <w:rFonts w:ascii="Arial" w:cs="Arial" w:eastAsia="Arial" w:hAnsi="Arial"/>
                <w:sz w:val="20"/>
                <w:szCs w:val="20"/>
                <w:color w:val="008000"/>
                <w:w w:val="99"/>
                <w:vertAlign w:val="superscript"/>
              </w:rPr>
              <w:t>(5)</w:t>
            </w:r>
          </w:p>
        </w:tc>
        <w:tc>
          <w:tcPr>
            <w:tcW w:w="480" w:type="dxa"/>
            <w:vAlign w:val="bottom"/>
          </w:tcPr>
          <w:p>
            <w:pPr>
              <w:jc w:val="center"/>
              <w:spacing w:after="0"/>
              <w:rPr>
                <w:sz w:val="20"/>
                <w:szCs w:val="20"/>
                <w:color w:val="auto"/>
              </w:rPr>
            </w:pPr>
            <w:r>
              <w:rPr>
                <w:rFonts w:ascii="Arial" w:cs="Arial" w:eastAsia="Arial" w:hAnsi="Arial"/>
                <w:sz w:val="16"/>
                <w:szCs w:val="16"/>
                <w:color w:val="0000FF"/>
              </w:rPr>
              <w:t>A</w:t>
            </w:r>
          </w:p>
        </w:tc>
        <w:tc>
          <w:tcPr>
            <w:tcW w:w="620" w:type="dxa"/>
            <w:vAlign w:val="bottom"/>
          </w:tcPr>
          <w:p>
            <w:pPr>
              <w:ind w:left="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00" w:type="dxa"/>
            <w:vAlign w:val="bottom"/>
            <w:gridSpan w:val="2"/>
          </w:tcPr>
          <w:p>
            <w:pPr>
              <w:jc w:val="center"/>
              <w:ind w:right="583"/>
              <w:spacing w:after="0"/>
              <w:rPr>
                <w:sz w:val="20"/>
                <w:szCs w:val="20"/>
                <w:color w:val="auto"/>
              </w:rPr>
            </w:pPr>
            <w:r>
              <w:rPr>
                <w:rFonts w:ascii="Arial" w:cs="Arial" w:eastAsia="Arial" w:hAnsi="Arial"/>
                <w:sz w:val="16"/>
                <w:szCs w:val="16"/>
                <w:color w:val="0000FF"/>
              </w:rPr>
              <w:t>521,644</w:t>
            </w:r>
            <w:r>
              <w:rPr>
                <w:rFonts w:ascii="Arial" w:cs="Arial" w:eastAsia="Arial" w:hAnsi="Arial"/>
                <w:sz w:val="20"/>
                <w:szCs w:val="20"/>
                <w:color w:val="008000"/>
                <w:vertAlign w:val="superscript"/>
              </w:rPr>
              <w:t>(5)</w:t>
            </w:r>
          </w:p>
        </w:tc>
        <w:tc>
          <w:tcPr>
            <w:tcW w:w="500" w:type="dxa"/>
            <w:vAlign w:val="bottom"/>
          </w:tcPr>
          <w:p>
            <w:pPr>
              <w:ind w:left="20"/>
              <w:spacing w:after="0"/>
              <w:rPr>
                <w:sz w:val="20"/>
                <w:szCs w:val="20"/>
                <w:color w:val="auto"/>
              </w:rPr>
            </w:pPr>
            <w:r>
              <w:rPr>
                <w:rFonts w:ascii="Arial" w:cs="Arial" w:eastAsia="Arial" w:hAnsi="Arial"/>
                <w:sz w:val="16"/>
                <w:szCs w:val="16"/>
                <w:color w:val="0000FF"/>
              </w:rPr>
              <w:t>I</w:t>
            </w:r>
          </w:p>
        </w:tc>
        <w:tc>
          <w:tcPr>
            <w:tcW w:w="1400" w:type="dxa"/>
            <w:vAlign w:val="bottom"/>
          </w:tcPr>
          <w:p>
            <w:pPr>
              <w:ind w:left="80"/>
              <w:spacing w:after="0"/>
              <w:rPr>
                <w:sz w:val="20"/>
                <w:szCs w:val="20"/>
                <w:color w:val="auto"/>
              </w:rPr>
            </w:pPr>
            <w:r>
              <w:rPr>
                <w:rFonts w:ascii="Arial" w:cs="Arial" w:eastAsia="Arial" w:hAnsi="Arial"/>
                <w:sz w:val="16"/>
                <w:szCs w:val="16"/>
                <w:color w:val="0000FF"/>
                <w:w w:val="95"/>
              </w:rPr>
              <w:t>See Footnotes</w:t>
            </w:r>
            <w:r>
              <w:rPr>
                <w:rFonts w:ascii="Arial" w:cs="Arial" w:eastAsia="Arial" w:hAnsi="Arial"/>
                <w:sz w:val="20"/>
                <w:szCs w:val="20"/>
                <w:color w:val="008000"/>
                <w:w w:val="95"/>
                <w:vertAlign w:val="superscript"/>
              </w:rPr>
              <w:t>(1)(2)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0" w:type="dxa"/>
            <w:vAlign w:val="bottom"/>
          </w:tcPr>
          <w:p>
            <w:pPr>
              <w:ind w:left="80"/>
              <w:spacing w:after="0"/>
              <w:rPr>
                <w:sz w:val="20"/>
                <w:szCs w:val="20"/>
                <w:color w:val="auto"/>
              </w:rPr>
            </w:pPr>
            <w:r>
              <w:rPr>
                <w:rFonts w:ascii="Arial" w:cs="Arial" w:eastAsia="Arial" w:hAnsi="Arial"/>
                <w:sz w:val="10"/>
                <w:szCs w:val="10"/>
                <w:color w:val="008000"/>
              </w:rPr>
              <w:t>(3)(4)(5)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6"/>
                <w:szCs w:val="16"/>
                <w:color w:val="0000FF"/>
              </w:rPr>
              <w:t>Class A Shares</w:t>
            </w:r>
          </w:p>
        </w:tc>
        <w:tc>
          <w:tcPr>
            <w:tcW w:w="1100" w:type="dxa"/>
            <w:vAlign w:val="bottom"/>
          </w:tcPr>
          <w:p>
            <w:pPr>
              <w:spacing w:after="0"/>
              <w:rPr>
                <w:sz w:val="22"/>
                <w:szCs w:val="22"/>
                <w:color w:val="auto"/>
              </w:rPr>
            </w:pPr>
          </w:p>
        </w:tc>
        <w:tc>
          <w:tcPr>
            <w:tcW w:w="1660" w:type="dxa"/>
            <w:vAlign w:val="bottom"/>
            <w:gridSpan w:val="4"/>
          </w:tcPr>
          <w:p>
            <w:pPr>
              <w:ind w:left="780"/>
              <w:spacing w:after="0"/>
              <w:rPr>
                <w:sz w:val="20"/>
                <w:szCs w:val="20"/>
                <w:color w:val="auto"/>
              </w:rPr>
            </w:pPr>
            <w:r>
              <w:rPr>
                <w:rFonts w:ascii="Arial" w:cs="Arial" w:eastAsia="Arial" w:hAnsi="Arial"/>
                <w:sz w:val="16"/>
                <w:szCs w:val="16"/>
                <w:color w:val="0000FF"/>
              </w:rPr>
              <w:t>06/30/2015</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gridSpan w:val="2"/>
          </w:tcPr>
          <w:p>
            <w:pPr>
              <w:ind w:left="40"/>
              <w:spacing w:after="0" w:line="263" w:lineRule="exact"/>
              <w:rPr>
                <w:sz w:val="20"/>
                <w:szCs w:val="20"/>
                <w:color w:val="auto"/>
              </w:rPr>
            </w:pPr>
            <w:r>
              <w:rPr>
                <w:rFonts w:ascii="Arial" w:cs="Arial" w:eastAsia="Arial" w:hAnsi="Arial"/>
                <w:sz w:val="24"/>
                <w:szCs w:val="24"/>
                <w:color w:val="0000FF"/>
                <w:vertAlign w:val="subscript"/>
              </w:rPr>
              <w:t>J</w:t>
            </w:r>
            <w:r>
              <w:rPr>
                <w:rFonts w:ascii="Arial" w:cs="Arial" w:eastAsia="Arial" w:hAnsi="Arial"/>
                <w:sz w:val="10"/>
                <w:szCs w:val="10"/>
                <w:color w:val="008000"/>
              </w:rPr>
              <w:t>(3)(5)</w:t>
            </w:r>
          </w:p>
        </w:tc>
        <w:tc>
          <w:tcPr>
            <w:tcW w:w="860" w:type="dxa"/>
            <w:vAlign w:val="bottom"/>
          </w:tcPr>
          <w:p>
            <w:pPr>
              <w:jc w:val="right"/>
              <w:ind w:right="37"/>
              <w:spacing w:after="0"/>
              <w:rPr>
                <w:sz w:val="20"/>
                <w:szCs w:val="20"/>
                <w:color w:val="auto"/>
              </w:rPr>
            </w:pPr>
            <w:r>
              <w:rPr>
                <w:rFonts w:ascii="Arial" w:cs="Arial" w:eastAsia="Arial" w:hAnsi="Arial"/>
                <w:sz w:val="16"/>
                <w:szCs w:val="16"/>
                <w:color w:val="0000FF"/>
                <w:w w:val="99"/>
              </w:rPr>
              <w:t>521,644</w:t>
            </w:r>
            <w:r>
              <w:rPr>
                <w:rFonts w:ascii="Arial" w:cs="Arial" w:eastAsia="Arial" w:hAnsi="Arial"/>
                <w:sz w:val="20"/>
                <w:szCs w:val="20"/>
                <w:color w:val="008000"/>
                <w:w w:val="99"/>
                <w:vertAlign w:val="superscript"/>
              </w:rPr>
              <w:t>(5)</w:t>
            </w:r>
          </w:p>
        </w:tc>
        <w:tc>
          <w:tcPr>
            <w:tcW w:w="480" w:type="dxa"/>
            <w:vAlign w:val="bottom"/>
          </w:tcPr>
          <w:p>
            <w:pPr>
              <w:jc w:val="center"/>
              <w:spacing w:after="0"/>
              <w:rPr>
                <w:sz w:val="20"/>
                <w:szCs w:val="20"/>
                <w:color w:val="auto"/>
              </w:rPr>
            </w:pPr>
            <w:r>
              <w:rPr>
                <w:rFonts w:ascii="Arial" w:cs="Arial" w:eastAsia="Arial" w:hAnsi="Arial"/>
                <w:sz w:val="16"/>
                <w:szCs w:val="16"/>
                <w:color w:val="0000FF"/>
              </w:rPr>
              <w:t>D</w:t>
            </w:r>
          </w:p>
        </w:tc>
        <w:tc>
          <w:tcPr>
            <w:tcW w:w="620" w:type="dxa"/>
            <w:vAlign w:val="bottom"/>
          </w:tcPr>
          <w:p>
            <w:pPr>
              <w:ind w:left="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0000FF"/>
              </w:rPr>
              <w:t>0</w:t>
            </w:r>
          </w:p>
        </w:tc>
        <w:tc>
          <w:tcPr>
            <w:tcW w:w="800" w:type="dxa"/>
            <w:vAlign w:val="bottom"/>
          </w:tcPr>
          <w:p>
            <w:pPr>
              <w:spacing w:after="0"/>
              <w:rPr>
                <w:sz w:val="22"/>
                <w:szCs w:val="22"/>
                <w:color w:val="auto"/>
              </w:rPr>
            </w:pPr>
          </w:p>
        </w:tc>
        <w:tc>
          <w:tcPr>
            <w:tcW w:w="500" w:type="dxa"/>
            <w:vAlign w:val="bottom"/>
          </w:tcPr>
          <w:p>
            <w:pPr>
              <w:ind w:left="20"/>
              <w:spacing w:after="0"/>
              <w:rPr>
                <w:sz w:val="20"/>
                <w:szCs w:val="20"/>
                <w:color w:val="auto"/>
              </w:rPr>
            </w:pPr>
            <w:r>
              <w:rPr>
                <w:rFonts w:ascii="Arial" w:cs="Arial" w:eastAsia="Arial" w:hAnsi="Arial"/>
                <w:sz w:val="16"/>
                <w:szCs w:val="16"/>
                <w:color w:val="0000FF"/>
              </w:rPr>
              <w:t>I</w:t>
            </w:r>
          </w:p>
        </w:tc>
        <w:tc>
          <w:tcPr>
            <w:tcW w:w="1400" w:type="dxa"/>
            <w:vAlign w:val="bottom"/>
          </w:tcPr>
          <w:p>
            <w:pPr>
              <w:ind w:left="80"/>
              <w:spacing w:after="0"/>
              <w:rPr>
                <w:sz w:val="20"/>
                <w:szCs w:val="20"/>
                <w:color w:val="auto"/>
              </w:rPr>
            </w:pPr>
            <w:r>
              <w:rPr>
                <w:rFonts w:ascii="Arial" w:cs="Arial" w:eastAsia="Arial" w:hAnsi="Arial"/>
                <w:sz w:val="16"/>
                <w:szCs w:val="16"/>
                <w:color w:val="0000FF"/>
                <w:w w:val="95"/>
              </w:rPr>
              <w:t>See Footnotes</w:t>
            </w:r>
            <w:r>
              <w:rPr>
                <w:rFonts w:ascii="Arial" w:cs="Arial" w:eastAsia="Arial" w:hAnsi="Arial"/>
                <w:sz w:val="20"/>
                <w:szCs w:val="20"/>
                <w:color w:val="008000"/>
                <w:w w:val="95"/>
                <w:vertAlign w:val="superscript"/>
              </w:rPr>
              <w:t>(1)(2)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0" w:type="dxa"/>
            <w:vAlign w:val="bottom"/>
          </w:tcPr>
          <w:p>
            <w:pPr>
              <w:ind w:left="80"/>
              <w:spacing w:after="0"/>
              <w:rPr>
                <w:sz w:val="20"/>
                <w:szCs w:val="20"/>
                <w:color w:val="auto"/>
              </w:rPr>
            </w:pPr>
            <w:r>
              <w:rPr>
                <w:rFonts w:ascii="Arial" w:cs="Arial" w:eastAsia="Arial" w:hAnsi="Arial"/>
                <w:sz w:val="10"/>
                <w:szCs w:val="10"/>
                <w:color w:val="008000"/>
              </w:rPr>
              <w:t>(3)(4)(5)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gridSpan w:val="2"/>
          </w:tcPr>
          <w:p>
            <w:pPr>
              <w:spacing w:after="0"/>
              <w:rPr>
                <w:sz w:val="7"/>
                <w:szCs w:val="7"/>
                <w:color w:val="auto"/>
              </w:rPr>
            </w:pPr>
          </w:p>
        </w:tc>
        <w:tc>
          <w:tcPr>
            <w:tcW w:w="1660" w:type="dxa"/>
            <w:vAlign w:val="bottom"/>
            <w:tcBorders>
              <w:bottom w:val="single" w:sz="8" w:color="2C2C2C"/>
            </w:tcBorders>
            <w:gridSpan w:val="4"/>
          </w:tcPr>
          <w:p>
            <w:pPr>
              <w:spacing w:after="0"/>
              <w:rPr>
                <w:sz w:val="7"/>
                <w:szCs w:val="7"/>
                <w:color w:val="auto"/>
              </w:rPr>
            </w:pPr>
          </w:p>
        </w:tc>
        <w:tc>
          <w:tcPr>
            <w:tcW w:w="2760" w:type="dxa"/>
            <w:vAlign w:val="bottom"/>
            <w:tcBorders>
              <w:bottom w:val="single" w:sz="8" w:color="2C2C2C"/>
            </w:tcBorders>
            <w:gridSpan w:val="6"/>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gridSpan w:val="2"/>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1100" w:type="dxa"/>
            <w:vAlign w:val="bottom"/>
            <w:tcBorders>
              <w:top w:val="single" w:sz="8" w:color="2C2C2C"/>
            </w:tcBorders>
          </w:tcPr>
          <w:p>
            <w:pPr>
              <w:spacing w:after="0"/>
              <w:rPr>
                <w:sz w:val="17"/>
                <w:szCs w:val="17"/>
                <w:color w:val="auto"/>
              </w:rPr>
            </w:pPr>
          </w:p>
        </w:tc>
        <w:tc>
          <w:tcPr>
            <w:tcW w:w="6240" w:type="dxa"/>
            <w:vAlign w:val="bottom"/>
            <w:tcBorders>
              <w:top w:val="single" w:sz="8" w:color="2C2C2C"/>
            </w:tcBorders>
            <w:gridSpan w:val="15"/>
          </w:tcPr>
          <w:p>
            <w:pPr>
              <w:jc w:val="center"/>
              <w:ind w:left="254"/>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800" w:type="dxa"/>
            <w:vAlign w:val="bottom"/>
            <w:tcBorders>
              <w:top w:val="single" w:sz="8" w:color="2C2C2C"/>
            </w:tcBorders>
          </w:tcPr>
          <w:p>
            <w:pPr>
              <w:spacing w:after="0"/>
              <w:rPr>
                <w:sz w:val="17"/>
                <w:szCs w:val="17"/>
                <w:color w:val="auto"/>
              </w:rPr>
            </w:pPr>
          </w:p>
        </w:tc>
        <w:tc>
          <w:tcPr>
            <w:tcW w:w="500" w:type="dxa"/>
            <w:vAlign w:val="bottom"/>
            <w:tcBorders>
              <w:top w:val="single" w:sz="8" w:color="2C2C2C"/>
            </w:tcBorders>
          </w:tcPr>
          <w:p>
            <w:pPr>
              <w:spacing w:after="0"/>
              <w:rPr>
                <w:sz w:val="17"/>
                <w:szCs w:val="17"/>
                <w:color w:val="auto"/>
              </w:rPr>
            </w:pPr>
          </w:p>
        </w:tc>
        <w:tc>
          <w:tcPr>
            <w:tcW w:w="1400" w:type="dxa"/>
            <w:vAlign w:val="bottom"/>
            <w:tcBorders>
              <w:top w:val="single" w:sz="8" w:color="2C2C2C"/>
            </w:tcBorders>
          </w:tcPr>
          <w:p>
            <w:pPr>
              <w:spacing w:after="0"/>
              <w:rPr>
                <w:sz w:val="17"/>
                <w:szCs w:val="17"/>
                <w:color w:val="auto"/>
              </w:rPr>
            </w:pPr>
          </w:p>
        </w:tc>
        <w:tc>
          <w:tcPr>
            <w:tcW w:w="100" w:type="dxa"/>
            <w:vAlign w:val="bottom"/>
            <w:tcBorders>
              <w:top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520" w:type="dxa"/>
            <w:vAlign w:val="bottom"/>
            <w:gridSpan w:val="13"/>
          </w:tcPr>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0" w:type="dxa"/>
            <w:vAlign w:val="bottom"/>
          </w:tcPr>
          <w:p>
            <w:pPr>
              <w:spacing w:after="0"/>
              <w:rPr>
                <w:sz w:val="13"/>
                <w:szCs w:val="13"/>
                <w:color w:val="auto"/>
              </w:rPr>
            </w:pPr>
          </w:p>
        </w:tc>
        <w:tc>
          <w:tcPr>
            <w:tcW w:w="1040" w:type="dxa"/>
            <w:vAlign w:val="bottom"/>
            <w:gridSpan w:val="3"/>
          </w:tcPr>
          <w:p>
            <w:pPr>
              <w:ind w:left="60"/>
              <w:spacing w:after="0"/>
              <w:rPr>
                <w:sz w:val="20"/>
                <w:szCs w:val="20"/>
                <w:color w:val="auto"/>
              </w:rPr>
            </w:pPr>
            <w:r>
              <w:rPr>
                <w:rFonts w:ascii="Arial" w:cs="Arial" w:eastAsia="Arial" w:hAnsi="Arial"/>
                <w:sz w:val="11"/>
                <w:szCs w:val="11"/>
                <w:b w:val="1"/>
                <w:bCs w:val="1"/>
                <w:color w:val="auto"/>
              </w:rPr>
              <w:t>4. Transaction</w:t>
            </w:r>
          </w:p>
        </w:tc>
        <w:tc>
          <w:tcPr>
            <w:tcW w:w="840" w:type="dxa"/>
            <w:vAlign w:val="bottom"/>
            <w:gridSpan w:val="3"/>
          </w:tcPr>
          <w:p>
            <w:pPr>
              <w:ind w:left="8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16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400" w:type="dxa"/>
            <w:vAlign w:val="bottom"/>
          </w:tcPr>
          <w:p>
            <w:pPr>
              <w:ind w:left="320"/>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10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Code (Instr. 8)</w:t>
            </w:r>
          </w:p>
        </w:tc>
        <w:tc>
          <w:tcPr>
            <w:tcW w:w="6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80" w:type="dxa"/>
            <w:vAlign w:val="bottom"/>
          </w:tcPr>
          <w:p>
            <w:pPr>
              <w:spacing w:after="0"/>
              <w:rPr>
                <w:sz w:val="10"/>
                <w:szCs w:val="10"/>
                <w:color w:val="auto"/>
              </w:rPr>
            </w:pP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1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Amount of</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8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9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Ownership  Indirect 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180" w:type="dxa"/>
            <w:vAlign w:val="bottom"/>
          </w:tcPr>
          <w:p>
            <w:pPr>
              <w:spacing w:after="0"/>
              <w:rPr>
                <w:sz w:val="10"/>
                <w:szCs w:val="10"/>
                <w:color w:val="auto"/>
              </w:rPr>
            </w:pP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1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Security</w:t>
            </w:r>
          </w:p>
        </w:tc>
        <w:tc>
          <w:tcPr>
            <w:tcW w:w="8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w:t>
            </w:r>
          </w:p>
        </w:tc>
        <w:tc>
          <w:tcPr>
            <w:tcW w:w="1400" w:type="dxa"/>
            <w:vAlign w:val="bottom"/>
          </w:tcPr>
          <w:p>
            <w:pPr>
              <w:ind w:left="320"/>
              <w:spacing w:after="0" w:line="125" w:lineRule="exact"/>
              <w:rPr>
                <w:sz w:val="20"/>
                <w:szCs w:val="20"/>
                <w:color w:val="auto"/>
              </w:rPr>
            </w:pPr>
            <w:r>
              <w:rPr>
                <w:rFonts w:ascii="Arial" w:cs="Arial" w:eastAsia="Arial" w:hAnsi="Arial"/>
                <w:sz w:val="11"/>
                <w:szCs w:val="11"/>
                <w:b w:val="1"/>
                <w:bCs w:val="1"/>
                <w:color w:val="auto"/>
              </w:rPr>
              <w:t>Ownership (Instr. 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100" w:type="dxa"/>
            <w:vAlign w:val="bottom"/>
          </w:tcPr>
          <w:p>
            <w:pPr>
              <w:spacing w:after="0"/>
              <w:rPr>
                <w:sz w:val="10"/>
                <w:szCs w:val="10"/>
                <w:color w:val="auto"/>
              </w:rPr>
            </w:pPr>
          </w:p>
        </w:tc>
        <w:tc>
          <w:tcPr>
            <w:tcW w:w="10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Acquired (A)</w:t>
            </w: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Underlying</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5)</w:t>
            </w:r>
          </w:p>
        </w:tc>
        <w:tc>
          <w:tcPr>
            <w:tcW w:w="8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19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Direct (D)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or Disposed</w:t>
            </w: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spacing w:after="0"/>
              <w:rPr>
                <w:sz w:val="10"/>
                <w:szCs w:val="10"/>
                <w:color w:val="auto"/>
              </w:rPr>
            </w:pPr>
          </w:p>
        </w:tc>
        <w:tc>
          <w:tcPr>
            <w:tcW w:w="8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19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or Indirect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of (D) (Instr.</w:t>
            </w: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Security (Instr. 3</w:t>
            </w:r>
          </w:p>
        </w:tc>
        <w:tc>
          <w:tcPr>
            <w:tcW w:w="700" w:type="dxa"/>
            <w:vAlign w:val="bottom"/>
          </w:tcPr>
          <w:p>
            <w:pPr>
              <w:spacing w:after="0"/>
              <w:rPr>
                <w:sz w:val="10"/>
                <w:szCs w:val="10"/>
                <w:color w:val="auto"/>
              </w:rPr>
            </w:pPr>
          </w:p>
        </w:tc>
        <w:tc>
          <w:tcPr>
            <w:tcW w:w="8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19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3, 4 and 5)</w:t>
            </w: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and 4)</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0"/>
                <w:szCs w:val="10"/>
                <w:color w:val="auto"/>
              </w:rPr>
            </w:pPr>
          </w:p>
        </w:tc>
        <w:tc>
          <w:tcPr>
            <w:tcW w:w="8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860" w:type="dxa"/>
            <w:vAlign w:val="bottom"/>
          </w:tcPr>
          <w:p>
            <w:pPr>
              <w:jc w:val="center"/>
              <w:ind w:left="117"/>
              <w:spacing w:after="0" w:line="125" w:lineRule="exact"/>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68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w:t>
            </w:r>
          </w:p>
        </w:tc>
        <w:tc>
          <w:tcPr>
            <w:tcW w:w="440" w:type="dxa"/>
            <w:vAlign w:val="bottom"/>
          </w:tcPr>
          <w:p>
            <w:pPr>
              <w:ind w:left="300"/>
              <w:spacing w:after="0"/>
              <w:rPr>
                <w:sz w:val="20"/>
                <w:szCs w:val="20"/>
                <w:color w:val="auto"/>
              </w:rPr>
            </w:pPr>
            <w:r>
              <w:rPr>
                <w:rFonts w:ascii="Arial" w:cs="Arial" w:eastAsia="Arial" w:hAnsi="Arial"/>
                <w:sz w:val="11"/>
                <w:szCs w:val="11"/>
                <w:b w:val="1"/>
                <w:bCs w:val="1"/>
                <w:color w:val="auto"/>
              </w:rPr>
              <w:t>V</w:t>
            </w:r>
          </w:p>
        </w:tc>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(A)  (D)</w:t>
            </w:r>
          </w:p>
        </w:tc>
        <w:tc>
          <w:tcPr>
            <w:tcW w:w="180" w:type="dxa"/>
            <w:vAlign w:val="bottom"/>
          </w:tcPr>
          <w:p>
            <w:pPr>
              <w:spacing w:after="0"/>
              <w:rPr>
                <w:sz w:val="12"/>
                <w:szCs w:val="12"/>
                <w:color w:val="auto"/>
              </w:rPr>
            </w:pP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  Date</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Class A</w:t>
            </w: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vMerge w:val="restart"/>
          </w:tcPr>
          <w:p>
            <w:pPr>
              <w:jc w:val="center"/>
              <w:spacing w:after="0"/>
              <w:rPr>
                <w:sz w:val="20"/>
                <w:szCs w:val="20"/>
                <w:color w:val="auto"/>
              </w:rPr>
            </w:pPr>
            <w:r>
              <w:rPr>
                <w:rFonts w:ascii="Arial" w:cs="Arial" w:eastAsia="Arial" w:hAnsi="Arial"/>
                <w:sz w:val="12"/>
                <w:szCs w:val="12"/>
                <w:color w:val="0000FF"/>
                <w:w w:val="93"/>
              </w:rPr>
              <w:t>Class</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vMerge w:val="restart"/>
          </w:tcPr>
          <w:p>
            <w:pPr>
              <w:ind w:left="1020"/>
              <w:spacing w:after="0"/>
              <w:rPr>
                <w:sz w:val="20"/>
                <w:szCs w:val="20"/>
                <w:color w:val="auto"/>
              </w:rPr>
            </w:pPr>
            <w:r>
              <w:rPr>
                <w:rFonts w:ascii="Arial" w:cs="Arial" w:eastAsia="Arial" w:hAnsi="Arial"/>
                <w:sz w:val="10"/>
                <w:szCs w:val="10"/>
                <w:color w:val="008000"/>
                <w:w w:val="98"/>
              </w:rPr>
              <w:t>(1)(2)(3)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21" w:lineRule="exact"/>
              <w:rPr>
                <w:sz w:val="20"/>
                <w:szCs w:val="20"/>
                <w:color w:val="auto"/>
              </w:rPr>
            </w:pPr>
            <w:r>
              <w:rPr>
                <w:rFonts w:ascii="Arial" w:cs="Arial" w:eastAsia="Arial" w:hAnsi="Arial"/>
                <w:sz w:val="12"/>
                <w:szCs w:val="12"/>
                <w:color w:val="0000FF"/>
              </w:rPr>
              <w:t>Units in</w:t>
            </w:r>
          </w:p>
        </w:tc>
        <w:tc>
          <w:tcPr>
            <w:tcW w:w="7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gridSpan w:val="3"/>
            <w:vMerge w:val="restart"/>
          </w:tcPr>
          <w:p>
            <w:pPr>
              <w:ind w:left="60"/>
              <w:spacing w:after="0" w:line="184" w:lineRule="exact"/>
              <w:rPr>
                <w:sz w:val="20"/>
                <w:szCs w:val="20"/>
                <w:color w:val="auto"/>
              </w:rPr>
            </w:pPr>
            <w:r>
              <w:rPr>
                <w:rFonts w:ascii="Arial" w:cs="Arial" w:eastAsia="Arial" w:hAnsi="Arial"/>
                <w:sz w:val="21"/>
                <w:szCs w:val="21"/>
                <w:color w:val="0000FF"/>
                <w:vertAlign w:val="subscript"/>
              </w:rPr>
              <w:t>M</w:t>
            </w:r>
            <w:r>
              <w:rPr>
                <w:rFonts w:ascii="Arial" w:cs="Arial" w:eastAsia="Arial" w:hAnsi="Arial"/>
                <w:sz w:val="10"/>
                <w:szCs w:val="10"/>
                <w:color w:val="008000"/>
              </w:rPr>
              <w:t>(1)(2)(3)(4)(5)</w:t>
            </w: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260"/>
              <w:spacing w:after="0"/>
              <w:rPr>
                <w:sz w:val="20"/>
                <w:szCs w:val="20"/>
                <w:color w:val="auto"/>
              </w:rPr>
            </w:pPr>
            <w:r>
              <w:rPr>
                <w:rFonts w:ascii="Arial" w:cs="Arial" w:eastAsia="Arial" w:hAnsi="Arial"/>
                <w:sz w:val="10"/>
                <w:szCs w:val="10"/>
                <w:color w:val="008000"/>
              </w:rPr>
              <w:t>(1)(2)</w:t>
            </w:r>
          </w:p>
        </w:tc>
        <w:tc>
          <w:tcPr>
            <w:tcW w:w="860" w:type="dxa"/>
            <w:vAlign w:val="bottom"/>
            <w:vMerge w:val="restart"/>
          </w:tcPr>
          <w:p>
            <w:pPr>
              <w:jc w:val="right"/>
              <w:ind w:right="157"/>
              <w:spacing w:after="0"/>
              <w:rPr>
                <w:sz w:val="20"/>
                <w:szCs w:val="20"/>
                <w:color w:val="auto"/>
              </w:rPr>
            </w:pPr>
            <w:r>
              <w:rPr>
                <w:rFonts w:ascii="Arial" w:cs="Arial" w:eastAsia="Arial" w:hAnsi="Arial"/>
                <w:sz w:val="10"/>
                <w:szCs w:val="10"/>
                <w:color w:val="008000"/>
              </w:rPr>
              <w:t>(1)(2)</w:t>
            </w:r>
          </w:p>
        </w:tc>
        <w:tc>
          <w:tcPr>
            <w:tcW w:w="480" w:type="dxa"/>
            <w:vAlign w:val="bottom"/>
            <w:vMerge w:val="continue"/>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6"/>
                <w:szCs w:val="16"/>
                <w:color w:val="0000FF"/>
                <w:w w:val="93"/>
              </w:rPr>
              <w:t>521,644</w:t>
            </w: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00" w:type="dxa"/>
            <w:vAlign w:val="bottom"/>
            <w:vMerge w:val="restart"/>
          </w:tcPr>
          <w:p>
            <w:pPr>
              <w:ind w:left="320"/>
              <w:spacing w:after="0" w:line="121"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100" w:type="dxa"/>
            <w:vAlign w:val="bottom"/>
            <w:vMerge w:val="restart"/>
          </w:tcPr>
          <w:p>
            <w:pPr>
              <w:ind w:left="300"/>
              <w:spacing w:after="0" w:line="121" w:lineRule="exact"/>
              <w:rPr>
                <w:sz w:val="20"/>
                <w:szCs w:val="20"/>
                <w:color w:val="auto"/>
              </w:rPr>
            </w:pPr>
            <w:r>
              <w:rPr>
                <w:rFonts w:ascii="Arial" w:cs="Arial" w:eastAsia="Arial" w:hAnsi="Arial"/>
                <w:sz w:val="12"/>
                <w:szCs w:val="12"/>
                <w:color w:val="0000FF"/>
              </w:rPr>
              <w:t>06/30/2015</w:t>
            </w: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840" w:type="dxa"/>
            <w:vAlign w:val="bottom"/>
            <w:gridSpan w:val="3"/>
            <w:vMerge w:val="restart"/>
          </w:tcPr>
          <w:p>
            <w:pPr>
              <w:jc w:val="right"/>
              <w:ind w:right="5"/>
              <w:spacing w:after="0" w:line="121" w:lineRule="exact"/>
              <w:rPr>
                <w:sz w:val="20"/>
                <w:szCs w:val="20"/>
                <w:color w:val="auto"/>
              </w:rPr>
            </w:pPr>
            <w:r>
              <w:rPr>
                <w:rFonts w:ascii="Arial" w:cs="Arial" w:eastAsia="Arial" w:hAnsi="Arial"/>
                <w:sz w:val="12"/>
                <w:szCs w:val="12"/>
                <w:color w:val="0000FF"/>
              </w:rPr>
              <w:t>521,644</w:t>
            </w:r>
          </w:p>
        </w:tc>
        <w:tc>
          <w:tcPr>
            <w:tcW w:w="58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480" w:type="dxa"/>
            <w:vAlign w:val="bottom"/>
            <w:vMerge w:val="restart"/>
          </w:tcPr>
          <w:p>
            <w:pPr>
              <w:jc w:val="center"/>
              <w:spacing w:after="0" w:line="121" w:lineRule="exact"/>
              <w:rPr>
                <w:sz w:val="20"/>
                <w:szCs w:val="20"/>
                <w:color w:val="auto"/>
              </w:rPr>
            </w:pPr>
            <w:r>
              <w:rPr>
                <w:rFonts w:ascii="Arial" w:cs="Arial" w:eastAsia="Arial" w:hAnsi="Arial"/>
                <w:sz w:val="12"/>
                <w:szCs w:val="12"/>
                <w:color w:val="0000FF"/>
                <w:w w:val="99"/>
              </w:rPr>
              <w:t>A</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vMerge w:val="restart"/>
          </w:tcPr>
          <w:p>
            <w:pPr>
              <w:ind w:left="240"/>
              <w:spacing w:after="0" w:line="121"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00" w:type="dxa"/>
            <w:vAlign w:val="bottom"/>
            <w:vMerge w:val="restart"/>
          </w:tcPr>
          <w:p>
            <w:pPr>
              <w:ind w:left="80"/>
              <w:spacing w:after="0" w:line="121" w:lineRule="exact"/>
              <w:rPr>
                <w:sz w:val="20"/>
                <w:szCs w:val="20"/>
                <w:color w:val="auto"/>
              </w:rPr>
            </w:pPr>
            <w:r>
              <w:rPr>
                <w:rFonts w:ascii="Arial" w:cs="Arial" w:eastAsia="Arial" w:hAnsi="Arial"/>
                <w:sz w:val="12"/>
                <w:szCs w:val="12"/>
                <w:color w:val="0000FF"/>
              </w:rPr>
              <w:t>100,569,509</w:t>
            </w:r>
          </w:p>
        </w:tc>
        <w:tc>
          <w:tcPr>
            <w:tcW w:w="500" w:type="dxa"/>
            <w:vAlign w:val="bottom"/>
            <w:vMerge w:val="restart"/>
          </w:tcPr>
          <w:p>
            <w:pPr>
              <w:ind w:left="380"/>
              <w:spacing w:after="0" w:line="121" w:lineRule="exact"/>
              <w:rPr>
                <w:sz w:val="20"/>
                <w:szCs w:val="20"/>
                <w:color w:val="auto"/>
              </w:rPr>
            </w:pPr>
            <w:r>
              <w:rPr>
                <w:rFonts w:ascii="Arial" w:cs="Arial" w:eastAsia="Arial" w:hAnsi="Arial"/>
                <w:sz w:val="12"/>
                <w:szCs w:val="12"/>
                <w:color w:val="0000FF"/>
              </w:rPr>
              <w:t>I</w:t>
            </w:r>
          </w:p>
        </w:tc>
        <w:tc>
          <w:tcPr>
            <w:tcW w:w="14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Plains</w:t>
            </w:r>
          </w:p>
        </w:tc>
        <w:tc>
          <w:tcPr>
            <w:tcW w:w="7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00" w:type="dxa"/>
            <w:vAlign w:val="bottom"/>
          </w:tcPr>
          <w:p>
            <w:pPr>
              <w:ind w:left="320"/>
              <w:spacing w:after="0" w:line="63" w:lineRule="exact"/>
              <w:rPr>
                <w:sz w:val="20"/>
                <w:szCs w:val="20"/>
                <w:color w:val="auto"/>
              </w:rPr>
            </w:pPr>
            <w:r>
              <w:rPr>
                <w:rFonts w:ascii="Arial" w:cs="Arial" w:eastAsia="Arial" w:hAnsi="Arial"/>
                <w:sz w:val="7"/>
                <w:szCs w:val="7"/>
                <w:color w:val="0000FF"/>
              </w:rPr>
              <w:t>See Footnotes</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60" w:type="dxa"/>
            <w:vAlign w:val="bottom"/>
          </w:tcPr>
          <w:p>
            <w:pPr>
              <w:spacing w:after="0"/>
              <w:rPr>
                <w:sz w:val="7"/>
                <w:szCs w:val="7"/>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color w:val="0000FF"/>
                <w:w w:val="99"/>
              </w:rPr>
              <w:t>Shares</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0" w:type="dxa"/>
            <w:vAlign w:val="bottom"/>
          </w:tcPr>
          <w:p>
            <w:pPr>
              <w:ind w:left="320"/>
              <w:spacing w:after="0" w:line="92" w:lineRule="exact"/>
              <w:rPr>
                <w:sz w:val="20"/>
                <w:szCs w:val="20"/>
                <w:color w:val="auto"/>
              </w:rPr>
            </w:pPr>
            <w:r>
              <w:rPr>
                <w:rFonts w:ascii="Arial" w:cs="Arial" w:eastAsia="Arial" w:hAnsi="Arial"/>
                <w:sz w:val="10"/>
                <w:szCs w:val="10"/>
                <w:color w:val="008000"/>
              </w:rPr>
              <w:t>(4)(5)</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AAP, L.P.</w:t>
            </w:r>
          </w:p>
        </w:tc>
        <w:tc>
          <w:tcPr>
            <w:tcW w:w="7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6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7"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5" w:lineRule="exact"/>
        <w:rPr>
          <w:sz w:val="24"/>
          <w:szCs w:val="24"/>
          <w:color w:val="auto"/>
        </w:rPr>
      </w:pPr>
    </w:p>
    <w:p>
      <w:pPr>
        <w:ind w:left="40" w:right="120" w:hanging="3"/>
        <w:spacing w:after="0" w:line="255" w:lineRule="auto"/>
        <w:tabs>
          <w:tab w:leader="none" w:pos="16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As of the date of this Form 4, the Reporting Person holds an indirect ownership interest in Plains GP Holdings, L.P. (the "Issuer") through his ownership in KAFU Holdings, L.P., KAFU Holdings (QP), L.P., and KAFU Holdings II, L.P. (collectively, "KAFU"). Further the Reporting Person is the Chief Executive Officer of Kayne Anderson Capital Advisors, L.P. ("KACALP"), an SEC registered investment adviser and the managing member of KAFU. The Reporting Person may be deemed to be the beneficial owner of all of the interests held by KAFU and KACALP as applicable.</w:t>
      </w:r>
    </w:p>
    <w:p>
      <w:pPr>
        <w:spacing w:after="0" w:line="22" w:lineRule="exact"/>
        <w:rPr>
          <w:rFonts w:ascii="Arial" w:cs="Arial" w:eastAsia="Arial" w:hAnsi="Arial"/>
          <w:sz w:val="12"/>
          <w:szCs w:val="12"/>
          <w:color w:val="008000"/>
        </w:rPr>
      </w:pPr>
    </w:p>
    <w:p>
      <w:pPr>
        <w:jc w:val="both"/>
        <w:ind w:left="40" w:right="160" w:hanging="3"/>
        <w:spacing w:after="0" w:line="280" w:lineRule="auto"/>
        <w:tabs>
          <w:tab w:leader="none" w:pos="165"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In connection with the initial public offering of the Issuer, the limited partnership agreement of AAP was amended and restated to provide that each limited partner of AAP, including KAFU and KACALP, will have the right at any time (without expiration) to immediately exchange (the "Exchange Right") its Class A units in AAP together with a like number of Class B shares and the GP Units, for a like number of Class A shares of the Issuer. The Exchange Right may be settled in cash at the option of the Issuer and, as a result the Reporting person may not be deemed to beneficially own any Class A shares reported herein. Nonetheless, the number of derivative securities included in the table above represents the number of Class B shares owned by KAFU and KACALP, that are potentially exchangeable for an equivalent number of Class A shares.</w:t>
      </w:r>
    </w:p>
    <w:p>
      <w:pPr>
        <w:spacing w:after="0" w:line="9" w:lineRule="exact"/>
        <w:rPr>
          <w:rFonts w:ascii="Arial" w:cs="Arial" w:eastAsia="Arial" w:hAnsi="Arial"/>
          <w:sz w:val="11"/>
          <w:szCs w:val="11"/>
          <w:color w:val="008000"/>
        </w:rPr>
      </w:pPr>
    </w:p>
    <w:p>
      <w:pPr>
        <w:ind w:left="160" w:hanging="123"/>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disclaims beneficial ownership of the securities held by KAFU and KACALP, except to the extent of his pecuniary interest therein.</w:t>
      </w:r>
    </w:p>
    <w:p>
      <w:pPr>
        <w:spacing w:after="0" w:line="49" w:lineRule="exact"/>
        <w:rPr>
          <w:rFonts w:ascii="Arial" w:cs="Arial" w:eastAsia="Arial" w:hAnsi="Arial"/>
          <w:sz w:val="12"/>
          <w:szCs w:val="12"/>
          <w:color w:val="008000"/>
        </w:rPr>
      </w:pPr>
    </w:p>
    <w:p>
      <w:pPr>
        <w:ind w:left="40" w:right="220" w:hanging="3"/>
        <w:spacing w:after="0" w:line="272" w:lineRule="auto"/>
        <w:tabs>
          <w:tab w:leader="none" w:pos="16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may have been deemed to beneficially own the AAP Units held by KAFU prior to the consummation of the initial public offering of the Issuer. The AAP Units, collectively with the Class B shares and the GP Units, constitute the derivative security as described herein.</w:t>
      </w:r>
    </w:p>
    <w:p>
      <w:pPr>
        <w:spacing w:after="0" w:line="11" w:lineRule="exact"/>
        <w:rPr>
          <w:rFonts w:ascii="Arial" w:cs="Arial" w:eastAsia="Arial" w:hAnsi="Arial"/>
          <w:sz w:val="12"/>
          <w:szCs w:val="12"/>
          <w:color w:val="008000"/>
        </w:rPr>
      </w:pPr>
    </w:p>
    <w:p>
      <w:pPr>
        <w:ind w:left="160" w:hanging="123"/>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 is an in-kind distribution to redeeming limited partners of KAFU. Such redemptions were made in-kind with Class A shares.</w:t>
      </w:r>
    </w:p>
    <w:p>
      <w:pPr>
        <w:spacing w:after="0" w:line="62" w:lineRule="exact"/>
        <w:rPr>
          <w:sz w:val="24"/>
          <w:szCs w:val="24"/>
          <w:color w:val="auto"/>
        </w:rPr>
      </w:pPr>
    </w:p>
    <w:tbl>
      <w:tblPr>
        <w:tblLayout w:type="fixed"/>
        <w:tblInd w:w="6860" w:type="dxa"/>
        <w:tblCellMar>
          <w:top w:w="0" w:type="dxa"/>
          <w:left w:w="0" w:type="dxa"/>
          <w:bottom w:w="0" w:type="dxa"/>
          <w:right w:w="0" w:type="dxa"/>
        </w:tblCellMar>
      </w:tblPr>
      <w:tr>
        <w:trPr>
          <w:trHeight w:val="184"/>
        </w:trPr>
        <w:tc>
          <w:tcPr>
            <w:tcW w:w="1140" w:type="dxa"/>
            <w:vAlign w:val="bottom"/>
            <w:tcBorders>
              <w:bottom w:val="single" w:sz="8" w:color="auto"/>
            </w:tcBorders>
          </w:tcPr>
          <w:p>
            <w:pPr>
              <w:spacing w:after="0"/>
              <w:rPr>
                <w:sz w:val="20"/>
                <w:szCs w:val="20"/>
                <w:color w:val="auto"/>
              </w:rPr>
            </w:pPr>
            <w:r>
              <w:rPr>
                <w:rFonts w:ascii="Arial" w:cs="Arial" w:eastAsia="Arial" w:hAnsi="Arial"/>
                <w:sz w:val="16"/>
                <w:szCs w:val="16"/>
                <w:color w:val="0000FF"/>
                <w:w w:val="91"/>
              </w:rPr>
              <w:t>Robert V. Sinnott</w:t>
            </w:r>
          </w:p>
        </w:tc>
        <w:tc>
          <w:tcPr>
            <w:tcW w:w="116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6"/>
                <w:szCs w:val="16"/>
                <w:color w:val="0000FF"/>
                <w:w w:val="89"/>
              </w:rPr>
              <w:t>07/02/2015</w:t>
            </w:r>
          </w:p>
        </w:tc>
      </w:tr>
      <w:tr>
        <w:trPr>
          <w:trHeight w:val="216"/>
        </w:trPr>
        <w:tc>
          <w:tcPr>
            <w:tcW w:w="23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740" w:type="dxa"/>
            <w:vAlign w:val="bottom"/>
          </w:tcPr>
          <w:p>
            <w:pPr>
              <w:spacing w:after="0"/>
              <w:rPr>
                <w:sz w:val="20"/>
                <w:szCs w:val="20"/>
                <w:color w:val="auto"/>
              </w:rPr>
            </w:pPr>
            <w:r>
              <w:rPr>
                <w:rFonts w:ascii="Arial" w:cs="Arial" w:eastAsia="Arial" w:hAnsi="Arial"/>
                <w:sz w:val="12"/>
                <w:szCs w:val="12"/>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4280" w:hanging="3"/>
        <w:spacing w:after="0" w:line="324" w:lineRule="auto"/>
        <w:tabs>
          <w:tab w:leader="none" w:pos="172"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0"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625" TargetMode="External"/><Relationship Id="rId13"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2020-01-22T09:36:01Z</dcterms:created>
  <dcterms:modified xsi:type="dcterms:W3CDTF">2020-01-22T09:36:01Z</dcterms:modified>
</cp:coreProperties>
</file>