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6" w:lineRule="exact"/>
        <w:rPr>
          <w:sz w:val="24"/>
          <w:szCs w:val="24"/>
          <w:color w:val="auto"/>
        </w:rPr>
      </w:pPr>
    </w:p>
    <w:p>
      <w:pPr>
        <w:ind w:left="360"/>
        <w:spacing w:after="0" w:line="25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-237490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8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5255260</wp:posOffset>
            </wp:positionH>
            <wp:positionV relativeFrom="paragraph">
              <wp:posOffset>-618490</wp:posOffset>
            </wp:positionV>
            <wp:extent cx="57785" cy="631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3970020</wp:posOffset>
            </wp:positionH>
            <wp:positionV relativeFrom="paragraph">
              <wp:posOffset>-618490</wp:posOffset>
            </wp:positionV>
            <wp:extent cx="57785" cy="6318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-1649095</wp:posOffset>
            </wp:positionH>
            <wp:positionV relativeFrom="paragraph">
              <wp:posOffset>21590</wp:posOffset>
            </wp:positionV>
            <wp:extent cx="7047230" cy="42786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278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500"/>
          </w:cols>
          <w:pgMar w:left="460" w:top="216" w:right="359" w:bottom="1440" w:gutter="0" w:footer="0" w:header="0"/>
        </w:sectPr>
      </w:pP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Swanson Al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333 CLAY STREET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1600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6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38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3840" w:type="dxa"/>
            <w:vAlign w:val="bottom"/>
            <w:gridSpan w:val="3"/>
          </w:tcPr>
          <w:p>
            <w:pPr>
              <w:ind w:left="80"/>
              <w:spacing w:after="0" w:line="204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PLAINS ALL AMERICAN PIPELINE LP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</w:p>
        </w:tc>
        <w:tc>
          <w:tcPr>
            <w:tcW w:w="2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2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38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PAA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3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38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740"/>
              <w:spacing w:after="0" w:line="17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EVP &amp; CFO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3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08/18/2022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38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25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3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08/18/2022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138,600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(3)(4)(5)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(3)(4)(5)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138,600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138,600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80" w:type="dxa"/>
            <w:vAlign w:val="bottom"/>
          </w:tcPr>
          <w:p>
            <w:pPr>
              <w:ind w:left="60"/>
              <w:spacing w:after="0" w:line="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6"/>
                <w:szCs w:val="6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7"/>
                <w:szCs w:val="7"/>
                <w:color w:val="008000"/>
                <w:vertAlign w:val="superscript"/>
              </w:rPr>
              <w:t>(1)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7"/>
                <w:szCs w:val="7"/>
                <w:color w:val="0000FF"/>
              </w:rPr>
              <w:t>Units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7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Grant of Phantom Units under Long-Term Incentive Plan (includes distribution equivalent rights payable in cash).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One common unit is deliverable, upon vesting, for each Phantom Unit that vests.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/>
        <w:spacing w:after="0" w:line="259" w:lineRule="auto"/>
        <w:tabs>
          <w:tab w:leader="none" w:pos="167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These phantom units will vest as follows: (a) Tranche 1, consisting of 69,300 phantom units, will vest on the August 2025 distribution date assuming continued service through such date; (b) Tranche 2, consisting of 34,650 phantom units (assuming 100% payout at target), will potentially vest on the August 2025 distribution date at a scaled payout range of between 0% to 200% (0 units to 69,300 units) based on PAA's total shareholder return (TSR) over the three-year period ending June 30, 2025 compared to the TSR of a selected peer group (payout based on numeric rank with 100% earned at median and interpolation between ranks except that 0% payout for bottom two positions and 200% payout for top two positions, and with payout being subject to reduction by up to 25 basis points if actual TSR is negative); and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40" w:right="220"/>
        <w:spacing w:after="0" w:line="259" w:lineRule="auto"/>
        <w:tabs>
          <w:tab w:leader="none" w:pos="167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(c) Tranche 3, consisting of 34,650 phantom units (assuming 100% payout at target), will potentially vest on the August 2025 distribution date at a scaled payout range of between 0% to 200% (0 units to 69,300 units) based on PAA achieving cumulative distributable cash flow ("DCF") per common unit equivalent ("CUE") of $7.05 over the three-year period ending June 30, 2025 (with such payout equaling 100% at cumulative DCF/CUE over such period of $7.05 and being equal to 0% for cumulative DCF/CUE over such period of $6.35 or lower and 200% for cumulative DCF/CUE over such period of $7.93 or higher, with interpolation between such points, and with payout being subject to reduction by 25 basis points if PAA's leverage ratio (long term debt/adjusted EBITDA) as of June 30, 2025 is greater than 3.5x).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40" w:right="220"/>
        <w:spacing w:after="0" w:line="238" w:lineRule="auto"/>
        <w:tabs>
          <w:tab w:leader="none" w:pos="167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DERs associated with Tranche 1 will accrue for the first year and be paid in cash in a lump sum on the August 2023 distribution date; beginning in November 2023, DERs associated with Tranche 1 will be paid quarterly until the phantom units vest or terminate. DERs associated with Tranches 2 and 3 will accrue during the three-year vesting period and be paid in cash in a lump sum on the August 2025 distribution date with respect to each phantom unit that vests, if any, on such date.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Al Swanson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08/18/2022</w:t>
            </w:r>
          </w:p>
        </w:tc>
      </w:tr>
      <w:tr>
        <w:trPr>
          <w:trHeight w:val="20"/>
        </w:trPr>
        <w:tc>
          <w:tcPr>
            <w:tcW w:w="10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2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92270" TargetMode="External"/><Relationship Id="rId13" Type="http://schemas.openxmlformats.org/officeDocument/2006/relationships/hyperlink" Target="http://www.sec.gov/cgi-bin/browse-edgar?action=getcompany&amp;CIK=00010704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2022-08-18T17:49:42Z</dcterms:created>
  <dcterms:modified xsi:type="dcterms:W3CDTF">2022-08-18T17:49:42Z</dcterms:modified>
</cp:coreProperties>
</file>