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5,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February 5,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fourth-quarter and full-year 2013 results. We are furnishing the press release, attached as Exhibit 99.1, pursuant to Item 2.02 and Item 7.01 of Form 8-K. Pursuant to Item 7.01, we are also providing detailed guidance for financial performance for the first quarter and full year 2014.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First-Quarter and Full-Year 2014 Guidance</w:t>
      </w:r>
    </w:p>
    <w:p>
      <w:pPr>
        <w:spacing w:after="0" w:line="22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We based our guidance for the three-month period ending March 31, 2014 and twelve-month period ending December 31, 2014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4, 2014. We undertake no obligation to publicly update or revise any forward-looking statements.</w:t>
      </w:r>
    </w:p>
    <w:p>
      <w:pPr>
        <w:spacing w:after="0" w:line="182" w:lineRule="exact"/>
        <w:rPr>
          <w:sz w:val="24"/>
          <w:szCs w:val="24"/>
          <w:color w:val="auto"/>
        </w:rPr>
      </w:pPr>
    </w:p>
    <w:p>
      <w:pPr>
        <w:ind w:right="6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20"/>
        <w:spacing w:after="0" w:line="286" w:lineRule="auto"/>
        <w:rPr>
          <w:sz w:val="20"/>
          <w:szCs w:val="20"/>
          <w:color w:val="auto"/>
        </w:rPr>
      </w:pPr>
      <w:r>
        <w:rPr>
          <w:rFonts w:ascii="Arial" w:cs="Arial" w:eastAsia="Arial" w:hAnsi="Arial"/>
          <w:sz w:val="16"/>
          <w:szCs w:val="16"/>
          <w:color w:val="auto"/>
        </w:rPr>
        <w:t xml:space="preserve">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2014 guidance periods presented. Cash flows from operating activities is the other most comparable GAAP measure. We do not, however, reconcile cash flows from operating activities to EBIT and EBITDA, because such reconciliations are impractical for forecasted periods. We encourage you to visit our website at </w:t>
      </w:r>
      <w:r>
        <w:rPr>
          <w:rFonts w:ascii="Arial" w:cs="Arial" w:eastAsia="Arial" w:hAnsi="Arial"/>
          <w:sz w:val="16"/>
          <w:szCs w:val="16"/>
          <w:i w:val="1"/>
          <w:iCs w:val="1"/>
          <w:color w:val="auto"/>
        </w:rPr>
        <w:t>www.paalp.com</w:t>
      </w:r>
      <w:r>
        <w:rPr>
          <w:rFonts w:ascii="Arial" w:cs="Arial" w:eastAsia="Arial" w:hAnsi="Arial"/>
          <w:sz w:val="16"/>
          <w:szCs w:val="16"/>
          <w:color w:val="auto"/>
        </w:rPr>
        <w:t xml:space="preserve"> (in particular the section under Investor Relations entitled (“Guidance and Non-GAAP Reconciliations”), which presents a historical reconciliation of EBIT and EBITDA as well as certain other commonly used non-GAAP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but not impact other non-GAAP financial measures.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8"/>
                <w:szCs w:val="8"/>
                <w:b w:val="1"/>
                <w:bCs w:val="1"/>
                <w:color w:val="auto"/>
              </w:rPr>
              <w:t>(a)</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80" w:type="dxa"/>
            <w:vAlign w:val="bottom"/>
            <w:gridSpan w:val="4"/>
          </w:tcPr>
          <w:p>
            <w:pPr>
              <w:jc w:val="right"/>
              <w:ind w:right="385"/>
              <w:spacing w:after="0" w:line="119" w:lineRule="exact"/>
              <w:rPr>
                <w:sz w:val="20"/>
                <w:szCs w:val="20"/>
                <w:color w:val="auto"/>
              </w:rPr>
            </w:pPr>
            <w:r>
              <w:rPr>
                <w:rFonts w:ascii="Arial" w:cs="Arial" w:eastAsia="Arial" w:hAnsi="Arial"/>
                <w:sz w:val="13"/>
                <w:szCs w:val="13"/>
                <w:b w:val="1"/>
                <w:bCs w:val="1"/>
                <w:color w:val="auto"/>
              </w:rPr>
              <w:t>3 Months Ending</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9"/>
              </w:rPr>
              <w:t>12 Months Ending</w:t>
            </w: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March 31, 2014</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 2014</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lef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Segment Profit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tcPr>
          <w:p>
            <w:pPr>
              <w:ind w:left="240"/>
              <w:spacing w:after="0" w:line="201" w:lineRule="exact"/>
              <w:rPr>
                <w:sz w:val="20"/>
                <w:szCs w:val="20"/>
                <w:color w:val="auto"/>
              </w:rPr>
            </w:pPr>
            <w:r>
              <w:rPr>
                <w:rFonts w:ascii="Arial" w:cs="Arial" w:eastAsia="Arial" w:hAnsi="Arial"/>
                <w:sz w:val="18"/>
                <w:szCs w:val="18"/>
                <w:color w:val="auto"/>
                <w:w w:val="98"/>
              </w:rPr>
              <w:t>Net revenues (including equity earnings from unconsolidated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entities)</w:t>
            </w:r>
          </w:p>
        </w:tc>
        <w:tc>
          <w:tcPr>
            <w:tcW w:w="106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957</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3,798</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 (expense),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6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28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w:t>
            </w:r>
          </w:p>
        </w:tc>
        <w:tc>
          <w:tcPr>
            <w:tcW w:w="32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line="216" w:lineRule="exact"/>
              <w:rPr>
                <w:sz w:val="20"/>
                <w:szCs w:val="20"/>
                <w:color w:val="auto"/>
              </w:rPr>
            </w:pPr>
            <w:r>
              <w:rPr>
                <w:rFonts w:ascii="Arial" w:cs="Arial" w:eastAsia="Arial" w:hAnsi="Arial"/>
                <w:sz w:val="18"/>
                <w:szCs w:val="18"/>
                <w:color w:val="auto"/>
              </w:rPr>
              <w:t xml:space="preserve">Net Income to Limited Partners </w:t>
            </w:r>
            <w:r>
              <w:rPr>
                <w:rFonts w:ascii="Arial" w:cs="Arial" w:eastAsia="Arial" w:hAnsi="Arial"/>
                <w:sz w:val="23"/>
                <w:szCs w:val="23"/>
                <w:color w:val="auto"/>
                <w:vertAlign w:val="superscript"/>
              </w:rPr>
              <w:t>(b)</w:t>
            </w:r>
          </w:p>
        </w:tc>
        <w:tc>
          <w:tcPr>
            <w:tcW w:w="106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2"/>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60"/>
              <w:spacing w:after="0" w:line="216" w:lineRule="exact"/>
              <w:rPr>
                <w:sz w:val="20"/>
                <w:szCs w:val="20"/>
                <w:color w:val="auto"/>
              </w:rPr>
            </w:pPr>
            <w:r>
              <w:rPr>
                <w:rFonts w:ascii="Arial" w:cs="Arial" w:eastAsia="Arial" w:hAnsi="Arial"/>
                <w:sz w:val="18"/>
                <w:szCs w:val="18"/>
                <w:color w:val="auto"/>
              </w:rPr>
              <w:t xml:space="preserve">Basic Net Income Per Limited Partner Unit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Weighted Average Units Outstanding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2"/>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Per Unit</w:t>
            </w:r>
          </w:p>
        </w:tc>
        <w:tc>
          <w:tcPr>
            <w:tcW w:w="1060" w:type="dxa"/>
            <w:vAlign w:val="bottom"/>
            <w:gridSpan w:val="2"/>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60"/>
              <w:spacing w:after="0" w:line="216" w:lineRule="exact"/>
              <w:rPr>
                <w:sz w:val="20"/>
                <w:szCs w:val="20"/>
                <w:color w:val="auto"/>
              </w:rPr>
            </w:pPr>
            <w:r>
              <w:rPr>
                <w:rFonts w:ascii="Arial" w:cs="Arial" w:eastAsia="Arial" w:hAnsi="Arial"/>
                <w:sz w:val="18"/>
                <w:szCs w:val="18"/>
                <w:color w:val="auto"/>
              </w:rPr>
              <w:t xml:space="preserve">Diluted Net Income Per Limited Partner Unit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Weighted Average Units Outstanding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2"/>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Per Unit</w:t>
            </w:r>
          </w:p>
        </w:tc>
        <w:tc>
          <w:tcPr>
            <w:tcW w:w="1060" w:type="dxa"/>
            <w:vAlign w:val="bottom"/>
            <w:gridSpan w:val="2"/>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EBIT</w:t>
            </w:r>
          </w:p>
        </w:tc>
        <w:tc>
          <w:tcPr>
            <w:tcW w:w="1060" w:type="dxa"/>
            <w:vAlign w:val="bottom"/>
            <w:gridSpan w:val="2"/>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384</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438</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482</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532</w:t>
            </w:r>
          </w:p>
        </w:tc>
        <w:tc>
          <w:tcPr>
            <w:tcW w:w="2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11"/>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2,046</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2,146</w:t>
            </w:r>
          </w:p>
        </w:tc>
        <w:tc>
          <w:tcPr>
            <w:tcW w:w="3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Borders>
              <w:left w:val="single" w:sz="8" w:color="CCEEFF"/>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Selected Items Impacting Comparability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Equity-indexed compensation expense</w:t>
            </w:r>
          </w:p>
        </w:tc>
        <w:tc>
          <w:tcPr>
            <w:tcW w:w="1060" w:type="dxa"/>
            <w:vAlign w:val="bottom"/>
            <w:gridSpan w:val="2"/>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(54)</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8"/>
                <w:szCs w:val="18"/>
                <w:color w:val="auto"/>
                <w:w w:val="93"/>
              </w:rPr>
              <w:t>Selected Items Impacting Comparability of Net Income attributable</w:t>
            </w:r>
          </w:p>
        </w:tc>
        <w:tc>
          <w:tcPr>
            <w:tcW w:w="2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to PAA</w:t>
            </w:r>
          </w:p>
        </w:tc>
        <w:tc>
          <w:tcPr>
            <w:tcW w:w="106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(54)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00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52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top w:val="single" w:sz="8" w:color="auto"/>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Excluding Selected Items Impacting Comparability</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Adjusted Segment Profit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060" w:type="dxa"/>
            <w:vAlign w:val="bottom"/>
            <w:gridSpan w:val="2"/>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940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2"/>
              <w:spacing w:after="0"/>
              <w:rPr>
                <w:sz w:val="20"/>
                <w:szCs w:val="20"/>
                <w:color w:val="auto"/>
              </w:rPr>
            </w:pPr>
            <w:r>
              <w:rPr>
                <w:rFonts w:ascii="Arial" w:cs="Arial" w:eastAsia="Arial" w:hAnsi="Arial"/>
                <w:sz w:val="18"/>
                <w:szCs w:val="18"/>
                <w:color w:val="auto"/>
              </w:rPr>
              <w:t>675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Supply and Logistics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585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w w:val="71"/>
              </w:rPr>
              <w:t>(c)</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Adjusted Net Income Attributable to PAA</w:t>
            </w:r>
          </w:p>
        </w:tc>
        <w:tc>
          <w:tcPr>
            <w:tcW w:w="2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left w:val="single" w:sz="8" w:color="auto"/>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11"/>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1,404</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Borders>
              <w:left w:val="single" w:sz="8" w:color="auto"/>
              <w:bottom w:val="single" w:sz="8" w:color="CCEEFF"/>
            </w:tcBorders>
            <w:shd w:val="clear" w:color="auto" w:fill="CCEEFF"/>
          </w:tcPr>
          <w:p>
            <w:pPr>
              <w:ind w:left="60"/>
              <w:spacing w:after="0" w:line="197" w:lineRule="exact"/>
              <w:rPr>
                <w:sz w:val="20"/>
                <w:szCs w:val="20"/>
                <w:color w:val="auto"/>
              </w:rPr>
            </w:pPr>
            <w:r>
              <w:rPr>
                <w:rFonts w:ascii="Arial" w:cs="Arial" w:eastAsia="Arial" w:hAnsi="Arial"/>
                <w:sz w:val="17"/>
                <w:szCs w:val="17"/>
                <w:color w:val="auto"/>
              </w:rPr>
              <w:t xml:space="preserve">Basic Adjusted Net Income Per Limited Partner Unit </w:t>
            </w:r>
            <w:r>
              <w:rPr>
                <w:rFonts w:ascii="Arial" w:cs="Arial" w:eastAsia="Arial" w:hAnsi="Arial"/>
                <w:sz w:val="22"/>
                <w:szCs w:val="22"/>
                <w:color w:val="auto"/>
                <w:vertAlign w:val="superscript"/>
              </w:rPr>
              <w:t>(b)</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3"/>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0.66</w:t>
            </w: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11"/>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Borders>
              <w:left w:val="single" w:sz="8" w:color="auto"/>
            </w:tcBorders>
            <w:vMerge w:val="restart"/>
          </w:tcPr>
          <w:p>
            <w:pPr>
              <w:ind w:left="60"/>
              <w:spacing w:after="0" w:line="236" w:lineRule="exact"/>
              <w:rPr>
                <w:sz w:val="20"/>
                <w:szCs w:val="20"/>
                <w:color w:val="auto"/>
              </w:rPr>
            </w:pPr>
            <w:r>
              <w:rPr>
                <w:rFonts w:ascii="Arial" w:cs="Arial" w:eastAsia="Arial" w:hAnsi="Arial"/>
                <w:sz w:val="18"/>
                <w:szCs w:val="18"/>
                <w:color w:val="auto"/>
              </w:rPr>
              <w:t xml:space="preserve">Diluted Adjusted Net Income Per Limited Partner Unit </w:t>
            </w:r>
            <w:r>
              <w:rPr>
                <w:rFonts w:ascii="Arial" w:cs="Arial" w:eastAsia="Arial" w:hAnsi="Arial"/>
                <w:sz w:val="23"/>
                <w:szCs w:val="23"/>
                <w:color w:val="auto"/>
                <w:vertAlign w:val="superscript"/>
              </w:rPr>
              <w:t>(b)</w:t>
            </w:r>
          </w:p>
        </w:tc>
        <w:tc>
          <w:tcPr>
            <w:tcW w:w="2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Borders>
              <w:left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280" w:type="dxa"/>
            <w:vAlign w:val="bottom"/>
            <w:vMerge w:val="continue"/>
          </w:tcPr>
          <w:p>
            <w:pPr>
              <w:spacing w:after="0"/>
              <w:rPr>
                <w:sz w:val="17"/>
                <w:szCs w:val="17"/>
                <w:color w:val="auto"/>
              </w:rPr>
            </w:pPr>
          </w:p>
        </w:tc>
        <w:tc>
          <w:tcPr>
            <w:tcW w:w="800" w:type="dxa"/>
            <w:vAlign w:val="bottom"/>
            <w:tcBorders>
              <w:bottom w:val="single" w:sz="8" w:color="auto"/>
            </w:tcBorders>
          </w:tcPr>
          <w:p>
            <w:pPr>
              <w:jc w:val="right"/>
              <w:ind w:right="611"/>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0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460" w:hanging="4"/>
        <w:spacing w:after="0" w:line="256" w:lineRule="auto"/>
        <w:rPr>
          <w:sz w:val="20"/>
          <w:szCs w:val="20"/>
          <w:color w:val="auto"/>
        </w:rPr>
      </w:pPr>
      <w:r>
        <w:rPr>
          <w:rFonts w:ascii="Arial" w:cs="Arial" w:eastAsia="Arial" w:hAnsi="Arial"/>
          <w:sz w:val="18"/>
          <w:szCs w:val="18"/>
          <w:color w:val="auto"/>
        </w:rPr>
        <w:t>The projected average foreign exchange rate is $1.05 Canadian to $1.00 U.S. for the three-month period ending March 31, 2014. The rate as of February 4, 2014 was $1.11 Canadian to $1.00 U.S. A $0.05 change in the FX rate will impact annual adjusted EBITDA by approximately $28 million.</w:t>
      </w:r>
    </w:p>
    <w:p>
      <w:pPr>
        <w:ind w:right="140" w:hanging="11"/>
        <w:spacing w:after="0" w:line="323" w:lineRule="auto"/>
        <w:rPr>
          <w:sz w:val="20"/>
          <w:szCs w:val="20"/>
          <w:color w:val="auto"/>
        </w:rPr>
      </w:pPr>
      <w:r>
        <w:rPr>
          <w:rFonts w:ascii="Arial" w:cs="Arial" w:eastAsia="Arial" w:hAnsi="Arial"/>
          <w:sz w:val="16"/>
          <w:szCs w:val="16"/>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w:t>
      </w:r>
    </w:p>
    <w:p>
      <w:pPr>
        <w:sectPr>
          <w:pgSz w:w="11900" w:h="16838" w:orient="portrait"/>
          <w:cols w:equalWidth="0" w:num="2">
            <w:col w:w="140" w:space="520"/>
            <w:col w:w="10780"/>
          </w:cols>
          <w:pgMar w:left="240" w:top="125" w:right="219" w:bottom="0" w:gutter="0" w:footer="0" w:header="0"/>
          <w:type w:val="continuous"/>
        </w:sectPr>
      </w:pPr>
    </w:p>
    <w:bookmarkStart w:id="2" w:name="page3"/>
    <w:bookmarkEnd w:id="2"/>
    <w:p>
      <w:pPr>
        <w:spacing w:after="0" w:line="62" w:lineRule="exact"/>
        <w:rPr>
          <w:sz w:val="20"/>
          <w:szCs w:val="20"/>
          <w:color w:val="auto"/>
        </w:rPr>
      </w:pPr>
    </w:p>
    <w:p>
      <w:pPr>
        <w:ind w:left="660" w:right="80"/>
        <w:spacing w:after="0" w:line="258" w:lineRule="auto"/>
        <w:rPr>
          <w:sz w:val="20"/>
          <w:szCs w:val="20"/>
          <w:color w:val="auto"/>
        </w:rPr>
      </w:pPr>
      <w:r>
        <w:rPr>
          <w:rFonts w:ascii="Arial" w:cs="Arial" w:eastAsia="Arial" w:hAnsi="Arial"/>
          <w:sz w:val="18"/>
          <w:szCs w:val="18"/>
          <w:color w:val="auto"/>
        </w:rPr>
        <w:t>partner, limited partners and participating securities in accordance with the contractual terms of the partnership agreement and as further prescribed under the two-class method.</w:t>
      </w:r>
    </w:p>
    <w:p>
      <w:pPr>
        <w:spacing w:after="0" w:line="1" w:lineRule="exact"/>
        <w:rPr>
          <w:sz w:val="20"/>
          <w:szCs w:val="20"/>
          <w:color w:val="auto"/>
        </w:rPr>
      </w:pPr>
    </w:p>
    <w:p>
      <w:pPr>
        <w:ind w:left="660" w:right="140" w:hanging="652"/>
        <w:spacing w:after="0" w:line="237" w:lineRule="auto"/>
        <w:tabs>
          <w:tab w:leader="none" w:pos="655"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Relative to the preliminary guidance provided in PAA’s November 5, 2013 8-K, for the twelve month period ending December 31, 2014, the midpoint of the above ranges for adjusted EBITDA incorporate downward adjustments aggregating $50 to $60 million associated with (i) the acceleration of approximately $25 to $30 million of 2014 NGL profits into 2013 and (ii) indexing the guidance to reflect a Canadian to U.S. dollar FX rate of 1.05 versus the 1.0 exchange rate incorporated into the preliminary guidance range. Such adjustments were partially offset by upward adjustments in various other items.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p>
    <w:p>
      <w:pPr>
        <w:sectPr>
          <w:pgSz w:w="11900" w:h="16900" w:orient="portrait"/>
          <w:cols w:equalWidth="0" w:num="1">
            <w:col w:w="11340"/>
          </w:cols>
          <w:pgMar w:left="240" w:top="125" w:right="31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as applicable) less field operating costs and segment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Includes ethane and natural gasoline products as well as propane and butane, which are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the context requires, “general partner” or “GP” refers to any or all of (i) PAA GP LLC, the owner of our 2%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(ii) Plains AAP, L.P., the sole member of PAA GP LLC and owner of our incentive distribution rights and (iii) Plains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American GP LLC, the general partner of Plains AAP, L.P.</w:t>
      </w:r>
    </w:p>
    <w:p>
      <w:pPr>
        <w:spacing w:after="0" w:line="200" w:lineRule="exact"/>
        <w:rPr>
          <w:sz w:val="20"/>
          <w:szCs w:val="20"/>
          <w:color w:val="auto"/>
        </w:rPr>
      </w:pPr>
    </w:p>
    <w:p>
      <w:pPr>
        <w:sectPr>
          <w:pgSz w:w="11900" w:h="16900" w:orient="portrait"/>
          <w:cols w:equalWidth="0" w:num="2">
            <w:col w:w="1520" w:space="440"/>
            <w:col w:w="9380"/>
          </w:cols>
          <w:pgMar w:left="240" w:top="125" w:right="319" w:bottom="0" w:gutter="0" w:footer="0" w:header="0"/>
          <w:type w:val="continuous"/>
        </w:sectPr>
      </w:pPr>
    </w:p>
    <w:p>
      <w:pPr>
        <w:spacing w:after="0" w:line="11" w:lineRule="exact"/>
        <w:rPr>
          <w:sz w:val="20"/>
          <w:szCs w:val="20"/>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(i) Transportation, (ii) Facilities and (iii) Supply and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Transportation.</w:t>
      </w:r>
      <w:r>
        <w:rPr>
          <w:rFonts w:ascii="Arial" w:cs="Arial" w:eastAsia="Arial" w:hAnsi="Arial"/>
          <w:sz w:val="18"/>
          <w:szCs w:val="18"/>
          <w:color w:val="auto"/>
        </w:rPr>
        <w:t xml:space="preserve"> Our Transportation segment operations generally consist of fee-based activities associated with transporting crude oil and NGL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interests ranging from 22% to 50% and account for these under the equity method of accounting.</w:t>
      </w:r>
    </w:p>
    <w:p>
      <w:pPr>
        <w:spacing w:after="0" w:line="188" w:lineRule="exact"/>
        <w:rPr>
          <w:rFonts w:ascii="Arial" w:cs="Arial" w:eastAsia="Arial" w:hAnsi="Arial"/>
          <w:sz w:val="18"/>
          <w:szCs w:val="18"/>
          <w:color w:val="auto"/>
        </w:rPr>
      </w:pPr>
    </w:p>
    <w:p>
      <w:pPr>
        <w:ind w:left="980" w:right="120"/>
        <w:spacing w:after="0" w:line="291" w:lineRule="auto"/>
        <w:rPr>
          <w:rFonts w:ascii="Arial" w:cs="Arial" w:eastAsia="Arial" w:hAnsi="Arial"/>
          <w:sz w:val="18"/>
          <w:szCs w:val="18"/>
          <w:color w:val="auto"/>
        </w:rPr>
      </w:pPr>
      <w:r>
        <w:rPr>
          <w:rFonts w:ascii="Arial" w:cs="Arial" w:eastAsia="Arial" w:hAnsi="Arial"/>
          <w:sz w:val="16"/>
          <w:szCs w:val="16"/>
          <w:color w:val="auto"/>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8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3"/>
              </w:rPr>
              <w:t>Guidance</w:t>
            </w:r>
          </w:p>
        </w:tc>
        <w:tc>
          <w:tcPr>
            <w:tcW w:w="1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118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8"/>
              </w:rPr>
              <w:t>Twelve Months</w:t>
            </w:r>
          </w:p>
        </w:tc>
        <w:tc>
          <w:tcPr>
            <w:tcW w:w="260" w:type="dxa"/>
            <w:vAlign w:val="bottom"/>
          </w:tcPr>
          <w:p>
            <w:pPr>
              <w:spacing w:after="0"/>
              <w:rPr>
                <w:sz w:val="10"/>
                <w:szCs w:val="10"/>
                <w:color w:val="auto"/>
              </w:rPr>
            </w:pPr>
          </w:p>
        </w:tc>
      </w:tr>
      <w:tr>
        <w:trPr>
          <w:trHeight w:val="149"/>
        </w:trPr>
        <w:tc>
          <w:tcPr>
            <w:tcW w:w="5080" w:type="dxa"/>
            <w:vAlign w:val="bottom"/>
          </w:tcPr>
          <w:p>
            <w:pPr>
              <w:spacing w:after="0"/>
              <w:rPr>
                <w:sz w:val="12"/>
                <w:szCs w:val="12"/>
                <w:color w:val="auto"/>
              </w:rPr>
            </w:pPr>
          </w:p>
        </w:tc>
        <w:tc>
          <w:tcPr>
            <w:tcW w:w="18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508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Mar 31, 2014</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2014</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Crude Oil / Refined Products Pipelines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Bakken Area Systems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Basin/Mesa</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Capline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Eagle Ford Area Systems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Line 63 / 2000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Rainbow</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Salt Lake City Area Systems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r>
      <w:tr>
        <w:trPr>
          <w:trHeight w:val="23"/>
        </w:trPr>
        <w:tc>
          <w:tcPr>
            <w:tcW w:w="50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118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ectPr>
          <w:pgSz w:w="11900" w:h="16900" w:orient="portrait"/>
          <w:cols w:equalWidth="0" w:num="1">
            <w:col w:w="11340"/>
          </w:cols>
          <w:pgMar w:left="240" w:top="125" w:right="319" w:bottom="0" w:gutter="0" w:footer="0" w:header="0"/>
          <w:type w:val="continuous"/>
        </w:sectPr>
      </w:pPr>
    </w:p>
    <w:bookmarkStart w:id="3" w:name="page4"/>
    <w:bookmarkEnd w:id="3"/>
    <w:p>
      <w:pPr>
        <w:spacing w:after="0" w:line="1" w:lineRule="exact"/>
        <w:rPr>
          <w:sz w:val="20"/>
          <w:szCs w:val="20"/>
          <w:color w:val="auto"/>
        </w:rPr>
      </w:pPr>
    </w:p>
    <w:tbl>
      <w:tblPr>
        <w:tblLayout w:type="fixed"/>
        <w:tblInd w:w="644"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Trucking</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r>
              <w:rPr>
                <w:rFonts w:ascii="Arial" w:cs="Arial" w:eastAsia="Arial" w:hAnsi="Arial"/>
                <w:sz w:val="11"/>
                <w:szCs w:val="11"/>
                <w:color w:val="auto"/>
              </w:rPr>
              <w:t>(1)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4" w:hanging="320"/>
        <w:spacing w:after="0"/>
        <w:tabs>
          <w:tab w:leader="none" w:pos="644"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ind w:left="324" w:right="380" w:hanging="324"/>
        <w:spacing w:after="0" w:line="259"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NGL fractionation and isomerization services and natural gas and condensate processing services. We generate revenue through a combination of month-to-month and multi-year leases and processing arrangements.</w:t>
      </w:r>
    </w:p>
    <w:p>
      <w:pPr>
        <w:spacing w:after="0" w:line="186" w:lineRule="exact"/>
        <w:rPr>
          <w:rFonts w:ascii="Arial" w:cs="Arial" w:eastAsia="Arial" w:hAnsi="Arial"/>
          <w:sz w:val="18"/>
          <w:szCs w:val="18"/>
          <w:color w:val="auto"/>
        </w:rPr>
      </w:pPr>
    </w:p>
    <w:p>
      <w:pPr>
        <w:ind w:left="324"/>
        <w:spacing w:after="0" w:line="255" w:lineRule="auto"/>
        <w:rPr>
          <w:rFonts w:ascii="Arial" w:cs="Arial" w:eastAsia="Arial" w:hAnsi="Arial"/>
          <w:sz w:val="18"/>
          <w:szCs w:val="18"/>
          <w:color w:val="auto"/>
        </w:rPr>
      </w:pPr>
      <w:r>
        <w:rPr>
          <w:rFonts w:ascii="Arial" w:cs="Arial" w:eastAsia="Arial" w:hAnsi="Arial"/>
          <w:sz w:val="18"/>
          <w:szCs w:val="18"/>
          <w:color w:val="auto"/>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Adjusted segment profit is forecasted using the volume assumptions in the table below, priced at forecasted rates, less estimated field operating costs and G&amp;A expenses. Field operating costs do not include depreciation.</w:t>
      </w:r>
    </w:p>
    <w:p>
      <w:pPr>
        <w:spacing w:after="0" w:line="18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4"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0"/>
                <w:szCs w:val="10"/>
                <w:color w:val="auto"/>
              </w:rPr>
            </w:pPr>
          </w:p>
        </w:tc>
        <w:tc>
          <w:tcPr>
            <w:tcW w:w="118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1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Mar 31, 2014</w:t>
            </w:r>
          </w:p>
        </w:tc>
        <w:tc>
          <w:tcPr>
            <w:tcW w:w="180" w:type="dxa"/>
            <w:vAlign w:val="bottom"/>
          </w:tcPr>
          <w:p>
            <w:pPr>
              <w:spacing w:after="0"/>
              <w:rPr>
                <w:sz w:val="14"/>
                <w:szCs w:val="1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Dec 31, 2014</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360"/>
              <w:spacing w:after="0" w:line="201" w:lineRule="exact"/>
              <w:rPr>
                <w:sz w:val="20"/>
                <w:szCs w:val="20"/>
                <w:color w:val="auto"/>
              </w:rPr>
            </w:pPr>
            <w:r>
              <w:rPr>
                <w:rFonts w:ascii="Arial" w:cs="Arial" w:eastAsia="Arial" w:hAnsi="Arial"/>
                <w:sz w:val="18"/>
                <w:szCs w:val="18"/>
                <w:color w:val="auto"/>
              </w:rPr>
              <w:t>Crude Oil, Refined Products, and NGL Terminalling and Storage</w:t>
            </w:r>
          </w:p>
        </w:tc>
        <w:tc>
          <w:tcPr>
            <w:tcW w:w="180" w:type="dxa"/>
            <w:vAlign w:val="bottom"/>
          </w:tcPr>
          <w:p>
            <w:pPr>
              <w:spacing w:after="0"/>
              <w:rPr>
                <w:sz w:val="17"/>
                <w:szCs w:val="17"/>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840" w:type="dxa"/>
            <w:vAlign w:val="bottom"/>
          </w:tcPr>
          <w:p>
            <w:pPr>
              <w:ind w:left="540"/>
              <w:spacing w:after="0"/>
              <w:rPr>
                <w:sz w:val="20"/>
                <w:szCs w:val="20"/>
                <w:color w:val="auto"/>
              </w:rPr>
            </w:pPr>
            <w:r>
              <w:rPr>
                <w:rFonts w:ascii="Arial" w:cs="Arial" w:eastAsia="Arial" w:hAnsi="Arial"/>
                <w:sz w:val="18"/>
                <w:szCs w:val="18"/>
                <w:color w:val="auto"/>
              </w:rPr>
              <w:t>(MMBbls/Mo.)</w:t>
            </w:r>
          </w:p>
        </w:tc>
        <w:tc>
          <w:tcPr>
            <w:tcW w:w="1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Rail Load / Unload Volumes (MBbl/d)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(Bcf/Mo.)</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NGL Fractionation (MBbls/d)</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360"/>
              <w:spacing w:after="0"/>
              <w:rPr>
                <w:sz w:val="20"/>
                <w:szCs w:val="20"/>
                <w:color w:val="auto"/>
              </w:rPr>
            </w:pPr>
            <w:r>
              <w:rPr>
                <w:rFonts w:ascii="Arial" w:cs="Arial" w:eastAsia="Arial" w:hAnsi="Arial"/>
                <w:sz w:val="18"/>
                <w:szCs w:val="18"/>
                <w:color w:val="auto"/>
              </w:rPr>
              <w:t>Facilities Activities Total</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 per Barrel ($/Bbl)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Excluding Selected Items Impacting Comparability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0.44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4" w:right="40" w:hanging="320"/>
        <w:spacing w:after="0" w:line="265" w:lineRule="auto"/>
        <w:tabs>
          <w:tab w:leader="none" w:pos="631" w:val="left"/>
        </w:tabs>
        <w:numPr>
          <w:ilvl w:val="1"/>
          <w:numId w:val="6"/>
        </w:numPr>
        <w:rPr>
          <w:rFonts w:ascii="Arial" w:cs="Arial" w:eastAsia="Arial" w:hAnsi="Arial"/>
          <w:sz w:val="21"/>
          <w:szCs w:val="21"/>
          <w:color w:val="auto"/>
          <w:vertAlign w:val="superscript"/>
        </w:rPr>
      </w:pPr>
      <w:r>
        <w:rPr>
          <w:rFonts w:ascii="Arial" w:cs="Arial" w:eastAsia="Arial" w:hAnsi="Arial"/>
          <w:sz w:val="16"/>
          <w:szCs w:val="16"/>
          <w:color w:val="auto"/>
        </w:rPr>
        <w:t>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1"/>
          <w:szCs w:val="21"/>
          <w:color w:val="auto"/>
          <w:vertAlign w:val="superscript"/>
        </w:rPr>
      </w:pPr>
    </w:p>
    <w:p>
      <w:pPr>
        <w:ind w:left="644" w:hanging="320"/>
        <w:spacing w:after="0" w:line="196" w:lineRule="auto"/>
        <w:tabs>
          <w:tab w:leader="none" w:pos="644"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merchant-related activities:</w:t>
      </w:r>
    </w:p>
    <w:p>
      <w:pPr>
        <w:spacing w:after="0" w:line="225" w:lineRule="exact"/>
        <w:rPr>
          <w:rFonts w:ascii="Arial" w:cs="Arial" w:eastAsia="Arial" w:hAnsi="Arial"/>
          <w:sz w:val="18"/>
          <w:szCs w:val="18"/>
          <w:color w:val="auto"/>
        </w:rPr>
      </w:pPr>
    </w:p>
    <w:p>
      <w:pPr>
        <w:ind w:left="644" w:right="20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324" w:right="3380"/>
        <w:spacing w:after="0" w:line="530" w:lineRule="auto"/>
        <w:rPr>
          <w:rFonts w:ascii="Arial" w:cs="Arial" w:eastAsia="Arial" w:hAnsi="Arial"/>
          <w:sz w:val="18"/>
          <w:szCs w:val="18"/>
          <w:color w:val="auto"/>
        </w:rPr>
      </w:pPr>
      <w:r>
        <w:rPr>
          <w:rFonts w:ascii="Arial" w:cs="Arial" w:eastAsia="Arial" w:hAnsi="Arial"/>
          <w:sz w:val="17"/>
          <w:szCs w:val="17"/>
          <w:color w:val="auto"/>
        </w:rPr>
        <w:t>· the storage of inventory during contango market conditions and the seasonal storage of NGL; · the purchase of NGL from producers, refiners, processors and other marketers;</w:t>
      </w:r>
    </w:p>
    <w:p>
      <w:pPr>
        <w:ind w:left="644" w:right="12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resale or exchange of crude oil and NGL at various points along the distribution chain to refiners or other resellers to maximize profits; and</w:t>
      </w:r>
    </w:p>
    <w:p>
      <w:pPr>
        <w:spacing w:after="0" w:line="170" w:lineRule="exact"/>
        <w:rPr>
          <w:rFonts w:ascii="Arial" w:cs="Arial" w:eastAsia="Arial" w:hAnsi="Arial"/>
          <w:sz w:val="18"/>
          <w:szCs w:val="18"/>
          <w:color w:val="auto"/>
        </w:rPr>
      </w:pPr>
    </w:p>
    <w:p>
      <w:pPr>
        <w:ind w:left="644" w:right="16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transportation of crude oil and NGL on trucks, barges, railcars, pipelines and ocean-going vessels from various delivery points, market hub locations or directly to end users such as refineries, processors and fractionation facilities.</w:t>
      </w:r>
    </w:p>
    <w:p>
      <w:pPr>
        <w:spacing w:after="0" w:line="170" w:lineRule="exact"/>
        <w:rPr>
          <w:rFonts w:ascii="Arial" w:cs="Arial" w:eastAsia="Arial" w:hAnsi="Arial"/>
          <w:sz w:val="18"/>
          <w:szCs w:val="18"/>
          <w:color w:val="auto"/>
        </w:rPr>
      </w:pPr>
    </w:p>
    <w:p>
      <w:pPr>
        <w:ind w:left="324" w:right="40"/>
        <w:spacing w:after="0" w:line="289" w:lineRule="auto"/>
        <w:rPr>
          <w:rFonts w:ascii="Arial" w:cs="Arial" w:eastAsia="Arial" w:hAnsi="Arial"/>
          <w:sz w:val="18"/>
          <w:szCs w:val="18"/>
          <w:color w:val="auto"/>
        </w:rPr>
      </w:pPr>
      <w:r>
        <w:rPr>
          <w:rFonts w:ascii="Arial" w:cs="Arial" w:eastAsia="Arial" w:hAnsi="Arial"/>
          <w:sz w:val="16"/>
          <w:szCs w:val="16"/>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March 31, 2014 reflect the current market structure and for the twelve-month period ending December 31, 2014 reflect seasonal, weather-related variations in NGL sales. Our guidance is also based on an expectation that domestic oil production will continue to increase in line with increases over the last couple of years. Variations in weather, market structure or volatility could cause actual results to differ materially from forecasted results.</w:t>
      </w:r>
    </w:p>
    <w:p>
      <w:pPr>
        <w:sectPr>
          <w:pgSz w:w="11900" w:h="16838" w:orient="portrait"/>
          <w:cols w:equalWidth="0" w:num="1">
            <w:col w:w="10724"/>
          </w:cols>
          <w:pgMar w:left="896" w:top="140" w:right="279" w:bottom="0" w:gutter="0" w:footer="0" w:header="0"/>
        </w:sectPr>
      </w:pPr>
    </w:p>
    <w:p>
      <w:pPr>
        <w:spacing w:after="0" w:line="167"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140" w:right="279" w:bottom="0" w:gutter="0" w:footer="0" w:header="0"/>
          <w:type w:val="continuous"/>
        </w:sectPr>
      </w:pPr>
    </w:p>
    <w:bookmarkStart w:id="4" w:name="page5"/>
    <w:bookmarkEnd w:id="4"/>
    <w:p>
      <w:pPr>
        <w:spacing w:after="0" w:line="13" w:lineRule="exact"/>
        <w:rPr>
          <w:sz w:val="20"/>
          <w:szCs w:val="20"/>
          <w:color w:val="auto"/>
        </w:rPr>
      </w:pPr>
    </w:p>
    <w:p>
      <w:pPr>
        <w:ind w:left="972"/>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57" w:lineRule="exact"/>
        <w:rPr>
          <w:sz w:val="20"/>
          <w:szCs w:val="20"/>
          <w:color w:val="auto"/>
        </w:rPr>
      </w:pPr>
    </w:p>
    <w:tbl>
      <w:tblPr>
        <w:tblLayout w:type="fixed"/>
        <w:tblInd w:w="161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Guidance</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0"/>
                <w:szCs w:val="10"/>
                <w:color w:val="auto"/>
              </w:rPr>
            </w:pPr>
          </w:p>
        </w:tc>
        <w:tc>
          <w:tcPr>
            <w:tcW w:w="12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Mar 31, 2014</w:t>
            </w:r>
          </w:p>
        </w:tc>
        <w:tc>
          <w:tcPr>
            <w:tcW w:w="140" w:type="dxa"/>
            <w:vAlign w:val="bottom"/>
          </w:tcPr>
          <w:p>
            <w:pPr>
              <w:spacing w:after="0"/>
              <w:rPr>
                <w:sz w:val="14"/>
                <w:szCs w:val="14"/>
                <w:color w:val="auto"/>
              </w:rPr>
            </w:pPr>
          </w:p>
        </w:tc>
        <w:tc>
          <w:tcPr>
            <w:tcW w:w="15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(MBbl/d)</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Waterborne Cargos</w:t>
            </w:r>
          </w:p>
        </w:tc>
        <w:tc>
          <w:tcPr>
            <w:tcW w:w="2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per Barrel ($/Bbl)</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Excluding Selected Items Impacting Comparability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1.29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292" w:hanging="320"/>
        <w:spacing w:after="0"/>
        <w:tabs>
          <w:tab w:leader="none" w:pos="1292"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jc w:val="both"/>
        <w:ind w:left="332" w:right="140" w:hanging="332"/>
        <w:spacing w:after="0" w:line="264"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vary due to gains and losses on intermittent sales of assets, asset retirement obligations, asset impairments, acceleration of depreciation or foreign exchange rates.</w:t>
      </w:r>
    </w:p>
    <w:p>
      <w:pPr>
        <w:spacing w:after="0" w:line="181" w:lineRule="exact"/>
        <w:rPr>
          <w:rFonts w:ascii="Arial" w:cs="Arial" w:eastAsia="Arial" w:hAnsi="Arial"/>
          <w:sz w:val="18"/>
          <w:szCs w:val="18"/>
          <w:color w:val="auto"/>
        </w:rPr>
      </w:pPr>
    </w:p>
    <w:p>
      <w:pPr>
        <w:ind w:left="332" w:right="120" w:hanging="332"/>
        <w:spacing w:after="0" w:line="279"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the calendar year of 2014 to be approximately $1.7 billion for expansion projects with an additional $185 to $205 million for maintenance capital projects. The following are some of the more notable projects and forecasted expenditures for the year ending December 31, 2014:</w:t>
      </w:r>
    </w:p>
    <w:p>
      <w:pPr>
        <w:spacing w:after="0" w:line="163" w:lineRule="exact"/>
        <w:rPr>
          <w:sz w:val="20"/>
          <w:szCs w:val="20"/>
          <w:color w:val="auto"/>
        </w:rPr>
      </w:pPr>
    </w:p>
    <w:tbl>
      <w:tblPr>
        <w:tblLayout w:type="fixed"/>
        <w:tblInd w:w="161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Calendar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Permian Basin Area Projects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Cactus Pipeline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line="216" w:lineRule="exact"/>
              <w:rPr>
                <w:sz w:val="20"/>
                <w:szCs w:val="20"/>
                <w:color w:val="auto"/>
              </w:rPr>
            </w:pPr>
            <w:r>
              <w:rPr>
                <w:rFonts w:ascii="Arial" w:cs="Arial" w:eastAsia="Arial" w:hAnsi="Arial"/>
                <w:sz w:val="18"/>
                <w:szCs w:val="18"/>
                <w:color w:val="auto"/>
              </w:rPr>
              <w:t xml:space="preserve">· Rail Terminal Projects </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Ft. Sask Facility Projects / NGL Pipeline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Eagle Ford JV Project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Western Oklahoma Extension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Mississippian Lime Pipeline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White Cliffs Expansion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Line 63 Reactivation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Gardendale Fractionator &amp; Stabilizer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Natural Gas Storage (Multiple Projects)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Other Projects</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$100 + $100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gridSpan w:val="2"/>
          </w:tcPr>
          <w:p>
            <w:pPr>
              <w:spacing w:after="0"/>
              <w:rPr>
                <w:sz w:val="20"/>
                <w:szCs w:val="20"/>
                <w:color w:val="auto"/>
              </w:rPr>
            </w:pPr>
            <w:r>
              <w:rPr>
                <w:rFonts w:ascii="Arial" w:cs="Arial" w:eastAsia="Arial" w:hAnsi="Arial"/>
                <w:sz w:val="18"/>
                <w:szCs w:val="18"/>
                <w:color w:val="auto"/>
              </w:rPr>
              <w:t>Total Projected Expansion Capital Expenditures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$1,600 </w:t>
            </w:r>
            <w:r>
              <w:rPr>
                <w:rFonts w:ascii="Arial" w:cs="Arial" w:eastAsia="Arial" w:hAnsi="Arial"/>
                <w:sz w:val="16"/>
                <w:szCs w:val="16"/>
                <w:color w:val="auto"/>
                <w:w w:val="89"/>
              </w:rPr>
              <w:t>-</w:t>
            </w:r>
            <w:r>
              <w:rPr>
                <w:rFonts w:ascii="Arial" w:cs="Arial" w:eastAsia="Arial" w:hAnsi="Arial"/>
                <w:sz w:val="18"/>
                <w:szCs w:val="18"/>
                <w:color w:val="auto"/>
                <w:w w:val="89"/>
              </w:rPr>
              <w:t xml:space="preserve"> $1,800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 xml:space="preserve">$185 </w:t>
            </w:r>
            <w:r>
              <w:rPr>
                <w:rFonts w:ascii="Arial" w:cs="Arial" w:eastAsia="Arial" w:hAnsi="Arial"/>
                <w:sz w:val="16"/>
                <w:szCs w:val="16"/>
                <w:color w:val="auto"/>
                <w:w w:val="90"/>
              </w:rPr>
              <w:t>-</w:t>
            </w:r>
            <w:r>
              <w:rPr>
                <w:rFonts w:ascii="Arial" w:cs="Arial" w:eastAsia="Arial" w:hAnsi="Arial"/>
                <w:sz w:val="18"/>
                <w:szCs w:val="18"/>
                <w:color w:val="auto"/>
                <w:w w:val="90"/>
              </w:rPr>
              <w:t xml:space="preserve"> $205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1292" w:hanging="320"/>
        <w:spacing w:after="0"/>
        <w:tabs>
          <w:tab w:leader="none" w:pos="129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projects located in or near Bakersfield, CA, Carr, CO, Van Hook, ND and Western Canada.</w:t>
      </w:r>
    </w:p>
    <w:p>
      <w:pPr>
        <w:spacing w:after="0" w:line="1" w:lineRule="exact"/>
        <w:rPr>
          <w:rFonts w:ascii="Arial" w:cs="Arial" w:eastAsia="Arial" w:hAnsi="Arial"/>
          <w:sz w:val="23"/>
          <w:szCs w:val="23"/>
          <w:color w:val="auto"/>
          <w:vertAlign w:val="superscript"/>
        </w:rPr>
      </w:pPr>
    </w:p>
    <w:p>
      <w:pPr>
        <w:ind w:left="1292" w:right="140" w:hanging="320"/>
        <w:spacing w:after="0" w:line="219" w:lineRule="auto"/>
        <w:tabs>
          <w:tab w:leader="none" w:pos="1279"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right="640" w:hanging="332"/>
        <w:spacing w:after="0" w:line="277"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December 31, 2013 and adjusted for estimated equity issuances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offering program.</w:t>
      </w:r>
    </w:p>
    <w:p>
      <w:pPr>
        <w:spacing w:after="0" w:line="170" w:lineRule="exact"/>
        <w:rPr>
          <w:rFonts w:ascii="Arial" w:cs="Arial" w:eastAsia="Arial" w:hAnsi="Arial"/>
          <w:sz w:val="18"/>
          <w:szCs w:val="18"/>
          <w:color w:val="auto"/>
        </w:rPr>
      </w:pPr>
    </w:p>
    <w:p>
      <w:pPr>
        <w:ind w:left="332" w:right="60" w:hanging="332"/>
        <w:spacing w:after="0" w:line="259"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January 2014.</w:t>
      </w:r>
    </w:p>
    <w:p>
      <w:pPr>
        <w:spacing w:after="0" w:line="186" w:lineRule="exact"/>
        <w:rPr>
          <w:rFonts w:ascii="Arial" w:cs="Arial" w:eastAsia="Arial" w:hAnsi="Arial"/>
          <w:sz w:val="18"/>
          <w:szCs w:val="18"/>
          <w:color w:val="auto"/>
        </w:rPr>
      </w:pPr>
    </w:p>
    <w:p>
      <w:pPr>
        <w:ind w:left="332" w:right="100"/>
        <w:spacing w:after="0" w:line="308" w:lineRule="auto"/>
        <w:rPr>
          <w:rFonts w:ascii="Arial" w:cs="Arial" w:eastAsia="Arial" w:hAnsi="Arial"/>
          <w:sz w:val="18"/>
          <w:szCs w:val="18"/>
          <w:color w:val="auto"/>
        </w:rPr>
      </w:pPr>
      <w:r>
        <w:rPr>
          <w:rFonts w:ascii="Arial" w:cs="Arial" w:eastAsia="Arial" w:hAnsi="Arial"/>
          <w:sz w:val="17"/>
          <w:szCs w:val="17"/>
          <w:color w:val="auto"/>
        </w:rPr>
        <w:t>Interest expense is net of amounts capitalized for major expansion capital projects and does not include interest on borrowings for hedged inventory. We treat interest on hedged inventory borrowings as carrying costs of crude oil and NGL and include it in purchases and related costs.</w:t>
      </w:r>
    </w:p>
    <w:p>
      <w:pPr>
        <w:spacing w:after="0" w:line="146" w:lineRule="exact"/>
        <w:rPr>
          <w:rFonts w:ascii="Arial" w:cs="Arial" w:eastAsia="Arial" w:hAnsi="Arial"/>
          <w:sz w:val="18"/>
          <w:szCs w:val="18"/>
          <w:color w:val="auto"/>
        </w:rPr>
      </w:pPr>
    </w:p>
    <w:p>
      <w:pPr>
        <w:ind w:left="332" w:hanging="314"/>
        <w:spacing w:after="0"/>
        <w:tabs>
          <w:tab w:leader="none" w:pos="332"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$25 million and $87 million for the three-month period ending</w:t>
      </w:r>
    </w:p>
    <w:p>
      <w:pPr>
        <w:spacing w:after="0" w:line="34"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6"/>
          <w:szCs w:val="16"/>
          <w:color w:val="auto"/>
        </w:rPr>
        <w:t>March 31, 2014 and twelve-month period ending December 31,2014, respectively, of which approximately $24 million and $74 million, respectively, is</w:t>
      </w:r>
    </w:p>
    <w:p>
      <w:pPr>
        <w:sectPr>
          <w:pgSz w:w="11900" w:h="16852" w:orient="portrait"/>
          <w:cols w:equalWidth="0" w:num="1">
            <w:col w:w="11392"/>
          </w:cols>
          <w:pgMar w:left="248" w:top="584" w:right="259" w:bottom="0" w:gutter="0" w:footer="0" w:header="0"/>
        </w:sectPr>
      </w:pPr>
    </w:p>
    <w:bookmarkStart w:id="5" w:name="page6"/>
    <w:bookmarkEnd w:id="5"/>
    <w:p>
      <w:pPr>
        <w:ind w:left="340" w:right="540"/>
        <w:spacing w:after="0" w:line="277" w:lineRule="auto"/>
        <w:rPr>
          <w:sz w:val="20"/>
          <w:szCs w:val="20"/>
          <w:color w:val="auto"/>
        </w:rPr>
      </w:pPr>
      <w:r>
        <w:rPr>
          <w:rFonts w:ascii="Arial" w:cs="Arial" w:eastAsia="Arial" w:hAnsi="Arial"/>
          <w:sz w:val="18"/>
          <w:szCs w:val="18"/>
          <w:color w:val="auto"/>
        </w:rPr>
        <w:t>classified as current income tax expense. For the twelve-month period ending December 31, 2014 we expect to have a deferred tax expense of $13 million. All or part of the income tax expense of $87 million may result in a tax credit to our equity holders.</w:t>
      </w:r>
    </w:p>
    <w:p>
      <w:pPr>
        <w:spacing w:after="0" w:line="170" w:lineRule="exact"/>
        <w:rPr>
          <w:sz w:val="20"/>
          <w:szCs w:val="20"/>
          <w:color w:val="auto"/>
        </w:rPr>
      </w:pPr>
    </w:p>
    <w:p>
      <w:pPr>
        <w:ind w:left="340" w:right="100" w:hanging="332"/>
        <w:spacing w:after="0" w:line="29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Equity-Indexed Compensation Plans. </w:t>
      </w:r>
      <w:r>
        <w:rPr>
          <w:rFonts w:ascii="Arial" w:cs="Arial" w:eastAsia="Arial" w:hAnsi="Arial"/>
          <w:sz w:val="16"/>
          <w:szCs w:val="16"/>
          <w:color w:val="auto"/>
        </w:rPr>
        <w:t>The majority of grants outstanding under our various equity-indexed compensation plans contain vesting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February 4, 2014, estimated vesting dates range from February 2014 to August 2019 and annualized benchmark distribution levels range from $1.925 to $2.85. For some awards, a percentage of any units remaining unvested as of a certain date will vest on such date and all others will be forfeited.</w:t>
      </w:r>
    </w:p>
    <w:p>
      <w:pPr>
        <w:spacing w:after="0" w:line="158" w:lineRule="exact"/>
        <w:rPr>
          <w:rFonts w:ascii="Arial" w:cs="Arial" w:eastAsia="Arial" w:hAnsi="Arial"/>
          <w:sz w:val="16"/>
          <w:szCs w:val="16"/>
          <w:color w:val="auto"/>
        </w:rPr>
      </w:pPr>
    </w:p>
    <w:p>
      <w:pPr>
        <w:ind w:left="340" w:right="40"/>
        <w:spacing w:after="0" w:line="254" w:lineRule="auto"/>
        <w:rPr>
          <w:rFonts w:ascii="Arial" w:cs="Arial" w:eastAsia="Arial" w:hAnsi="Arial"/>
          <w:sz w:val="16"/>
          <w:szCs w:val="16"/>
          <w:color w:val="auto"/>
        </w:rPr>
      </w:pPr>
      <w:r>
        <w:rPr>
          <w:rFonts w:ascii="Arial" w:cs="Arial" w:eastAsia="Arial" w:hAnsi="Arial"/>
          <w:sz w:val="18"/>
          <w:szCs w:val="18"/>
          <w:color w:val="auto"/>
        </w:rPr>
        <w:t>On January 9, 2014, we declared an annualized distribution of $2.46 payable on February 14, 2014 to our unitholders of record as of January 31, 2014. For the purposes of guidance, we have made the assessment that a $2.75 distribution level is probable of occurring, and accordingly, guidance includes an accrual over the applicable service period at an assumed market price of $52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the probability assessment regarding distributions, and (iv) new equity-indexed compensation award grants. For example, a $2 change in the unit price would change the first-quarter equity-indexed compensation expense by approximately $5 million and the full year equity-indexed compensation expense by approximately $6 million. Therefore, actual net income could differ from our projections.</w:t>
      </w:r>
    </w:p>
    <w:p>
      <w:pPr>
        <w:spacing w:after="0" w:line="192" w:lineRule="exact"/>
        <w:rPr>
          <w:rFonts w:ascii="Arial" w:cs="Arial" w:eastAsia="Arial" w:hAnsi="Arial"/>
          <w:sz w:val="16"/>
          <w:szCs w:val="16"/>
          <w:color w:val="auto"/>
        </w:rPr>
      </w:pPr>
    </w:p>
    <w:p>
      <w:pPr>
        <w:ind w:left="340" w:right="5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 EBITDA and Adjusted EBITDA. </w:t>
      </w:r>
      <w:r>
        <w:rPr>
          <w:rFonts w:ascii="Arial" w:cs="Arial" w:eastAsia="Arial" w:hAnsi="Arial"/>
          <w:sz w:val="18"/>
          <w:szCs w:val="18"/>
          <w:color w:val="auto"/>
        </w:rPr>
        <w:t>The following table reconciles net income to EBIT, EBITDA and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for the three-month period ending March 31, 2014 and the twelve-month period ending December 31,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Guidance</w:t>
            </w: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19"/>
        </w:trPr>
        <w:tc>
          <w:tcPr>
            <w:tcW w:w="6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3 Months Ending</w:t>
            </w: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12 Months Ending</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71"/>
        </w:trPr>
        <w:tc>
          <w:tcPr>
            <w:tcW w:w="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 2014</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2014</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96"/>
        </w:trPr>
        <w:tc>
          <w:tcPr>
            <w:tcW w:w="66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to EBITDA</w:t>
            </w: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1,216</w:t>
            </w:r>
          </w:p>
        </w:tc>
        <w:tc>
          <w:tcPr>
            <w:tcW w:w="6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3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0"/>
                <w:szCs w:val="20"/>
                <w:color w:val="auto"/>
              </w:rPr>
            </w:pPr>
          </w:p>
        </w:tc>
      </w:tr>
      <w:tr>
        <w:trPr>
          <w:trHeight w:val="210"/>
        </w:trPr>
        <w:tc>
          <w:tcPr>
            <w:tcW w:w="4500" w:type="dxa"/>
            <w:vAlign w:val="bottom"/>
            <w:gridSpan w:val="2"/>
          </w:tcPr>
          <w:p>
            <w:pPr>
              <w:ind w:left="66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200" w:hanging="332"/>
        <w:spacing w:after="0" w:line="277" w:lineRule="auto"/>
        <w:tabs>
          <w:tab w:leader="none" w:pos="33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Implied DCF. </w:t>
      </w:r>
      <w:r>
        <w:rPr>
          <w:rFonts w:ascii="Arial" w:cs="Arial" w:eastAsia="Arial" w:hAnsi="Arial"/>
          <w:sz w:val="18"/>
          <w:szCs w:val="18"/>
          <w:color w:val="auto"/>
        </w:rPr>
        <w:t>The following table reconciles the mid-point of adjusted EBITDA to implied DCF for the three-month period ending March 31,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period ending December 31,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2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Mid-Point Guidance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40" w:type="dxa"/>
            <w:vAlign w:val="bottom"/>
            <w:tcBorders>
              <w:top w:val="single" w:sz="8" w:color="auto"/>
            </w:tcBorders>
          </w:tcPr>
          <w:p>
            <w:pPr>
              <w:jc w:val="center"/>
              <w:ind w:left="208"/>
              <w:spacing w:after="0" w:line="119" w:lineRule="exact"/>
              <w:rPr>
                <w:sz w:val="20"/>
                <w:szCs w:val="20"/>
                <w:color w:val="auto"/>
              </w:rPr>
            </w:pPr>
            <w:r>
              <w:rPr>
                <w:rFonts w:ascii="Arial" w:cs="Arial" w:eastAsia="Arial" w:hAnsi="Arial"/>
                <w:sz w:val="13"/>
                <w:szCs w:val="13"/>
                <w:b w:val="1"/>
                <w:bCs w:val="1"/>
                <w:color w:val="auto"/>
              </w:rPr>
              <w:t>Three Months</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Twelve Months</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Ending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40" w:type="dxa"/>
            <w:vAlign w:val="bottom"/>
          </w:tcPr>
          <w:p>
            <w:pPr>
              <w:jc w:val="center"/>
              <w:ind w:left="208"/>
              <w:spacing w:after="0"/>
              <w:rPr>
                <w:sz w:val="20"/>
                <w:szCs w:val="20"/>
                <w:color w:val="auto"/>
              </w:rPr>
            </w:pPr>
            <w:r>
              <w:rPr>
                <w:rFonts w:ascii="Arial" w:cs="Arial" w:eastAsia="Arial" w:hAnsi="Arial"/>
                <w:sz w:val="14"/>
                <w:szCs w:val="14"/>
                <w:b w:val="1"/>
                <w:bCs w:val="1"/>
                <w:color w:val="auto"/>
                <w:w w:val="96"/>
              </w:rPr>
              <w:t>March 31, 2014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7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2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gridSpan w:val="2"/>
          </w:tcPr>
          <w:p>
            <w:pPr>
              <w:ind w:left="980"/>
              <w:spacing w:after="0"/>
              <w:rPr>
                <w:sz w:val="20"/>
                <w:szCs w:val="20"/>
                <w:color w:val="auto"/>
              </w:rPr>
            </w:pPr>
            <w:r>
              <w:rPr>
                <w:rFonts w:ascii="Arial" w:cs="Arial" w:eastAsia="Arial" w:hAnsi="Arial"/>
                <w:sz w:val="18"/>
                <w:szCs w:val="18"/>
                <w:color w:val="auto"/>
              </w:rPr>
              <w:t>Implied DCF</w:t>
            </w:r>
          </w:p>
        </w:tc>
        <w:tc>
          <w:tcPr>
            <w:tcW w:w="25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8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20" w:type="dxa"/>
            <w:vAlign w:val="bottom"/>
            <w:vMerge w:val="restart"/>
          </w:tcPr>
          <w:p>
            <w:pPr>
              <w:jc w:val="right"/>
              <w:ind w:right="1210"/>
              <w:spacing w:after="0"/>
              <w:rPr>
                <w:sz w:val="20"/>
                <w:szCs w:val="20"/>
                <w:color w:val="auto"/>
              </w:rPr>
            </w:pPr>
            <w:r>
              <w:rPr>
                <w:rFonts w:ascii="Arial" w:cs="Arial" w:eastAsia="Arial" w:hAnsi="Arial"/>
                <w:sz w:val="18"/>
                <w:szCs w:val="18"/>
                <w:color w:val="auto"/>
              </w:rPr>
              <w:t>9</w:t>
            </w: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55"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spacing w:after="0" w:line="193"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ectPr>
          <w:pgSz w:w="11900" w:h="16838" w:orient="portrait"/>
          <w:cols w:equalWidth="0" w:num="1">
            <w:col w:w="11460"/>
          </w:cols>
          <w:pgMar w:left="240" w:top="125" w:right="199" w:bottom="0" w:gutter="0" w:footer="0" w:header="0"/>
        </w:sectPr>
      </w:pPr>
    </w:p>
    <w:bookmarkStart w:id="6" w:name="page7"/>
    <w:bookmarkEnd w:id="6"/>
    <w:p>
      <w:pPr>
        <w:spacing w:after="0" w:line="72"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40" w:right="120" w:hanging="332"/>
        <w:spacing w:after="0" w:line="264"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4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3"/>
          </w:tcPr>
          <w:p>
            <w:pPr>
              <w:ind w:left="202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70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70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AAP, L. P., its sole member</w:t>
            </w:r>
          </w:p>
        </w:tc>
      </w:tr>
      <w:tr>
        <w:trPr>
          <w:trHeight w:val="432"/>
        </w:trPr>
        <w:tc>
          <w:tcPr>
            <w:tcW w:w="370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5, 2014</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Kingswell-Smith</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Charles Kingswell-Smith</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i w:val="1"/>
                <w:iCs w:val="1"/>
                <w:color w:val="auto"/>
              </w:rPr>
              <w:t>Vice President and Treasurer</w:t>
            </w:r>
          </w:p>
        </w:tc>
      </w:tr>
    </w:tbl>
    <w:p>
      <w:pPr>
        <w:sectPr>
          <w:pgSz w:w="11900" w:h="16911" w:orient="portrait"/>
          <w:cols w:equalWidth="0" w:num="1">
            <w:col w:w="11420"/>
          </w:cols>
          <w:pgMar w:left="240" w:top="34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1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and Full-Year 2013 Results</w:t>
      </w:r>
    </w:p>
    <w:p>
      <w:pPr>
        <w:spacing w:after="0" w:line="211" w:lineRule="exact"/>
        <w:rPr>
          <w:sz w:val="20"/>
          <w:szCs w:val="20"/>
          <w:color w:val="auto"/>
        </w:rPr>
      </w:pPr>
    </w:p>
    <w:p>
      <w:pPr>
        <w:ind w:right="300" w:firstLine="702"/>
        <w:spacing w:after="0" w:line="277" w:lineRule="auto"/>
        <w:rPr>
          <w:sz w:val="20"/>
          <w:szCs w:val="20"/>
          <w:color w:val="auto"/>
        </w:rPr>
      </w:pPr>
      <w:r>
        <w:rPr>
          <w:rFonts w:ascii="Arial" w:cs="Arial" w:eastAsia="Arial" w:hAnsi="Arial"/>
          <w:sz w:val="18"/>
          <w:szCs w:val="18"/>
          <w:color w:val="auto"/>
        </w:rPr>
        <w:t>(Houston — February 5, 2014) Plains All American Pipeline, L.P. (NYSE: PAA) and Plains GP Holdings (NYSE: PAGP) today reported fourth-quarter and full-year 2013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42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adjusted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42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0.6150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0.5625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40" w:hanging="172"/>
        <w:spacing w:after="0" w:line="299" w:lineRule="auto"/>
        <w:tabs>
          <w:tab w:leader="none" w:pos="164"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40" w:firstLine="702"/>
        <w:spacing w:after="0" w:line="259" w:lineRule="auto"/>
        <w:rPr>
          <w:sz w:val="20"/>
          <w:szCs w:val="20"/>
          <w:color w:val="auto"/>
        </w:rPr>
      </w:pPr>
      <w:r>
        <w:rPr>
          <w:rFonts w:ascii="Arial" w:cs="Arial" w:eastAsia="Arial" w:hAnsi="Arial"/>
          <w:sz w:val="18"/>
          <w:szCs w:val="18"/>
          <w:color w:val="auto"/>
        </w:rPr>
        <w:t>“PAA ended the year on another strong note, delivering adjusted EBITDA that exceeded the midpoint of our fourth-quarter guidance by $50 million and the mid-point of our 2013 beginning-of-the-year guidance by over $265 million,” stated Greg L. Armstrong, Chairman and CEO of Plains All American Pipeline. “These results were underpinned by solid performance in our fee-based Facilities segment and above baseline performance in our Supply and Logistics segment.”</w:t>
      </w:r>
    </w:p>
    <w:p>
      <w:pPr>
        <w:spacing w:after="0" w:line="187" w:lineRule="exact"/>
        <w:rPr>
          <w:sz w:val="20"/>
          <w:szCs w:val="20"/>
          <w:color w:val="auto"/>
        </w:rPr>
      </w:pPr>
    </w:p>
    <w:p>
      <w:pPr>
        <w:ind w:right="60" w:firstLine="702"/>
        <w:spacing w:after="0" w:line="257" w:lineRule="auto"/>
        <w:rPr>
          <w:sz w:val="20"/>
          <w:szCs w:val="20"/>
          <w:color w:val="auto"/>
        </w:rPr>
      </w:pPr>
      <w:r>
        <w:rPr>
          <w:rFonts w:ascii="Arial" w:cs="Arial" w:eastAsia="Arial" w:hAnsi="Arial"/>
          <w:sz w:val="18"/>
          <w:szCs w:val="18"/>
          <w:color w:val="auto"/>
        </w:rPr>
        <w:t>“PAA’s 2013 results and our 2014 guidance for our fee-based Transportation and Facilities segments continue to reflect the benefits of our ongoing expansion capital program. Aggregate adjusted segment profit from our Transportation and Facilities segments increased 12% in 2013 over 2012 results, and the midpoint of our guidance range anticipates a year-to-year increase of approximately 15% in 2014,” said Armstrong. “Guidance for our Supply and Logistics segment incorporates a return to baseline-type performance; however, as in prior years, the partnership remains well positioned to outperform guidance if market conditions remain favorable.”</w:t>
      </w:r>
    </w:p>
    <w:p>
      <w:pPr>
        <w:spacing w:after="0" w:line="188"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“We have targeted to grow PAA’s distributions per unit by approximately 10% in 2014, while continuing to maintain solid distribution coverage.” Armstrong stated that the partnership’s 2014 expansion capital program increased to $1.7 billion, which reflects a $300 million increase from PAA’s preliminary targeted range. Armstrong also noted that PAA is well positioned financially to both execute its expansion capital program as well as capitalize on potential acquisition opportunities.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fourth quarter and full year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1" w:right="239" w:bottom="0" w:gutter="0" w:footer="0" w:header="0"/>
        </w:sectPr>
      </w:pPr>
    </w:p>
    <w:p>
      <w:pPr>
        <w:spacing w:after="0" w:line="228" w:lineRule="exact"/>
        <w:rPr>
          <w:sz w:val="20"/>
          <w:szCs w:val="20"/>
          <w:color w:val="auto"/>
        </w:rPr>
      </w:pPr>
    </w:p>
    <w:p>
      <w:pPr>
        <w:ind w:left="4520"/>
        <w:spacing w:after="0"/>
        <w:tabs>
          <w:tab w:leader="none" w:pos="88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Three Months Ended</w:t>
      </w:r>
    </w:p>
    <w:p>
      <w:pPr>
        <w:sectPr>
          <w:pgSz w:w="11900" w:h="16838" w:orient="portrait"/>
          <w:cols w:equalWidth="0" w:num="1">
            <w:col w:w="11420"/>
          </w:cols>
          <w:pgMar w:left="240" w:top="12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209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198</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141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8%</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20%</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2012 period</w:t>
            </w: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629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893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742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502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2%</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25%</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2012 period</w:t>
            </w: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40" w:hanging="172"/>
        <w:spacing w:after="0" w:line="298" w:lineRule="auto"/>
        <w:tabs>
          <w:tab w:leader="none" w:pos="164"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w:t>
      </w:r>
    </w:p>
    <w:p>
      <w:pPr>
        <w:spacing w:after="0" w:line="179" w:lineRule="exact"/>
        <w:rPr>
          <w:rFonts w:ascii="Arial" w:cs="Arial" w:eastAsia="Arial" w:hAnsi="Arial"/>
          <w:sz w:val="19"/>
          <w:szCs w:val="19"/>
          <w:color w:val="auto"/>
          <w:vertAlign w:val="superscript"/>
        </w:rPr>
      </w:pPr>
    </w:p>
    <w:p>
      <w:pPr>
        <w:ind w:left="180" w:hanging="172"/>
        <w:spacing w:after="0" w:line="214"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Fourth-quarter 2013 Transportation adjusted segment profit increased 8% versus comparable 2012 results. This increase was primarily driven by the benefit of higher crude oil pipeline volumes associated with recently completed organic growth projects, partially offset by the sale of our refined products pipelines and lower volumes on our Canadian crude oil pipelines due to the impact of rail and proration on downstream pipelines.</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Fourth-quarter 2013 Facilities adjusted segment profit increased 20% over comparable 2012 results, primarily due to increased crude oil rail activities.</w:t>
      </w:r>
    </w:p>
    <w:p>
      <w:pPr>
        <w:spacing w:after="0" w:line="170"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Fourth-quarter 2013 Supply and Logistics adjusted segment profit exceeded our guidance, but decreased by approximately 22% relative to comparable 2012 results. This decrease was primarily related to less favorable crude oil market conditions during the fourth quarter of 2013, particularly narrower crude oil differentials in the Permian Basin and Gulf Coast regions, partially offset by stronger net margins in the NGL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are reflected more fully in the condensed consolidating balance sheet and income statement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Q4 2013</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Distribution per share declared for the period (prorated)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0.12505</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3"/>
              </w:rPr>
              <w:t>Q4 2013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Distribution</w:t>
            </w:r>
          </w:p>
        </w:tc>
        <w:tc>
          <w:tcPr>
            <w:tcW w:w="138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Provided in IPO</w:t>
            </w: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 xml:space="preserve">(non-prorated) </w:t>
            </w:r>
            <w:r>
              <w:rPr>
                <w:rFonts w:ascii="Arial" w:cs="Arial" w:eastAsia="Arial" w:hAnsi="Arial"/>
                <w:sz w:val="8"/>
                <w:szCs w:val="8"/>
                <w:b w:val="1"/>
                <w:bCs w:val="1"/>
                <w:color w:val="auto"/>
                <w:w w:val="96"/>
              </w:rPr>
              <w:t>(2)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Prospectus</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share assuming full-quarter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0.15979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0.14904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00" w:hanging="172"/>
        <w:spacing w:after="0" w:line="274" w:lineRule="auto"/>
        <w:tabs>
          <w:tab w:leader="none" w:pos="164"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Distribution per share declared based on prorated distribution received by PAGP from PAA’s general partner, Plains AAP, L.P. (“AAP”), for the partial quarter of ownership following the closing of PAGP’s initial public offering (“IPO”).</w:t>
      </w:r>
    </w:p>
    <w:p>
      <w:pPr>
        <w:ind w:left="180" w:right="100" w:hanging="172"/>
        <w:spacing w:after="0" w:line="297" w:lineRule="auto"/>
        <w:tabs>
          <w:tab w:leader="none" w:pos="164"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Reflects a full fourth quarter 2013 distribution per Class A share (before proration), assuming PAGP’s current ownership interest in AAP for the full fourth quarter of 2013.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ectPr>
          <w:pgSz w:w="11900" w:h="16838" w:orient="portrait"/>
          <w:cols w:equalWidth="0" w:num="1">
            <w:col w:w="11420"/>
          </w:cols>
          <w:pgMar w:left="240" w:top="118"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PAA and PAGP will hold a conference call on February 6, 2014 (see details below). Prior to this conference call, PAA will furnish a current report on Form 8-K, which will include material in this news release as well as PAA’s financial and operational guidance for the first quarter and full year of 2014.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EST on Thursday, February 6,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PAA’s fourth-quarter and full-year 2013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PAGP IPO and PAA’s acquisition of publicly held PNG units;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PAA’s financial and operating guidance for the first quarter and full year of 2014;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230-1085. International callers should dial (612) 288-0337. No password is required. The slide presentation accompanying the conference call will be available a few minutes prior to the call under the “Events and Presentations” portion of the “Investor Relations” section of the website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313564. The replay will be available beginning Thursday, February 6, 2014, at approximately 1:00 p.m. EST and will continue until 11:59 p.m. EST on March 6,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00" w:firstLine="8"/>
        <w:spacing w:after="0" w:line="255"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ectPr>
          <w:pgSz w:w="11900" w:h="16838" w:orient="portrait"/>
          <w:cols w:equalWidth="0" w:num="1">
            <w:col w:w="11400"/>
          </w:cols>
          <w:pgMar w:left="240" w:top="733" w:right="259" w:bottom="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shortages or cost increases of supplies, materials or labor;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weather interference with business operations or project construction; risks related to the development and operation of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(NYSE: 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Plains GP Holdings (NYSE: PAGP)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42,249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8,513</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57"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Current income tax expense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b w:val="1"/>
                <w:bCs w:val="1"/>
                <w:color w:val="auto"/>
              </w:rPr>
              <w:t>LIMITED PARTNERS</w:t>
            </w:r>
          </w:p>
        </w:tc>
        <w:tc>
          <w:tcPr>
            <w:tcW w:w="1440" w:type="dxa"/>
            <w:vAlign w:val="bottom"/>
          </w:tcPr>
          <w:p>
            <w:pPr>
              <w:spacing w:after="0"/>
              <w:rPr>
                <w:sz w:val="22"/>
                <w:szCs w:val="22"/>
                <w:color w:val="auto"/>
              </w:rPr>
            </w:pP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bottom w:val="single" w:sz="8" w:color="CCEEFF"/>
            </w:tcBorders>
            <w:gridSpan w:val="2"/>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UNITS OUTSTANDING</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UNITS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color w:val="auto"/>
              </w:rPr>
              <w:t>– more –</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333 Clay Street, Suite 1600</w:t>
            </w:r>
          </w:p>
        </w:tc>
        <w:tc>
          <w:tcPr>
            <w:tcW w:w="186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w w:val="89"/>
              </w:rPr>
              <w:t>Houston, Texas 77002</w:t>
            </w:r>
          </w:p>
        </w:tc>
        <w:tc>
          <w:tcPr>
            <w:tcW w:w="26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713-646-4100 / 800-564-3036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Current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4,964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inventory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net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2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60"/>
          </w:cols>
          <w:pgMar w:left="240" w:top="125" w:right="199" w:bottom="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8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64"/>
        </w:trPr>
        <w:tc>
          <w:tcPr>
            <w:tcW w:w="87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bl>
    <w:p>
      <w:pPr>
        <w:sectPr>
          <w:pgSz w:w="11900" w:h="16900" w:orient="portrait"/>
          <w:cols w:equalWidth="0" w:num="1">
            <w:col w:w="11460"/>
          </w:cols>
          <w:pgMar w:left="240" w:top="125" w:right="19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8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debt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6,715</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Partners’ capital</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7,703</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5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gridSpan w:val="2"/>
            <w:vMerge w:val="continue"/>
          </w:tcPr>
          <w:p>
            <w:pPr>
              <w:spacing w:after="0"/>
              <w:rPr>
                <w:sz w:val="20"/>
                <w:szCs w:val="20"/>
                <w:color w:val="auto"/>
              </w:rPr>
            </w:pPr>
          </w:p>
        </w:tc>
        <w:tc>
          <w:tcPr>
            <w:tcW w:w="252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28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14,552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47%</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439"/>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3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820" w:type="dxa"/>
            <w:vAlign w:val="bottom"/>
          </w:tcPr>
          <w:p>
            <w:pPr>
              <w:jc w:val="right"/>
              <w:ind w:right="1330"/>
              <w:spacing w:after="0"/>
              <w:rPr>
                <w:sz w:val="20"/>
                <w:szCs w:val="20"/>
                <w:color w:val="auto"/>
              </w:rPr>
            </w:pPr>
            <w:r>
              <w:rPr>
                <w:rFonts w:ascii="Arial" w:cs="Arial" w:eastAsia="Arial" w:hAnsi="Arial"/>
                <w:sz w:val="18"/>
                <w:szCs w:val="18"/>
                <w:b w:val="1"/>
                <w:bCs w:val="1"/>
                <w:color w:val="auto"/>
                <w:w w:val="99"/>
              </w:rPr>
              <w:t>713-646-4100 / 800-564-3036</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ind w:left="893"/>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spacing w:after="0" w:line="201" w:lineRule="exact"/>
              <w:rPr>
                <w:sz w:val="20"/>
                <w:szCs w:val="20"/>
                <w:color w:val="auto"/>
              </w:rPr>
            </w:pPr>
            <w:r>
              <w:rPr>
                <w:rFonts w:ascii="Arial" w:cs="Arial" w:eastAsia="Arial" w:hAnsi="Arial"/>
                <w:sz w:val="18"/>
                <w:szCs w:val="18"/>
                <w:color w:val="auto"/>
                <w:w w:val="98"/>
              </w:rPr>
              <w:t>Segment profit excluding selected items impacting</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2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198</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comparability</w:t>
            </w:r>
          </w:p>
        </w:tc>
        <w:tc>
          <w:tcPr>
            <w:tcW w:w="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1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center"/>
              <w:ind w:left="893"/>
              <w:spacing w:after="0"/>
              <w:rPr>
                <w:sz w:val="20"/>
                <w:szCs w:val="20"/>
                <w:color w:val="auto"/>
              </w:rPr>
            </w:pPr>
            <w:r>
              <w:rPr>
                <w:rFonts w:ascii="Arial" w:cs="Arial" w:eastAsia="Arial" w:hAnsi="Arial"/>
                <w:sz w:val="14"/>
                <w:szCs w:val="14"/>
                <w:b w:val="1"/>
                <w:bCs w:val="1"/>
                <w:color w:val="auto"/>
                <w:w w:val="93"/>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Pr>
          <w:p>
            <w:pPr>
              <w:spacing w:after="0" w:line="182" w:lineRule="exact"/>
              <w:rPr>
                <w:sz w:val="20"/>
                <w:szCs w:val="20"/>
                <w:color w:val="auto"/>
              </w:rPr>
            </w:pPr>
            <w:r>
              <w:rPr>
                <w:rFonts w:ascii="Arial" w:cs="Arial" w:eastAsia="Arial" w:hAnsi="Arial"/>
                <w:sz w:val="18"/>
                <w:szCs w:val="18"/>
                <w:color w:val="auto"/>
                <w:w w:val="98"/>
              </w:rPr>
              <w:t>Segment profit excluding selected items impacting</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760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629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comparability</w:t>
            </w:r>
          </w:p>
        </w:tc>
        <w:tc>
          <w:tcPr>
            <w:tcW w:w="10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1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jc w:val="both"/>
        <w:ind w:left="340" w:right="80" w:hanging="332"/>
        <w:spacing w:after="0" w:line="228"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spacing w:after="0" w:line="2"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Certain non-GAAP financial measures may not be impacted by each of the selected items impacting comparability.</w:t>
      </w:r>
    </w:p>
    <w:p>
      <w:pPr>
        <w:sectPr>
          <w:pgSz w:w="11900" w:h="16838" w:orient="portrait"/>
          <w:cols w:equalWidth="0" w:num="1">
            <w:col w:w="11460"/>
          </w:cols>
          <w:pgMar w:left="240" w:top="140" w:right="19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OPERATING DATA </w:t>
      </w:r>
      <w:r>
        <w:rPr>
          <w:rFonts w:ascii="Arial" w:cs="Arial" w:eastAsia="Arial" w:hAnsi="Arial"/>
          <w:sz w:val="23"/>
          <w:szCs w:val="23"/>
          <w:b w:val="1"/>
          <w:bCs w:val="1"/>
          <w:u w:val="single" w:color="auto"/>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3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Basin / Mesa</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756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718</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Eagle Ford Area Systems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703</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Salt Lake City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Refined Products Pipelines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3,730</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3,544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activities total</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Rail load / unload volumes (average throughput in thousands of</w:t>
            </w:r>
          </w:p>
        </w:tc>
        <w:tc>
          <w:tcPr>
            <w:tcW w:w="8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8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capacity in billions of cubic</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80" w:type="dxa"/>
            <w:vAlign w:val="bottom"/>
            <w:vMerge w:val="restart"/>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feet)</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throughput in thousands of barrels per</w:t>
            </w:r>
          </w:p>
        </w:tc>
        <w:tc>
          <w:tcPr>
            <w:tcW w:w="8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day)</w:t>
            </w:r>
          </w:p>
        </w:tc>
        <w:tc>
          <w:tcPr>
            <w:tcW w:w="4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Facilities activities total (average monthly capacity in millions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120</w:t>
            </w:r>
          </w:p>
        </w:tc>
        <w:tc>
          <w:tcPr>
            <w:tcW w:w="820" w:type="dxa"/>
            <w:vAlign w:val="bottom"/>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113</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(2)</w:t>
            </w:r>
          </w:p>
        </w:tc>
        <w:tc>
          <w:tcPr>
            <w:tcW w:w="740" w:type="dxa"/>
            <w:vAlign w:val="bottom"/>
            <w:gridSpan w:val="2"/>
            <w:vMerge w:val="continue"/>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thousands of barrels):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870</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272</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56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Supply and Logistics activities total</w:t>
            </w: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1,142</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1,113</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40" w:hanging="172"/>
        <w:spacing w:after="0" w:line="274" w:lineRule="auto"/>
        <w:tabs>
          <w:tab w:leader="none" w:pos="164"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Volumes associated with acquisitions represent total volumes (attributable to our interest) for the number of days or months we actually owned the assets divided by the number of days or months in the period.</w:t>
      </w:r>
    </w:p>
    <w:p>
      <w:pPr>
        <w:ind w:left="180" w:right="40" w:hanging="172"/>
        <w:spacing w:after="0" w:line="294" w:lineRule="auto"/>
        <w:tabs>
          <w:tab w:leader="none" w:pos="164"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sectPr>
      </w:pPr>
    </w:p>
    <w:bookmarkStart w:id="15" w:name="page16"/>
    <w:bookmarkEnd w:id="15"/>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203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limited partners in accordance with</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1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203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limited partners in accordance with</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961</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1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w w:val="95"/>
              </w:rPr>
              <w:t xml:space="preserve">Effect of dilutive securities: Weighted average LTIP units </w:t>
            </w:r>
            <w:r>
              <w:rPr>
                <w:rFonts w:ascii="Arial" w:cs="Arial" w:eastAsia="Arial" w:hAnsi="Arial"/>
                <w:sz w:val="23"/>
                <w:szCs w:val="23"/>
                <w:color w:val="auto"/>
                <w:w w:val="95"/>
                <w:vertAlign w:val="superscript"/>
              </w:rPr>
              <w:t>(2)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number of limited partner units</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20" w:hanging="172"/>
        <w:spacing w:after="0" w:line="298" w:lineRule="auto"/>
        <w:tabs>
          <w:tab w:leader="none" w:pos="164"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79" w:lineRule="exact"/>
        <w:rPr>
          <w:rFonts w:ascii="Arial" w:cs="Arial" w:eastAsia="Arial" w:hAnsi="Arial"/>
          <w:sz w:val="19"/>
          <w:szCs w:val="19"/>
          <w:color w:val="auto"/>
          <w:vertAlign w:val="superscript"/>
        </w:rPr>
      </w:pPr>
    </w:p>
    <w:p>
      <w:pPr>
        <w:ind w:left="180" w:right="80" w:hanging="172"/>
        <w:spacing w:after="0" w:line="424" w:lineRule="auto"/>
        <w:tabs>
          <w:tab w:leader="none" w:pos="164"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w w:val="98"/>
              </w:rPr>
              <w:t>Gains/(losses) from derivative activities net of inventory valuation</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2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97"/>
        </w:trPr>
        <w:tc>
          <w:tcPr>
            <w:tcW w:w="5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584" w:right="239" w:bottom="0" w:gutter="0" w:footer="0" w:header="0"/>
        </w:sectPr>
      </w:pPr>
    </w:p>
    <w:bookmarkStart w:id="16" w:name="page17"/>
    <w:bookmarkEnd w:id="1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4"/>
              </w:rPr>
              <w:t>Selected items impacting comparability of net income attributable to</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PAA</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30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28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 w:lineRule="exact"/>
        <w:rPr>
          <w:rFonts w:ascii="Arial" w:cs="Arial" w:eastAsia="Arial" w:hAnsi="Arial"/>
          <w:sz w:val="21"/>
          <w:szCs w:val="21"/>
          <w:color w:val="auto"/>
          <w:vertAlign w:val="superscript"/>
        </w:rPr>
      </w:pPr>
    </w:p>
    <w:p>
      <w:pPr>
        <w:ind w:left="180" w:right="220" w:hanging="172"/>
        <w:spacing w:after="0" w:line="264" w:lineRule="auto"/>
        <w:tabs>
          <w:tab w:leader="none" w:pos="164"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w:t>
      </w:r>
    </w:p>
    <w:p>
      <w:pPr>
        <w:ind w:left="180" w:right="560" w:hanging="172"/>
        <w:spacing w:after="0" w:line="265" w:lineRule="auto"/>
        <w:tabs>
          <w:tab w:leader="none" w:pos="164"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Asset impairments are reflected in “Depreciation and amortization” on our Condensed Consolidated Statements of Operations and do not impact the comparability of EBITDA.</w:t>
      </w:r>
    </w:p>
    <w:p>
      <w:pPr>
        <w:ind w:left="180" w:right="20" w:hanging="172"/>
        <w:spacing w:after="0" w:line="265" w:lineRule="auto"/>
        <w:tabs>
          <w:tab w:leader="none" w:pos="164"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14"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other immaterial selected items impacting comparability, as well as the noncontrolling interests’ portion of selected items.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11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number of limited partner units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11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0"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ectPr>
          <w:pgSz w:w="11900" w:h="16870" w:orient="portrait"/>
          <w:cols w:equalWidth="0" w:num="1">
            <w:col w:w="11420"/>
          </w:cols>
          <w:pgMar w:left="240" w:top="91" w:right="239" w:bottom="0" w:gutter="0" w:footer="0" w:header="0"/>
          <w:type w:val="continuous"/>
        </w:sectPr>
      </w:pPr>
    </w:p>
    <w:bookmarkStart w:id="17" w:name="page18"/>
    <w:bookmarkEnd w:id="17"/>
    <w:p>
      <w:pPr>
        <w:ind w:left="180" w:right="100" w:hanging="172"/>
        <w:spacing w:after="0" w:line="298" w:lineRule="auto"/>
        <w:tabs>
          <w:tab w:leader="none" w:pos="164"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56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Amortization (“EBITDA”) and Excluding Selected Items Impacting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9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1,391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2,292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Implied DCF</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5"/>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r>
      <w:tr>
        <w:trPr>
          <w:trHeight w:val="17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EBITDA</w:t>
            </w:r>
          </w:p>
        </w:tc>
        <w:tc>
          <w:tcPr>
            <w:tcW w:w="19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8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2,168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1,951</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4"/>
              </w:rPr>
              <w:t>Other items to reconcile to cash flows from operating activities: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 more –</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w w:val="92"/>
              </w:rPr>
              <w:t>Houston, Texas 77002</w:t>
            </w:r>
          </w:p>
        </w:tc>
        <w:tc>
          <w:tcPr>
            <w:tcW w:w="2460" w:type="dxa"/>
            <w:vAlign w:val="bottom"/>
            <w:gridSpan w:val="8"/>
          </w:tcPr>
          <w:p>
            <w:pPr>
              <w:jc w:val="right"/>
              <w:spacing w:after="0"/>
              <w:rPr>
                <w:sz w:val="20"/>
                <w:szCs w:val="20"/>
                <w:color w:val="auto"/>
              </w:rPr>
            </w:pPr>
            <w:r>
              <w:rPr>
                <w:rFonts w:ascii="Arial" w:cs="Arial" w:eastAsia="Arial" w:hAnsi="Arial"/>
                <w:sz w:val="18"/>
                <w:szCs w:val="18"/>
                <w:b w:val="1"/>
                <w:bCs w:val="1"/>
                <w:color w:val="auto"/>
              </w:rPr>
              <w:t>713-646-4100 / 800-564-3036</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ectPr>
          <w:pgSz w:w="11900" w:h="16838"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xml:space="preserve">PAGP </w:t>
            </w:r>
            <w:r>
              <w:rPr>
                <w:rFonts w:ascii="Arial" w:cs="Arial" w:eastAsia="Arial" w:hAnsi="Arial"/>
                <w:sz w:val="8"/>
                <w:szCs w:val="8"/>
                <w:b w:val="1"/>
                <w:bCs w:val="1"/>
                <w:color w:val="auto"/>
              </w:rPr>
              <w:t>(2)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xml:space="preserve">PAGP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8"/>
                <w:szCs w:val="8"/>
                <w:b w:val="1"/>
                <w:bCs w:val="1"/>
                <w:color w:val="auto"/>
                <w:w w:val="95"/>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9,731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23"/>
                <w:szCs w:val="23"/>
                <w:b w:val="1"/>
                <w:bCs w:val="1"/>
                <w:color w:val="auto"/>
                <w:vertAlign w:val="superscript"/>
              </w:rPr>
              <w:t>(3)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NET INCOME PER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b w:val="1"/>
                <w:bCs w:val="1"/>
                <w:color w:val="auto"/>
              </w:rPr>
              <w:t xml:space="preserve">CLASS A SHARE </w:t>
            </w:r>
            <w:r>
              <w:rPr>
                <w:rFonts w:ascii="Arial" w:cs="Arial" w:eastAsia="Arial" w:hAnsi="Arial"/>
                <w:sz w:val="23"/>
                <w:szCs w:val="23"/>
                <w:b w:val="1"/>
                <w:bCs w:val="1"/>
                <w:color w:val="auto"/>
                <w:vertAlign w:val="superscript"/>
              </w:rPr>
              <w:t>(3)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(3)</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(3)</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320" w:hanging="332"/>
        <w:spacing w:after="0" w:line="21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results attributable to PAGP from October 21, 2013 (the date of closing PAGP’s IPO) through December 31, 2013, plus results for Plains All American GP LLC, the predecessor entity to PAGP, prior to October 21, 2013.</w:t>
      </w:r>
    </w:p>
    <w:p>
      <w:pPr>
        <w:ind w:left="320" w:hanging="312"/>
        <w:spacing w:after="0" w:line="196"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Attributable to post-IPO period, October 21, 2013 through December 31,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4,964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10,819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2,503</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20,360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4"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7,644</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(6,609)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2013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Q4 2013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0.29730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0.91230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1/31/14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IDR Reduction </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Plus: Cash Balance</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 period from 10/01/13 to 10/20/13: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(100%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 period from 10/21/13 to 12/31/13: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(79.4% economic interest)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(20.6%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1/31/14</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PAGP Distribution/Class A Share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0.12505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PAGP Distribution/Class A Share (non-prorated) </w:t>
            </w:r>
            <w:r>
              <w:rPr>
                <w:rFonts w:ascii="Arial" w:cs="Arial" w:eastAsia="Arial" w:hAnsi="Arial"/>
                <w:sz w:val="23"/>
                <w:szCs w:val="23"/>
                <w:color w:val="auto"/>
                <w:vertAlign w:val="superscript"/>
              </w:rPr>
              <w:t>(4)</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9960" w:type="dxa"/>
            <w:vAlign w:val="bottom"/>
            <w:gridSpan w:val="2"/>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0.15979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5"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1" w:lineRule="exact"/>
        <w:rPr>
          <w:rFonts w:ascii="Arial" w:cs="Arial" w:eastAsia="Arial" w:hAnsi="Arial"/>
          <w:sz w:val="23"/>
          <w:szCs w:val="23"/>
          <w:color w:val="auto"/>
          <w:vertAlign w:val="superscript"/>
        </w:rPr>
      </w:pPr>
    </w:p>
    <w:p>
      <w:pPr>
        <w:ind w:left="240" w:right="80" w:hanging="232"/>
        <w:spacing w:after="0" w:line="219" w:lineRule="auto"/>
        <w:tabs>
          <w:tab w:leader="none" w:pos="22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reductions associated with the BP NGL Acquisition and PNG Merger. The reduction associated with the BP NGL Acquisition will reduce to $2.5 million per quarter from $3.75 million per quarter beginning with the May 2014 distribution.</w:t>
      </w:r>
    </w:p>
    <w:p>
      <w:pPr>
        <w:ind w:left="220" w:hanging="212"/>
        <w:spacing w:after="0" w:line="196" w:lineRule="auto"/>
        <w:tabs>
          <w:tab w:leader="none" w:pos="2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Distribution prorated for the portion of the period following the closing of PAGP’s IPO on October 21, 2013.</w:t>
      </w:r>
    </w:p>
    <w:p>
      <w:pPr>
        <w:spacing w:after="0" w:line="1" w:lineRule="exact"/>
        <w:rPr>
          <w:rFonts w:ascii="Arial" w:cs="Arial" w:eastAsia="Arial" w:hAnsi="Arial"/>
          <w:sz w:val="23"/>
          <w:szCs w:val="23"/>
          <w:color w:val="auto"/>
          <w:vertAlign w:val="superscript"/>
        </w:rPr>
      </w:pPr>
    </w:p>
    <w:p>
      <w:pPr>
        <w:ind w:left="240" w:right="440" w:hanging="232"/>
        <w:spacing w:after="0" w:line="219" w:lineRule="auto"/>
        <w:tabs>
          <w:tab w:leader="none" w:pos="22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Reflects a full fourth quarter distribution per Class A share (before proration), assuming PAGP’s current ownership interest in AAP for the full fourth quarter of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ectPr>
          <w:pgSz w:w="11900" w:h="16838" w:orient="portrait"/>
          <w:cols w:equalWidth="0" w:num="1">
            <w:col w:w="11420"/>
          </w:cols>
          <w:pgMar w:left="240" w:top="356"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ectPr>
          <w:pgSz w:w="11900" w:h="16838" w:orient="portrait"/>
          <w:cols w:equalWidth="0" w:num="1">
            <w:col w:w="11460"/>
          </w:cols>
          <w:pgMar w:left="240" w:top="121" w:right="1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net income attributable to PAGP for the period from January 1, 2013 to October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PAGP for the period from October 21, 2013 to December 31, 2013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Basic and diluted weighted average number of Class A shares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21, 2013</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 December 31, 2013</w:t>
            </w:r>
          </w:p>
        </w:tc>
        <w:tc>
          <w:tcPr>
            <w:tcW w:w="60" w:type="dxa"/>
            <w:vAlign w:val="bottom"/>
          </w:tcPr>
          <w:p>
            <w:pPr>
              <w:spacing w:after="0"/>
              <w:rPr>
                <w:sz w:val="14"/>
                <w:szCs w:val="14"/>
                <w:color w:val="auto"/>
              </w:rPr>
            </w:pPr>
          </w:p>
        </w:tc>
      </w:tr>
      <w:tr>
        <w:trPr>
          <w:trHeight w:val="398"/>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0"/>
                <w:szCs w:val="20"/>
                <w:color w:val="auto"/>
              </w:rPr>
            </w:pPr>
          </w:p>
        </w:tc>
      </w:tr>
      <w:tr>
        <w:trPr>
          <w:trHeight w:val="432"/>
        </w:trPr>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60" w:space="720"/>
            <w:col w:w="2180"/>
          </w:cols>
          <w:pgMar w:left="240" w:top="121" w:right="199" w:bottom="1440" w:gutter="0" w:footer="0" w:header="0"/>
          <w:type w:val="continuous"/>
        </w:sectPr>
      </w:pPr>
    </w:p>
    <w:p>
      <w:pPr>
        <w:spacing w:after="0" w:line="231" w:lineRule="exact"/>
        <w:rPr>
          <w:sz w:val="20"/>
          <w:szCs w:val="20"/>
          <w:color w:val="auto"/>
        </w:rPr>
      </w:pPr>
    </w:p>
    <w:p>
      <w:pPr>
        <w:ind w:left="240" w:right="80" w:hanging="232"/>
        <w:spacing w:after="0" w:line="234" w:lineRule="auto"/>
        <w:tabs>
          <w:tab w:leader="none" w:pos="22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Basic weighted average number of Class A shares outstanding is weighted for the period following the closing of our IPO. Approximately 128 million Class A shares were issued upon closing of our IPO with approximately 4 million additional Class A shares issued through the exercise in October 2013 of an over-allotment option. Subsequent conversions of AAP units were immaterial.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rPr>
              <w:t>Roy I. Lamoreaux</w:t>
            </w:r>
          </w:p>
        </w:tc>
        <w:tc>
          <w:tcPr>
            <w:tcW w:w="2300" w:type="dxa"/>
            <w:vAlign w:val="bottom"/>
          </w:tcPr>
          <w:p>
            <w:pPr>
              <w:ind w:left="1400"/>
              <w:spacing w:after="0"/>
              <w:rPr>
                <w:sz w:val="20"/>
                <w:szCs w:val="20"/>
                <w:color w:val="auto"/>
              </w:rPr>
            </w:pPr>
            <w:r>
              <w:rPr>
                <w:rFonts w:ascii="Arial" w:cs="Arial" w:eastAsia="Arial" w:hAnsi="Arial"/>
                <w:sz w:val="18"/>
                <w:szCs w:val="18"/>
                <w:color w:val="auto"/>
                <w:w w:val="92"/>
              </w:rPr>
              <w:t>Al Swanson</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40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40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800-564-3036</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lowerLetter"/>
      <w:start w:val="3"/>
    </w:lvl>
  </w:abstractNum>
  <w:abstractNum w:abstractNumId="2">
    <w:nsid w:val="431BD7B7"/>
    <w:multiLevelType w:val="hybridMultilevel"/>
    <w:lvl w:ilvl="0">
      <w:lvlJc w:val="left"/>
      <w:lvlText w:val="%1."/>
      <w:numFmt w:val="decimal"/>
      <w:start w:val="2"/>
    </w:lvl>
    <w:lvl w:ilvl="1">
      <w:lvlJc w:val="left"/>
      <w:lvlText w:val="%2"/>
      <w:numFmt w:val="lowerLetter"/>
      <w:start w:val="1"/>
    </w:lvl>
  </w:abstractNum>
  <w:abstractNum w:abstractNumId="3">
    <w:nsid w:val="3F2DBA31"/>
    <w:multiLevelType w:val="hybridMultilevel"/>
    <w:lvl w:ilvl="0">
      <w:lvlJc w:val="left"/>
      <w:lvlText w:val="%1"/>
      <w:numFmt w:val="lowerLetter"/>
      <w:start w:val="1"/>
    </w:lvl>
    <w:lvl w:ilvl="1">
      <w:lvlJc w:val="left"/>
      <w:lvlText w:val="(%2)"/>
      <w:numFmt w:val="decimal"/>
      <w:start w:val="1"/>
    </w:lvl>
  </w:abstractNum>
  <w:abstractNum w:abstractNumId="4">
    <w:nsid w:val="7C83E458"/>
    <w:multiLevelType w:val="hybridMultilevel"/>
    <w:lvl w:ilvl="0">
      <w:lvlJc w:val="left"/>
      <w:lvlText w:val="%1."/>
      <w:numFmt w:val="lowerLetter"/>
      <w:start w:val="2"/>
    </w:lvl>
    <w:lvl w:ilvl="1">
      <w:lvlJc w:val="left"/>
      <w:lvlText w:val="%2"/>
      <w:numFmt w:val="decimal"/>
      <w:start w:val="1"/>
    </w:lvl>
  </w:abstractNum>
  <w:abstractNum w:abstractNumId="5">
    <w:nsid w:val="257130A3"/>
    <w:multiLevelType w:val="hybridMultilevel"/>
    <w:lvl w:ilvl="0">
      <w:lvlJc w:val="left"/>
      <w:lvlText w:val="%1"/>
      <w:numFmt w:val="lowerLetter"/>
      <w:start w:val="1"/>
    </w:lvl>
    <w:lvl w:ilvl="1">
      <w:lvlJc w:val="left"/>
      <w:lvlText w:val="(%2)"/>
      <w:numFmt w:val="decimal"/>
      <w:start w:val="1"/>
    </w:lvl>
  </w:abstractNum>
  <w:abstractNum w:abstractNumId="6">
    <w:nsid w:val="62BBD95A"/>
    <w:multiLevelType w:val="hybridMultilevel"/>
    <w:lvl w:ilvl="0">
      <w:lvlJc w:val="left"/>
      <w:lvlText w:val="%1."/>
      <w:numFmt w:val="lowerLetter"/>
      <w:start w:val="3"/>
    </w:lvl>
    <w:lvl w:ilvl="1">
      <w:lvlJc w:val="left"/>
      <w:lvlText w:val="%2"/>
      <w:numFmt w:val="decimal"/>
      <w:start w:val="1"/>
    </w:lvl>
  </w:abstractNum>
  <w:abstractNum w:abstractNumId="7">
    <w:nsid w:val="436C6125"/>
    <w:multiLevelType w:val="hybridMultilevel"/>
    <w:lvl w:ilvl="0">
      <w:lvlJc w:val="left"/>
      <w:lvlText w:val="%1"/>
      <w:numFmt w:val="decimal"/>
      <w:start w:val="1"/>
    </w:lvl>
    <w:lvl w:ilvl="1">
      <w:lvlJc w:val="left"/>
      <w:lvlText w:val="(%2)"/>
      <w:numFmt w:val="decimal"/>
      <w:start w:val="1"/>
    </w:lvl>
  </w:abstractNum>
  <w:abstractNum w:abstractNumId="8">
    <w:nsid w:val="628C895D"/>
    <w:multiLevelType w:val="hybridMultilevel"/>
    <w:lvl w:ilvl="0">
      <w:lvlJc w:val="left"/>
      <w:lvlText w:val="%1."/>
      <w:numFmt w:val="decimal"/>
      <w:start w:val="3"/>
    </w:lvl>
    <w:lvl w:ilvl="1">
      <w:lvlJc w:val="left"/>
      <w:lvlText w:val="%2"/>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5"/>
    </w:lvl>
    <w:lvl w:ilvl="1">
      <w:lvlJc w:val="left"/>
      <w:lvlText w:val="%2."/>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Roman"/>
      <w:start w:val="4"/>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2"/>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2020-01-25T22:15:16Z</dcterms:created>
  <dcterms:modified xsi:type="dcterms:W3CDTF">2020-01-25T22:15:16Z</dcterms:modified>
</cp:coreProperties>
</file>