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240"/>
        <w:ind w:left="0" w:right="0" w:firstLine="400"/>
        <w:rPr/>
      </w:pPr>
      <w:bookmarkStart w:id="0" w:name="a06-14672_18k.htm"/>
      <w:bookmarkStart w:id="1" w:name="ksa0614672_18k"/>
      <w:bookmarkEnd w:id="0"/>
      <w:bookmarkEnd w:id="1"/>
      <w:r>
        <w:rPr/>
        <w:t> </w:t>
      </w:r>
    </w:p>
    <w:p>
      <w:pPr>
        <w:pStyle w:val="TextBody"/>
        <w:spacing w:before="0" w:after="0"/>
        <w:ind w:left="0" w:right="0" w:hanging="0"/>
        <w:rPr>
          <w:rFonts w:ascii="Times New Roman" w:hAnsi="Times New Roman"/>
          <w:b/>
          <w:sz w:val="30"/>
        </w:rPr>
      </w:pPr>
      <w:r>
        <w:rPr>
          <w:rFonts w:ascii="Times New Roman" w:hAnsi="Times New Roman"/>
          <w:b/>
          <w:sz w:val="30"/>
        </w:rPr>
        <w:t>UNITED STATES</w:t>
        <w:br/>
        <w:t>SECURITIES AND EXCHANGE COMMISSION</w:t>
      </w:r>
    </w:p>
    <w:p>
      <w:pPr>
        <w:pStyle w:val="TextBody"/>
        <w:spacing w:before="0" w:after="0"/>
        <w:ind w:left="0" w:right="0" w:hanging="0"/>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b/>
          <w:sz w:val="30"/>
        </w:rPr>
      </w:pPr>
      <w:r>
        <w:rPr>
          <w:rFonts w:ascii="Times New Roman" w:hAnsi="Times New Roman"/>
          <w:b/>
          <w:sz w:val="30"/>
        </w:rPr>
        <w:t>FORM 8-K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CURRENT REPORT</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Pursuant to Section 13 OR 15(d) of The Securities Exchange Act of 1934</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March 31, 2006</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30"/>
        </w:rPr>
        <w:t>Plains All American Pipeline, L.P.</w:t>
      </w:r>
      <w:r>
        <w:rPr>
          <w:rFonts w:ascii="Times New Roman" w:hAnsi="Times New Roman"/>
          <w:b/>
          <w:sz w:val="17"/>
        </w:rPr>
        <w:br/>
      </w:r>
      <w:r>
        <w:rPr>
          <w:rFonts w:ascii="Times New Roman" w:hAnsi="Times New Roman"/>
          <w:b w:val="false"/>
          <w:sz w:val="17"/>
        </w:rPr>
        <w:t>(Exact name of registrant as specified in its charter)</w:t>
      </w:r>
    </w:p>
    <w:p>
      <w:pPr>
        <w:pStyle w:val="TextBody"/>
        <w:spacing w:before="0" w:after="0"/>
        <w:ind w:left="0" w:right="0" w:hanging="0"/>
        <w:rPr/>
      </w:pPr>
      <w:r>
        <w:rPr/>
        <w:t> </w:t>
      </w:r>
    </w:p>
    <w:tbl>
      <w:tblPr>
        <w:tblW w:w="10080" w:type="dxa"/>
        <w:jc w:val="center"/>
        <w:tblInd w:w="0" w:type="dxa"/>
        <w:tblCellMar>
          <w:top w:w="0" w:type="dxa"/>
          <w:left w:w="0" w:type="dxa"/>
          <w:bottom w:w="0" w:type="dxa"/>
          <w:right w:w="0" w:type="dxa"/>
        </w:tblCellMar>
      </w:tblPr>
      <w:tblGrid>
        <w:gridCol w:w="3000"/>
        <w:gridCol w:w="405"/>
        <w:gridCol w:w="3300"/>
        <w:gridCol w:w="405"/>
        <w:gridCol w:w="2970"/>
      </w:tblGrid>
      <w:tr>
        <w:trPr/>
        <w:tc>
          <w:tcPr>
            <w:tcW w:w="3000" w:type="dxa"/>
            <w:tcBorders/>
            <w:shd w:fill="auto" w:val="clear"/>
          </w:tcPr>
          <w:p>
            <w:pPr>
              <w:pStyle w:val="TableContents"/>
              <w:spacing w:before="0" w:after="0"/>
              <w:ind w:left="0" w:right="0" w:hanging="0"/>
              <w:jc w:val="center"/>
              <w:rPr>
                <w:b/>
                <w:sz w:val="17"/>
              </w:rPr>
            </w:pPr>
            <w:r>
              <w:rPr>
                <w:b/>
                <w:sz w:val="17"/>
              </w:rPr>
              <w:t>DELAWARE</w:t>
            </w:r>
          </w:p>
        </w:tc>
        <w:tc>
          <w:tcPr>
            <w:tcW w:w="405" w:type="dxa"/>
            <w:tcBorders/>
            <w:shd w:fill="auto" w:val="clear"/>
          </w:tcPr>
          <w:p>
            <w:pPr>
              <w:pStyle w:val="TableContents"/>
              <w:spacing w:before="0" w:after="0"/>
              <w:ind w:left="0" w:right="0" w:hanging="0"/>
              <w:rPr/>
            </w:pPr>
            <w:r>
              <w:rPr/>
              <w:t> </w:t>
            </w:r>
          </w:p>
        </w:tc>
        <w:tc>
          <w:tcPr>
            <w:tcW w:w="3300"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405" w:type="dxa"/>
            <w:tcBorders/>
            <w:shd w:fill="auto" w:val="clear"/>
          </w:tcPr>
          <w:p>
            <w:pPr>
              <w:pStyle w:val="TableContents"/>
              <w:spacing w:before="0" w:after="0"/>
              <w:ind w:left="0" w:right="0" w:hanging="0"/>
              <w:rPr/>
            </w:pPr>
            <w:r>
              <w:rPr/>
              <w:t> </w:t>
            </w:r>
          </w:p>
        </w:tc>
        <w:tc>
          <w:tcPr>
            <w:tcW w:w="2970"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00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w:t>
            </w:r>
          </w:p>
        </w:tc>
        <w:tc>
          <w:tcPr>
            <w:tcW w:w="405" w:type="dxa"/>
            <w:tcBorders/>
            <w:shd w:fill="auto" w:val="clear"/>
          </w:tcPr>
          <w:p>
            <w:pPr>
              <w:pStyle w:val="TableContents"/>
              <w:spacing w:before="0" w:after="0"/>
              <w:ind w:left="0" w:right="0" w:hanging="0"/>
              <w:rPr/>
            </w:pPr>
            <w:r>
              <w:rPr/>
              <w:t> </w:t>
            </w:r>
          </w:p>
        </w:tc>
        <w:tc>
          <w:tcPr>
            <w:tcW w:w="330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405" w:type="dxa"/>
            <w:tcBorders/>
            <w:shd w:fill="auto" w:val="clear"/>
          </w:tcPr>
          <w:p>
            <w:pPr>
              <w:pStyle w:val="TableContents"/>
              <w:spacing w:before="0" w:after="0"/>
              <w:ind w:left="0" w:right="0" w:hanging="0"/>
              <w:rPr/>
            </w:pPr>
            <w:r>
              <w:rPr/>
              <w:t> </w:t>
            </w:r>
          </w:p>
        </w:tc>
        <w:tc>
          <w:tcPr>
            <w:tcW w:w="297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r>
          </w:p>
        </w:tc>
      </w:tr>
      <w:tr>
        <w:trPr/>
        <w:tc>
          <w:tcPr>
            <w:tcW w:w="300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of incorporation)</w:t>
            </w:r>
          </w:p>
        </w:tc>
        <w:tc>
          <w:tcPr>
            <w:tcW w:w="405" w:type="dxa"/>
            <w:tcBorders/>
            <w:shd w:fill="auto" w:val="clear"/>
          </w:tcPr>
          <w:p>
            <w:pPr>
              <w:pStyle w:val="TableContents"/>
              <w:spacing w:before="0" w:after="0"/>
              <w:ind w:left="0" w:right="0" w:hanging="0"/>
              <w:rPr/>
            </w:pPr>
            <w:r>
              <w:rPr/>
              <w:t> </w:t>
            </w:r>
          </w:p>
        </w:tc>
        <w:tc>
          <w:tcPr>
            <w:tcW w:w="3300" w:type="dxa"/>
            <w:tcBorders/>
            <w:shd w:fill="auto" w:val="clear"/>
          </w:tcPr>
          <w:p>
            <w:pPr>
              <w:pStyle w:val="TableContents"/>
              <w:spacing w:before="0" w:after="0"/>
              <w:ind w:left="0" w:right="0" w:hanging="0"/>
              <w:rPr/>
            </w:pPr>
            <w:r>
              <w:rPr/>
              <w:t> </w:t>
            </w:r>
          </w:p>
        </w:tc>
        <w:tc>
          <w:tcPr>
            <w:tcW w:w="405" w:type="dxa"/>
            <w:tcBorders/>
            <w:shd w:fill="auto" w:val="clear"/>
          </w:tcPr>
          <w:p>
            <w:pPr>
              <w:pStyle w:val="TableContents"/>
              <w:spacing w:before="0" w:after="0"/>
              <w:ind w:left="0" w:right="0" w:hanging="0"/>
              <w:rPr/>
            </w:pPr>
            <w:r>
              <w:rPr/>
              <w:t> </w:t>
            </w:r>
          </w:p>
        </w:tc>
        <w:tc>
          <w:tcPr>
            <w:tcW w:w="297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Identification No.)</w:t>
            </w:r>
          </w:p>
        </w:tc>
      </w:tr>
    </w:tbl>
    <w:p>
      <w:pPr>
        <w:pStyle w:val="TextBody"/>
        <w:spacing w:before="120" w:after="240"/>
        <w:ind w:left="0" w:right="0" w:firstLine="400"/>
        <w:rPr/>
      </w:pPr>
      <w:r>
        <w:rPr/>
        <w:t> </w:t>
      </w:r>
    </w:p>
    <w:p>
      <w:pPr>
        <w:pStyle w:val="TextBody"/>
        <w:spacing w:before="0" w:after="0"/>
        <w:ind w:left="0" w:right="0" w:hanging="0"/>
        <w:rPr>
          <w:rFonts w:ascii="Times New Roman" w:hAnsi="Times New Roman"/>
          <w:b/>
          <w:sz w:val="17"/>
        </w:rPr>
      </w:pPr>
      <w:r>
        <w:rPr>
          <w:rFonts w:ascii="Times New Roman" w:hAnsi="Times New Roman"/>
          <w:b/>
          <w:sz w:val="17"/>
        </w:rPr>
        <w:t>333 Clay Street, Suite 1600 Houston, Texas 77002</w:t>
        <w:br/>
      </w:r>
      <w:r>
        <w:rPr>
          <w:rFonts w:ascii="Times New Roman" w:hAnsi="Times New Roman"/>
          <w:b w:val="false"/>
          <w:sz w:val="17"/>
        </w:rPr>
        <w:t>(Address of principal executive offices) (Zip Code)</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 646-4100</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N/A</w:t>
        <w:br/>
      </w:r>
      <w:r>
        <w:rPr>
          <w:rFonts w:ascii="Times New Roman" w:hAnsi="Times New Roman"/>
          <w:b w:val="false"/>
          <w:sz w:val="17"/>
        </w:rPr>
        <w:t>(Former name or former address, if changed since last report.)</w:t>
      </w:r>
    </w:p>
    <w:p>
      <w:pPr>
        <w:pStyle w:val="TextBody"/>
        <w:spacing w:before="0" w:after="0"/>
        <w:ind w:left="0" w:right="0" w:hanging="0"/>
        <w:rPr/>
      </w:pPr>
      <w:r>
        <w:rPr/>
        <w:t> </w:t>
      </w:r>
    </w:p>
    <w:p>
      <w:pPr>
        <w:pStyle w:val="TextBody"/>
        <w:spacing w:before="0" w:after="0"/>
        <w:ind w:left="0" w:right="0" w:hanging="0"/>
        <w:rPr/>
      </w:pPr>
      <w:r>
        <w:rPr/>
        <w:t> </w:t>
      </w:r>
    </w:p>
    <w:p>
      <w:pPr>
        <w:pStyle w:val="TextBody"/>
        <w:keepNext w:val="true"/>
        <w:spacing w:before="0" w:after="240"/>
        <w:ind w:left="0" w:right="0" w:firstLine="40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240"/>
        <w:ind w:left="400" w:right="0" w:hanging="40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240"/>
        <w:ind w:left="400" w:right="0" w:hanging="40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240"/>
        <w:ind w:left="400" w:right="0" w:hanging="40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240"/>
        <w:ind w:left="400" w:right="0" w:hanging="40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double" w:sz="16" w:space="1" w:color="000000"/>
        </w:rPr>
      </w:pPr>
      <w:r>
        <w:rPr>
          <w:bdr w:val="double" w:sz="16" w:space="1" w:color="000000"/>
        </w:rPr>
        <w:t> </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firstLine="400"/>
        <w:rPr/>
      </w:pPr>
      <w:r>
        <w:rPr/>
        <w:t> </w:t>
      </w:r>
    </w:p>
    <w:p>
      <w:pPr>
        <w:pStyle w:val="TextBody"/>
        <w:keepNext w:val="true"/>
        <w:spacing w:before="0" w:after="240"/>
        <w:ind w:left="940" w:right="0" w:hanging="940"/>
        <w:rPr>
          <w:rFonts w:ascii="Times New Roman" w:hAnsi="Times New Roman"/>
          <w:b/>
          <w:sz w:val="17"/>
        </w:rPr>
      </w:pPr>
      <w:r>
        <w:rPr>
          <w:rFonts w:ascii="Times New Roman" w:hAnsi="Times New Roman"/>
          <w:b/>
          <w:sz w:val="17"/>
        </w:rPr>
        <w:t>Item 9.01. Financial Statements and Exhibits</w:t>
      </w:r>
    </w:p>
    <w:p>
      <w:pPr>
        <w:pStyle w:val="TextBody"/>
        <w:keepNext w:val="true"/>
        <w:spacing w:before="0" w:after="240"/>
        <w:ind w:left="400" w:right="0" w:hanging="400"/>
        <w:rPr>
          <w:rFonts w:ascii="Times New Roman" w:hAnsi="Times New Roman"/>
          <w:sz w:val="17"/>
        </w:rPr>
      </w:pPr>
      <w:r>
        <w:rPr>
          <w:rFonts w:ascii="Times New Roman" w:hAnsi="Times New Roman"/>
          <w:sz w:val="17"/>
        </w:rPr>
        <w:t>(d)           Exhibits</w:t>
      </w:r>
    </w:p>
    <w:tbl>
      <w:tblPr>
        <w:tblW w:w="5000" w:type="pct"/>
        <w:jc w:val="left"/>
        <w:tblInd w:w="0" w:type="dxa"/>
        <w:tblCellMar>
          <w:top w:w="0" w:type="dxa"/>
          <w:left w:w="0" w:type="dxa"/>
          <w:bottom w:w="0" w:type="dxa"/>
          <w:right w:w="0" w:type="dxa"/>
        </w:tblCellMar>
      </w:tblPr>
      <w:tblGrid>
        <w:gridCol w:w="2288"/>
        <w:gridCol w:w="208"/>
        <w:gridCol w:w="7709"/>
      </w:tblGrid>
      <w:tr>
        <w:trPr/>
        <w:tc>
          <w:tcPr>
            <w:tcW w:w="2288" w:type="dxa"/>
            <w:tcBorders/>
            <w:shd w:fill="auto" w:val="clear"/>
          </w:tcPr>
          <w:p>
            <w:pPr>
              <w:pStyle w:val="TableContents"/>
              <w:spacing w:before="0" w:after="0"/>
              <w:ind w:left="0" w:right="0" w:hanging="0"/>
              <w:jc w:val="center"/>
              <w:rPr>
                <w:sz w:val="17"/>
              </w:rPr>
            </w:pPr>
            <w:r>
              <w:rPr>
                <w:sz w:val="17"/>
              </w:rPr>
              <w:t>99.1</w:t>
            </w:r>
          </w:p>
        </w:tc>
        <w:tc>
          <w:tcPr>
            <w:tcW w:w="208" w:type="dxa"/>
            <w:tcBorders/>
            <w:shd w:fill="auto" w:val="clear"/>
          </w:tcPr>
          <w:p>
            <w:pPr>
              <w:pStyle w:val="TableContents"/>
              <w:spacing w:before="0" w:after="0"/>
              <w:ind w:left="0" w:right="0" w:hanging="0"/>
              <w:rPr/>
            </w:pPr>
            <w:r>
              <w:rPr/>
              <w:t> </w:t>
            </w:r>
          </w:p>
        </w:tc>
        <w:tc>
          <w:tcPr>
            <w:tcW w:w="77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Unaudited Consolidated Balance Sheet of Plains AAP, L.P., dated as of March 31, 2006.</w:t>
            </w:r>
          </w:p>
        </w:tc>
      </w:tr>
    </w:tbl>
    <w:p>
      <w:pPr>
        <w:pStyle w:val="TextBody"/>
        <w:spacing w:before="0" w:after="240"/>
        <w:ind w:left="0" w:right="0" w:firstLine="400"/>
        <w:rPr/>
      </w:pPr>
      <w:r>
        <w:rPr/>
        <w:t> </w:t>
      </w:r>
    </w:p>
    <w:p>
      <w:pPr>
        <w:pStyle w:val="TextBody"/>
        <w:spacing w:before="480" w:after="480"/>
        <w:ind w:left="0" w:right="0" w:hanging="0"/>
        <w:rPr>
          <w:rFonts w:ascii="Times New Roman" w:hAnsi="Times New Roman"/>
          <w:sz w:val="17"/>
        </w:rPr>
      </w:pPr>
      <w:r>
        <w:rPr>
          <w:rFonts w:ascii="Times New Roman" w:hAnsi="Times New Roman"/>
          <w:sz w:val="17"/>
        </w:rPr>
        <w:t>2</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SIGNATURES</w:t>
      </w:r>
    </w:p>
    <w:p>
      <w:pPr>
        <w:pStyle w:val="TextBody"/>
        <w:keepNext w:val="true"/>
        <w:spacing w:before="0" w:after="240"/>
        <w:ind w:left="0" w:right="0" w:firstLine="40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tbl>
      <w:tblPr>
        <w:tblW w:w="5000" w:type="pct"/>
        <w:jc w:val="left"/>
        <w:tblInd w:w="0" w:type="dxa"/>
        <w:tblCellMar>
          <w:top w:w="0" w:type="dxa"/>
          <w:left w:w="0" w:type="dxa"/>
          <w:bottom w:w="0" w:type="dxa"/>
          <w:right w:w="0" w:type="dxa"/>
        </w:tblCellMar>
      </w:tblPr>
      <w:tblGrid>
        <w:gridCol w:w="1770"/>
        <w:gridCol w:w="3436"/>
        <w:gridCol w:w="417"/>
        <w:gridCol w:w="104"/>
        <w:gridCol w:w="4478"/>
      </w:tblGrid>
      <w:tr>
        <w:trPr/>
        <w:tc>
          <w:tcPr>
            <w:tcW w:w="1770" w:type="dxa"/>
            <w:tcBorders/>
            <w:shd w:fill="auto" w:val="clear"/>
          </w:tcPr>
          <w:p>
            <w:pPr>
              <w:pStyle w:val="TableContents"/>
              <w:spacing w:before="0" w:after="283"/>
              <w:ind w:left="0" w:right="0" w:hanging="0"/>
              <w:rPr>
                <w:sz w:val="4"/>
                <w:szCs w:val="4"/>
              </w:rPr>
            </w:pPr>
            <w:r>
              <w:rPr>
                <w:sz w:val="4"/>
                <w:szCs w:val="4"/>
              </w:rPr>
            </w:r>
          </w:p>
        </w:tc>
        <w:tc>
          <w:tcPr>
            <w:tcW w:w="3436" w:type="dxa"/>
            <w:tcBorders/>
            <w:shd w:fill="auto" w:val="clear"/>
          </w:tcPr>
          <w:p>
            <w:pPr>
              <w:pStyle w:val="TableContents"/>
              <w:spacing w:before="0" w:after="0"/>
              <w:ind w:left="0" w:right="0" w:hanging="0"/>
              <w:rPr/>
            </w:pPr>
            <w:r>
              <w:rPr/>
              <w:t> </w:t>
            </w:r>
          </w:p>
        </w:tc>
        <w:tc>
          <w:tcPr>
            <w:tcW w:w="4999"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w:t>
            </w:r>
          </w:p>
        </w:tc>
      </w:tr>
      <w:tr>
        <w:trPr/>
        <w:tc>
          <w:tcPr>
            <w:tcW w:w="1770" w:type="dxa"/>
            <w:tcBorders/>
            <w:shd w:fill="auto" w:val="clear"/>
          </w:tcPr>
          <w:p>
            <w:pPr>
              <w:pStyle w:val="TableContents"/>
              <w:spacing w:before="0" w:after="0"/>
              <w:ind w:left="0" w:right="0" w:hanging="0"/>
              <w:rPr/>
            </w:pPr>
            <w:r>
              <w:rPr/>
              <w:t> </w:t>
            </w:r>
          </w:p>
        </w:tc>
        <w:tc>
          <w:tcPr>
            <w:tcW w:w="3436" w:type="dxa"/>
            <w:tcBorders/>
            <w:shd w:fill="auto" w:val="clear"/>
          </w:tcPr>
          <w:p>
            <w:pPr>
              <w:pStyle w:val="TableContents"/>
              <w:spacing w:before="0" w:after="0"/>
              <w:ind w:left="0" w:right="0" w:hanging="0"/>
              <w:rPr/>
            </w:pPr>
            <w:r>
              <w:rPr/>
              <w:t> </w:t>
            </w:r>
          </w:p>
        </w:tc>
        <w:tc>
          <w:tcPr>
            <w:tcW w:w="4999" w:type="dxa"/>
            <w:gridSpan w:val="3"/>
            <w:tcBorders/>
            <w:shd w:fill="auto" w:val="clear"/>
          </w:tcPr>
          <w:p>
            <w:pPr>
              <w:pStyle w:val="TableContents"/>
              <w:spacing w:before="0" w:after="0"/>
              <w:ind w:left="0" w:right="0" w:hanging="0"/>
              <w:rPr/>
            </w:pPr>
            <w:r>
              <w:rPr/>
              <w:t> </w:t>
            </w:r>
          </w:p>
        </w:tc>
      </w:tr>
      <w:tr>
        <w:trPr/>
        <w:tc>
          <w:tcPr>
            <w:tcW w:w="17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June 30, 2006</w:t>
            </w:r>
          </w:p>
        </w:tc>
        <w:tc>
          <w:tcPr>
            <w:tcW w:w="343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104"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1770" w:type="dxa"/>
            <w:tcBorders/>
            <w:shd w:fill="auto" w:val="clear"/>
          </w:tcPr>
          <w:p>
            <w:pPr>
              <w:pStyle w:val="TableContents"/>
              <w:spacing w:before="0" w:after="0"/>
              <w:ind w:left="0" w:right="0" w:hanging="0"/>
              <w:rPr/>
            </w:pPr>
            <w:r>
              <w:rPr/>
              <w:t> </w:t>
            </w:r>
          </w:p>
        </w:tc>
        <w:tc>
          <w:tcPr>
            <w:tcW w:w="343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104"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1770" w:type="dxa"/>
            <w:tcBorders/>
            <w:shd w:fill="auto" w:val="clear"/>
          </w:tcPr>
          <w:p>
            <w:pPr>
              <w:pStyle w:val="TableContents"/>
              <w:spacing w:before="0" w:after="0"/>
              <w:ind w:left="0" w:right="0" w:hanging="0"/>
              <w:rPr/>
            </w:pPr>
            <w:r>
              <w:rPr/>
              <w:t> </w:t>
            </w:r>
          </w:p>
        </w:tc>
        <w:tc>
          <w:tcPr>
            <w:tcW w:w="343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104"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1770" w:type="dxa"/>
            <w:tcBorders/>
            <w:shd w:fill="auto" w:val="clear"/>
          </w:tcPr>
          <w:p>
            <w:pPr>
              <w:pStyle w:val="TableContents"/>
              <w:spacing w:before="0" w:after="0"/>
              <w:ind w:left="0" w:right="0" w:hanging="0"/>
              <w:rPr/>
            </w:pPr>
            <w:r>
              <w:rPr/>
              <w:t> </w:t>
            </w:r>
          </w:p>
        </w:tc>
        <w:tc>
          <w:tcPr>
            <w:tcW w:w="343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104"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1770" w:type="dxa"/>
            <w:tcBorders/>
            <w:shd w:fill="auto" w:val="clear"/>
          </w:tcPr>
          <w:p>
            <w:pPr>
              <w:pStyle w:val="TableContents"/>
              <w:spacing w:before="0" w:after="0"/>
              <w:ind w:left="0" w:right="0" w:hanging="0"/>
              <w:rPr/>
            </w:pPr>
            <w:r>
              <w:rPr/>
              <w:t> </w:t>
            </w:r>
          </w:p>
        </w:tc>
        <w:tc>
          <w:tcPr>
            <w:tcW w:w="343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104" w:type="dxa"/>
            <w:tcBorders/>
            <w:shd w:fill="auto" w:val="clear"/>
          </w:tcPr>
          <w:p>
            <w:pPr>
              <w:pStyle w:val="TableContents"/>
              <w:spacing w:before="0" w:after="0"/>
              <w:ind w:left="0" w:right="0" w:hanging="0"/>
              <w:rPr/>
            </w:pPr>
            <w:r>
              <w:rPr/>
              <w:t> </w:t>
            </w:r>
          </w:p>
        </w:tc>
        <w:tc>
          <w:tcPr>
            <w:tcW w:w="447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TINA L. VAL</w:t>
            </w:r>
          </w:p>
        </w:tc>
      </w:tr>
      <w:tr>
        <w:trPr/>
        <w:tc>
          <w:tcPr>
            <w:tcW w:w="1770" w:type="dxa"/>
            <w:tcBorders/>
            <w:shd w:fill="auto" w:val="clear"/>
          </w:tcPr>
          <w:p>
            <w:pPr>
              <w:pStyle w:val="TableContents"/>
              <w:spacing w:before="0" w:after="0"/>
              <w:ind w:left="0" w:right="0" w:hanging="0"/>
              <w:rPr/>
            </w:pPr>
            <w:r>
              <w:rPr/>
              <w:t> </w:t>
            </w:r>
          </w:p>
        </w:tc>
        <w:tc>
          <w:tcPr>
            <w:tcW w:w="343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104"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Tina L. Val</w:t>
            </w:r>
          </w:p>
        </w:tc>
      </w:tr>
      <w:tr>
        <w:trPr/>
        <w:tc>
          <w:tcPr>
            <w:tcW w:w="1770" w:type="dxa"/>
            <w:tcBorders/>
            <w:shd w:fill="auto" w:val="clear"/>
          </w:tcPr>
          <w:p>
            <w:pPr>
              <w:pStyle w:val="TableContents"/>
              <w:spacing w:before="0" w:after="0"/>
              <w:ind w:left="0" w:right="0" w:hanging="0"/>
              <w:rPr/>
            </w:pPr>
            <w:r>
              <w:rPr/>
              <w:t> </w:t>
            </w:r>
          </w:p>
        </w:tc>
        <w:tc>
          <w:tcPr>
            <w:tcW w:w="343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104"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w:t>
            </w:r>
            <w:r>
              <w:rPr>
                <w:rFonts w:ascii="Times New Roman" w:hAnsi="Times New Roman"/>
                <w:i/>
                <w:sz w:val="17"/>
              </w:rPr>
              <w:t xml:space="preserve">Vice PresidentAccounting and </w:t>
              <w:br/>
              <w:t>             Chief Accounting Officer</w:t>
            </w:r>
          </w:p>
        </w:tc>
      </w:tr>
    </w:tbl>
    <w:p>
      <w:pPr>
        <w:pStyle w:val="TextBody"/>
        <w:spacing w:before="120" w:after="240"/>
        <w:ind w:left="0" w:right="0" w:firstLine="400"/>
        <w:rPr/>
      </w:pPr>
      <w:r>
        <w:rPr/>
        <w:t> </w:t>
      </w:r>
    </w:p>
    <w:p>
      <w:pPr>
        <w:pStyle w:val="TextBody"/>
        <w:spacing w:before="480" w:after="480"/>
        <w:ind w:left="0" w:right="0" w:hanging="0"/>
        <w:rPr>
          <w:rFonts w:ascii="Times New Roman" w:hAnsi="Times New Roman"/>
          <w:sz w:val="17"/>
        </w:rPr>
      </w:pPr>
      <w:r>
        <w:rPr>
          <w:rFonts w:ascii="Times New Roman" w:hAnsi="Times New Roman"/>
          <w:sz w:val="17"/>
        </w:rPr>
        <w:t>3</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0" w:right="0" w:firstLine="400"/>
        <w:jc w:val="center"/>
        <w:rPr>
          <w:rFonts w:ascii="Times New Roman" w:hAnsi="Times New Roman"/>
          <w:b/>
          <w:sz w:val="17"/>
        </w:rPr>
      </w:pPr>
      <w:r>
        <w:rPr>
          <w:rFonts w:ascii="Times New Roman" w:hAnsi="Times New Roman"/>
          <w:b/>
          <w:sz w:val="17"/>
        </w:rPr>
        <w:t>Index to Exhibits</w:t>
      </w:r>
    </w:p>
    <w:tbl>
      <w:tblPr>
        <w:tblW w:w="5000" w:type="pct"/>
        <w:jc w:val="left"/>
        <w:tblInd w:w="0" w:type="dxa"/>
        <w:tblCellMar>
          <w:top w:w="0" w:type="dxa"/>
          <w:left w:w="0" w:type="dxa"/>
          <w:bottom w:w="0" w:type="dxa"/>
          <w:right w:w="0" w:type="dxa"/>
        </w:tblCellMar>
      </w:tblPr>
      <w:tblGrid>
        <w:gridCol w:w="520"/>
        <w:gridCol w:w="521"/>
        <w:gridCol w:w="9164"/>
      </w:tblGrid>
      <w:tr>
        <w:trPr/>
        <w:tc>
          <w:tcPr>
            <w:tcW w:w="520" w:type="dxa"/>
            <w:tcBorders/>
            <w:shd w:fill="auto" w:val="clear"/>
          </w:tcPr>
          <w:p>
            <w:pPr>
              <w:pStyle w:val="TableContents"/>
              <w:spacing w:before="0" w:after="0"/>
              <w:ind w:left="0" w:right="0" w:hanging="0"/>
              <w:rPr>
                <w:sz w:val="17"/>
              </w:rPr>
            </w:pPr>
            <w:r>
              <w:rPr>
                <w:sz w:val="17"/>
              </w:rPr>
              <w:t>99.1</w:t>
            </w:r>
          </w:p>
        </w:tc>
        <w:tc>
          <w:tcPr>
            <w:tcW w:w="521" w:type="dxa"/>
            <w:tcBorders/>
            <w:shd w:fill="auto" w:val="clear"/>
          </w:tcPr>
          <w:p>
            <w:pPr>
              <w:pStyle w:val="TableContents"/>
              <w:spacing w:before="0" w:after="0"/>
              <w:ind w:left="0" w:right="0" w:hanging="0"/>
              <w:rPr/>
            </w:pPr>
            <w:r>
              <w:rPr/>
              <w:t> </w:t>
            </w:r>
          </w:p>
        </w:tc>
        <w:tc>
          <w:tcPr>
            <w:tcW w:w="91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Unaudited Consolidated Balance Sheet of Plains AAP, L.P., dated as of March 31, 2006.</w:t>
            </w:r>
          </w:p>
        </w:tc>
      </w:tr>
    </w:tbl>
    <w:p>
      <w:pPr>
        <w:pStyle w:val="TextBody"/>
        <w:spacing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4</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firstLine="400"/>
        <w:rPr/>
      </w:pPr>
      <w:bookmarkStart w:id="2" w:name="a06-14672_1ex99d1.htm"/>
      <w:bookmarkStart w:id="3" w:name="ksa0614672_1ex99d1"/>
      <w:bookmarkEnd w:id="2"/>
      <w:bookmarkEnd w:id="3"/>
      <w:r>
        <w:rPr/>
        <w:t> </w:t>
      </w:r>
    </w:p>
    <w:p>
      <w:pPr>
        <w:pStyle w:val="TextBody"/>
        <w:keepNext w:val="true"/>
        <w:spacing w:before="0" w:after="240"/>
        <w:ind w:left="0" w:right="0" w:firstLine="400"/>
        <w:jc w:val="right"/>
        <w:rPr>
          <w:rFonts w:ascii="Times New Roman" w:hAnsi="Times New Roman"/>
          <w:b/>
          <w:sz w:val="17"/>
        </w:rPr>
      </w:pPr>
      <w:r>
        <w:rPr>
          <w:rFonts w:ascii="Times New Roman" w:hAnsi="Times New Roman"/>
          <w:b/>
          <w:sz w:val="17"/>
        </w:rPr>
        <w:t>Exhibit 99.1</w:t>
      </w:r>
    </w:p>
    <w:p>
      <w:pPr>
        <w:pStyle w:val="TextBody"/>
        <w:keepNext w:val="true"/>
        <w:spacing w:lineRule="atLeast" w:line="320" w:before="0" w:after="240"/>
        <w:ind w:left="0" w:right="0" w:firstLine="403"/>
        <w:jc w:val="center"/>
        <w:rPr>
          <w:rFonts w:ascii="Times New Roman" w:hAnsi="Times New Roman"/>
          <w:b/>
          <w:sz w:val="17"/>
        </w:rPr>
      </w:pPr>
      <w:r>
        <w:rPr>
          <w:rFonts w:ascii="Times New Roman" w:hAnsi="Times New Roman"/>
          <w:b/>
          <w:sz w:val="17"/>
        </w:rPr>
        <w:t>PLAINS AAP, L.P.</w:t>
        <w:br/>
        <w:t>INDEX TO FINANCIAL STATEMENT</w:t>
      </w:r>
    </w:p>
    <w:tbl>
      <w:tblPr>
        <w:tblW w:w="5000" w:type="pct"/>
        <w:jc w:val="left"/>
        <w:tblInd w:w="0" w:type="dxa"/>
        <w:tblCellMar>
          <w:top w:w="0" w:type="dxa"/>
          <w:left w:w="0" w:type="dxa"/>
          <w:bottom w:w="0" w:type="dxa"/>
          <w:right w:w="0" w:type="dxa"/>
        </w:tblCellMar>
      </w:tblPr>
      <w:tblGrid>
        <w:gridCol w:w="9486"/>
        <w:gridCol w:w="203"/>
        <w:gridCol w:w="309"/>
        <w:gridCol w:w="207"/>
      </w:tblGrid>
      <w:tr>
        <w:trPr/>
        <w:tc>
          <w:tcPr>
            <w:tcW w:w="9486" w:type="dxa"/>
            <w:tcBorders/>
            <w:shd w:fill="auto" w:val="clear"/>
            <w:vAlign w:val="bottom"/>
          </w:tcPr>
          <w:p>
            <w:pPr>
              <w:pStyle w:val="TableContents"/>
              <w:spacing w:before="0" w:after="283"/>
              <w:ind w:left="0" w:right="0" w:hanging="0"/>
              <w:rPr>
                <w:sz w:val="4"/>
                <w:szCs w:val="4"/>
              </w:rPr>
            </w:pPr>
            <w:r>
              <w:rPr>
                <w:sz w:val="4"/>
                <w:szCs w:val="4"/>
              </w:rPr>
            </w:r>
          </w:p>
        </w:tc>
        <w:tc>
          <w:tcPr>
            <w:tcW w:w="203" w:type="dxa"/>
            <w:tcBorders/>
            <w:shd w:fill="auto" w:val="clear"/>
            <w:vAlign w:val="bottom"/>
          </w:tcPr>
          <w:p>
            <w:pPr>
              <w:pStyle w:val="TableContents"/>
              <w:spacing w:lineRule="atLeast" w:line="160" w:before="0" w:after="0"/>
              <w:ind w:left="0" w:right="0" w:hanging="0"/>
              <w:rPr/>
            </w:pPr>
            <w:r>
              <w:rPr/>
              <w:t> </w:t>
            </w:r>
          </w:p>
        </w:tc>
        <w:tc>
          <w:tcPr>
            <w:tcW w:w="309"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Page</w:t>
            </w:r>
          </w:p>
        </w:tc>
        <w:tc>
          <w:tcPr>
            <w:tcW w:w="207" w:type="dxa"/>
            <w:tcBorders/>
            <w:shd w:fill="auto" w:val="clear"/>
            <w:vAlign w:val="bottom"/>
          </w:tcPr>
          <w:p>
            <w:pPr>
              <w:pStyle w:val="TableContents"/>
              <w:spacing w:lineRule="atLeast" w:line="160" w:before="0" w:after="0"/>
              <w:ind w:left="0" w:right="0" w:hanging="0"/>
              <w:rPr/>
            </w:pPr>
            <w:r>
              <w:rPr/>
              <w:t> </w:t>
            </w:r>
          </w:p>
        </w:tc>
      </w:tr>
      <w:tr>
        <w:trPr/>
        <w:tc>
          <w:tcPr>
            <w:tcW w:w="94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Unaudited Consolidated Balance Sheet as of March 31, 2006</w:t>
            </w:r>
          </w:p>
        </w:tc>
        <w:tc>
          <w:tcPr>
            <w:tcW w:w="203" w:type="dxa"/>
            <w:tcBorders/>
            <w:shd w:fill="auto" w:val="clear"/>
            <w:vAlign w:val="bottom"/>
          </w:tcPr>
          <w:p>
            <w:pPr>
              <w:pStyle w:val="TableContents"/>
              <w:spacing w:before="0" w:after="0"/>
              <w:ind w:left="0" w:right="0" w:hanging="0"/>
              <w:rPr/>
            </w:pPr>
            <w:r>
              <w:rPr/>
              <w:t> </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F-2</w:t>
            </w:r>
          </w:p>
        </w:tc>
        <w:tc>
          <w:tcPr>
            <w:tcW w:w="207" w:type="dxa"/>
            <w:tcBorders/>
            <w:shd w:fill="auto" w:val="clear"/>
            <w:vAlign w:val="bottom"/>
          </w:tcPr>
          <w:p>
            <w:pPr>
              <w:pStyle w:val="TableContents"/>
              <w:spacing w:before="0" w:after="0"/>
              <w:ind w:left="0" w:right="0" w:hanging="0"/>
              <w:rPr/>
            </w:pPr>
            <w:r>
              <w:rPr/>
              <w:t> </w:t>
            </w:r>
          </w:p>
        </w:tc>
      </w:tr>
      <w:tr>
        <w:trPr/>
        <w:tc>
          <w:tcPr>
            <w:tcW w:w="948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Unaudited Notes to the Consolidated Financial Statement</w:t>
            </w:r>
          </w:p>
        </w:tc>
        <w:tc>
          <w:tcPr>
            <w:tcW w:w="203" w:type="dxa"/>
            <w:tcBorders/>
            <w:shd w:fill="auto" w:val="clear"/>
            <w:vAlign w:val="bottom"/>
          </w:tcPr>
          <w:p>
            <w:pPr>
              <w:pStyle w:val="TableContents"/>
              <w:spacing w:before="0" w:after="0"/>
              <w:ind w:left="0" w:right="0" w:hanging="0"/>
              <w:rPr/>
            </w:pPr>
            <w:r>
              <w:rPr/>
              <w:t> </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F-3</w:t>
            </w:r>
          </w:p>
        </w:tc>
        <w:tc>
          <w:tcPr>
            <w:tcW w:w="207" w:type="dxa"/>
            <w:tcBorders/>
            <w:shd w:fill="auto" w:val="clear"/>
            <w:vAlign w:val="bottom"/>
          </w:tcPr>
          <w:p>
            <w:pPr>
              <w:pStyle w:val="TableContents"/>
              <w:spacing w:before="0" w:after="0"/>
              <w:ind w:left="0" w:right="0" w:hanging="0"/>
              <w:rPr/>
            </w:pPr>
            <w:r>
              <w:rPr/>
              <w:t> </w:t>
            </w:r>
          </w:p>
        </w:tc>
      </w:tr>
    </w:tbl>
    <w:p>
      <w:pPr>
        <w:pStyle w:val="TextBody"/>
        <w:spacing w:before="120" w:after="240"/>
        <w:ind w:left="0" w:right="0" w:firstLine="400"/>
        <w:rPr/>
      </w:pPr>
      <w:r>
        <w:rPr/>
        <w:t> </w:t>
      </w:r>
    </w:p>
    <w:p>
      <w:pPr>
        <w:pStyle w:val="TextBody"/>
        <w:spacing w:before="480" w:after="480"/>
        <w:ind w:left="0" w:right="0" w:hanging="0"/>
        <w:rPr>
          <w:rFonts w:ascii="Times New Roman" w:hAnsi="Times New Roman"/>
          <w:sz w:val="17"/>
        </w:rPr>
      </w:pPr>
      <w:r>
        <w:rPr>
          <w:rFonts w:ascii="Times New Roman" w:hAnsi="Times New Roman"/>
          <w:sz w:val="17"/>
        </w:rPr>
        <w:t>F-1</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240"/>
        <w:ind w:left="0" w:right="0" w:hanging="0"/>
        <w:jc w:val="center"/>
        <w:rPr>
          <w:b/>
          <w:sz w:val="17"/>
        </w:rPr>
      </w:pPr>
      <w:r>
        <w:rPr>
          <w:rFonts w:ascii="Times New Roman" w:hAnsi="Times New Roman"/>
          <w:b/>
          <w:sz w:val="17"/>
        </w:rPr>
        <w:t>PLAINS AAP, L.P.</w:t>
      </w:r>
      <w:r>
        <w:rPr>
          <w:rFonts w:ascii="Times New Roman" w:hAnsi="Times New Roman"/>
          <w:b w:val="false"/>
          <w:sz w:val="17"/>
        </w:rPr>
        <w:br/>
      </w:r>
      <w:r>
        <w:rPr>
          <w:rFonts w:ascii="Times New Roman" w:hAnsi="Times New Roman"/>
          <w:b/>
          <w:sz w:val="17"/>
        </w:rPr>
        <w:t>CONSOLIDATED BALANCE SHEET</w:t>
      </w:r>
    </w:p>
    <w:p>
      <w:pPr>
        <w:pStyle w:val="TextBody"/>
        <w:keepNext w:val="true"/>
        <w:spacing w:before="0" w:after="240"/>
        <w:ind w:left="0" w:right="0" w:hanging="0"/>
        <w:jc w:val="center"/>
        <w:rPr/>
      </w:pPr>
      <w:r>
        <w:rPr/>
        <w:t> </w:t>
      </w:r>
      <w:r>
        <w:rPr>
          <w:rFonts w:ascii="Times New Roman" w:hAnsi="Times New Roman"/>
          <w:b/>
          <w:sz w:val="17"/>
        </w:rPr>
        <w:t>(in millions)</w:t>
      </w:r>
    </w:p>
    <w:tbl>
      <w:tblPr>
        <w:tblW w:w="5000" w:type="pct"/>
        <w:jc w:val="left"/>
        <w:tblInd w:w="0" w:type="dxa"/>
        <w:tblCellMar>
          <w:top w:w="0" w:type="dxa"/>
          <w:left w:w="0" w:type="dxa"/>
          <w:bottom w:w="0" w:type="dxa"/>
          <w:right w:w="0" w:type="dxa"/>
        </w:tblCellMar>
      </w:tblPr>
      <w:tblGrid>
        <w:gridCol w:w="8428"/>
        <w:gridCol w:w="211"/>
        <w:gridCol w:w="160"/>
        <w:gridCol w:w="1182"/>
        <w:gridCol w:w="224"/>
      </w:tblGrid>
      <w:tr>
        <w:trPr/>
        <w:tc>
          <w:tcPr>
            <w:tcW w:w="8428" w:type="dxa"/>
            <w:tcBorders/>
            <w:shd w:fill="auto" w:val="clear"/>
            <w:vAlign w:val="bottom"/>
          </w:tcPr>
          <w:p>
            <w:pPr>
              <w:pStyle w:val="TableContents"/>
              <w:spacing w:lineRule="atLeast" w:line="160" w:before="0" w:after="0"/>
              <w:ind w:left="0" w:right="0" w:hanging="0"/>
              <w:rPr/>
            </w:pPr>
            <w:r>
              <w:rPr/>
              <w:t> </w:t>
            </w:r>
          </w:p>
        </w:tc>
        <w:tc>
          <w:tcPr>
            <w:tcW w:w="211" w:type="dxa"/>
            <w:tcBorders/>
            <w:shd w:fill="auto" w:val="clear"/>
            <w:vAlign w:val="bottom"/>
          </w:tcPr>
          <w:p>
            <w:pPr>
              <w:pStyle w:val="TableContents"/>
              <w:spacing w:lineRule="atLeast" w:line="160" w:before="0" w:after="0"/>
              <w:ind w:left="0" w:right="0" w:hanging="0"/>
              <w:rPr/>
            </w:pPr>
            <w:r>
              <w:rPr/>
              <w:t> </w:t>
            </w:r>
          </w:p>
        </w:tc>
        <w:tc>
          <w:tcPr>
            <w:tcW w:w="1342"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March 31, 2006</w:t>
            </w:r>
          </w:p>
        </w:tc>
        <w:tc>
          <w:tcPr>
            <w:tcW w:w="224" w:type="dxa"/>
            <w:tcBorders/>
            <w:shd w:fill="auto" w:val="clear"/>
            <w:vAlign w:val="bottom"/>
          </w:tcPr>
          <w:p>
            <w:pPr>
              <w:pStyle w:val="TableContents"/>
              <w:spacing w:lineRule="atLeast" w:line="160" w:before="0" w:after="0"/>
              <w:ind w:left="0" w:right="0" w:hanging="0"/>
              <w:rPr/>
            </w:pPr>
            <w:r>
              <w:rPr/>
              <w:t> </w:t>
            </w:r>
          </w:p>
        </w:tc>
      </w:tr>
      <w:tr>
        <w:trPr/>
        <w:tc>
          <w:tcPr>
            <w:tcW w:w="8428" w:type="dxa"/>
            <w:tcBorders/>
            <w:shd w:fill="auto" w:val="clear"/>
            <w:vAlign w:val="bottom"/>
          </w:tcPr>
          <w:p>
            <w:pPr>
              <w:pStyle w:val="TableContents"/>
              <w:spacing w:lineRule="atLeast" w:line="160" w:before="0" w:after="0"/>
              <w:ind w:left="0" w:right="0" w:hanging="0"/>
              <w:rPr/>
            </w:pPr>
            <w:r>
              <w:rPr/>
              <w:t> </w:t>
            </w:r>
          </w:p>
        </w:tc>
        <w:tc>
          <w:tcPr>
            <w:tcW w:w="211" w:type="dxa"/>
            <w:tcBorders/>
            <w:shd w:fill="auto" w:val="clear"/>
            <w:vAlign w:val="bottom"/>
          </w:tcPr>
          <w:p>
            <w:pPr>
              <w:pStyle w:val="TableContents"/>
              <w:spacing w:lineRule="atLeast" w:line="160" w:before="0" w:after="0"/>
              <w:ind w:left="0" w:right="0" w:hanging="0"/>
              <w:rPr/>
            </w:pPr>
            <w:r>
              <w:rPr/>
              <w:t> </w:t>
            </w:r>
          </w:p>
        </w:tc>
        <w:tc>
          <w:tcPr>
            <w:tcW w:w="1342"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(unaudited)</w:t>
            </w:r>
          </w:p>
        </w:tc>
        <w:tc>
          <w:tcPr>
            <w:tcW w:w="224" w:type="dxa"/>
            <w:tcBorders/>
            <w:shd w:fill="auto" w:val="clear"/>
            <w:vAlign w:val="bottom"/>
          </w:tcPr>
          <w:p>
            <w:pPr>
              <w:pStyle w:val="TableContents"/>
              <w:spacing w:lineRule="atLeast" w:line="160" w:before="0" w:after="0"/>
              <w:ind w:left="0" w:right="0" w:hanging="0"/>
              <w:rPr/>
            </w:pPr>
            <w:r>
              <w:rPr/>
              <w:t> </w:t>
            </w:r>
          </w:p>
        </w:tc>
      </w:tr>
      <w:tr>
        <w:trPr/>
        <w:tc>
          <w:tcPr>
            <w:tcW w:w="8428" w:type="dxa"/>
            <w:tcBorders/>
            <w:shd w:fill="CCEEFF"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ASSETS</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shd w:fill="CCEEFF" w:val="clear"/>
            <w:vAlign w:val="bottom"/>
          </w:tcPr>
          <w:p>
            <w:pPr>
              <w:pStyle w:val="TableContents"/>
              <w:spacing w:before="0" w:after="0"/>
              <w:ind w:left="0" w:right="0" w:hanging="0"/>
              <w:rPr/>
            </w:pPr>
            <w:r>
              <w:rPr/>
              <w:t> </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342" w:type="dxa"/>
            <w:gridSpan w:val="2"/>
            <w:tcBorders/>
            <w:shd w:fill="auto" w:val="clear"/>
            <w:vAlign w:val="bottom"/>
          </w:tcPr>
          <w:p>
            <w:pPr>
              <w:pStyle w:val="TableContents"/>
              <w:spacing w:before="0" w:after="0"/>
              <w:ind w:left="0" w:right="0" w:hanging="0"/>
              <w:rPr/>
            </w:pPr>
            <w:r>
              <w:rPr/>
              <w:t> </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CURRENT ASSETS</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shd w:fill="CCEEFF" w:val="clear"/>
            <w:vAlign w:val="bottom"/>
          </w:tcPr>
          <w:p>
            <w:pPr>
              <w:pStyle w:val="TableContents"/>
              <w:spacing w:before="0" w:after="0"/>
              <w:ind w:left="0" w:right="0" w:hanging="0"/>
              <w:rPr/>
            </w:pPr>
            <w:r>
              <w:rPr/>
              <w:t> </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11"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9.3</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Trade accounts receivable and other receivables, net</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1,242.8</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11" w:type="dxa"/>
            <w:tcBorders/>
            <w:shd w:fill="auto" w:val="clear"/>
            <w:vAlign w:val="bottom"/>
          </w:tcPr>
          <w:p>
            <w:pPr>
              <w:pStyle w:val="TableContents"/>
              <w:spacing w:before="0" w:after="0"/>
              <w:ind w:left="0" w:right="0" w:hanging="0"/>
              <w:rPr/>
            </w:pPr>
            <w:r>
              <w:rPr/>
              <w:t> </w:t>
            </w:r>
          </w:p>
        </w:tc>
        <w:tc>
          <w:tcPr>
            <w:tcW w:w="1342"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1,027.4</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94.9</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211" w:type="dxa"/>
            <w:tcBorders/>
            <w:shd w:fill="auto" w:val="clear"/>
            <w:vAlign w:val="bottom"/>
          </w:tcPr>
          <w:p>
            <w:pPr>
              <w:pStyle w:val="TableContents"/>
              <w:spacing w:before="0" w:after="0"/>
              <w:ind w:left="0" w:right="0" w:hanging="0"/>
              <w:rPr/>
            </w:pPr>
            <w:r>
              <w:rPr/>
              <w:t> </w:t>
            </w:r>
          </w:p>
        </w:tc>
        <w:tc>
          <w:tcPr>
            <w:tcW w:w="1342"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2,374.4</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shd w:fill="CCEEFF" w:val="clear"/>
            <w:vAlign w:val="bottom"/>
          </w:tcPr>
          <w:p>
            <w:pPr>
              <w:pStyle w:val="TableContents"/>
              <w:spacing w:before="0" w:after="0"/>
              <w:ind w:left="0" w:right="0" w:hanging="0"/>
              <w:rPr/>
            </w:pPr>
            <w:r>
              <w:rPr/>
              <w:t> </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PROPERTY AND EQUIPMENT</w:t>
            </w:r>
          </w:p>
        </w:tc>
        <w:tc>
          <w:tcPr>
            <w:tcW w:w="211" w:type="dxa"/>
            <w:tcBorders/>
            <w:shd w:fill="auto" w:val="clear"/>
            <w:vAlign w:val="bottom"/>
          </w:tcPr>
          <w:p>
            <w:pPr>
              <w:pStyle w:val="TableContents"/>
              <w:spacing w:before="0" w:after="0"/>
              <w:ind w:left="0" w:right="0" w:hanging="0"/>
              <w:rPr/>
            </w:pPr>
            <w:r>
              <w:rPr/>
              <w:t> </w:t>
            </w:r>
          </w:p>
        </w:tc>
        <w:tc>
          <w:tcPr>
            <w:tcW w:w="1342"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2,218.7</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Accumulated depreciation</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(284.8</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428"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342"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1,933.9</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shd w:fill="CCEEFF" w:val="clear"/>
            <w:vAlign w:val="bottom"/>
          </w:tcPr>
          <w:p>
            <w:pPr>
              <w:pStyle w:val="TableContents"/>
              <w:spacing w:before="0" w:after="0"/>
              <w:ind w:left="0" w:right="0" w:hanging="0"/>
              <w:rPr/>
            </w:pPr>
            <w:r>
              <w:rPr/>
              <w:t> </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OTHER ASSETS</w:t>
            </w:r>
          </w:p>
        </w:tc>
        <w:tc>
          <w:tcPr>
            <w:tcW w:w="211" w:type="dxa"/>
            <w:tcBorders/>
            <w:shd w:fill="auto" w:val="clear"/>
            <w:vAlign w:val="bottom"/>
          </w:tcPr>
          <w:p>
            <w:pPr>
              <w:pStyle w:val="TableContents"/>
              <w:spacing w:before="0" w:after="0"/>
              <w:ind w:left="0" w:right="0" w:hanging="0"/>
              <w:rPr/>
            </w:pPr>
            <w:r>
              <w:rPr/>
              <w:t> </w:t>
            </w:r>
          </w:p>
        </w:tc>
        <w:tc>
          <w:tcPr>
            <w:tcW w:w="1342" w:type="dxa"/>
            <w:gridSpan w:val="2"/>
            <w:tcBorders/>
            <w:shd w:fill="auto" w:val="clear"/>
            <w:vAlign w:val="bottom"/>
          </w:tcPr>
          <w:p>
            <w:pPr>
              <w:pStyle w:val="TableContents"/>
              <w:spacing w:before="0" w:after="0"/>
              <w:ind w:left="0" w:right="0" w:hanging="0"/>
              <w:rPr/>
            </w:pPr>
            <w:r>
              <w:rPr/>
              <w:t> </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Pipeline linefill in owned assets</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180.1</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Inventory in third party assets</w:t>
            </w:r>
          </w:p>
        </w:tc>
        <w:tc>
          <w:tcPr>
            <w:tcW w:w="211" w:type="dxa"/>
            <w:tcBorders/>
            <w:shd w:fill="auto" w:val="clear"/>
            <w:vAlign w:val="bottom"/>
          </w:tcPr>
          <w:p>
            <w:pPr>
              <w:pStyle w:val="TableContents"/>
              <w:spacing w:before="0" w:after="0"/>
              <w:ind w:left="0" w:right="0" w:hanging="0"/>
              <w:rPr/>
            </w:pPr>
            <w:r>
              <w:rPr/>
              <w:t> </w:t>
            </w:r>
          </w:p>
        </w:tc>
        <w:tc>
          <w:tcPr>
            <w:tcW w:w="1342"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71.9</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Investment in PAA/Vulcan Gas Storage, LLC</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113.3</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11" w:type="dxa"/>
            <w:tcBorders/>
            <w:shd w:fill="auto" w:val="clear"/>
            <w:vAlign w:val="bottom"/>
          </w:tcPr>
          <w:p>
            <w:pPr>
              <w:pStyle w:val="TableContents"/>
              <w:spacing w:before="0" w:after="0"/>
              <w:ind w:left="0" w:right="0" w:hanging="0"/>
              <w:rPr/>
            </w:pPr>
            <w:r>
              <w:rPr/>
              <w:t> </w:t>
            </w:r>
          </w:p>
        </w:tc>
        <w:tc>
          <w:tcPr>
            <w:tcW w:w="1342"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94.5</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11" w:type="dxa"/>
            <w:tcBorders/>
            <w:shd w:fill="CCEEFF" w:val="clear"/>
            <w:vAlign w:val="bottom"/>
          </w:tcPr>
          <w:p>
            <w:pPr>
              <w:pStyle w:val="TableContents"/>
              <w:spacing w:before="0" w:after="0"/>
              <w:ind w:left="0" w:right="0" w:hanging="0"/>
              <w:rPr/>
            </w:pPr>
            <w:r>
              <w:rPr/>
              <w:t> </w:t>
            </w:r>
          </w:p>
        </w:tc>
        <w:tc>
          <w:tcPr>
            <w:tcW w:w="16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8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4,768.1</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342" w:type="dxa"/>
            <w:gridSpan w:val="2"/>
            <w:tcBorders/>
            <w:shd w:fill="auto" w:val="clear"/>
            <w:vAlign w:val="bottom"/>
          </w:tcPr>
          <w:p>
            <w:pPr>
              <w:pStyle w:val="TableContents"/>
              <w:spacing w:before="0" w:after="0"/>
              <w:ind w:left="0" w:right="0" w:hanging="0"/>
              <w:rPr/>
            </w:pPr>
            <w:r>
              <w:rPr/>
              <w:t> </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LIABILITIES AND PARTNERS CAPITAL</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shd w:fill="CCEEFF" w:val="clear"/>
            <w:vAlign w:val="bottom"/>
          </w:tcPr>
          <w:p>
            <w:pPr>
              <w:pStyle w:val="TableContents"/>
              <w:spacing w:before="0" w:after="0"/>
              <w:ind w:left="0" w:right="0" w:hanging="0"/>
              <w:rPr/>
            </w:pPr>
            <w:r>
              <w:rPr/>
              <w:t> </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342" w:type="dxa"/>
            <w:gridSpan w:val="2"/>
            <w:tcBorders/>
            <w:shd w:fill="auto" w:val="clear"/>
            <w:vAlign w:val="bottom"/>
          </w:tcPr>
          <w:p>
            <w:pPr>
              <w:pStyle w:val="TableContents"/>
              <w:spacing w:before="0" w:after="0"/>
              <w:ind w:left="0" w:right="0" w:hanging="0"/>
              <w:rPr/>
            </w:pPr>
            <w:r>
              <w:rPr/>
              <w:t> </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CURRENT LIABILITIES</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shd w:fill="CCEEFF" w:val="clear"/>
            <w:vAlign w:val="bottom"/>
          </w:tcPr>
          <w:p>
            <w:pPr>
              <w:pStyle w:val="TableContents"/>
              <w:spacing w:before="0" w:after="0"/>
              <w:ind w:left="0" w:right="0" w:hanging="0"/>
              <w:rPr/>
            </w:pPr>
            <w:r>
              <w:rPr/>
              <w:t> </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Accounts payable</w:t>
            </w:r>
          </w:p>
        </w:tc>
        <w:tc>
          <w:tcPr>
            <w:tcW w:w="211"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1,265.1</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Due to related parties</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6.9</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11" w:type="dxa"/>
            <w:tcBorders/>
            <w:shd w:fill="auto" w:val="clear"/>
            <w:vAlign w:val="bottom"/>
          </w:tcPr>
          <w:p>
            <w:pPr>
              <w:pStyle w:val="TableContents"/>
              <w:spacing w:before="0" w:after="0"/>
              <w:ind w:left="0" w:right="0" w:hanging="0"/>
              <w:rPr/>
            </w:pPr>
            <w:r>
              <w:rPr/>
              <w:t> </w:t>
            </w:r>
          </w:p>
        </w:tc>
        <w:tc>
          <w:tcPr>
            <w:tcW w:w="1342"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875.8</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151.6</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211" w:type="dxa"/>
            <w:tcBorders/>
            <w:shd w:fill="auto" w:val="clear"/>
            <w:vAlign w:val="bottom"/>
          </w:tcPr>
          <w:p>
            <w:pPr>
              <w:pStyle w:val="TableContents"/>
              <w:spacing w:before="0" w:after="0"/>
              <w:ind w:left="0" w:right="0" w:hanging="0"/>
              <w:rPr/>
            </w:pPr>
            <w:r>
              <w:rPr/>
              <w:t> </w:t>
            </w:r>
          </w:p>
        </w:tc>
        <w:tc>
          <w:tcPr>
            <w:tcW w:w="1342"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2,299.4</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shd w:fill="CCEEFF" w:val="clear"/>
            <w:vAlign w:val="bottom"/>
          </w:tcPr>
          <w:p>
            <w:pPr>
              <w:pStyle w:val="TableContents"/>
              <w:spacing w:before="0" w:after="0"/>
              <w:ind w:left="0" w:right="0" w:hanging="0"/>
              <w:rPr/>
            </w:pPr>
            <w:r>
              <w:rPr/>
              <w:t> </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LONG-TERM LIABILITIES</w:t>
            </w:r>
          </w:p>
        </w:tc>
        <w:tc>
          <w:tcPr>
            <w:tcW w:w="211" w:type="dxa"/>
            <w:tcBorders/>
            <w:shd w:fill="auto" w:val="clear"/>
            <w:vAlign w:val="bottom"/>
          </w:tcPr>
          <w:p>
            <w:pPr>
              <w:pStyle w:val="TableContents"/>
              <w:spacing w:before="0" w:after="0"/>
              <w:ind w:left="0" w:right="0" w:hanging="0"/>
              <w:rPr/>
            </w:pPr>
            <w:r>
              <w:rPr/>
              <w:t> </w:t>
            </w:r>
          </w:p>
        </w:tc>
        <w:tc>
          <w:tcPr>
            <w:tcW w:w="1342" w:type="dxa"/>
            <w:gridSpan w:val="2"/>
            <w:tcBorders/>
            <w:shd w:fill="auto" w:val="clear"/>
            <w:vAlign w:val="bottom"/>
          </w:tcPr>
          <w:p>
            <w:pPr>
              <w:pStyle w:val="TableContents"/>
              <w:spacing w:before="0" w:after="0"/>
              <w:ind w:left="0" w:right="0" w:hanging="0"/>
              <w:rPr/>
            </w:pPr>
            <w:r>
              <w:rPr/>
              <w:t> </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4.4</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 of $2.9</w:t>
            </w:r>
          </w:p>
        </w:tc>
        <w:tc>
          <w:tcPr>
            <w:tcW w:w="211" w:type="dxa"/>
            <w:tcBorders/>
            <w:shd w:fill="auto" w:val="clear"/>
            <w:vAlign w:val="bottom"/>
          </w:tcPr>
          <w:p>
            <w:pPr>
              <w:pStyle w:val="TableContents"/>
              <w:spacing w:before="0" w:after="0"/>
              <w:ind w:left="0" w:right="0" w:hanging="0"/>
              <w:rPr/>
            </w:pPr>
            <w:r>
              <w:rPr/>
              <w:t> </w:t>
            </w:r>
          </w:p>
        </w:tc>
        <w:tc>
          <w:tcPr>
            <w:tcW w:w="1342"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947.1</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49.4</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11" w:type="dxa"/>
            <w:tcBorders/>
            <w:shd w:fill="auto" w:val="clear"/>
            <w:vAlign w:val="bottom"/>
          </w:tcPr>
          <w:p>
            <w:pPr>
              <w:pStyle w:val="TableContents"/>
              <w:spacing w:before="0" w:after="0"/>
              <w:ind w:left="0" w:right="0" w:hanging="0"/>
              <w:rPr/>
            </w:pPr>
            <w:r>
              <w:rPr/>
              <w:t> </w:t>
            </w:r>
          </w:p>
        </w:tc>
        <w:tc>
          <w:tcPr>
            <w:tcW w:w="1342"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3,300.3</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shd w:fill="CCEEFF" w:val="clear"/>
            <w:vAlign w:val="bottom"/>
          </w:tcPr>
          <w:p>
            <w:pPr>
              <w:pStyle w:val="TableContents"/>
              <w:spacing w:before="0" w:after="0"/>
              <w:ind w:left="0" w:right="0" w:hanging="0"/>
              <w:rPr/>
            </w:pPr>
            <w:r>
              <w:rPr/>
              <w:t> </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MINORITY INTEREST</w:t>
            </w:r>
          </w:p>
        </w:tc>
        <w:tc>
          <w:tcPr>
            <w:tcW w:w="211" w:type="dxa"/>
            <w:tcBorders/>
            <w:shd w:fill="auto" w:val="clear"/>
            <w:vAlign w:val="bottom"/>
          </w:tcPr>
          <w:p>
            <w:pPr>
              <w:pStyle w:val="TableContents"/>
              <w:spacing w:before="0" w:after="0"/>
              <w:ind w:left="0" w:right="0" w:hanging="0"/>
              <w:rPr/>
            </w:pPr>
            <w:r>
              <w:rPr/>
              <w:t> </w:t>
            </w:r>
          </w:p>
        </w:tc>
        <w:tc>
          <w:tcPr>
            <w:tcW w:w="1342"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1,396.4</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shd w:fill="CCEEFF" w:val="clear"/>
            <w:vAlign w:val="bottom"/>
          </w:tcPr>
          <w:p>
            <w:pPr>
              <w:pStyle w:val="TableContents"/>
              <w:spacing w:before="0" w:after="0"/>
              <w:ind w:left="0" w:right="0" w:hanging="0"/>
              <w:rPr/>
            </w:pPr>
            <w:r>
              <w:rPr/>
              <w:t> </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PARTNERS CAPITAL</w:t>
            </w:r>
          </w:p>
        </w:tc>
        <w:tc>
          <w:tcPr>
            <w:tcW w:w="211" w:type="dxa"/>
            <w:tcBorders/>
            <w:shd w:fill="auto" w:val="clear"/>
            <w:vAlign w:val="bottom"/>
          </w:tcPr>
          <w:p>
            <w:pPr>
              <w:pStyle w:val="TableContents"/>
              <w:spacing w:before="0" w:after="0"/>
              <w:ind w:left="0" w:right="0" w:hanging="0"/>
              <w:rPr/>
            </w:pPr>
            <w:r>
              <w:rPr/>
              <w:t> </w:t>
            </w:r>
          </w:p>
        </w:tc>
        <w:tc>
          <w:tcPr>
            <w:tcW w:w="1342" w:type="dxa"/>
            <w:gridSpan w:val="2"/>
            <w:tcBorders/>
            <w:shd w:fill="auto" w:val="clear"/>
            <w:vAlign w:val="bottom"/>
          </w:tcPr>
          <w:p>
            <w:pPr>
              <w:pStyle w:val="TableContents"/>
              <w:spacing w:before="0" w:after="0"/>
              <w:ind w:left="0" w:right="0" w:hanging="0"/>
              <w:rPr/>
            </w:pPr>
            <w:r>
              <w:rPr/>
              <w:t> </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Limited partners</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70.8</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11" w:type="dxa"/>
            <w:tcBorders/>
            <w:shd w:fill="auto" w:val="clear"/>
            <w:vAlign w:val="bottom"/>
          </w:tcPr>
          <w:p>
            <w:pPr>
              <w:pStyle w:val="TableContents"/>
              <w:spacing w:before="0" w:after="0"/>
              <w:ind w:left="0" w:right="0" w:hanging="0"/>
              <w:rPr/>
            </w:pPr>
            <w:r>
              <w:rPr/>
              <w:t> </w:t>
            </w:r>
          </w:p>
        </w:tc>
        <w:tc>
          <w:tcPr>
            <w:tcW w:w="1342"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0.6</w:t>
            </w:r>
          </w:p>
        </w:tc>
        <w:tc>
          <w:tcPr>
            <w:tcW w:w="224" w:type="dxa"/>
            <w:tcBorders/>
            <w:shd w:fill="auto" w:val="clear"/>
            <w:vAlign w:val="bottom"/>
          </w:tcPr>
          <w:p>
            <w:pPr>
              <w:pStyle w:val="TableContents"/>
              <w:spacing w:before="0" w:after="0"/>
              <w:ind w:left="0" w:right="0" w:hanging="0"/>
              <w:rPr/>
            </w:pPr>
            <w:r>
              <w:rPr/>
              <w:t> </w:t>
            </w:r>
          </w:p>
        </w:tc>
      </w:tr>
      <w:tr>
        <w:trPr/>
        <w:tc>
          <w:tcPr>
            <w:tcW w:w="84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11" w:type="dxa"/>
            <w:tcBorders/>
            <w:shd w:fill="CCEEFF" w:val="clear"/>
            <w:vAlign w:val="bottom"/>
          </w:tcPr>
          <w:p>
            <w:pPr>
              <w:pStyle w:val="TableContents"/>
              <w:spacing w:before="0" w:after="0"/>
              <w:ind w:left="0" w:right="0" w:hanging="0"/>
              <w:rPr/>
            </w:pPr>
            <w:r>
              <w:rPr/>
              <w:t> </w:t>
            </w:r>
          </w:p>
        </w:tc>
        <w:tc>
          <w:tcPr>
            <w:tcW w:w="1342"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71.4</w:t>
            </w:r>
          </w:p>
        </w:tc>
        <w:tc>
          <w:tcPr>
            <w:tcW w:w="224" w:type="dxa"/>
            <w:tcBorders/>
            <w:shd w:fill="CCEEFF" w:val="clear"/>
            <w:vAlign w:val="bottom"/>
          </w:tcPr>
          <w:p>
            <w:pPr>
              <w:pStyle w:val="TableContents"/>
              <w:spacing w:before="0" w:after="0"/>
              <w:ind w:left="0" w:right="0" w:hanging="0"/>
              <w:rPr/>
            </w:pPr>
            <w:r>
              <w:rPr/>
              <w:t> </w:t>
            </w:r>
          </w:p>
        </w:tc>
      </w:tr>
      <w:tr>
        <w:trPr/>
        <w:tc>
          <w:tcPr>
            <w:tcW w:w="84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11"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8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4,768.1</w:t>
            </w:r>
          </w:p>
        </w:tc>
        <w:tc>
          <w:tcPr>
            <w:tcW w:w="224" w:type="dxa"/>
            <w:tcBorders/>
            <w:shd w:fill="auto" w:val="clear"/>
            <w:vAlign w:val="bottom"/>
          </w:tcPr>
          <w:p>
            <w:pPr>
              <w:pStyle w:val="TableContents"/>
              <w:spacing w:before="0" w:after="0"/>
              <w:ind w:left="0" w:right="0" w:hanging="0"/>
              <w:rPr/>
            </w:pPr>
            <w:r>
              <w:rPr/>
              <w:t> </w:t>
            </w:r>
          </w:p>
        </w:tc>
      </w:tr>
    </w:tbl>
    <w:p>
      <w:pPr>
        <w:pStyle w:val="TextBody"/>
        <w:keepNext w:val="true"/>
        <w:spacing w:before="0" w:after="240"/>
        <w:ind w:left="0" w:right="0" w:hanging="0"/>
        <w:jc w:val="center"/>
        <w:rPr/>
      </w:pPr>
      <w:r>
        <w:rPr/>
        <w:t> </w:t>
      </w:r>
    </w:p>
    <w:p>
      <w:pPr>
        <w:pStyle w:val="TextBody"/>
        <w:keepNext w:val="true"/>
        <w:spacing w:before="0" w:after="240"/>
        <w:ind w:left="0" w:right="0" w:hanging="0"/>
        <w:jc w:val="center"/>
        <w:rPr>
          <w:rFonts w:ascii="Times New Roman" w:hAnsi="Times New Roman"/>
          <w:b w:val="false"/>
          <w:sz w:val="17"/>
        </w:rPr>
      </w:pPr>
      <w:r>
        <w:rPr>
          <w:rFonts w:ascii="Times New Roman" w:hAnsi="Times New Roman"/>
          <w:b w:val="false"/>
          <w:sz w:val="17"/>
        </w:rPr>
        <w:t>The accompanying notes are an integral part of this consolidated financial statement.</w:t>
      </w:r>
    </w:p>
    <w:p>
      <w:pPr>
        <w:pStyle w:val="TextBody"/>
        <w:spacing w:before="480" w:after="480"/>
        <w:ind w:left="0" w:right="0" w:hanging="0"/>
        <w:rPr>
          <w:rFonts w:ascii="Times New Roman" w:hAnsi="Times New Roman"/>
          <w:sz w:val="17"/>
        </w:rPr>
      </w:pPr>
      <w:r>
        <w:rPr>
          <w:rFonts w:ascii="Times New Roman" w:hAnsi="Times New Roman"/>
          <w:sz w:val="17"/>
        </w:rPr>
        <w:t>F-2</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240"/>
        <w:ind w:left="0" w:right="0" w:firstLine="403"/>
        <w:jc w:val="center"/>
        <w:rPr>
          <w:rFonts w:ascii="Times New Roman" w:hAnsi="Times New Roman"/>
          <w:b/>
          <w:sz w:val="17"/>
        </w:rPr>
      </w:pPr>
      <w:r>
        <w:rPr>
          <w:rFonts w:ascii="Times New Roman" w:hAnsi="Times New Roman"/>
          <w:b/>
          <w:sz w:val="17"/>
        </w:rPr>
        <w:t>PLAINS AAP, L.P.</w:t>
        <w:br/>
        <w:t>NOTES TO THE CONSOLIDATED FINANCIAL STATEMENT</w:t>
      </w:r>
    </w:p>
    <w:p>
      <w:pPr>
        <w:pStyle w:val="TextBody"/>
        <w:keepNext w:val="true"/>
        <w:spacing w:before="0" w:after="240"/>
        <w:ind w:left="403" w:right="0" w:hanging="403"/>
        <w:rPr>
          <w:rFonts w:ascii="Times New Roman" w:hAnsi="Times New Roman"/>
          <w:b/>
          <w:sz w:val="17"/>
        </w:rPr>
      </w:pPr>
      <w:r>
        <w:rPr>
          <w:rFonts w:ascii="Times New Roman" w:hAnsi="Times New Roman"/>
          <w:b/>
          <w:sz w:val="17"/>
        </w:rPr>
        <w:t>Note 1Organization and Basis of Consolidation</w:t>
      </w:r>
    </w:p>
    <w:p>
      <w:pPr>
        <w:pStyle w:val="TextBody"/>
        <w:keepNext w:val="true"/>
        <w:spacing w:before="0" w:after="240"/>
        <w:ind w:left="0" w:right="0" w:firstLine="403"/>
        <w:rPr>
          <w:rFonts w:ascii="Times New Roman" w:hAnsi="Times New Roman"/>
          <w:sz w:val="17"/>
        </w:rPr>
      </w:pPr>
      <w:r>
        <w:rPr>
          <w:rFonts w:ascii="Times New Roman" w:hAnsi="Times New Roman"/>
          <w:sz w:val="17"/>
        </w:rPr>
        <w:t>Plains AAP, L.P. (the Partnership) is a Delaware limited partnership, formed on May 21, 2001 and, through a series of transactions, capitalized on June 8, 2001. Through this series of transactions, a predecessor to Vulcan Energy GP Holdings Inc. (Vulcan Energy) conveyed to us its general partner interest in Plains All American Pipeline, L.P. (PAA) and subsequently sold a portion of its interest in us to certain investors. As used in this Form 8-K, the terms we, us, our, ours and similar terms refer to Plains AAP, L.P.</w:t>
      </w:r>
    </w:p>
    <w:p>
      <w:pPr>
        <w:pStyle w:val="TextBody"/>
        <w:keepNext w:val="true"/>
        <w:spacing w:before="0" w:after="240"/>
        <w:ind w:left="0" w:right="0" w:firstLine="403"/>
        <w:rPr>
          <w:rFonts w:ascii="Times New Roman" w:hAnsi="Times New Roman"/>
          <w:sz w:val="17"/>
        </w:rPr>
      </w:pPr>
      <w:r>
        <w:rPr>
          <w:rFonts w:ascii="Times New Roman" w:hAnsi="Times New Roman"/>
          <w:sz w:val="17"/>
        </w:rPr>
        <w:t>In August 2005, Sable Investments, L.P. (Sable) sold its limited partner interest in the Partnership. The remaining owners elected to exercise their right of first refusal, such that Sables interest was purchased pro rata by the remaining owners. As a result of the transaction, the limited partner interest of Vulcan Energy increased from approximately 44% to approximately 54%. At closing, Vulcan Energy entered into a voting agreement that restricts its ability to unilaterally elect or remove our independent directors, and, separately, PAAs CEO and COO agreed to waive certain change-of-control payment rights that would otherwise have been triggered by the increase in Vulcan Energys ownership interest. Thus, at March 31, 2006, our ownership structure consisted of a 1% general partner interest held by Plains All American GP LLC (the General Partner) and the following limited partner interests (the Partners):</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Vulcan Energy GP Holdings Inc.53.778%</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KAFU Holdings, L.P.20.066%</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E-Holdings III, L.P.8.910%</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E-Holdings V, L.P.2.09%</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Mark E. Strome2.608%</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PAA Management L.P.4.889%</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Strome MLP Fund, L.P.1.303%</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Wachovia Investors, Inc.4.134%</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Lynx Holdings, L.P.1.222%</w:t>
      </w:r>
    </w:p>
    <w:p>
      <w:pPr>
        <w:pStyle w:val="TextBody"/>
        <w:spacing w:before="0" w:after="240"/>
        <w:ind w:left="0" w:right="0" w:firstLine="403"/>
        <w:rPr>
          <w:rFonts w:ascii="Times New Roman" w:hAnsi="Times New Roman"/>
          <w:sz w:val="17"/>
        </w:rPr>
      </w:pPr>
      <w:r>
        <w:rPr>
          <w:rFonts w:ascii="Times New Roman" w:hAnsi="Times New Roman"/>
          <w:sz w:val="17"/>
        </w:rPr>
        <w:t>The General Partner manages the business and affairs of the Partnership. Except for situations in which the approval of the limited partners is expressly required by the partnership agreement, or by non-waivable provisions of applicable law, the General Partner has full and complete authority, power and discretion to manage and control the business, affairs and property of the Partnership, to make all decisions regarding those matters and to perform any and all other acts or activities customary or incident to the management of the Partnerships business, including the execution of contracts and management of litigation. Our General Partner (or, in the case of PAAs Canadian operations, PMC (Nova Scotia) Company) employs all officers and personnel involved in the operation and management of PAA and its subsidiaries. PAA reimburses the General Partner for expenses, including certain compensation expenses, related to such operation and management. We have no commitment or intent to fund cash flow deficits or furnish other financial assistance to PAA.</w:t>
      </w:r>
    </w:p>
    <w:p>
      <w:pPr>
        <w:pStyle w:val="TextBody"/>
        <w:spacing w:before="0" w:after="240"/>
        <w:ind w:left="0" w:right="0" w:hanging="0"/>
        <w:rPr>
          <w:rFonts w:ascii="Times New Roman" w:hAnsi="Times New Roman"/>
          <w:sz w:val="17"/>
        </w:rPr>
      </w:pPr>
      <w:r>
        <w:rPr>
          <w:rFonts w:ascii="Times New Roman" w:hAnsi="Times New Roman"/>
          <w:sz w:val="17"/>
        </w:rPr>
        <w:t>As of March 31, 2006, we own a 2% general partner interest in PAA as well as incentive distribution rights, the ownership of which entitles us to receive incentive distributions if the amount that PAA distributes with respect to any quarter exceeds the minimum quarterly distribution of $0.45 per unit as specified in the PAA partnership agreement. We also own, as of March 31, 2006, a limited partner interest consisting of 196,549 common units of PAA (see Note 2). PAA is a publicly traded Delaware limited partnership, formed in 1998 and engaged in interstate and intrastate crude oil transportation, and crude oil gathering, marketing, terminalling and storage, as well as the marketing and storage of liquefied petroleum gas and other petroleum products (collectively, LPG), in the United States and Canada. In addition, through its 50% equity ownership in PAA/Vulcan Gas Storage, LLC (PAA/Vulcan), PAA is engaged in the development and operation of natural gas storage facilities. PAAs operations can be categorized into two primary business activities:</w:t>
      </w:r>
    </w:p>
    <w:p>
      <w:pPr>
        <w:pStyle w:val="TextBody"/>
        <w:spacing w:before="0" w:after="240"/>
        <w:ind w:left="0" w:right="0" w:firstLine="403"/>
        <w:rPr/>
      </w:pPr>
      <w:r>
        <w:rPr/>
        <w:t> </w:t>
      </w:r>
    </w:p>
    <w:p>
      <w:pPr>
        <w:pStyle w:val="TextBody"/>
        <w:spacing w:before="480" w:after="480"/>
        <w:ind w:left="0" w:right="0" w:hanging="0"/>
        <w:rPr>
          <w:rFonts w:ascii="Times New Roman" w:hAnsi="Times New Roman"/>
          <w:sz w:val="17"/>
        </w:rPr>
      </w:pPr>
      <w:r>
        <w:rPr>
          <w:rFonts w:ascii="Times New Roman" w:hAnsi="Times New Roman"/>
          <w:sz w:val="17"/>
        </w:rPr>
        <w:t>F-3</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rPr>
          <w:rFonts w:ascii="Times New Roman" w:hAnsi="Times New Roman"/>
          <w:i/>
          <w:sz w:val="17"/>
        </w:rPr>
      </w:pPr>
      <w:r>
        <w:rPr>
          <w:rFonts w:ascii="Times New Roman" w:hAnsi="Times New Roman"/>
          <w:i/>
          <w:sz w:val="17"/>
        </w:rPr>
        <w:t>Crude Oil Pipeline Transportation Operations</w:t>
      </w:r>
    </w:p>
    <w:p>
      <w:pPr>
        <w:pStyle w:val="TextBody"/>
        <w:spacing w:before="0" w:after="240"/>
        <w:ind w:left="0" w:right="0" w:firstLine="403"/>
        <w:rPr>
          <w:rFonts w:ascii="Times New Roman" w:hAnsi="Times New Roman"/>
          <w:sz w:val="17"/>
        </w:rPr>
      </w:pPr>
      <w:r>
        <w:rPr>
          <w:rFonts w:ascii="Times New Roman" w:hAnsi="Times New Roman"/>
          <w:sz w:val="17"/>
        </w:rPr>
        <w:t>As of March 31, 2006, PAA owned approximately 15,000 miles of active gathering and mainline crude oil pipelines located throughout the United States and Canada. Its activities from pipeline operations generally consist of transporting volumes of crude oil for a fee, third party leases of pipeline capacity, barrel exchanges and buy/sell arrangements.</w:t>
      </w:r>
    </w:p>
    <w:p>
      <w:pPr>
        <w:pStyle w:val="TextBody"/>
        <w:spacing w:before="0" w:after="240"/>
        <w:ind w:left="0" w:right="0" w:hanging="0"/>
        <w:rPr>
          <w:rFonts w:ascii="Times New Roman" w:hAnsi="Times New Roman"/>
          <w:i/>
          <w:sz w:val="17"/>
        </w:rPr>
      </w:pPr>
      <w:r>
        <w:rPr>
          <w:rFonts w:ascii="Times New Roman" w:hAnsi="Times New Roman"/>
          <w:i/>
          <w:sz w:val="17"/>
        </w:rPr>
        <w:t>Gathering, Marketing, Terminalling and Storage Operations</w:t>
      </w:r>
    </w:p>
    <w:p>
      <w:pPr>
        <w:pStyle w:val="TextBody"/>
        <w:spacing w:before="0" w:after="240"/>
        <w:ind w:left="0" w:right="0" w:hanging="0"/>
        <w:rPr/>
      </w:pPr>
      <w:r>
        <w:rPr/>
        <w:t xml:space="preserve">        </w:t>
      </w:r>
      <w:r>
        <w:rPr>
          <w:rFonts w:ascii="Times New Roman" w:hAnsi="Times New Roman"/>
          <w:sz w:val="17"/>
        </w:rPr>
        <w:t>As of March 31, 2006, PAA owned approximately 39 million barrels of active above-ground crude oil terminalling and storage facilities, including tankage associated with its pipeline systems. These facilities include a crude oil terminalling and storage facility at Cushing, Oklahoma. Cushing is one of the largest crude oil market hubs in the United States and the designated delivery point for NYMEX crude oil futures contracts. PAA utilizes its storage tanks to counter-cyclically balance its gathering and marketing operations and to execute various hedging strategies to stabilize profits and reduce the negative impact of crude oil market volatility while at the same time providing upside exposure to opportunities inherent in volatile market conditions. PAAs terminalling and storage operations also generate revenue at the Cushing Interchange and its other locations through a combination of storage and throughput charges to third parties. PAAs gathering and marketing operations include: (i) the purchase of US and Canadian crude oil at the wellhead and the bulk purchase of crude oil at pipeline and terminal facilities, as well as foreign cargoes; (ii) the transportation of crude oil on trucks, barges, pipelines and ocean-going vessels; (iii) the subsequent resale or exchange of crude oil at various points along the crude oil distribution chain; and (iv) the purchase of LPG from producers, refiners and other marketers, the storage of LPG at storage facilities owned by PAA or other parties and the sale of LPG to wholesalers, retailers and industrial end users.</w:t>
      </w:r>
    </w:p>
    <w:p>
      <w:pPr>
        <w:pStyle w:val="TextBody"/>
        <w:spacing w:before="0" w:after="240"/>
        <w:ind w:left="0" w:right="0" w:hanging="0"/>
        <w:rPr>
          <w:rFonts w:ascii="Times New Roman" w:hAnsi="Times New Roman"/>
          <w:i/>
          <w:sz w:val="17"/>
        </w:rPr>
      </w:pPr>
      <w:r>
        <w:rPr>
          <w:rFonts w:ascii="Times New Roman" w:hAnsi="Times New Roman"/>
          <w:i/>
          <w:sz w:val="17"/>
        </w:rPr>
        <w:t>Basis of Consolidation and Presentation</w:t>
      </w:r>
    </w:p>
    <w:p>
      <w:pPr>
        <w:pStyle w:val="TextBody"/>
        <w:spacing w:before="0" w:after="240"/>
        <w:ind w:left="0" w:right="0" w:firstLine="403"/>
        <w:rPr>
          <w:rFonts w:ascii="Times New Roman" w:hAnsi="Times New Roman"/>
          <w:sz w:val="20"/>
        </w:rPr>
      </w:pPr>
      <w:r>
        <w:rPr>
          <w:rFonts w:ascii="Times New Roman" w:hAnsi="Times New Roman"/>
          <w:sz w:val="17"/>
        </w:rPr>
        <w:t xml:space="preserve">In June 2005, the Emerging Issues Task Force released Issue No. 04-05 (EITF 04-05), Determining Whether a General Partner, or the General Partners as a Group, Controls a Limited Partnership or Similar Entity When the Limited Partners Have Certain Rights.  EITF 04-05 states that if the limited partners do not have substantive ability to dissolve (liquidate) or have substantive participating rights then the general partner is presumed to control that partnership and would be required to consolidate the limited partnership. We adopted this standard prospectively on January 1, 2006 under Transition Method A. Because the limited partners do not have the substantive ability to dissolve or have substantive participating rights in regards to PAA, the adoption of this standard resulted in the consolidation of  </w:t>
      </w:r>
      <w:r>
        <w:rPr>
          <w:rFonts w:ascii="Times New Roman" w:hAnsi="Times New Roman"/>
          <w:sz w:val="20"/>
        </w:rPr>
        <w:t>PAA and its consolidated subsidiaries in our consolidated financial statement. The consolidation of PAA resulted in the recognition of minority interest, which is comprised entirely of the proportionate interest in the book value of PAA limited partner units that is owned by other parties, of $1,396.4 million.</w:t>
      </w:r>
    </w:p>
    <w:p>
      <w:pPr>
        <w:pStyle w:val="TextBody"/>
        <w:spacing w:before="0" w:after="240"/>
        <w:ind w:left="0" w:right="0" w:firstLine="403"/>
        <w:rPr>
          <w:rFonts w:ascii="Times New Roman" w:hAnsi="Times New Roman"/>
          <w:sz w:val="17"/>
        </w:rPr>
      </w:pPr>
      <w:r>
        <w:rPr>
          <w:rFonts w:ascii="Times New Roman" w:hAnsi="Times New Roman"/>
          <w:sz w:val="17"/>
        </w:rPr>
        <w:t>Our investment in PAA exceeds our share of the underlying equity in the net assets of PAA. This excess is related to the fair value of PAAs crude oil pipelines and other assets at the time of inception and is amortized on a straight-line basis over the estimated useful life of 30 years. At March 31, 2006, the unamortized portion of this excess was approximately $34.4 million and is included in Property and Equipment in our consolidated balance sheet.</w:t>
      </w:r>
    </w:p>
    <w:p>
      <w:pPr>
        <w:pStyle w:val="TextBody"/>
        <w:spacing w:before="0" w:after="240"/>
        <w:ind w:left="0" w:right="0" w:firstLine="403"/>
        <w:rPr>
          <w:rFonts w:ascii="Times New Roman" w:hAnsi="Times New Roman"/>
          <w:sz w:val="17"/>
        </w:rPr>
      </w:pPr>
      <w:r>
        <w:rPr>
          <w:rFonts w:ascii="Times New Roman" w:hAnsi="Times New Roman"/>
          <w:sz w:val="17"/>
        </w:rPr>
        <w:t>The accompanying consolidated balance sheet includes the accounts of the Partnership and PAA and all of PAAs wholly owned subsidiaries. Investments in 50% or less owned affiliates, over which we have significant influence, are accounted for by the equity method. All significant intercompany transactions have been eliminated. The consolidated balance sheet and accompanying notes of the Partnership dated as of March 31, 2006 should be read in conjunction with the consolidated financial statements and notes thereto presented in the Plains All American Pipeline, L.P. Annual Report on Form 10-K for the annual period ended December 31, 2005 and the Plains All American Pipeline, L.P. Quarterly Report on Form 10-Q for the quarterly period ended March 31, 2006, which are both incorporated by reference into this document.</w:t>
      </w:r>
    </w:p>
    <w:p>
      <w:pPr>
        <w:pStyle w:val="TextBody"/>
        <w:spacing w:before="480" w:after="480"/>
        <w:ind w:left="0" w:right="0" w:hanging="0"/>
        <w:rPr>
          <w:rFonts w:ascii="Times New Roman" w:hAnsi="Times New Roman"/>
          <w:sz w:val="17"/>
        </w:rPr>
      </w:pPr>
      <w:r>
        <w:rPr>
          <w:rFonts w:ascii="Times New Roman" w:hAnsi="Times New Roman"/>
          <w:sz w:val="17"/>
        </w:rPr>
        <w:t>F-4</w:t>
      </w:r>
    </w:p>
    <w:p>
      <w:pPr>
        <w:pStyle w:val="TextBody"/>
        <w:spacing w:before="0" w:after="0"/>
        <w:rPr/>
      </w:pPr>
      <w:r>
        <w:rPr/>
      </w:r>
    </w:p>
    <w:p>
      <w:pPr>
        <w:pStyle w:val="HorizontalLine"/>
        <w:pBdr>
          <w:bottom w:val="single" w:sz="18" w:space="0" w:color="010101"/>
        </w:pBdr>
        <w:rPr/>
      </w:pPr>
      <w:r>
        <w:rPr/>
      </w:r>
      <w:r>
        <w:br w:type="page"/>
      </w:r>
    </w:p>
    <w:p>
      <w:pPr>
        <w:pStyle w:val="TextBody"/>
        <w:spacing w:before="120" w:after="240"/>
        <w:ind w:left="0" w:right="0" w:hanging="0"/>
        <w:rPr>
          <w:rFonts w:ascii="Times New Roman" w:hAnsi="Times New Roman"/>
          <w:b/>
          <w:sz w:val="17"/>
        </w:rPr>
      </w:pPr>
      <w:r>
        <w:rPr>
          <w:rFonts w:ascii="Times New Roman" w:hAnsi="Times New Roman"/>
          <w:b/>
          <w:sz w:val="17"/>
        </w:rPr>
        <w:t>Note 2Contribution of Subordinated Units</w:t>
      </w:r>
    </w:p>
    <w:p>
      <w:pPr>
        <w:pStyle w:val="TextBody"/>
        <w:spacing w:before="0" w:after="240"/>
        <w:ind w:left="0" w:right="0" w:firstLine="403"/>
        <w:rPr>
          <w:rFonts w:ascii="Times New Roman" w:hAnsi="Times New Roman"/>
          <w:sz w:val="17"/>
        </w:rPr>
      </w:pPr>
      <w:r>
        <w:rPr>
          <w:rFonts w:ascii="Times New Roman" w:hAnsi="Times New Roman"/>
          <w:sz w:val="17"/>
        </w:rPr>
        <w:t>On June 8, 2001, certain of our limited partners contributed to us an aggregate of 450,000 subordinated units of PAA, all of which subsequently converted into common units. These 450,000 units (the Option Units) were intended for use in connection with an option plan pursuant to which certain members of the management of our General Partner, subject to the satisfaction of vesting criteria, have a right to purchase a portion of such Option Units. See Note 4 for a discussion of the terms of these options.</w:t>
      </w:r>
    </w:p>
    <w:p>
      <w:pPr>
        <w:pStyle w:val="TextBody"/>
        <w:keepNext w:val="true"/>
        <w:spacing w:before="0" w:after="240"/>
        <w:ind w:left="0" w:right="0" w:firstLine="400"/>
        <w:rPr>
          <w:rFonts w:ascii="Times New Roman" w:hAnsi="Times New Roman"/>
          <w:sz w:val="17"/>
        </w:rPr>
      </w:pPr>
      <w:r>
        <w:rPr>
          <w:rFonts w:ascii="Times New Roman" w:hAnsi="Times New Roman"/>
          <w:sz w:val="17"/>
        </w:rPr>
        <w:t>The breakdown of the options associated with these units at March 31, 2006 is as follows (in thousands):</w:t>
      </w:r>
    </w:p>
    <w:tbl>
      <w:tblPr>
        <w:tblW w:w="5000" w:type="pct"/>
        <w:jc w:val="left"/>
        <w:tblInd w:w="0" w:type="dxa"/>
        <w:tblCellMar>
          <w:top w:w="0" w:type="dxa"/>
          <w:left w:w="0" w:type="dxa"/>
          <w:bottom w:w="0" w:type="dxa"/>
          <w:right w:w="0" w:type="dxa"/>
        </w:tblCellMar>
      </w:tblPr>
      <w:tblGrid>
        <w:gridCol w:w="9595"/>
        <w:gridCol w:w="203"/>
        <w:gridCol w:w="305"/>
        <w:gridCol w:w="102"/>
      </w:tblGrid>
      <w:tr>
        <w:trPr/>
        <w:tc>
          <w:tcPr>
            <w:tcW w:w="9595" w:type="dxa"/>
            <w:tcBorders/>
            <w:shd w:fill="CCEEFF" w:val="clear"/>
          </w:tcPr>
          <w:p>
            <w:pPr>
              <w:pStyle w:val="TableContents"/>
              <w:spacing w:before="0" w:after="0"/>
              <w:ind w:left="0" w:right="0" w:hanging="0"/>
              <w:rPr/>
            </w:pPr>
            <w:r>
              <w:rPr>
                <w:rFonts w:ascii="Times New Roman" w:hAnsi="Times New Roman"/>
                <w:sz w:val="17"/>
              </w:rPr>
              <w:t>Vested options outstanding</w:t>
            </w:r>
            <w:r>
              <w:rPr>
                <w:sz w:val="12"/>
              </w:rPr>
              <w:t>(1)</w:t>
            </w:r>
          </w:p>
        </w:tc>
        <w:tc>
          <w:tcPr>
            <w:tcW w:w="203" w:type="dxa"/>
            <w:tcBorders/>
            <w:shd w:fill="CCEEFF" w:val="clear"/>
            <w:vAlign w:val="bottom"/>
          </w:tcPr>
          <w:p>
            <w:pPr>
              <w:pStyle w:val="TableContents"/>
              <w:spacing w:before="0" w:after="0"/>
              <w:ind w:left="0" w:right="0" w:hanging="0"/>
              <w:rPr/>
            </w:pPr>
            <w:r>
              <w:rPr/>
              <w:t> </w:t>
            </w:r>
          </w:p>
        </w:tc>
        <w:tc>
          <w:tcPr>
            <w:tcW w:w="3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169</w:t>
            </w:r>
          </w:p>
        </w:tc>
        <w:tc>
          <w:tcPr>
            <w:tcW w:w="102" w:type="dxa"/>
            <w:tcBorders/>
            <w:shd w:fill="CCEEFF" w:val="clear"/>
            <w:vAlign w:val="bottom"/>
          </w:tcPr>
          <w:p>
            <w:pPr>
              <w:pStyle w:val="TableContents"/>
              <w:spacing w:before="0" w:after="0"/>
              <w:ind w:left="0" w:right="0" w:hanging="0"/>
              <w:rPr/>
            </w:pPr>
            <w:r>
              <w:rPr/>
              <w:t> </w:t>
            </w:r>
          </w:p>
        </w:tc>
      </w:tr>
      <w:tr>
        <w:trPr/>
        <w:tc>
          <w:tcPr>
            <w:tcW w:w="95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Exercised or cancelled</w:t>
            </w:r>
          </w:p>
        </w:tc>
        <w:tc>
          <w:tcPr>
            <w:tcW w:w="203" w:type="dxa"/>
            <w:tcBorders/>
            <w:shd w:fill="auto" w:val="clear"/>
            <w:vAlign w:val="bottom"/>
          </w:tcPr>
          <w:p>
            <w:pPr>
              <w:pStyle w:val="TableContents"/>
              <w:spacing w:before="0" w:after="0"/>
              <w:ind w:left="0" w:right="0" w:hanging="0"/>
              <w:rPr/>
            </w:pPr>
            <w:r>
              <w:rPr/>
              <w:t> </w:t>
            </w:r>
          </w:p>
        </w:tc>
        <w:tc>
          <w:tcPr>
            <w:tcW w:w="30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279</w:t>
            </w:r>
          </w:p>
        </w:tc>
        <w:tc>
          <w:tcPr>
            <w:tcW w:w="102" w:type="dxa"/>
            <w:tcBorders/>
            <w:shd w:fill="auto" w:val="clear"/>
            <w:vAlign w:val="bottom"/>
          </w:tcPr>
          <w:p>
            <w:pPr>
              <w:pStyle w:val="TableContents"/>
              <w:spacing w:before="0" w:after="0"/>
              <w:ind w:left="0" w:right="0" w:hanging="0"/>
              <w:rPr/>
            </w:pPr>
            <w:r>
              <w:rPr/>
              <w:t> </w:t>
            </w:r>
          </w:p>
        </w:tc>
      </w:tr>
      <w:tr>
        <w:trPr/>
        <w:tc>
          <w:tcPr>
            <w:tcW w:w="959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options issued</w:t>
            </w:r>
          </w:p>
        </w:tc>
        <w:tc>
          <w:tcPr>
            <w:tcW w:w="203" w:type="dxa"/>
            <w:tcBorders/>
            <w:shd w:fill="CCEEFF" w:val="clear"/>
            <w:vAlign w:val="bottom"/>
          </w:tcPr>
          <w:p>
            <w:pPr>
              <w:pStyle w:val="TableContents"/>
              <w:spacing w:before="0" w:after="0"/>
              <w:ind w:left="0" w:right="0" w:hanging="0"/>
              <w:rPr/>
            </w:pPr>
            <w:r>
              <w:rPr/>
              <w:t> </w:t>
            </w:r>
          </w:p>
        </w:tc>
        <w:tc>
          <w:tcPr>
            <w:tcW w:w="3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448</w:t>
            </w:r>
          </w:p>
        </w:tc>
        <w:tc>
          <w:tcPr>
            <w:tcW w:w="102" w:type="dxa"/>
            <w:tcBorders/>
            <w:shd w:fill="CCEEFF" w:val="clear"/>
            <w:vAlign w:val="bottom"/>
          </w:tcPr>
          <w:p>
            <w:pPr>
              <w:pStyle w:val="TableContents"/>
              <w:spacing w:before="0" w:after="0"/>
              <w:ind w:left="0" w:right="0" w:hanging="0"/>
              <w:rPr/>
            </w:pPr>
            <w:r>
              <w:rPr/>
              <w:t> </w:t>
            </w:r>
          </w:p>
        </w:tc>
      </w:tr>
      <w:tr>
        <w:trPr/>
        <w:tc>
          <w:tcPr>
            <w:tcW w:w="95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Available for grant</w:t>
            </w:r>
          </w:p>
        </w:tc>
        <w:tc>
          <w:tcPr>
            <w:tcW w:w="203" w:type="dxa"/>
            <w:tcBorders/>
            <w:shd w:fill="auto" w:val="clear"/>
            <w:vAlign w:val="bottom"/>
          </w:tcPr>
          <w:p>
            <w:pPr>
              <w:pStyle w:val="TableContents"/>
              <w:spacing w:before="0" w:after="0"/>
              <w:ind w:left="0" w:right="0" w:hanging="0"/>
              <w:rPr/>
            </w:pPr>
            <w:r>
              <w:rPr/>
              <w:t> </w:t>
            </w:r>
          </w:p>
        </w:tc>
        <w:tc>
          <w:tcPr>
            <w:tcW w:w="30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w:t>
            </w:r>
          </w:p>
        </w:tc>
        <w:tc>
          <w:tcPr>
            <w:tcW w:w="102" w:type="dxa"/>
            <w:tcBorders/>
            <w:shd w:fill="auto" w:val="clear"/>
            <w:vAlign w:val="bottom"/>
          </w:tcPr>
          <w:p>
            <w:pPr>
              <w:pStyle w:val="TableContents"/>
              <w:spacing w:before="0" w:after="0"/>
              <w:ind w:left="0" w:right="0" w:hanging="0"/>
              <w:rPr/>
            </w:pPr>
            <w:r>
              <w:rPr/>
              <w:t> </w:t>
            </w:r>
          </w:p>
        </w:tc>
      </w:tr>
      <w:tr>
        <w:trPr/>
        <w:tc>
          <w:tcPr>
            <w:tcW w:w="9595" w:type="dxa"/>
            <w:tcBorders/>
            <w:shd w:fill="CCEEFF" w:val="clear"/>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3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450</w:t>
            </w:r>
          </w:p>
        </w:tc>
        <w:tc>
          <w:tcPr>
            <w:tcW w:w="102" w:type="dxa"/>
            <w:tcBorders/>
            <w:shd w:fill="CCEEFF"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240"/>
        <w:ind w:left="400" w:right="0" w:hanging="400"/>
        <w:rPr>
          <w:rFonts w:ascii="Times New Roman" w:hAnsi="Times New Roman"/>
          <w:sz w:val="17"/>
        </w:rPr>
      </w:pPr>
      <w:r>
        <w:rPr>
          <w:rFonts w:ascii="Times New Roman" w:hAnsi="Times New Roman"/>
          <w:sz w:val="17"/>
        </w:rPr>
        <w:t>(1)              All options vested in August 2005 due to a change in the ownership structure of the Partnership (see Note 1).</w:t>
      </w:r>
    </w:p>
    <w:p>
      <w:pPr>
        <w:pStyle w:val="TextBody"/>
        <w:spacing w:before="0" w:after="240"/>
        <w:ind w:left="0" w:right="0" w:firstLine="403"/>
        <w:rPr>
          <w:rFonts w:ascii="Times New Roman" w:hAnsi="Times New Roman"/>
          <w:sz w:val="17"/>
        </w:rPr>
      </w:pPr>
      <w:r>
        <w:rPr>
          <w:rFonts w:ascii="Times New Roman" w:hAnsi="Times New Roman"/>
          <w:sz w:val="17"/>
        </w:rPr>
        <w:t>Until the exercise of the remaining 169,000 options, we will continue to own and receive any distributions paid by PAA with respect to the Option Units, and any distributions we make as a result of the receipt of distributions on the Option Units will be paid to our limited partners in proportion to their original contribution of the Option Units, as adjusted subsequent to the Sable transaction described in Note 1. As of March 31, 2006, there were 196,549 Option Units remaining.</w:t>
      </w:r>
    </w:p>
    <w:p>
      <w:pPr>
        <w:pStyle w:val="TextBody"/>
        <w:keepNext w:val="true"/>
        <w:spacing w:before="120" w:after="240"/>
        <w:ind w:left="403" w:right="0" w:hanging="403"/>
        <w:rPr>
          <w:rFonts w:ascii="Times New Roman" w:hAnsi="Times New Roman"/>
          <w:b/>
          <w:sz w:val="17"/>
        </w:rPr>
      </w:pPr>
      <w:r>
        <w:rPr>
          <w:rFonts w:ascii="Times New Roman" w:hAnsi="Times New Roman"/>
          <w:b/>
          <w:sz w:val="17"/>
        </w:rPr>
        <w:t>Note 3Partners Capital</w:t>
      </w:r>
    </w:p>
    <w:p>
      <w:pPr>
        <w:pStyle w:val="TextBody"/>
        <w:spacing w:before="0" w:after="240"/>
        <w:ind w:left="0" w:right="0" w:firstLine="403"/>
        <w:rPr>
          <w:rFonts w:ascii="Times New Roman" w:hAnsi="Times New Roman"/>
          <w:sz w:val="17"/>
        </w:rPr>
      </w:pPr>
      <w:r>
        <w:rPr>
          <w:rFonts w:ascii="Times New Roman" w:hAnsi="Times New Roman"/>
          <w:sz w:val="17"/>
        </w:rPr>
        <w:t>We distribute all of the cash received from PAA distributions, less reserves established by management, on a quarterly basis. Generally, distributions are paid to the Partners in proportion to their percentage interest in the Partnership. Included in partners capital is accumulated other comprehensive income of approximately $5.3 million, which is our proportionate share of PAAs other comprehensive income. Other comprehensive income (loss) is allocated based on each partners ownership interest in the Partnership.</w:t>
      </w:r>
    </w:p>
    <w:p>
      <w:pPr>
        <w:pStyle w:val="TextBody"/>
        <w:spacing w:before="0" w:after="240"/>
        <w:ind w:left="0" w:right="0" w:firstLine="400"/>
        <w:rPr>
          <w:rFonts w:ascii="Times New Roman" w:hAnsi="Times New Roman"/>
          <w:sz w:val="17"/>
        </w:rPr>
      </w:pPr>
      <w:r>
        <w:rPr>
          <w:rFonts w:ascii="Times New Roman" w:hAnsi="Times New Roman"/>
          <w:sz w:val="17"/>
        </w:rPr>
        <w:t>We recognize a change of interest gain or loss at the time of each PAA equity transaction involving the issuance of PAA common units. Such gains or losses reflect the change in the book value of our limited partner equity in PAA compared to our proportionate share of the change in the underlying net assets of PAA caused by the equity transaction. Additionally, in connection with each PAA equity transaction, we are required to make a capital contribution to PAA to maintain our 2% general partner interest in PAA. Funding for our required capital contributions is provided by our General Partner and limited partners based on their respective ownership interest.</w:t>
      </w:r>
    </w:p>
    <w:p>
      <w:pPr>
        <w:pStyle w:val="TextBody"/>
        <w:keepNext w:val="true"/>
        <w:spacing w:before="120" w:after="240"/>
        <w:ind w:left="0" w:right="0" w:hanging="0"/>
        <w:rPr>
          <w:rFonts w:ascii="Times New Roman" w:hAnsi="Times New Roman"/>
          <w:b/>
          <w:sz w:val="17"/>
        </w:rPr>
      </w:pPr>
      <w:r>
        <w:rPr>
          <w:rFonts w:ascii="Times New Roman" w:hAnsi="Times New Roman"/>
          <w:b/>
          <w:sz w:val="17"/>
        </w:rPr>
        <w:t>Note 4Incentive Compensation</w:t>
      </w:r>
    </w:p>
    <w:p>
      <w:pPr>
        <w:pStyle w:val="TextBody"/>
        <w:spacing w:before="0" w:after="240"/>
        <w:ind w:left="0" w:right="0" w:firstLine="400"/>
        <w:rPr>
          <w:rFonts w:ascii="Times New Roman" w:hAnsi="Times New Roman"/>
          <w:sz w:val="17"/>
        </w:rPr>
      </w:pPr>
      <w:r>
        <w:rPr>
          <w:rFonts w:ascii="Times New Roman" w:hAnsi="Times New Roman"/>
          <w:sz w:val="17"/>
        </w:rPr>
        <w:t>SFAS 123(R), Share Based Payment, was issued in December 2004. SFAS 123(R) amends SFAS No. 123, Accounting for Stock-Based Compensation, and establishes accounting for transactions in which an entity exchanges its equity instruments for goods or services. This statement requires that the cost resulting from all share-based payment transactions be recognized in the financial statements at fair value. In conjunction with our adoption of EITF 04-05, we adopted SFAS 123(R) on January 1, 2006 under the modified prospective transition method, as defined in SFAS 123(R). Under the modified prospective transition method, we are not required to adjust our prior period financial statements to reflect a fair-value cost methodology for our incentive compensation plans. The adoption of SFAS 123(R) did not materially impact our consolidated balance sheet.</w:t>
      </w:r>
    </w:p>
    <w:p>
      <w:pPr>
        <w:pStyle w:val="TextBody"/>
        <w:spacing w:before="0" w:after="240"/>
        <w:ind w:left="0" w:right="0" w:hanging="0"/>
        <w:rPr>
          <w:rFonts w:ascii="Times New Roman" w:hAnsi="Times New Roman"/>
          <w:i/>
          <w:sz w:val="17"/>
        </w:rPr>
      </w:pPr>
      <w:r>
        <w:rPr>
          <w:rFonts w:ascii="Times New Roman" w:hAnsi="Times New Roman"/>
          <w:i/>
          <w:sz w:val="17"/>
        </w:rPr>
        <w:t>Performance Option Plan</w:t>
      </w:r>
    </w:p>
    <w:p>
      <w:pPr>
        <w:pStyle w:val="TextBody"/>
        <w:spacing w:before="0" w:after="240"/>
        <w:ind w:left="0" w:right="0" w:firstLine="400"/>
        <w:rPr>
          <w:rFonts w:ascii="Times New Roman" w:hAnsi="Times New Roman"/>
          <w:sz w:val="17"/>
        </w:rPr>
      </w:pPr>
      <w:r>
        <w:rPr>
          <w:rFonts w:ascii="Times New Roman" w:hAnsi="Times New Roman"/>
          <w:sz w:val="17"/>
        </w:rPr>
        <w:t>In June 2001, the Performance Option Plan (the Plan) was approved by our General Partner to grant options to purchase up to 450,000 Option Units of PAA to employees of the General Partner for services provided to the General Partner and the Partnership. Substantially all available options under the Plan have been issued. The options were granted with a per unit exercise price of $22, less 80% of any per unit distribution on an Option Unit from June 2001 until the date of exercise. As of May 15, 2006, the exercise price has been reduced to approximately $12.73 for distributions made since June 2001.</w:t>
      </w:r>
    </w:p>
    <w:p>
      <w:pPr>
        <w:pStyle w:val="TextBody"/>
        <w:spacing w:before="480" w:after="480"/>
        <w:ind w:left="0" w:right="0" w:hanging="0"/>
        <w:rPr>
          <w:rFonts w:ascii="Times New Roman" w:hAnsi="Times New Roman"/>
          <w:sz w:val="17"/>
        </w:rPr>
      </w:pPr>
      <w:r>
        <w:rPr>
          <w:rFonts w:ascii="Times New Roman" w:hAnsi="Times New Roman"/>
          <w:sz w:val="17"/>
        </w:rPr>
        <w:t>F-5</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firstLine="403"/>
        <w:rPr>
          <w:rFonts w:ascii="Times New Roman" w:hAnsi="Times New Roman"/>
          <w:sz w:val="17"/>
        </w:rPr>
      </w:pPr>
      <w:r>
        <w:rPr>
          <w:rFonts w:ascii="Times New Roman" w:hAnsi="Times New Roman"/>
          <w:sz w:val="17"/>
        </w:rPr>
        <w:t>At March 31, 2006, there were 169,000 vested options outstanding. These options are considered performance awards and are accounted for at fair value upon vesting and are revalued at each financial statement date based on the Black-Scholes Model. No options were granted, expired, forfeited or exercised during the three-month period ending March 31, 2006. At March 31, 2006, the estimated fair value of $31.63 per unit resulted in a liability of approximately $5.3 million, which is reflected as a component of other current liabilities on the accompanying consolidated balance sheet. We intend to use Option Units (see Note 2) to settle these awards when they are exercised. PAA does not have any obligation to reimburse us for the units underlying these awards.</w:t>
      </w:r>
    </w:p>
    <w:p>
      <w:pPr>
        <w:pStyle w:val="TextBody"/>
        <w:spacing w:before="0" w:after="240"/>
        <w:ind w:left="0" w:right="0" w:firstLine="403"/>
        <w:rPr>
          <w:rFonts w:ascii="Times New Roman" w:hAnsi="Times New Roman"/>
          <w:sz w:val="17"/>
        </w:rPr>
      </w:pPr>
      <w:r>
        <w:rPr>
          <w:rFonts w:ascii="Times New Roman" w:hAnsi="Times New Roman"/>
          <w:sz w:val="17"/>
        </w:rPr>
        <w:t>The facts and assumptions used in the Black-Scholes Model at March 31, 2006, were as follows:</w:t>
      </w:r>
    </w:p>
    <w:tbl>
      <w:tblPr>
        <w:tblW w:w="5000" w:type="pct"/>
        <w:jc w:val="left"/>
        <w:tblInd w:w="0" w:type="dxa"/>
        <w:tblCellMar>
          <w:top w:w="0" w:type="dxa"/>
          <w:left w:w="0" w:type="dxa"/>
          <w:bottom w:w="0" w:type="dxa"/>
          <w:right w:w="0" w:type="dxa"/>
        </w:tblCellMar>
      </w:tblPr>
      <w:tblGrid>
        <w:gridCol w:w="2127"/>
        <w:gridCol w:w="212"/>
        <w:gridCol w:w="1382"/>
        <w:gridCol w:w="213"/>
        <w:gridCol w:w="1382"/>
        <w:gridCol w:w="212"/>
        <w:gridCol w:w="1382"/>
        <w:gridCol w:w="212"/>
        <w:gridCol w:w="1382"/>
        <w:gridCol w:w="213"/>
        <w:gridCol w:w="1382"/>
        <w:gridCol w:w="106"/>
      </w:tblGrid>
      <w:tr>
        <w:trPr/>
        <w:tc>
          <w:tcPr>
            <w:tcW w:w="2127" w:type="dxa"/>
            <w:tcBorders/>
            <w:shd w:fill="auto" w:val="clear"/>
            <w:vAlign w:val="bottom"/>
          </w:tcPr>
          <w:p>
            <w:pPr>
              <w:pStyle w:val="TableContents"/>
              <w:spacing w:lineRule="atLeast" w:line="160" w:before="0" w:after="0"/>
              <w:ind w:left="0" w:right="0" w:hanging="0"/>
              <w:rPr/>
            </w:pPr>
            <w:r>
              <w:rPr/>
              <w:t> </w:t>
            </w:r>
          </w:p>
        </w:tc>
        <w:tc>
          <w:tcPr>
            <w:tcW w:w="212" w:type="dxa"/>
            <w:tcBorders/>
            <w:shd w:fill="auto" w:val="clear"/>
            <w:vAlign w:val="bottom"/>
          </w:tcPr>
          <w:p>
            <w:pPr>
              <w:pStyle w:val="TableContents"/>
              <w:spacing w:lineRule="atLeast" w:line="160" w:before="0" w:after="0"/>
              <w:ind w:left="0" w:right="0" w:hanging="0"/>
              <w:rPr/>
            </w:pPr>
            <w:r>
              <w:rPr/>
              <w:t> </w:t>
            </w:r>
          </w:p>
        </w:tc>
        <w:tc>
          <w:tcPr>
            <w:tcW w:w="1382" w:type="dxa"/>
            <w:tcBorders/>
            <w:shd w:fill="auto" w:val="clear"/>
            <w:vAlign w:val="bottom"/>
          </w:tcPr>
          <w:p>
            <w:pPr>
              <w:pStyle w:val="TableContents"/>
              <w:spacing w:lineRule="atLeast" w:line="160" w:before="0" w:after="0"/>
              <w:ind w:left="0" w:right="0" w:hanging="0"/>
              <w:rPr/>
            </w:pPr>
            <w:r>
              <w:rPr/>
              <w:t> </w:t>
            </w:r>
          </w:p>
        </w:tc>
        <w:tc>
          <w:tcPr>
            <w:tcW w:w="213" w:type="dxa"/>
            <w:tcBorders/>
            <w:shd w:fill="auto" w:val="clear"/>
            <w:vAlign w:val="bottom"/>
          </w:tcPr>
          <w:p>
            <w:pPr>
              <w:pStyle w:val="TableContents"/>
              <w:spacing w:lineRule="atLeast" w:line="160" w:before="0" w:after="0"/>
              <w:ind w:left="0" w:right="0" w:hanging="0"/>
              <w:rPr/>
            </w:pPr>
            <w:r>
              <w:rPr/>
              <w:t> </w:t>
            </w:r>
          </w:p>
        </w:tc>
        <w:tc>
          <w:tcPr>
            <w:tcW w:w="6165" w:type="dxa"/>
            <w:gridSpan w:val="7"/>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Assumptions</w:t>
            </w:r>
          </w:p>
        </w:tc>
        <w:tc>
          <w:tcPr>
            <w:tcW w:w="106" w:type="dxa"/>
            <w:tcBorders/>
            <w:shd w:fill="auto" w:val="clear"/>
            <w:vAlign w:val="bottom"/>
          </w:tcPr>
          <w:p>
            <w:pPr>
              <w:pStyle w:val="TableContents"/>
              <w:spacing w:lineRule="atLeast" w:line="160" w:before="0" w:after="0"/>
              <w:ind w:left="0" w:right="0" w:hanging="0"/>
              <w:rPr/>
            </w:pPr>
            <w:r>
              <w:rPr/>
              <w:t> </w:t>
            </w:r>
          </w:p>
        </w:tc>
      </w:tr>
      <w:tr>
        <w:trPr/>
        <w:tc>
          <w:tcPr>
            <w:tcW w:w="2127"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Options</w:t>
              <w:br/>
              <w:t>Outstanding</w:t>
            </w:r>
          </w:p>
        </w:tc>
        <w:tc>
          <w:tcPr>
            <w:tcW w:w="212" w:type="dxa"/>
            <w:tcBorders/>
            <w:shd w:fill="auto" w:val="clear"/>
            <w:vAlign w:val="bottom"/>
          </w:tcPr>
          <w:p>
            <w:pPr>
              <w:pStyle w:val="TableContents"/>
              <w:spacing w:lineRule="atLeast" w:line="160" w:before="0" w:after="0"/>
              <w:ind w:left="0" w:right="0" w:hanging="0"/>
              <w:rPr/>
            </w:pPr>
            <w:r>
              <w:rPr/>
              <w:t> </w:t>
            </w:r>
          </w:p>
        </w:tc>
        <w:tc>
          <w:tcPr>
            <w:tcW w:w="1382"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Options</w:t>
              <w:br/>
              <w:t>Vested</w:t>
            </w:r>
          </w:p>
        </w:tc>
        <w:tc>
          <w:tcPr>
            <w:tcW w:w="213" w:type="dxa"/>
            <w:tcBorders/>
            <w:shd w:fill="auto" w:val="clear"/>
            <w:vAlign w:val="bottom"/>
          </w:tcPr>
          <w:p>
            <w:pPr>
              <w:pStyle w:val="TableContents"/>
              <w:spacing w:lineRule="atLeast" w:line="160" w:before="0" w:after="0"/>
              <w:ind w:left="0" w:right="0" w:hanging="0"/>
              <w:rPr/>
            </w:pPr>
            <w:r>
              <w:rPr/>
              <w:t> </w:t>
            </w:r>
          </w:p>
        </w:tc>
        <w:tc>
          <w:tcPr>
            <w:tcW w:w="1382"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Weighted Average</w:t>
              <w:br/>
              <w:t>Interest Rate</w:t>
            </w:r>
          </w:p>
        </w:tc>
        <w:tc>
          <w:tcPr>
            <w:tcW w:w="212" w:type="dxa"/>
            <w:tcBorders>
              <w:top w:val="single" w:sz="8" w:space="0" w:color="000000"/>
            </w:tcBorders>
            <w:shd w:fill="auto" w:val="clear"/>
            <w:tcMar>
              <w:top w:w="28" w:type="dxa"/>
            </w:tcMar>
            <w:vAlign w:val="bottom"/>
          </w:tcPr>
          <w:p>
            <w:pPr>
              <w:pStyle w:val="TableContents"/>
              <w:spacing w:lineRule="atLeast" w:line="160" w:before="0" w:after="0"/>
              <w:ind w:left="0" w:right="0" w:hanging="0"/>
              <w:rPr/>
            </w:pPr>
            <w:r>
              <w:rPr/>
              <w:t> </w:t>
            </w:r>
          </w:p>
        </w:tc>
        <w:tc>
          <w:tcPr>
            <w:tcW w:w="1382" w:type="dxa"/>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Weighted Average</w:t>
              <w:br/>
              <w:t>Expected Life</w:t>
            </w:r>
          </w:p>
        </w:tc>
        <w:tc>
          <w:tcPr>
            <w:tcW w:w="212" w:type="dxa"/>
            <w:tcBorders>
              <w:top w:val="single" w:sz="8" w:space="0" w:color="000000"/>
            </w:tcBorders>
            <w:shd w:fill="auto" w:val="clear"/>
            <w:tcMar>
              <w:top w:w="28" w:type="dxa"/>
            </w:tcMar>
            <w:vAlign w:val="bottom"/>
          </w:tcPr>
          <w:p>
            <w:pPr>
              <w:pStyle w:val="TableContents"/>
              <w:spacing w:lineRule="atLeast" w:line="160" w:before="0" w:after="0"/>
              <w:ind w:left="0" w:right="0" w:hanging="0"/>
              <w:rPr/>
            </w:pPr>
            <w:r>
              <w:rPr/>
              <w:t> </w:t>
            </w:r>
          </w:p>
        </w:tc>
        <w:tc>
          <w:tcPr>
            <w:tcW w:w="1382" w:type="dxa"/>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Weighted Average</w:t>
              <w:br/>
              <w:t>Expected Volatility</w:t>
            </w:r>
          </w:p>
        </w:tc>
        <w:tc>
          <w:tcPr>
            <w:tcW w:w="213" w:type="dxa"/>
            <w:tcBorders>
              <w:top w:val="single" w:sz="8" w:space="0" w:color="000000"/>
            </w:tcBorders>
            <w:shd w:fill="auto" w:val="clear"/>
            <w:tcMar>
              <w:top w:w="28" w:type="dxa"/>
            </w:tcMar>
            <w:vAlign w:val="bottom"/>
          </w:tcPr>
          <w:p>
            <w:pPr>
              <w:pStyle w:val="TableContents"/>
              <w:spacing w:lineRule="atLeast" w:line="160" w:before="0" w:after="0"/>
              <w:ind w:left="0" w:right="0" w:hanging="0"/>
              <w:rPr/>
            </w:pPr>
            <w:r>
              <w:rPr/>
              <w:t> </w:t>
            </w:r>
          </w:p>
        </w:tc>
        <w:tc>
          <w:tcPr>
            <w:tcW w:w="1382" w:type="dxa"/>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60" w:before="0" w:after="0"/>
              <w:ind w:left="0" w:right="0" w:hanging="0"/>
              <w:rPr>
                <w:b/>
              </w:rPr>
            </w:pPr>
            <w:r>
              <w:rPr>
                <w:rFonts w:ascii="Times New Roman" w:hAnsi="Times New Roman"/>
                <w:b/>
                <w:sz w:val="13"/>
              </w:rPr>
              <w:t>Weighted Average</w:t>
              <w:br/>
              <w:t>Expected</w:t>
              <w:br/>
              <w:t>Dividend Yield</w:t>
            </w:r>
            <w:r>
              <w:rPr>
                <w:b/>
                <w:sz w:val="8"/>
              </w:rPr>
              <w:t>(1)</w:t>
            </w:r>
          </w:p>
        </w:tc>
        <w:tc>
          <w:tcPr>
            <w:tcW w:w="106" w:type="dxa"/>
            <w:tcBorders/>
            <w:shd w:fill="auto" w:val="clear"/>
            <w:vAlign w:val="bottom"/>
          </w:tcPr>
          <w:p>
            <w:pPr>
              <w:pStyle w:val="TableContents"/>
              <w:spacing w:lineRule="atLeast" w:line="160" w:before="0" w:after="0"/>
              <w:ind w:left="0" w:right="0" w:hanging="0"/>
              <w:rPr/>
            </w:pPr>
            <w:r>
              <w:rPr/>
              <w:t> </w:t>
            </w:r>
          </w:p>
        </w:tc>
      </w:tr>
      <w:tr>
        <w:trPr/>
        <w:tc>
          <w:tcPr>
            <w:tcW w:w="2127"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169,000</w:t>
            </w:r>
          </w:p>
        </w:tc>
        <w:tc>
          <w:tcPr>
            <w:tcW w:w="212" w:type="dxa"/>
            <w:tcBorders/>
            <w:shd w:fill="CCEEFF" w:val="clear"/>
            <w:vAlign w:val="bottom"/>
          </w:tcPr>
          <w:p>
            <w:pPr>
              <w:pStyle w:val="TableContents"/>
              <w:spacing w:before="0" w:after="0"/>
              <w:ind w:left="0" w:right="0" w:hanging="0"/>
              <w:rPr/>
            </w:pPr>
            <w:r>
              <w:rPr/>
              <w:t> </w:t>
            </w:r>
          </w:p>
        </w:tc>
        <w:tc>
          <w:tcPr>
            <w:tcW w:w="1382"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169,000</w:t>
            </w:r>
          </w:p>
        </w:tc>
        <w:tc>
          <w:tcPr>
            <w:tcW w:w="213" w:type="dxa"/>
            <w:tcBorders/>
            <w:shd w:fill="CCEEFF" w:val="clear"/>
            <w:vAlign w:val="bottom"/>
          </w:tcPr>
          <w:p>
            <w:pPr>
              <w:pStyle w:val="TableContents"/>
              <w:spacing w:before="0" w:after="0"/>
              <w:ind w:left="0" w:right="0" w:hanging="0"/>
              <w:rPr/>
            </w:pPr>
            <w:r>
              <w:rPr/>
              <w:t> </w:t>
            </w:r>
          </w:p>
        </w:tc>
        <w:tc>
          <w:tcPr>
            <w:tcW w:w="1382"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4.8%</w:t>
            </w:r>
          </w:p>
        </w:tc>
        <w:tc>
          <w:tcPr>
            <w:tcW w:w="212" w:type="dxa"/>
            <w:tcBorders/>
            <w:shd w:fill="CCEEFF" w:val="clear"/>
            <w:vAlign w:val="bottom"/>
          </w:tcPr>
          <w:p>
            <w:pPr>
              <w:pStyle w:val="TableContents"/>
              <w:spacing w:before="0" w:after="0"/>
              <w:ind w:left="0" w:right="0" w:hanging="0"/>
              <w:rPr/>
            </w:pPr>
            <w:r>
              <w:rPr/>
              <w:t> </w:t>
            </w:r>
          </w:p>
        </w:tc>
        <w:tc>
          <w:tcPr>
            <w:tcW w:w="1382"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3.1</w:t>
            </w:r>
          </w:p>
        </w:tc>
        <w:tc>
          <w:tcPr>
            <w:tcW w:w="212" w:type="dxa"/>
            <w:tcBorders/>
            <w:shd w:fill="CCEEFF" w:val="clear"/>
            <w:vAlign w:val="bottom"/>
          </w:tcPr>
          <w:p>
            <w:pPr>
              <w:pStyle w:val="TableContents"/>
              <w:spacing w:before="0" w:after="0"/>
              <w:ind w:left="0" w:right="0" w:hanging="0"/>
              <w:rPr/>
            </w:pPr>
            <w:r>
              <w:rPr/>
              <w:t> </w:t>
            </w:r>
          </w:p>
        </w:tc>
        <w:tc>
          <w:tcPr>
            <w:tcW w:w="1382"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18.0%</w:t>
            </w:r>
          </w:p>
        </w:tc>
        <w:tc>
          <w:tcPr>
            <w:tcW w:w="213" w:type="dxa"/>
            <w:tcBorders/>
            <w:shd w:fill="CCEEFF" w:val="clear"/>
            <w:vAlign w:val="bottom"/>
          </w:tcPr>
          <w:p>
            <w:pPr>
              <w:pStyle w:val="TableContents"/>
              <w:spacing w:before="0" w:after="0"/>
              <w:ind w:left="0" w:right="0" w:hanging="0"/>
              <w:rPr/>
            </w:pPr>
            <w:r>
              <w:rPr/>
              <w:t> </w:t>
            </w:r>
          </w:p>
        </w:tc>
        <w:tc>
          <w:tcPr>
            <w:tcW w:w="1382"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1.8%</w:t>
            </w:r>
          </w:p>
        </w:tc>
        <w:tc>
          <w:tcPr>
            <w:tcW w:w="106" w:type="dxa"/>
            <w:tcBorders/>
            <w:shd w:fill="CCEEFF"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jc w:val="left"/>
        <w:rPr/>
      </w:pPr>
      <w:r>
        <w:rPr/>
      </w:r>
    </w:p>
    <w:p>
      <w:pPr>
        <w:pStyle w:val="TextBody"/>
        <w:spacing w:before="0" w:after="240"/>
        <w:ind w:left="400" w:right="0" w:hanging="400"/>
        <w:rPr>
          <w:rFonts w:ascii="Times New Roman" w:hAnsi="Times New Roman"/>
          <w:sz w:val="17"/>
        </w:rPr>
      </w:pPr>
      <w:r>
        <w:rPr>
          <w:rFonts w:ascii="Times New Roman" w:hAnsi="Times New Roman"/>
          <w:sz w:val="11"/>
        </w:rPr>
        <w:t>(1)</w:t>
      </w:r>
      <w:r>
        <w:rPr>
          <w:rFonts w:ascii="Times New Roman" w:hAnsi="Times New Roman"/>
          <w:sz w:val="17"/>
        </w:rPr>
        <w:t>                Reflects 20% of anticipated dividend yield to provide for the reduction in the exercise price of the options equal to 80% of distributions.</w:t>
      </w:r>
    </w:p>
    <w:p>
      <w:pPr>
        <w:pStyle w:val="TextBody"/>
        <w:spacing w:before="0" w:after="240"/>
        <w:ind w:left="0" w:right="0" w:firstLine="400"/>
        <w:rPr>
          <w:rFonts w:ascii="Times New Roman" w:hAnsi="Times New Roman"/>
          <w:sz w:val="20"/>
        </w:rPr>
      </w:pPr>
      <w:r>
        <w:rPr>
          <w:rFonts w:ascii="Times New Roman" w:hAnsi="Times New Roman"/>
          <w:sz w:val="17"/>
        </w:rPr>
        <w:t xml:space="preserve">During the first quarter of 2005, the Board of Directors of our General Partner approved </w:t>
      </w:r>
      <w:r>
        <w:rPr>
          <w:rFonts w:ascii="Times New Roman" w:hAnsi="Times New Roman"/>
          <w:sz w:val="20"/>
        </w:rPr>
        <w:t>amendments to the Plan. The Plan, as amended, requires options that vest in 2005 or thereafter to be exercised in the year in which they vest. In August 2005, because of the change in ownership structure discussed in Note 1, all unvested options under the Plan became fully vested and, based on the amendment, were either (i) exercised or (ii) included in a program pursuant to which we sold an equivalent number of Option Units and used the proceeds to pay the equivalent of the exercise price and tax, with the remainder paid to the optionees. The remaining options, all of which vested prior to 2005, expire in 2011 and 2012.</w:t>
      </w:r>
    </w:p>
    <w:p>
      <w:pPr>
        <w:pStyle w:val="TextBody"/>
        <w:keepNext w:val="true"/>
        <w:spacing w:before="120" w:after="240"/>
        <w:ind w:left="202" w:right="0" w:hanging="202"/>
        <w:rPr>
          <w:rFonts w:ascii="Times New Roman" w:hAnsi="Times New Roman"/>
          <w:b/>
          <w:sz w:val="17"/>
        </w:rPr>
      </w:pPr>
      <w:r>
        <w:rPr>
          <w:rFonts w:ascii="Times New Roman" w:hAnsi="Times New Roman"/>
          <w:b/>
          <w:sz w:val="17"/>
        </w:rPr>
        <w:t>Note 5Subsequent Events</w:t>
      </w:r>
    </w:p>
    <w:p>
      <w:pPr>
        <w:pStyle w:val="TextBody"/>
        <w:spacing w:before="0" w:after="240"/>
        <w:ind w:left="0" w:right="0" w:hanging="0"/>
        <w:rPr>
          <w:rFonts w:ascii="Times New Roman" w:hAnsi="Times New Roman"/>
          <w:i/>
          <w:sz w:val="17"/>
        </w:rPr>
      </w:pPr>
      <w:r>
        <w:rPr>
          <w:rFonts w:ascii="Times New Roman" w:hAnsi="Times New Roman"/>
          <w:i/>
          <w:sz w:val="17"/>
        </w:rPr>
        <w:t>Notes Offering</w:t>
      </w:r>
    </w:p>
    <w:p>
      <w:pPr>
        <w:pStyle w:val="TextBody"/>
        <w:spacing w:before="0" w:after="240"/>
        <w:ind w:left="0" w:right="0" w:firstLine="400"/>
        <w:rPr>
          <w:rFonts w:ascii="Times New Roman" w:hAnsi="Times New Roman"/>
          <w:sz w:val="17"/>
        </w:rPr>
      </w:pPr>
      <w:r>
        <w:rPr>
          <w:rFonts w:ascii="Times New Roman" w:hAnsi="Times New Roman"/>
          <w:sz w:val="17"/>
        </w:rPr>
        <w:t>On May 12, 2006, PAA announced that it had completed a private placement of $250 million of 30-year senior notes. The notes have a fixed-rate interest coupon of 6.7% and mature on May 15, 2036. Proceeds from the offering were used to repay amounts outstanding under PAAs revolving credit facilities and for general partnership purposes.</w:t>
      </w:r>
    </w:p>
    <w:p>
      <w:pPr>
        <w:pStyle w:val="TextBody"/>
        <w:keepNext w:val="true"/>
        <w:spacing w:before="0" w:after="240"/>
        <w:ind w:left="200" w:right="0" w:hanging="200"/>
        <w:rPr>
          <w:rFonts w:ascii="Times New Roman" w:hAnsi="Times New Roman"/>
          <w:b w:val="false"/>
          <w:i/>
          <w:sz w:val="17"/>
        </w:rPr>
      </w:pPr>
      <w:r>
        <w:rPr>
          <w:rFonts w:ascii="Times New Roman" w:hAnsi="Times New Roman"/>
          <w:b w:val="false"/>
          <w:i/>
          <w:sz w:val="17"/>
        </w:rPr>
        <w:t>Acquisitions</w:t>
      </w:r>
    </w:p>
    <w:p>
      <w:pPr>
        <w:pStyle w:val="TextBody"/>
        <w:spacing w:before="0" w:after="240"/>
        <w:ind w:left="0" w:right="0" w:firstLine="400"/>
        <w:rPr>
          <w:rFonts w:ascii="Times New Roman" w:hAnsi="Times New Roman"/>
          <w:sz w:val="17"/>
        </w:rPr>
      </w:pPr>
      <w:r>
        <w:rPr>
          <w:rFonts w:ascii="Times New Roman" w:hAnsi="Times New Roman"/>
          <w:sz w:val="17"/>
        </w:rPr>
        <w:t>On May 24, 2006, PAA announced that it had entered into a definitive agreement to acquire interests in certain Gulf Coast crude oil pipeline systems from BP Oil Pipeline Company for aggregate consideration of approximately $134 million. The assets consist of a 100% interest in the Bay Marchand-to-Ostrica-to-Alliance Pipeline, a 64.35% interest in a segment of the Clovelly-to-Meraux Pipeline and various interests in segments of the High Island Pipeline System.</w:t>
      </w:r>
    </w:p>
    <w:p>
      <w:pPr>
        <w:pStyle w:val="TextBody"/>
        <w:spacing w:before="0" w:after="240"/>
        <w:ind w:left="0" w:right="0" w:firstLine="400"/>
        <w:rPr>
          <w:rFonts w:ascii="Times New Roman" w:hAnsi="Times New Roman"/>
          <w:sz w:val="17"/>
        </w:rPr>
      </w:pPr>
      <w:r>
        <w:rPr>
          <w:rFonts w:ascii="Times New Roman" w:hAnsi="Times New Roman"/>
          <w:sz w:val="17"/>
        </w:rPr>
        <w:t>On June 12, 2006, PAA announced that it had entered into a definitive agreement to acquire Pacific Energy Partners, L.P. (PPX). The total value of the transaction is approximately $2.4 billion, including the assumption of debt and estimated transaction costs, and is expected to close near the end of 2006. The completion of the acquisition is subject to the approval of unitholders of both PAA and PPX as well as customary regulatory approvals. Under the terms of the agreements, PAA will acquire from LB Pacific, LP and its affiliates the general partner interest and incentive distribution rights of Pacific Energy as well as 2.6 million common units and 7.8 million subordinated units for a total of $700 million in cash. In addition, PAA will acquire the balance of PPXs equity through a tax-free-unit-for-unit merger in which each other unitholder of PPX will receive 0.77 newly issued PAA common units for each Pacific Energy common unit.</w:t>
      </w:r>
    </w:p>
    <w:p>
      <w:pPr>
        <w:pStyle w:val="TextBody"/>
        <w:spacing w:before="0" w:after="240"/>
        <w:ind w:left="0" w:right="0" w:firstLine="400"/>
        <w:rPr>
          <w:rFonts w:ascii="Times New Roman" w:hAnsi="Times New Roman"/>
          <w:sz w:val="17"/>
        </w:rPr>
      </w:pPr>
      <w:r>
        <w:rPr>
          <w:rFonts w:ascii="Times New Roman" w:hAnsi="Times New Roman"/>
          <w:sz w:val="17"/>
        </w:rPr>
        <w:t>Under the terms of the merger agreement, we have agreed to temporarily reduce payments under our incentive distribution rights. Assuming consummation of the merger in the fourth quarter of 2006, such reduction would be $20 million in 2007, $15 million in 2008, $15 million in 2009, $10 million in 2010 and $5 million in 2011. PAA expects that approximately 50% of the $2.4 billion acquisition will be funded  through equity. Approximately 88% of the equity funding will be accomplished by virtue of the unit-for-unit exchange and contemporaneous capital contribution by the Partnership. The remaining $1.2 billion will be funded with debt including the assumption of PPXs two issuances of senior notes with an aggregate principal of  $425 million and by either PAAs existing revolving credit facility or short-term credit facilities to be implemented.</w:t>
      </w:r>
    </w:p>
    <w:p>
      <w:pPr>
        <w:pStyle w:val="TextBody"/>
        <w:spacing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F-6</w:t>
      </w:r>
    </w:p>
    <w:p>
      <w:pPr>
        <w:pStyle w:val="TextBody"/>
        <w:spacing w:before="0" w:after="0"/>
        <w:rPr/>
      </w:pPr>
      <w:r>
        <w:rPr/>
      </w:r>
    </w:p>
    <w:p>
      <w:pPr>
        <w:pStyle w:val="HorizontalLine"/>
        <w:pBdr>
          <w:bottom w:val="single" w:sz="18" w:space="0" w:color="010101"/>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3305</Words>
  <CharactersWithSpaces>20714</CharactersWithSpaces>
  <Paragraphs>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