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5679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5679440"/>
                    </a:xfrm>
                    <a:prstGeom prst="rect">
                      <a:avLst/>
                    </a:prstGeom>
                    <a:noFill/>
                  </pic:spPr>
                </pic:pic>
              </a:graphicData>
            </a:graphic>
          </wp:anchor>
        </w:drawing>
      </w:r>
    </w:p>
    <w:p>
      <w:pPr>
        <w:spacing w:after="0" w:line="1071" w:lineRule="exact"/>
        <w:rPr>
          <w:sz w:val="24"/>
          <w:szCs w:val="24"/>
          <w:color w:val="auto"/>
        </w:rPr>
      </w:pPr>
    </w:p>
    <w:p>
      <w:pPr>
        <w:sectPr>
          <w:pgSz w:w="11900" w:h="16838" w:orient="portrait"/>
          <w:cols w:equalWidth="0" w:num="2">
            <w:col w:w="2300" w:space="400"/>
            <w:col w:w="8380"/>
          </w:cols>
          <w:pgMar w:left="460" w:top="213" w:right="359" w:bottom="67"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Goebel Jeremy L.</w:t>
        </w:r>
      </w:hyperlink>
    </w:p>
    <w:p>
      <w:pPr>
        <w:spacing w:after="0" w:line="280"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60" w:type="dxa"/>
            <w:vAlign w:val="bottom"/>
          </w:tcPr>
          <w:p>
            <w:pPr>
              <w:ind w:left="420"/>
              <w:spacing w:after="0"/>
              <w:rPr>
                <w:sz w:val="20"/>
                <w:szCs w:val="20"/>
                <w:color w:val="auto"/>
              </w:rPr>
            </w:pPr>
            <w:r>
              <w:rPr>
                <w:rFonts w:ascii="Arial" w:cs="Arial" w:eastAsia="Arial" w:hAnsi="Arial"/>
                <w:sz w:val="12"/>
                <w:szCs w:val="12"/>
                <w:color w:val="auto"/>
                <w:w w:val="96"/>
              </w:rPr>
              <w:t>(Middle)</w:t>
            </w:r>
          </w:p>
        </w:tc>
      </w:tr>
      <w:tr>
        <w:trPr>
          <w:trHeight w:val="25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333 CLAY STREET</w:t>
            </w:r>
          </w:p>
        </w:tc>
        <w:tc>
          <w:tcPr>
            <w:tcW w:w="860" w:type="dxa"/>
            <w:vAlign w:val="bottom"/>
          </w:tcPr>
          <w:p>
            <w:pPr>
              <w:spacing w:after="0"/>
              <w:rPr>
                <w:sz w:val="22"/>
                <w:szCs w:val="22"/>
                <w:color w:val="auto"/>
              </w:rPr>
            </w:pPr>
          </w:p>
        </w:tc>
      </w:tr>
      <w:tr>
        <w:trPr>
          <w:trHeight w:val="247"/>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8"/>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450"/>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6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780" w:type="dxa"/>
            <w:vAlign w:val="bottom"/>
            <w:gridSpan w:val="2"/>
          </w:tcPr>
          <w:p>
            <w:pPr>
              <w:spacing w:after="0" w:line="19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210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60" w:type="dxa"/>
            <w:vAlign w:val="bottom"/>
            <w:vMerge w:val="restart"/>
          </w:tcPr>
          <w:p>
            <w:pPr>
              <w:spacing w:after="0"/>
              <w:rPr>
                <w:sz w:val="12"/>
                <w:szCs w:val="12"/>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180" w:type="dxa"/>
            <w:vAlign w:val="bottom"/>
          </w:tcPr>
          <w:p>
            <w:pPr>
              <w:ind w:left="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210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ind w:left="580"/>
              <w:spacing w:after="0"/>
              <w:rPr>
                <w:sz w:val="20"/>
                <w:szCs w:val="20"/>
                <w:color w:val="auto"/>
              </w:rPr>
            </w:pPr>
            <w:r>
              <w:rPr>
                <w:rFonts w:ascii="Arial" w:cs="Arial" w:eastAsia="Arial" w:hAnsi="Arial"/>
                <w:sz w:val="12"/>
                <w:szCs w:val="12"/>
                <w:color w:val="auto"/>
              </w:rPr>
              <w:t>below)</w:t>
            </w:r>
          </w:p>
        </w:tc>
        <w:tc>
          <w:tcPr>
            <w:tcW w:w="1180" w:type="dxa"/>
            <w:vAlign w:val="bottom"/>
          </w:tcPr>
          <w:p>
            <w:pPr>
              <w:ind w:left="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3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color w:val="0000FF"/>
              </w:rPr>
              <w:t>EVP &amp; CCO</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60" w:type="dxa"/>
            <w:vAlign w:val="bottom"/>
          </w:tcPr>
          <w:p>
            <w:pPr>
              <w:spacing w:after="0"/>
              <w:rPr>
                <w:sz w:val="7"/>
                <w:szCs w:val="7"/>
                <w:color w:val="auto"/>
              </w:rPr>
            </w:pPr>
          </w:p>
        </w:tc>
        <w:tc>
          <w:tcPr>
            <w:tcW w:w="3780" w:type="dxa"/>
            <w:vAlign w:val="bottom"/>
            <w:gridSpan w:val="2"/>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21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34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28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2">
            <w:col w:w="3120" w:space="720"/>
            <w:col w:w="7240"/>
          </w:cols>
          <w:pgMar w:left="460" w:top="213" w:right="359" w:bottom="67"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20" w:type="dxa"/>
            <w:vAlign w:val="bottom"/>
            <w:gridSpan w:val="3"/>
          </w:tcPr>
          <w:p>
            <w:pPr>
              <w:jc w:val="center"/>
              <w:ind w:left="713"/>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gridSpan w:val="4"/>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5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21"/>
                <w:szCs w:val="21"/>
                <w:color w:val="auto"/>
              </w:rPr>
            </w:pPr>
          </w:p>
        </w:tc>
        <w:tc>
          <w:tcPr>
            <w:tcW w:w="182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color w:val="0000FF"/>
                <w:w w:val="98"/>
              </w:rPr>
              <w:t>08/14/2025</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center"/>
              <w:ind w:right="323"/>
              <w:spacing w:after="0"/>
              <w:rPr>
                <w:sz w:val="20"/>
                <w:szCs w:val="20"/>
                <w:color w:val="auto"/>
              </w:rPr>
            </w:pPr>
            <w:r>
              <w:rPr>
                <w:rFonts w:ascii="Times New Roman" w:cs="Times New Roman" w:eastAsia="Times New Roman" w:hAnsi="Times New Roman"/>
                <w:sz w:val="12"/>
                <w:szCs w:val="12"/>
                <w:color w:val="0000FF"/>
                <w:w w:val="93"/>
              </w:rPr>
              <w:t>M</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227,864</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227,864</w:t>
            </w:r>
          </w:p>
        </w:tc>
        <w:tc>
          <w:tcPr>
            <w:tcW w:w="56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21"/>
                <w:szCs w:val="21"/>
                <w:color w:val="auto"/>
              </w:rPr>
            </w:pPr>
          </w:p>
        </w:tc>
        <w:tc>
          <w:tcPr>
            <w:tcW w:w="182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color w:val="0000FF"/>
                <w:w w:val="98"/>
              </w:rPr>
              <w:t>08/14/2025</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center"/>
              <w:ind w:right="323"/>
              <w:spacing w:after="0"/>
              <w:rPr>
                <w:sz w:val="20"/>
                <w:szCs w:val="20"/>
                <w:color w:val="auto"/>
              </w:rPr>
            </w:pPr>
            <w:r>
              <w:rPr>
                <w:rFonts w:ascii="Times New Roman" w:cs="Times New Roman" w:eastAsia="Times New Roman" w:hAnsi="Times New Roman"/>
                <w:sz w:val="12"/>
                <w:szCs w:val="12"/>
                <w:color w:val="0000FF"/>
                <w:w w:val="89"/>
              </w:rPr>
              <w:t>F</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89,665</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17.78</w:t>
            </w: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138,199</w:t>
            </w:r>
          </w:p>
        </w:tc>
        <w:tc>
          <w:tcPr>
            <w:tcW w:w="56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21"/>
                <w:szCs w:val="21"/>
                <w:color w:val="auto"/>
              </w:rPr>
            </w:pPr>
          </w:p>
        </w:tc>
        <w:tc>
          <w:tcPr>
            <w:tcW w:w="182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color w:val="0000FF"/>
                <w:w w:val="98"/>
              </w:rPr>
              <w:t>08/14/2025</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center"/>
              <w:ind w:right="323"/>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138,199</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760" w:type="dxa"/>
            <w:vAlign w:val="bottom"/>
            <w:gridSpan w:val="2"/>
          </w:tcPr>
          <w:p>
            <w:pPr>
              <w:jc w:val="center"/>
              <w:ind w:left="297"/>
              <w:spacing w:after="0"/>
              <w:rPr>
                <w:sz w:val="20"/>
                <w:szCs w:val="20"/>
                <w:color w:val="auto"/>
              </w:rPr>
            </w:pPr>
            <w:r>
              <w:rPr>
                <w:rFonts w:ascii="Times New Roman" w:cs="Times New Roman" w:eastAsia="Times New Roman" w:hAnsi="Times New Roman"/>
                <w:sz w:val="16"/>
                <w:szCs w:val="16"/>
                <w:color w:val="0000FF"/>
                <w:w w:val="99"/>
              </w:rPr>
              <w:t>0</w:t>
            </w:r>
          </w:p>
        </w:tc>
        <w:tc>
          <w:tcPr>
            <w:tcW w:w="740" w:type="dxa"/>
            <w:vAlign w:val="bottom"/>
          </w:tcPr>
          <w:p>
            <w:pPr>
              <w:spacing w:after="0"/>
              <w:rPr>
                <w:sz w:val="21"/>
                <w:szCs w:val="21"/>
                <w:color w:val="auto"/>
              </w:rPr>
            </w:pPr>
          </w:p>
        </w:tc>
        <w:tc>
          <w:tcPr>
            <w:tcW w:w="56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By Family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40" w:type="dxa"/>
            <w:vAlign w:val="bottom"/>
          </w:tcPr>
          <w:p>
            <w:pPr>
              <w:spacing w:after="0"/>
              <w:rPr>
                <w:sz w:val="17"/>
                <w:szCs w:val="17"/>
                <w:color w:val="auto"/>
              </w:rPr>
            </w:pPr>
          </w:p>
        </w:tc>
        <w:tc>
          <w:tcPr>
            <w:tcW w:w="1820" w:type="dxa"/>
            <w:vAlign w:val="bottom"/>
            <w:gridSpan w:val="3"/>
          </w:tcPr>
          <w:p>
            <w:pPr>
              <w:jc w:val="center"/>
              <w:ind w:left="713"/>
              <w:spacing w:after="0"/>
              <w:rPr>
                <w:sz w:val="20"/>
                <w:szCs w:val="20"/>
                <w:color w:val="auto"/>
              </w:rPr>
            </w:pPr>
            <w:r>
              <w:rPr>
                <w:rFonts w:ascii="Times New Roman" w:cs="Times New Roman" w:eastAsia="Times New Roman" w:hAnsi="Times New Roman"/>
                <w:sz w:val="16"/>
                <w:szCs w:val="16"/>
                <w:color w:val="0000FF"/>
                <w:w w:val="98"/>
              </w:rPr>
              <w:t>08/14/2025</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center"/>
              <w:ind w:right="323"/>
              <w:spacing w:after="0"/>
              <w:rPr>
                <w:sz w:val="20"/>
                <w:szCs w:val="20"/>
                <w:color w:val="auto"/>
              </w:rPr>
            </w:pPr>
            <w:r>
              <w:rPr>
                <w:rFonts w:ascii="Times New Roman" w:cs="Times New Roman" w:eastAsia="Times New Roman" w:hAnsi="Times New Roman"/>
                <w:sz w:val="12"/>
                <w:szCs w:val="12"/>
                <w:color w:val="0000FF"/>
              </w:rPr>
              <w:t>G</w:t>
            </w:r>
          </w:p>
        </w:tc>
        <w:tc>
          <w:tcPr>
            <w:tcW w:w="7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138,199</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continue"/>
          </w:tcPr>
          <w:p>
            <w:pPr>
              <w:spacing w:after="0"/>
              <w:rPr>
                <w:sz w:val="17"/>
                <w:szCs w:val="17"/>
                <w:color w:val="auto"/>
              </w:rPr>
            </w:pPr>
          </w:p>
        </w:tc>
        <w:tc>
          <w:tcPr>
            <w:tcW w:w="1500" w:type="dxa"/>
            <w:vAlign w:val="bottom"/>
            <w:gridSpan w:val="3"/>
          </w:tcPr>
          <w:p>
            <w:pPr>
              <w:jc w:val="center"/>
              <w:ind w:right="323"/>
              <w:spacing w:after="0"/>
              <w:rPr>
                <w:sz w:val="20"/>
                <w:szCs w:val="20"/>
                <w:color w:val="auto"/>
              </w:rPr>
            </w:pPr>
            <w:r>
              <w:rPr>
                <w:rFonts w:ascii="Times New Roman" w:cs="Times New Roman" w:eastAsia="Times New Roman" w:hAnsi="Times New Roman"/>
                <w:sz w:val="16"/>
                <w:szCs w:val="16"/>
                <w:color w:val="0000FF"/>
                <w:w w:val="99"/>
              </w:rPr>
              <w:t>518,936</w:t>
            </w:r>
          </w:p>
        </w:tc>
        <w:tc>
          <w:tcPr>
            <w:tcW w:w="560" w:type="dxa"/>
            <w:vAlign w:val="bottom"/>
          </w:tcPr>
          <w:p>
            <w:pPr>
              <w:jc w:val="center"/>
              <w:ind w:right="295"/>
              <w:spacing w:after="0"/>
              <w:rPr>
                <w:sz w:val="20"/>
                <w:szCs w:val="20"/>
                <w:color w:val="auto"/>
              </w:rPr>
            </w:pPr>
            <w:r>
              <w:rPr>
                <w:rFonts w:ascii="Times New Roman" w:cs="Times New Roman" w:eastAsia="Times New Roman" w:hAnsi="Times New Roman"/>
                <w:sz w:val="16"/>
                <w:szCs w:val="16"/>
                <w:color w:val="0000FF"/>
                <w:w w:val="74"/>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Limited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Partnership</w:t>
            </w: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600" w:type="dxa"/>
            <w:vAlign w:val="bottom"/>
            <w:tcBorders>
              <w:bottom w:val="single" w:sz="8" w:color="2C2C2C"/>
            </w:tcBorders>
            <w:gridSpan w:val="9"/>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1"/>
          </w:tcPr>
          <w:p>
            <w:pPr>
              <w:jc w:val="center"/>
              <w:ind w:right="12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4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9"/>
          </w:tcPr>
          <w:p>
            <w:pPr>
              <w:jc w:val="center"/>
              <w:ind w:left="51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40" w:type="dxa"/>
            <w:vAlign w:val="bottom"/>
          </w:tcPr>
          <w:p>
            <w:pPr>
              <w:spacing w:after="0"/>
              <w:rPr>
                <w:sz w:val="10"/>
                <w:szCs w:val="10"/>
                <w:color w:val="auto"/>
              </w:rPr>
            </w:pPr>
          </w:p>
        </w:tc>
        <w:tc>
          <w:tcPr>
            <w:tcW w:w="15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40" w:type="dxa"/>
            <w:vAlign w:val="bottom"/>
          </w:tcPr>
          <w:p>
            <w:pPr>
              <w:spacing w:after="0"/>
              <w:rPr>
                <w:sz w:val="10"/>
                <w:szCs w:val="10"/>
                <w:color w:val="auto"/>
              </w:rPr>
            </w:pPr>
          </w:p>
        </w:tc>
        <w:tc>
          <w:tcPr>
            <w:tcW w:w="15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1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center"/>
              <w:ind w:right="343"/>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M</w:t>
            </w:r>
          </w:p>
        </w:tc>
        <w:tc>
          <w:tcPr>
            <w:tcW w:w="60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227,864</w:t>
            </w: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08/14/2025</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08/14/2025</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6"/>
              </w:rPr>
              <w:t>227,864</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vMerge w:val="restart"/>
          </w:tcPr>
          <w:p>
            <w:pPr>
              <w:jc w:val="center"/>
              <w:ind w:left="23"/>
              <w:spacing w:after="0"/>
              <w:rPr>
                <w:sz w:val="20"/>
                <w:szCs w:val="20"/>
                <w:color w:val="auto"/>
              </w:rPr>
            </w:pPr>
            <w:r>
              <w:rPr>
                <w:rFonts w:ascii="Times New Roman" w:cs="Times New Roman" w:eastAsia="Times New Roman" w:hAnsi="Times New Roman"/>
                <w:sz w:val="12"/>
                <w:szCs w:val="12"/>
                <w:color w:val="0000FF"/>
                <w:w w:val="99"/>
              </w:rPr>
              <w:t>0</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Units</w:t>
            </w:r>
          </w:p>
        </w:tc>
        <w:tc>
          <w:tcPr>
            <w:tcW w:w="6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144,900</w:t>
            </w:r>
          </w:p>
        </w:tc>
        <w:tc>
          <w:tcPr>
            <w:tcW w:w="440" w:type="dxa"/>
            <w:vAlign w:val="bottom"/>
          </w:tcPr>
          <w:p>
            <w:pPr>
              <w:spacing w:after="0"/>
              <w:rPr>
                <w:sz w:val="15"/>
                <w:szCs w:val="15"/>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(3)(4)(5)</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6"/>
              </w:rPr>
              <w:t>144,900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vMerge w:val="restart"/>
          </w:tcPr>
          <w:p>
            <w:pPr>
              <w:jc w:val="center"/>
              <w:ind w:left="43"/>
              <w:spacing w:after="0"/>
              <w:rPr>
                <w:sz w:val="20"/>
                <w:szCs w:val="20"/>
                <w:color w:val="auto"/>
              </w:rPr>
            </w:pPr>
            <w:r>
              <w:rPr>
                <w:rFonts w:ascii="Times New Roman" w:cs="Times New Roman" w:eastAsia="Times New Roman" w:hAnsi="Times New Roman"/>
                <w:sz w:val="12"/>
                <w:szCs w:val="12"/>
                <w:color w:val="0000FF"/>
              </w:rPr>
              <w:t>144,900</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2"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Units</w:t>
            </w:r>
          </w:p>
        </w:tc>
        <w:tc>
          <w:tcPr>
            <w:tcW w:w="6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545,550</w:t>
            </w:r>
          </w:p>
        </w:tc>
        <w:tc>
          <w:tcPr>
            <w:tcW w:w="44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08/14/2030</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08/14/2030</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w w:val="96"/>
              </w:rPr>
              <w:t>545,550</w:t>
            </w: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740" w:type="dxa"/>
            <w:vAlign w:val="bottom"/>
            <w:vMerge w:val="restart"/>
          </w:tcPr>
          <w:p>
            <w:pPr>
              <w:jc w:val="center"/>
              <w:ind w:left="43"/>
              <w:spacing w:after="0"/>
              <w:rPr>
                <w:sz w:val="20"/>
                <w:szCs w:val="20"/>
                <w:color w:val="auto"/>
              </w:rPr>
            </w:pPr>
            <w:r>
              <w:rPr>
                <w:rFonts w:ascii="Times New Roman" w:cs="Times New Roman" w:eastAsia="Times New Roman" w:hAnsi="Times New Roman"/>
                <w:sz w:val="12"/>
                <w:szCs w:val="12"/>
                <w:color w:val="0000FF"/>
              </w:rPr>
              <w:t>545,550</w:t>
            </w: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2"/>
                <w:szCs w:val="12"/>
                <w:color w:val="0000FF"/>
              </w:rPr>
              <w:t>D</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Pr>
          <w:p>
            <w:pPr>
              <w:ind w:left="60"/>
              <w:spacing w:after="0" w:line="31" w:lineRule="exact"/>
              <w:rPr>
                <w:sz w:val="20"/>
                <w:szCs w:val="20"/>
                <w:color w:val="auto"/>
              </w:rPr>
            </w:pPr>
            <w:r>
              <w:rPr>
                <w:rFonts w:ascii="Times New Roman" w:cs="Times New Roman" w:eastAsia="Times New Roman" w:hAnsi="Times New Roman"/>
                <w:sz w:val="2"/>
                <w:szCs w:val="2"/>
                <w:color w:val="0000FF"/>
              </w:rPr>
              <w:t>Units</w:t>
            </w:r>
            <w:r>
              <w:rPr>
                <w:rFonts w:ascii="Times New Roman" w:cs="Times New Roman" w:eastAsia="Times New Roman" w:hAnsi="Times New Roman"/>
                <w:sz w:val="3"/>
                <w:szCs w:val="3"/>
                <w:color w:val="008000"/>
                <w:vertAlign w:val="superscript"/>
              </w:rPr>
              <w:t>(6)</w:t>
            </w:r>
          </w:p>
        </w:tc>
        <w:tc>
          <w:tcPr>
            <w:tcW w:w="74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580" w:type="dxa"/>
            <w:vAlign w:val="bottom"/>
          </w:tcPr>
          <w:p>
            <w:pPr>
              <w:jc w:val="center"/>
              <w:spacing w:after="0" w:line="31" w:lineRule="exact"/>
              <w:rPr>
                <w:sz w:val="20"/>
                <w:szCs w:val="20"/>
                <w:color w:val="auto"/>
              </w:rPr>
            </w:pPr>
            <w:r>
              <w:rPr>
                <w:rFonts w:ascii="Times New Roman" w:cs="Times New Roman" w:eastAsia="Times New Roman" w:hAnsi="Times New Roman"/>
                <w:sz w:val="3"/>
                <w:szCs w:val="3"/>
                <w:color w:val="0000FF"/>
              </w:rPr>
              <w:t>Units</w:t>
            </w:r>
          </w:p>
        </w:tc>
        <w:tc>
          <w:tcPr>
            <w:tcW w:w="6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-2077720</wp:posOffset>
            </wp:positionV>
            <wp:extent cx="28575" cy="2082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828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payable in cash).</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7" w:lineRule="exact"/>
        <w:rPr>
          <w:rFonts w:ascii="Times New Roman" w:cs="Times New Roman" w:eastAsia="Times New Roman" w:hAnsi="Times New Roman"/>
          <w:sz w:val="12"/>
          <w:szCs w:val="12"/>
          <w:color w:val="008000"/>
        </w:rPr>
      </w:pPr>
    </w:p>
    <w:p>
      <w:pPr>
        <w:ind w:left="40" w:right="180" w:hanging="4"/>
        <w:spacing w:after="0" w:line="24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72,450 phantom units, will vest on the August 2028 distribution date assuming continued service through such date; (b) Tranche 2, consisting of 36,225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20" w:lineRule="exact"/>
        <w:rPr>
          <w:rFonts w:ascii="Times New Roman" w:cs="Times New Roman" w:eastAsia="Times New Roman" w:hAnsi="Times New Roman"/>
          <w:sz w:val="12"/>
          <w:szCs w:val="12"/>
          <w:color w:val="008000"/>
        </w:rPr>
      </w:pPr>
    </w:p>
    <w:p>
      <w:pPr>
        <w:ind w:left="40" w:right="140" w:hanging="4"/>
        <w:spacing w:after="0" w:line="24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36,225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2" w:lineRule="exact"/>
        <w:rPr>
          <w:rFonts w:ascii="Times New Roman" w:cs="Times New Roman" w:eastAsia="Times New Roman" w:hAnsi="Times New Roman"/>
          <w:sz w:val="12"/>
          <w:szCs w:val="12"/>
          <w:color w:val="008000"/>
        </w:rPr>
      </w:pPr>
    </w:p>
    <w:p>
      <w:pPr>
        <w:ind w:left="40" w:right="36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2028 distribution date with respect to each phantom unit that vests, if any, on such date. Any Tranche 2 or Tranche 3 phantom units that are determined to not have vested as of the August 2028 distribution date shall expire as of such date.</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Special long-term retention award of phantom units granted under Long-Term Incentive Plan (includes DERs payable in cash).</w:t>
      </w:r>
    </w:p>
    <w:p>
      <w:pPr>
        <w:spacing w:after="0" w:line="47" w:lineRule="exact"/>
        <w:rPr>
          <w:rFonts w:ascii="Times New Roman" w:cs="Times New Roman" w:eastAsia="Times New Roman" w:hAnsi="Times New Roman"/>
          <w:sz w:val="12"/>
          <w:szCs w:val="12"/>
          <w:color w:val="008000"/>
        </w:rPr>
      </w:pPr>
    </w:p>
    <w:p>
      <w:pPr>
        <w:ind w:left="40" w:right="160" w:hanging="4"/>
        <w:spacing w:after="0" w:line="24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on the August 2030 distribution date assuming continued service through such date. 20% of the DERs associated with these phantom units will accrue for the first year and be paid in cash in a lump sum on the August 2026 distribution date; beginning in November 2026, this portion of the DERs will be paid quarterly until the phantom units vest or terminate. Beginning with the August 2026 distribution date, an additional 20% of the DERs will vest each year on the August distribution date (such that 100% of the DERs will have vested by the August 2029 distribution date) and will be paid quarterly until the phantom units vest or terminate.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/s/ Jeremy L. Goebel</w:t>
            </w:r>
          </w:p>
        </w:tc>
        <w:tc>
          <w:tcPr>
            <w:tcW w:w="64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08/18/2025</w:t>
            </w:r>
          </w:p>
        </w:tc>
      </w:tr>
      <w:tr>
        <w:trPr>
          <w:trHeight w:val="20"/>
        </w:trPr>
        <w:tc>
          <w:tcPr>
            <w:tcW w:w="1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9336"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2025-08-18T17:05:45Z</dcterms:created>
  <dcterms:modified xsi:type="dcterms:W3CDTF">2025-08-18T17:05:45Z</dcterms:modified>
</cp:coreProperties>
</file>