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GOYANES EVERARDO</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11/18/2019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44"/>
        <w:gridCol w:w="913"/>
        <w:gridCol w:w="782"/>
        <w:gridCol w:w="606"/>
        <w:gridCol w:w="347"/>
        <w:gridCol w:w="926"/>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4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11/18/2019</w:t>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20,000</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17.9147</w:t>
            </w:r>
            <w:r>
              <w:rPr>
                <w:rFonts w:ascii="Times;serif" w:hAnsi="Times;serif"/>
                <w:color w:val="008000"/>
                <w:position w:val="7"/>
                <w:sz w:val="16"/>
                <w:sz w:val="20"/>
                <w:highlight w:val="white"/>
              </w:rPr>
              <w:t>(1)</w:t>
            </w:r>
            <w:r>
              <w:rPr/>
              <w:t xml:space="preserve"> </w:t>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57,305</w:t>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in column 4 reflects the weighted average price for the Class A shares. The shares were purchased in multiple transactions at prices ranging from $17.87 to $17.96. The reporting person will provide upon request by the SEC staff, the issuer or any security holder of the issuer full information regarding the number of shares sold at each separate price.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 attorney-in-fact for Everardo Goyanes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11/19/2019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4541"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585</Words>
  <CharactersWithSpaces>3673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