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97420" cy="4965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7420" cy="49650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40"/>
          </w:cols>
          <w:pgMar w:left="240" w:top="226" w:right="19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SINNOTT ROBERT V</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00" w:type="dxa"/>
            <w:vAlign w:val="bottom"/>
          </w:tcPr>
          <w:p>
            <w:pPr>
              <w:spacing w:after="0"/>
              <w:rPr>
                <w:sz w:val="2"/>
                <w:szCs w:val="2"/>
                <w:color w:val="auto"/>
              </w:rPr>
            </w:pPr>
          </w:p>
        </w:tc>
        <w:tc>
          <w:tcPr>
            <w:tcW w:w="1520" w:type="dxa"/>
            <w:vAlign w:val="bottom"/>
            <w:gridSpan w:val="3"/>
            <w:vMerge w:val="restart"/>
          </w:tcPr>
          <w:p>
            <w:pPr>
              <w:ind w:left="340"/>
              <w:spacing w:after="0"/>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00" w:type="dxa"/>
            <w:vAlign w:val="bottom"/>
          </w:tcPr>
          <w:p>
            <w:pPr>
              <w:spacing w:after="0"/>
              <w:rPr>
                <w:sz w:val="7"/>
                <w:szCs w:val="7"/>
                <w:color w:val="auto"/>
              </w:rPr>
            </w:pPr>
          </w:p>
        </w:tc>
        <w:tc>
          <w:tcPr>
            <w:tcW w:w="1520" w:type="dxa"/>
            <w:vAlign w:val="bottom"/>
            <w:gridSpan w:val="3"/>
            <w:vMerge w:val="restart"/>
          </w:tcPr>
          <w:p>
            <w:pPr>
              <w:ind w:left="34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w w:val="92"/>
              </w:rPr>
              <w:t>below)</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ind w:left="3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1800 AVE OF THE STARS</w:t>
            </w:r>
          </w:p>
        </w:tc>
        <w:tc>
          <w:tcPr>
            <w:tcW w:w="1200" w:type="dxa"/>
            <w:vAlign w:val="bottom"/>
          </w:tcPr>
          <w:p>
            <w:pPr>
              <w:spacing w:after="0"/>
              <w:rPr>
                <w:sz w:val="19"/>
                <w:szCs w:val="19"/>
                <w:color w:val="auto"/>
              </w:rPr>
            </w:pPr>
          </w:p>
        </w:tc>
        <w:tc>
          <w:tcPr>
            <w:tcW w:w="1440" w:type="dxa"/>
            <w:vAlign w:val="bottom"/>
            <w:gridSpan w:val="5"/>
          </w:tcPr>
          <w:p>
            <w:pPr>
              <w:ind w:left="240"/>
              <w:spacing w:after="0"/>
              <w:rPr>
                <w:sz w:val="20"/>
                <w:szCs w:val="20"/>
                <w:color w:val="auto"/>
              </w:rPr>
            </w:pPr>
            <w:r>
              <w:rPr>
                <w:rFonts w:ascii="Arial" w:cs="Arial" w:eastAsia="Arial" w:hAnsi="Arial"/>
                <w:sz w:val="18"/>
                <w:szCs w:val="18"/>
                <w:color w:val="0000FF"/>
              </w:rPr>
              <w:t>04/09/2015</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3RD FLR</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8"/>
            <w:vMerge w:val="restart"/>
          </w:tcPr>
          <w:p>
            <w:pPr>
              <w:spacing w:after="0"/>
              <w:rPr>
                <w:sz w:val="20"/>
                <w:szCs w:val="20"/>
                <w:color w:val="auto"/>
              </w:rPr>
            </w:pPr>
            <w:r>
              <w:rPr>
                <w:rFonts w:ascii="Arial" w:cs="Arial" w:eastAsia="Arial" w:hAnsi="Arial"/>
                <w:sz w:val="14"/>
                <w:szCs w:val="14"/>
                <w:color w:val="auto"/>
                <w:w w:val="98"/>
              </w:rPr>
              <w:t>4. If Amendment, Date of Original Filed (Month/Day/Year)</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LOS ANGELES CA</w:t>
            </w:r>
          </w:p>
        </w:tc>
        <w:tc>
          <w:tcPr>
            <w:tcW w:w="1200" w:type="dxa"/>
            <w:vAlign w:val="bottom"/>
          </w:tcPr>
          <w:p>
            <w:pPr>
              <w:ind w:left="2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6"/>
          </w:tcPr>
          <w:p>
            <w:pPr>
              <w:ind w:left="18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8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4"/>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980" w:type="dxa"/>
            <w:vAlign w:val="bottom"/>
            <w:tcBorders>
              <w:bottom w:val="single" w:sz="8" w:color="2C2C2C"/>
            </w:tcBorders>
            <w:gridSpan w:val="2"/>
          </w:tcPr>
          <w:p>
            <w:pPr>
              <w:spacing w:after="0"/>
              <w:rPr>
                <w:sz w:val="8"/>
                <w:szCs w:val="8"/>
                <w:color w:val="auto"/>
              </w:rPr>
            </w:pPr>
          </w:p>
        </w:tc>
        <w:tc>
          <w:tcPr>
            <w:tcW w:w="2380" w:type="dxa"/>
            <w:vAlign w:val="bottom"/>
            <w:tcBorders>
              <w:bottom w:val="single" w:sz="8" w:color="2C2C2C"/>
            </w:tcBorders>
            <w:gridSpan w:val="7"/>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8"/>
          </w:tcPr>
          <w:p>
            <w:pPr>
              <w:jc w:val="center"/>
              <w:ind w:left="2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60" w:type="dxa"/>
            <w:vAlign w:val="bottom"/>
            <w:gridSpan w:val="15"/>
          </w:tcPr>
          <w:p>
            <w:pPr>
              <w:jc w:val="center"/>
              <w:ind w:left="57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4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00" w:type="dxa"/>
            <w:vAlign w:val="bottom"/>
          </w:tcPr>
          <w:p>
            <w:pPr>
              <w:spacing w:after="0"/>
              <w:rPr>
                <w:sz w:val="11"/>
                <w:szCs w:val="11"/>
                <w:color w:val="auto"/>
              </w:rPr>
            </w:pP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10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10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2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2"/>
          </w:tcPr>
          <w:p>
            <w:pPr>
              <w:ind w:left="20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2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vMerge w:val="restart"/>
          </w:tcPr>
          <w:p>
            <w:pPr>
              <w:ind w:left="100"/>
              <w:spacing w:after="0"/>
              <w:rPr>
                <w:sz w:val="20"/>
                <w:szCs w:val="20"/>
                <w:color w:val="auto"/>
              </w:rPr>
            </w:pPr>
            <w:r>
              <w:rPr>
                <w:rFonts w:ascii="Arial" w:cs="Arial" w:eastAsia="Arial" w:hAnsi="Arial"/>
                <w:sz w:val="14"/>
                <w:szCs w:val="14"/>
                <w:color w:val="0000FF"/>
              </w:rPr>
              <w:t>Class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color w:val="0000FF"/>
              </w:rPr>
              <w:t>See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Units in</w:t>
            </w: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20" w:type="dxa"/>
            <w:vAlign w:val="bottom"/>
            <w:gridSpan w:val="4"/>
            <w:vMerge w:val="restart"/>
          </w:tcPr>
          <w:p>
            <w:pPr>
              <w:ind w:left="60"/>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(4)(5)</w:t>
            </w: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00" w:type="dxa"/>
            <w:vAlign w:val="bottom"/>
            <w:gridSpan w:val="3"/>
            <w:vMerge w:val="restart"/>
          </w:tcPr>
          <w:p>
            <w:pPr>
              <w:ind w:left="60"/>
              <w:spacing w:after="0"/>
              <w:rPr>
                <w:sz w:val="20"/>
                <w:szCs w:val="20"/>
                <w:color w:val="auto"/>
              </w:rPr>
            </w:pPr>
            <w:r>
              <w:rPr>
                <w:rFonts w:ascii="Arial" w:cs="Arial" w:eastAsia="Arial" w:hAnsi="Arial"/>
                <w:sz w:val="18"/>
                <w:szCs w:val="18"/>
                <w:color w:val="0000FF"/>
                <w:w w:val="94"/>
              </w:rPr>
              <w:t>29,156</w:t>
            </w: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gridSpan w:val="2"/>
            <w:vMerge w:val="restart"/>
          </w:tcPr>
          <w:p>
            <w:pPr>
              <w:ind w:left="20"/>
              <w:spacing w:after="0" w:line="213" w:lineRule="exact"/>
              <w:rPr>
                <w:sz w:val="20"/>
                <w:szCs w:val="20"/>
                <w:color w:val="auto"/>
              </w:rPr>
            </w:pPr>
            <w:r>
              <w:rPr>
                <w:rFonts w:ascii="Arial" w:cs="Arial" w:eastAsia="Arial" w:hAnsi="Arial"/>
                <w:sz w:val="14"/>
                <w:szCs w:val="14"/>
                <w:color w:val="0000FF"/>
                <w:w w:val="89"/>
              </w:rPr>
              <w:t>101,091,153</w:t>
            </w:r>
            <w:r>
              <w:rPr>
                <w:rFonts w:ascii="Arial" w:cs="Arial" w:eastAsia="Arial" w:hAnsi="Arial"/>
                <w:sz w:val="22"/>
                <w:szCs w:val="22"/>
                <w:color w:val="008000"/>
                <w:w w:val="89"/>
                <w:vertAlign w:val="superscript"/>
              </w:rPr>
              <w:t>(3)</w:t>
            </w:r>
          </w:p>
        </w:tc>
        <w:tc>
          <w:tcPr>
            <w:tcW w:w="7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gridSpan w:val="2"/>
            <w:vMerge w:val="restart"/>
          </w:tcPr>
          <w:p>
            <w:pPr>
              <w:jc w:val="right"/>
              <w:ind w:right="112"/>
              <w:spacing w:after="0" w:line="159" w:lineRule="exact"/>
              <w:rPr>
                <w:sz w:val="20"/>
                <w:szCs w:val="20"/>
                <w:color w:val="auto"/>
              </w:rPr>
            </w:pPr>
            <w:r>
              <w:rPr>
                <w:rFonts w:ascii="Arial" w:cs="Arial" w:eastAsia="Arial" w:hAnsi="Arial"/>
                <w:sz w:val="14"/>
                <w:szCs w:val="14"/>
                <w:color w:val="0000FF"/>
              </w:rPr>
              <w:t>04/09/2015</w:t>
            </w:r>
          </w:p>
        </w:tc>
        <w:tc>
          <w:tcPr>
            <w:tcW w:w="1200" w:type="dxa"/>
            <w:vAlign w:val="bottom"/>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720" w:type="dxa"/>
            <w:vAlign w:val="bottom"/>
            <w:vMerge w:val="restart"/>
          </w:tcPr>
          <w:p>
            <w:pPr>
              <w:ind w:left="200"/>
              <w:spacing w:after="0" w:line="159" w:lineRule="exact"/>
              <w:rPr>
                <w:sz w:val="20"/>
                <w:szCs w:val="20"/>
                <w:color w:val="auto"/>
              </w:rPr>
            </w:pPr>
            <w:r>
              <w:rPr>
                <w:rFonts w:ascii="Arial" w:cs="Arial" w:eastAsia="Arial" w:hAnsi="Arial"/>
                <w:sz w:val="14"/>
                <w:szCs w:val="14"/>
                <w:color w:val="0000FF"/>
              </w:rPr>
              <w:t>29,156</w:t>
            </w:r>
          </w:p>
        </w:tc>
        <w:tc>
          <w:tcPr>
            <w:tcW w:w="300" w:type="dxa"/>
            <w:vAlign w:val="bottom"/>
          </w:tcPr>
          <w:p>
            <w:pPr>
              <w:spacing w:after="0"/>
              <w:rPr>
                <w:sz w:val="8"/>
                <w:szCs w:val="8"/>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1"/>
                <w:szCs w:val="11"/>
                <w:color w:val="008000"/>
              </w:rPr>
              <w:t>(1)(2)</w:t>
            </w:r>
          </w:p>
        </w:tc>
        <w:tc>
          <w:tcPr>
            <w:tcW w:w="68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(1)(2)</w:t>
            </w:r>
          </w:p>
        </w:tc>
        <w:tc>
          <w:tcPr>
            <w:tcW w:w="520" w:type="dxa"/>
            <w:vAlign w:val="bottom"/>
            <w:vMerge w:val="restart"/>
          </w:tcPr>
          <w:p>
            <w:pPr>
              <w:ind w:left="200"/>
              <w:spacing w:after="0" w:line="159" w:lineRule="exact"/>
              <w:rPr>
                <w:sz w:val="20"/>
                <w:szCs w:val="20"/>
                <w:color w:val="auto"/>
              </w:rPr>
            </w:pPr>
            <w:r>
              <w:rPr>
                <w:rFonts w:ascii="Arial" w:cs="Arial" w:eastAsia="Arial" w:hAnsi="Arial"/>
                <w:sz w:val="14"/>
                <w:szCs w:val="14"/>
                <w:color w:val="0000FF"/>
              </w:rPr>
              <w:t>A</w:t>
            </w:r>
          </w:p>
        </w:tc>
        <w:tc>
          <w:tcPr>
            <w:tcW w:w="60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8"/>
                <w:szCs w:val="8"/>
                <w:color w:val="auto"/>
              </w:rPr>
            </w:pPr>
          </w:p>
        </w:tc>
        <w:tc>
          <w:tcPr>
            <w:tcW w:w="760" w:type="dxa"/>
            <w:vAlign w:val="bottom"/>
            <w:vMerge w:val="restart"/>
          </w:tcPr>
          <w:p>
            <w:pPr>
              <w:ind w:left="360"/>
              <w:spacing w:after="0" w:line="159" w:lineRule="exact"/>
              <w:rPr>
                <w:sz w:val="20"/>
                <w:szCs w:val="20"/>
                <w:color w:val="auto"/>
              </w:rPr>
            </w:pPr>
            <w:r>
              <w:rPr>
                <w:rFonts w:ascii="Arial" w:cs="Arial" w:eastAsia="Arial" w:hAnsi="Arial"/>
                <w:sz w:val="14"/>
                <w:szCs w:val="14"/>
                <w:color w:val="0000FF"/>
              </w:rPr>
              <w:t>I</w:t>
            </w:r>
          </w:p>
        </w:tc>
        <w:tc>
          <w:tcPr>
            <w:tcW w:w="760" w:type="dxa"/>
            <w:vAlign w:val="bottom"/>
            <w:gridSpan w:val="2"/>
            <w:vMerge w:val="restart"/>
          </w:tcPr>
          <w:p>
            <w:pPr>
              <w:ind w:left="80"/>
              <w:spacing w:after="0" w:line="159" w:lineRule="exact"/>
              <w:rPr>
                <w:sz w:val="20"/>
                <w:szCs w:val="20"/>
                <w:color w:val="auto"/>
              </w:rPr>
            </w:pPr>
            <w:r>
              <w:rPr>
                <w:rFonts w:ascii="Arial" w:cs="Arial" w:eastAsia="Arial" w:hAnsi="Arial"/>
                <w:sz w:val="14"/>
                <w:szCs w:val="14"/>
                <w:color w:val="0000FF"/>
                <w:w w:val="89"/>
              </w:rPr>
              <w:t>Footnotes 1</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Plains</w:t>
            </w:r>
          </w:p>
        </w:tc>
        <w:tc>
          <w:tcPr>
            <w:tcW w:w="82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4"/>
                <w:szCs w:val="14"/>
                <w:color w:val="0000FF"/>
                <w:w w:val="94"/>
              </w:rPr>
              <w:t>Shares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5"/>
                <w:szCs w:val="15"/>
                <w:color w:val="0000FF"/>
                <w:vertAlign w:val="subscript"/>
              </w:rPr>
              <w:t>and 2</w:t>
            </w:r>
            <w:r>
              <w:rPr>
                <w:rFonts w:ascii="Arial" w:cs="Arial" w:eastAsia="Arial" w:hAnsi="Arial"/>
                <w:sz w:val="8"/>
                <w:szCs w:val="8"/>
                <w:color w:val="008000"/>
              </w:rPr>
              <w:t>(1)(2)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AAP, L.P.</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As of the date of this Form 4, the Reporting Person holds an indirect ownership interest in Plains GP Holdings, L.P. (the "Issuer") through his ownership in KAFU Holdings LP, KAFU Holdings (QP) LP, and KAFU Holdings II, LP (collectively, "KAFU"). Further, the Reporting Person is the Chief Executive Officer of Kayne Anderson Capital Advisors, L.P. ("KACALP"), an SEC registered investment adviser and the managing member of KAFU. The Reporting Person may be deemed to be the beneficial owner of all of the interests held by KAFU and KACALP as applicable.</w:t>
      </w:r>
    </w:p>
    <w:p>
      <w:pPr>
        <w:spacing w:after="0" w:line="2" w:lineRule="exact"/>
        <w:rPr>
          <w:rFonts w:ascii="Arial" w:cs="Arial" w:eastAsia="Arial" w:hAnsi="Arial"/>
          <w:sz w:val="12"/>
          <w:szCs w:val="12"/>
          <w:color w:val="008000"/>
        </w:rPr>
      </w:pPr>
    </w:p>
    <w:p>
      <w:pPr>
        <w:ind w:left="40" w:right="18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the initial public offering of the Issuer, the limited partnership agreement of Plains AAP, L.P. ("AAP") was amended and restated to provide that each limited partner of AAP, including KAFU and KACALP, will have the right, at any time (without expiration) and from time to time, to immediately exchange (the "Exchange Right") its Class A Units in AAP (the "AAP Units"), together with a like number of Class B shares and units of the Issuer's general partner (the "GP Units"), for a like number of Class A shares of the Issuer (the "Class A shares"). The Exchange Right may be settled in cash at the option of the Issuer and, as a result the Reporting Person may not be deemed to beneficially own any Class A shares reported herein. Nonetheless, the number of derivative securities included in the table above represents the number of Class B shares owned by KAFU (100,496,204) and KACALP (594,949), that are potentially exchangeable for an equivalent number of Class A shares.</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 securities held by KAFU and KACALP, except to the extent of his pecuniary interest therein.</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may have been deemed to beneficially own the AAP Units held by KAFU prior to the consummation of the initial public offering of the Issuer. The AAP Units, collectively with the Class B shares and the GP Units, constitute the derivative security as described herein.</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transaction is an in-kind distribution to KACALP. Such distribution represents KACALP's realized interest in the incentive allocation earned as managing member of KA Fund Advisors, LLC ("KAFA"), manager of KA First Reserve XII, LLC.</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Robert V. Sinnott</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04/13/2015</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2020-01-22T07:31:48Z</dcterms:created>
  <dcterms:modified xsi:type="dcterms:W3CDTF">2020-01-22T07:31:48Z</dcterms:modified>
</cp:coreProperties>
</file>