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5, 2014</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760" w:space="720"/>
            <w:col w:w="3080"/>
          </w:cols>
          <w:pgMar w:left="240" w:top="544" w:right="35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44" w:right="359" w:bottom="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5, 2014, the Registrant issued a press release reporting its third quarter 2014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Exhibit 99.1 —  Press Release dated November 5,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4"/>
          <w:szCs w:val="24"/>
          <w:color w:val="auto"/>
        </w:rPr>
      </w:pPr>
    </w:p>
    <w:p>
      <w:pPr>
        <w:spacing w:after="0"/>
        <w:tabs>
          <w:tab w:leader="none" w:pos="5700" w:val="left"/>
          <w:tab w:leader="none" w:pos="6220" w:val="left"/>
        </w:tabs>
        <w:rPr>
          <w:sz w:val="20"/>
          <w:szCs w:val="20"/>
          <w:color w:val="auto"/>
        </w:rPr>
      </w:pPr>
      <w:r>
        <w:rPr>
          <w:rFonts w:ascii="Arial" w:cs="Arial" w:eastAsia="Arial" w:hAnsi="Arial"/>
          <w:sz w:val="18"/>
          <w:szCs w:val="18"/>
          <w:color w:val="auto"/>
        </w:rPr>
        <w:t>Date: November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Al Swanson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bookmarkStart w:id="1" w:name="page2"/>
    <w:bookmarkEnd w:id="1"/>
    <w:p>
      <w:pPr>
        <w:ind w:left="5040"/>
        <w:spacing w:after="0"/>
        <w:tabs>
          <w:tab w:leader="none" w:pos="5780" w:val="left"/>
        </w:tabs>
        <w:rPr>
          <w:sz w:val="20"/>
          <w:szCs w:val="20"/>
          <w:color w:val="auto"/>
        </w:rPr>
      </w:pPr>
      <w:r>
        <w:rPr>
          <w:rFonts w:ascii="Arial" w:cs="Arial" w:eastAsia="Arial" w:hAnsi="Arial"/>
          <w:sz w:val="18"/>
          <w:szCs w:val="18"/>
          <w:color w:val="auto"/>
        </w:rPr>
        <w:t>Name:</w:t>
        <w:tab/>
        <w:t>Al Swanson</w:t>
      </w:r>
    </w:p>
    <w:p>
      <w:pPr>
        <w:spacing w:after="0" w:line="23" w:lineRule="exact"/>
        <w:rPr>
          <w:sz w:val="20"/>
          <w:szCs w:val="20"/>
          <w:color w:val="auto"/>
        </w:rPr>
      </w:pPr>
    </w:p>
    <w:p>
      <w:pPr>
        <w:ind w:left="5040"/>
        <w:spacing w:after="0"/>
        <w:tabs>
          <w:tab w:leader="none" w:pos="5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20"/>
          </w:cols>
          <w:pgMar w:left="1440" w:top="125" w:right="8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2014 Results</w:t>
      </w:r>
    </w:p>
    <w:p>
      <w:pPr>
        <w:spacing w:after="0" w:line="229" w:lineRule="exact"/>
        <w:rPr>
          <w:sz w:val="20"/>
          <w:szCs w:val="20"/>
          <w:color w:val="auto"/>
        </w:rPr>
      </w:pPr>
    </w:p>
    <w:p>
      <w:pPr>
        <w:ind w:right="300" w:firstLine="702"/>
        <w:spacing w:after="0" w:line="277" w:lineRule="auto"/>
        <w:rPr>
          <w:sz w:val="20"/>
          <w:szCs w:val="20"/>
          <w:color w:val="auto"/>
        </w:rPr>
      </w:pPr>
      <w:r>
        <w:rPr>
          <w:rFonts w:ascii="Arial" w:cs="Arial" w:eastAsia="Arial" w:hAnsi="Arial"/>
          <w:sz w:val="18"/>
          <w:szCs w:val="18"/>
          <w:color w:val="auto"/>
        </w:rPr>
        <w:t>(Houston — November 5, 2014) Plains All American Pipeline, L.P. (NYSE: PAA) and Plains GP Holdings (NYSE: PAGP) today reported third-quarter 2014 results, with PAA’s results exceeding the midpoint of its quarterly guidance range by approximately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2"/>
                <w:szCs w:val="12"/>
                <w:color w:val="auto"/>
              </w:rPr>
            </w:pPr>
          </w:p>
        </w:tc>
        <w:tc>
          <w:tcPr>
            <w:tcW w:w="9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2"/>
                <w:szCs w:val="12"/>
                <w:color w:val="auto"/>
              </w:rPr>
            </w:pPr>
          </w:p>
        </w:tc>
        <w:tc>
          <w:tcPr>
            <w:tcW w:w="10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37%</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28%</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2"/>
                <w:szCs w:val="12"/>
                <w:color w:val="auto"/>
              </w:rPr>
            </w:pPr>
          </w:p>
        </w:tc>
        <w:tc>
          <w:tcPr>
            <w:tcW w:w="9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2"/>
                <w:szCs w:val="12"/>
                <w:color w:val="auto"/>
              </w:rPr>
            </w:pPr>
          </w:p>
        </w:tc>
        <w:tc>
          <w:tcPr>
            <w:tcW w:w="10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adjusted net income per limited partner unit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unit declared for the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0.6600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0.6000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GAAP measures.</w:t>
      </w:r>
    </w:p>
    <w:p>
      <w:pPr>
        <w:spacing w:after="0" w:line="20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“PAA delivered strong third-quarter results,” stated Greg L. Armstrong, Chairman and CEO of Plains All American. “Solid execution in all three segments combined with certain timing shifts between the third and fourth quarter periods resulted in across-the-board over-performance relative to the midpoint of our guidance range.”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remain on track to achieve each of our 2014 goals. PAA and PAGP achieved their respective distribution growth objectives of 10% and 25% for 2014. PAA’s quarterly distribution of $0.66 per unit to be paid next week represents a 10% increase over the distribution paid in November 2013, and PAGP’s quarterly distribution of $0.19075 per share represents a 28% increase over the initial quarterly distribution included in its October 2013 IPO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20" w:firstLine="810"/>
        <w:spacing w:after="0" w:line="264" w:lineRule="auto"/>
        <w:rPr>
          <w:sz w:val="20"/>
          <w:szCs w:val="20"/>
          <w:color w:val="auto"/>
        </w:rPr>
      </w:pPr>
      <w:r>
        <w:rPr>
          <w:rFonts w:ascii="Arial" w:cs="Arial" w:eastAsia="Arial" w:hAnsi="Arial"/>
          <w:sz w:val="18"/>
          <w:szCs w:val="18"/>
          <w:color w:val="auto"/>
        </w:rPr>
        <w:t>Armstrong noted that despite PAA’s strong performance relative to its third quarter guidance, PAA maintained its full year guidance for adjusted EBITDA of $2.175 billion, taking into account both inter-quarter timing adjustments and inherent uncertainty associated with the commodity price environment.</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“PAA also provided preliminary adjusted EBITDA guidance for 2015 of $2.35 to $2.5 billion. We believe our preliminary 2015 guidance range reflects a cautious and prudent approach that acknowledges uncertainties associated with the recent decreases in oil prices and related differentials as well as the potential drilling reductions by producers in various crude oil resource plays. At the $2.425 billion midpoint of this preliminary guidance range, adjusted EBITDA is forecasted to increase approximately 11% year-over-year. Absent acquisitions, we are targeting to grow PAA’s distribution by approximately 7% to 10% over 2014, while achieving coverage in line with our minimum target range. PAGP’s corresponding distribution growth target is approximately 21%.”</w:t>
      </w:r>
    </w:p>
    <w:p>
      <w:pPr>
        <w:spacing w:after="0" w:line="15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Armstrong added, “PAA is well positioned for recent developments as our existing asset base and capital program are focused primarily on the core shale basins and key market areas and we ended the quarter with a strong balance sheet, our credit metrics compare favorably to our stated target metrics and we have approximately $2.5 billion in committed liquidity.”</w:t>
      </w:r>
    </w:p>
    <w:p>
      <w:pPr>
        <w:sectPr>
          <w:pgSz w:w="11900" w:h="16838" w:orient="portrait"/>
          <w:cols w:equalWidth="0" w:num="1">
            <w:col w:w="11420"/>
          </w:cols>
          <w:pgMar w:left="240" w:top="121" w:right="239" w:bottom="0" w:gutter="0" w:footer="0" w:header="0"/>
        </w:sectPr>
      </w:pPr>
    </w:p>
    <w:bookmarkStart w:id="3" w:name="page4"/>
    <w:bookmarkEnd w:id="3"/>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third quarter and first nine months of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 2014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141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205</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150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8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8"/>
                <w:szCs w:val="18"/>
                <w:b w:val="1"/>
                <w:bCs w:val="1"/>
                <w:i w:val="1"/>
                <w:iCs w:val="1"/>
                <w:color w:val="auto"/>
              </w:rPr>
              <w:t>16%</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14%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2013 period</w:t>
            </w:r>
          </w:p>
        </w:tc>
        <w:tc>
          <w:tcPr>
            <w:tcW w:w="80" w:type="dxa"/>
            <w:vAlign w:val="bottom"/>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 2014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Transportation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680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446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479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547</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459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8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8"/>
                <w:szCs w:val="18"/>
                <w:b w:val="1"/>
                <w:bCs w:val="1"/>
                <w:i w:val="1"/>
                <w:iCs w:val="1"/>
                <w:color w:val="auto"/>
              </w:rPr>
              <w:t>24%</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-30%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2013 period</w:t>
            </w:r>
          </w:p>
        </w:tc>
        <w:tc>
          <w:tcPr>
            <w:tcW w:w="80" w:type="dxa"/>
            <w:vAlign w:val="bottom"/>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62"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4"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62" w:orient="portrait"/>
          <w:cols w:equalWidth="0" w:num="2">
            <w:col w:w="140" w:space="500"/>
            <w:col w:w="1078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Third-quarter 2014 Transportation adjusted segment profit increased 16% versus comparable 2013 results. This increase was primarily driven by higher crude oil pipeline volumes associated with the continued increase in crude oil production and our related, recently completed organic growth projects, partially offset by the sale of our refined products pipelines in 2013.</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Third-quarter 2014 Facilities adjusted segment profit decreased 1% over comparable 2013 results. This decrease was primarily due to the impact of recontracting capacity originally contracted at higher rates within our natural gas storage operations. This impact was partially offset by increased profitability from our NGL storage and fractionation activities.</w:t>
      </w:r>
    </w:p>
    <w:p>
      <w:pPr>
        <w:spacing w:after="0" w:line="18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Third-quarter 2014 Supply and Logistics adjusted segment profit increased by approximately 14% relative to comparable 2013 results. This increase was primarily related to more favorable crude oil market conditions during the third quarter of 2014 and growth in crude oil lease gathering volumes. These impacts were partially offset by less favorable NGL market conditions in the third quarter of 2014 compared to the same 2013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Q3 2014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Q2 2014</w:t>
            </w: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provided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IPO prospectus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0.19075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0.18340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0.14904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Q3 2014 distribution percentage growth over previous benchmarks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PAA and PAGP will hold a conference call on November 6, 2014 (see details below). Prior to this conference call, PAA will furnish a current report on Form 8-K, which will include material in this news release as well as PAA’s financial and operational guidance for the fourth quarter and full year of 2014</w:t>
      </w:r>
    </w:p>
    <w:p>
      <w:pPr>
        <w:sectPr>
          <w:pgSz w:w="11900" w:h="16962" w:orient="portrait"/>
          <w:cols w:equalWidth="0" w:num="1">
            <w:col w:w="11420"/>
          </w:cols>
          <w:pgMar w:left="240" w:top="125" w:right="239" w:bottom="0" w:gutter="0" w:footer="0" w:header="0"/>
          <w:type w:val="continuous"/>
        </w:sectPr>
      </w:pPr>
    </w:p>
    <w:bookmarkStart w:id="4" w:name="page5"/>
    <w:bookmarkEnd w:id="4"/>
    <w:p>
      <w:pPr>
        <w:ind w:right="20"/>
        <w:spacing w:after="0" w:line="277" w:lineRule="auto"/>
        <w:rPr>
          <w:sz w:val="20"/>
          <w:szCs w:val="20"/>
          <w:color w:val="auto"/>
        </w:rPr>
      </w:pPr>
      <w:r>
        <w:rPr>
          <w:rFonts w:ascii="Arial" w:cs="Arial" w:eastAsia="Arial" w:hAnsi="Arial"/>
          <w:sz w:val="18"/>
          <w:szCs w:val="18"/>
          <w:color w:val="auto"/>
        </w:rPr>
        <w:t>and preliminary guidance for 2015. A copy of the Form 8-K will be available at www.plainsallamerican.com, where PAA and PAGP routinely post important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EST on Thursday, November 6,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PAA’s third-quarter 2014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and operating guidance for the fourth quarter and full year of 2014;</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Preliminary 2015 adjusted EBITDA, implied DCF, 2015 distribution growth targets and growth capital investment guidance;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230-1776. International callers should dial (612) 234-9960.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334663. The replay will be available beginning Thursday, November 6, 2014, at approximately 1:00 p.m. EST and will continue until 11:59 p.m. EST on December 6,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00" w:firstLine="8"/>
        <w:spacing w:after="0" w:line="255"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9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Forward Looking Statements</w:t>
      </w:r>
    </w:p>
    <w:p>
      <w:pPr>
        <w:sectPr>
          <w:pgSz w:w="11900" w:h="16838" w:orient="portrait"/>
          <w:cols w:equalWidth="0" w:num="1">
            <w:col w:w="11400"/>
          </w:cols>
          <w:pgMar w:left="240" w:top="125" w:right="259" w:bottom="0" w:gutter="0" w:footer="0" w:header="0"/>
          <w:type w:val="continuous"/>
        </w:sectPr>
      </w:pPr>
    </w:p>
    <w:bookmarkStart w:id="5" w:name="page6"/>
    <w:bookmarkEnd w:id="5"/>
    <w:p>
      <w:pPr>
        <w:spacing w:after="0" w:line="3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weather interference with business operations or project construction, including the impact of extreme weather events or conditions;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shortages or cost increases of supplies, materials or labor; the effectiveness of our risk management activities;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 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3.9 million barrels per day of crude oil and NGL on its pipelines.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34,005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10,166</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31,116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2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1,261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34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b w:val="1"/>
                <w:bCs w:val="1"/>
                <w:color w:val="auto"/>
              </w:rPr>
              <w:t>LIMITED PARTNERS</w:t>
            </w:r>
          </w:p>
        </w:tc>
        <w:tc>
          <w:tcPr>
            <w:tcW w:w="1540" w:type="dxa"/>
            <w:vAlign w:val="bottom"/>
          </w:tcPr>
          <w:p>
            <w:pPr>
              <w:spacing w:after="0"/>
              <w:rPr>
                <w:sz w:val="22"/>
                <w:szCs w:val="22"/>
                <w:color w:val="auto"/>
              </w:rPr>
            </w:pP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Borders>
              <w:top w:val="single" w:sz="8" w:color="CCEEFF"/>
              <w:bottom w:val="single" w:sz="8" w:color="CCEEFF"/>
            </w:tcBorders>
            <w:gridSpan w:val="2"/>
            <w:shd w:val="clear" w:color="auto" w:fill="CCEEFF"/>
          </w:tcPr>
          <w:p>
            <w:pPr>
              <w:ind w:left="340"/>
              <w:spacing w:after="0" w:line="195" w:lineRule="exact"/>
              <w:rPr>
                <w:sz w:val="20"/>
                <w:szCs w:val="20"/>
                <w:color w:val="auto"/>
              </w:rPr>
            </w:pPr>
            <w:r>
              <w:rPr>
                <w:rFonts w:ascii="Arial" w:cs="Arial" w:eastAsia="Arial" w:hAnsi="Arial"/>
                <w:sz w:val="18"/>
                <w:szCs w:val="18"/>
                <w:b w:val="1"/>
                <w:bCs w:val="1"/>
                <w:color w:val="auto"/>
              </w:rPr>
              <w:t>GENERAL PARTNER</w:t>
            </w: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BASIC NET INCOME PER LIMITED PARTNER UNIT</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0.38</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DILUTED NET INCOME PER LIMITED PARTNER UNIT</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0.38</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7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7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3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OUTSTANDING</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7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7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OUTSTANDING</w:t>
            </w:r>
          </w:p>
        </w:tc>
        <w:tc>
          <w:tcPr>
            <w:tcW w:w="1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16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w w:val="98"/>
              </w:rPr>
              <w:t>September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0.53</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ind w:left="900"/>
              <w:spacing w:after="0"/>
              <w:rPr>
                <w:sz w:val="20"/>
                <w:szCs w:val="20"/>
                <w:color w:val="auto"/>
              </w:rPr>
            </w:pPr>
            <w:r>
              <w:rPr>
                <w:rFonts w:ascii="Arial" w:cs="Arial" w:eastAsia="Arial" w:hAnsi="Arial"/>
                <w:sz w:val="18"/>
                <w:szCs w:val="18"/>
                <w:color w:val="auto"/>
                <w:w w:val="98"/>
              </w:rPr>
              <w:t>- more -</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20" w:type="dxa"/>
            <w:vAlign w:val="bottom"/>
          </w:tcPr>
          <w:p>
            <w:pPr>
              <w:ind w:left="400"/>
              <w:spacing w:after="0"/>
              <w:rPr>
                <w:sz w:val="20"/>
                <w:szCs w:val="20"/>
                <w:color w:val="auto"/>
              </w:rPr>
            </w:pPr>
            <w:r>
              <w:rPr>
                <w:rFonts w:ascii="Arial" w:cs="Arial" w:eastAsia="Arial" w:hAnsi="Arial"/>
                <w:sz w:val="18"/>
                <w:szCs w:val="18"/>
                <w:b w:val="1"/>
                <w:bCs w:val="1"/>
                <w:color w:val="auto"/>
              </w:rPr>
              <w:t>333 Clay Street, Suite 1600</w:t>
            </w:r>
          </w:p>
        </w:tc>
        <w:tc>
          <w:tcPr>
            <w:tcW w:w="2280" w:type="dxa"/>
            <w:vAlign w:val="bottom"/>
            <w:gridSpan w:val="2"/>
          </w:tcPr>
          <w:p>
            <w:pPr>
              <w:jc w:val="right"/>
              <w:ind w:right="346"/>
              <w:spacing w:after="0"/>
              <w:rPr>
                <w:sz w:val="20"/>
                <w:szCs w:val="20"/>
                <w:color w:val="auto"/>
              </w:rPr>
            </w:pPr>
            <w:r>
              <w:rPr>
                <w:rFonts w:ascii="Arial" w:cs="Arial" w:eastAsia="Arial" w:hAnsi="Arial"/>
                <w:sz w:val="18"/>
                <w:szCs w:val="18"/>
                <w:b w:val="1"/>
                <w:bCs w:val="1"/>
                <w:color w:val="auto"/>
                <w:w w:val="97"/>
              </w:rPr>
              <w:t>Houston, Texas 77002</w:t>
            </w:r>
          </w:p>
        </w:tc>
        <w:tc>
          <w:tcPr>
            <w:tcW w:w="2440" w:type="dxa"/>
            <w:vAlign w:val="bottom"/>
            <w:gridSpan w:val="7"/>
          </w:tcPr>
          <w:p>
            <w:pPr>
              <w:jc w:val="right"/>
              <w:spacing w:after="0"/>
              <w:rPr>
                <w:sz w:val="20"/>
                <w:szCs w:val="20"/>
                <w:color w:val="auto"/>
              </w:rPr>
            </w:pPr>
            <w:r>
              <w:rPr>
                <w:rFonts w:ascii="Arial" w:cs="Arial" w:eastAsia="Arial" w:hAnsi="Arial"/>
                <w:sz w:val="18"/>
                <w:szCs w:val="18"/>
                <w:b w:val="1"/>
                <w:bCs w:val="1"/>
                <w:color w:val="auto"/>
                <w:w w:val="91"/>
              </w:rPr>
              <w:t>(713) 646-4100 / (866) 809-1291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assets</w:t>
            </w:r>
          </w:p>
        </w:tc>
        <w:tc>
          <w:tcPr>
            <w:tcW w:w="2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5,160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2,481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Long-term inventory</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net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8,071</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2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ectPr>
          <w:pgSz w:w="11900" w:h="16838" w:orient="portrait"/>
          <w:cols w:equalWidth="0" w:num="1">
            <w:col w:w="11460"/>
          </w:cols>
          <w:pgMar w:left="240" w:top="356"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7,613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Partners’ capital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8,130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2"/>
            <w:vMerge w:val="continue"/>
          </w:tcPr>
          <w:p>
            <w:pPr>
              <w:spacing w:after="0"/>
              <w:rPr>
                <w:sz w:val="20"/>
                <w:szCs w:val="20"/>
                <w:color w:val="auto"/>
              </w:rPr>
            </w:pPr>
          </w:p>
        </w:tc>
        <w:tc>
          <w:tcPr>
            <w:tcW w:w="22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16,719</w:t>
            </w:r>
          </w:p>
        </w:tc>
        <w:tc>
          <w:tcPr>
            <w:tcW w:w="2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15,531</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3820" w:type="dxa"/>
            <w:vAlign w:val="bottom"/>
          </w:tcPr>
          <w:p>
            <w:pPr>
              <w:jc w:val="right"/>
              <w:ind w:right="550"/>
              <w:spacing w:after="0"/>
              <w:rPr>
                <w:sz w:val="20"/>
                <w:szCs w:val="20"/>
                <w:color w:val="auto"/>
              </w:rPr>
            </w:pPr>
            <w:r>
              <w:rPr>
                <w:rFonts w:ascii="Arial" w:cs="Arial" w:eastAsia="Arial" w:hAnsi="Arial"/>
                <w:sz w:val="18"/>
                <w:szCs w:val="18"/>
                <w:color w:val="auto"/>
              </w:rPr>
              <w:t>48%</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432"/>
        </w:trPr>
        <w:tc>
          <w:tcPr>
            <w:tcW w:w="4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 more -</w:t>
            </w:r>
          </w:p>
        </w:tc>
        <w:tc>
          <w:tcPr>
            <w:tcW w:w="3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68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40"/>
              <w:spacing w:after="0"/>
              <w:rPr>
                <w:sz w:val="20"/>
                <w:szCs w:val="20"/>
                <w:color w:val="auto"/>
              </w:rPr>
            </w:pPr>
            <w:r>
              <w:rPr>
                <w:rFonts w:ascii="Arial" w:cs="Arial" w:eastAsia="Arial" w:hAnsi="Arial"/>
                <w:sz w:val="18"/>
                <w:szCs w:val="18"/>
                <w:b w:val="1"/>
                <w:bCs w:val="1"/>
                <w:color w:val="auto"/>
                <w:w w:val="98"/>
              </w:rPr>
              <w:t>Houston, Texas 77002</w:t>
            </w:r>
          </w:p>
        </w:tc>
        <w:tc>
          <w:tcPr>
            <w:tcW w:w="3820" w:type="dxa"/>
            <w:vAlign w:val="bottom"/>
          </w:tcPr>
          <w:p>
            <w:pPr>
              <w:jc w:val="right"/>
              <w:ind w:right="1110"/>
              <w:spacing w:after="0"/>
              <w:rPr>
                <w:sz w:val="20"/>
                <w:szCs w:val="20"/>
                <w:color w:val="auto"/>
              </w:rPr>
            </w:pPr>
            <w:r>
              <w:rPr>
                <w:rFonts w:ascii="Arial" w:cs="Arial" w:eastAsia="Arial" w:hAnsi="Arial"/>
                <w:sz w:val="18"/>
                <w:szCs w:val="18"/>
                <w:b w:val="1"/>
                <w:bCs w:val="1"/>
                <w:color w:val="auto"/>
                <w:w w:val="99"/>
              </w:rPr>
              <w:t>(713) 646-4100 / (866) 809-1291</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68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382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2014</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 2013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Facilities</w:t>
            </w:r>
          </w:p>
        </w:tc>
        <w:tc>
          <w:tcPr>
            <w:tcW w:w="160" w:type="dxa"/>
            <w:vAlign w:val="bottom"/>
          </w:tcPr>
          <w:p>
            <w:pPr>
              <w:spacing w:after="0"/>
              <w:rPr>
                <w:sz w:val="10"/>
                <w:szCs w:val="10"/>
                <w:color w:val="auto"/>
              </w:rPr>
            </w:pPr>
          </w:p>
        </w:tc>
        <w:tc>
          <w:tcPr>
            <w:tcW w:w="100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Facilities</w:t>
            </w:r>
          </w:p>
        </w:tc>
        <w:tc>
          <w:tcPr>
            <w:tcW w:w="140" w:type="dxa"/>
            <w:vAlign w:val="bottom"/>
          </w:tcPr>
          <w:p>
            <w:pPr>
              <w:spacing w:after="0"/>
              <w:rPr>
                <w:sz w:val="10"/>
                <w:szCs w:val="10"/>
                <w:color w:val="auto"/>
              </w:rPr>
            </w:pPr>
          </w:p>
        </w:tc>
        <w:tc>
          <w:tcPr>
            <w:tcW w:w="9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Logistics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2014</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 2013</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Facilities</w:t>
            </w:r>
          </w:p>
        </w:tc>
        <w:tc>
          <w:tcPr>
            <w:tcW w:w="160" w:type="dxa"/>
            <w:vAlign w:val="bottom"/>
          </w:tcPr>
          <w:p>
            <w:pPr>
              <w:spacing w:after="0"/>
              <w:rPr>
                <w:sz w:val="10"/>
                <w:szCs w:val="10"/>
                <w:color w:val="auto"/>
              </w:rPr>
            </w:pPr>
          </w:p>
        </w:tc>
        <w:tc>
          <w:tcPr>
            <w:tcW w:w="100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Facilities</w:t>
            </w:r>
          </w:p>
        </w:tc>
        <w:tc>
          <w:tcPr>
            <w:tcW w:w="140" w:type="dxa"/>
            <w:vAlign w:val="bottom"/>
          </w:tcPr>
          <w:p>
            <w:pPr>
              <w:spacing w:after="0"/>
              <w:rPr>
                <w:sz w:val="10"/>
                <w:szCs w:val="10"/>
                <w:color w:val="auto"/>
              </w:rPr>
            </w:pPr>
          </w:p>
        </w:tc>
        <w:tc>
          <w:tcPr>
            <w:tcW w:w="9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Logistics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23" w:lineRule="exact"/>
        <w:rPr>
          <w:sz w:val="20"/>
          <w:szCs w:val="20"/>
          <w:color w:val="auto"/>
        </w:rPr>
      </w:pPr>
    </w:p>
    <w:p>
      <w:pPr>
        <w:ind w:left="20" w:right="80" w:hanging="11"/>
        <w:spacing w:after="0" w:line="261"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2">
            <w:col w:w="140" w:space="500"/>
            <w:col w:w="10820"/>
          </w:cols>
          <w:pgMar w:left="240" w:top="125" w:right="199" w:bottom="0" w:gutter="0" w:footer="0" w:header="0"/>
          <w:type w:val="continuous"/>
        </w:sectPr>
      </w:pPr>
    </w:p>
    <w:bookmarkStart w:id="8" w:name="page9"/>
    <w:bookmarkEnd w:id="8"/>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non-GAAP financial measures may not be impacted by each of the selected items impacting comparability.</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0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 barrels per</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Basin / Mesa</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Eagle Ford Area Systems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Salt Lake City Area Systems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Refined Products Pipelines</w:t>
            </w:r>
          </w:p>
        </w:tc>
        <w:tc>
          <w:tcPr>
            <w:tcW w:w="138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4,095</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3,621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Trucking</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activities total</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4,226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7"/>
                <w:szCs w:val="17"/>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7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4"/>
              </w:rPr>
              <w:t>Rail load / unload volumes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97</w:t>
            </w: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3"/>
                <w:szCs w:val="13"/>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feet)</w:t>
            </w:r>
          </w:p>
        </w:tc>
        <w:tc>
          <w:tcPr>
            <w:tcW w:w="7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NGL fractionation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tcPr>
          <w:p>
            <w:pPr>
              <w:ind w:left="160"/>
              <w:spacing w:after="0" w:line="197" w:lineRule="exact"/>
              <w:rPr>
                <w:sz w:val="20"/>
                <w:szCs w:val="20"/>
                <w:color w:val="auto"/>
              </w:rPr>
            </w:pPr>
            <w:r>
              <w:rPr>
                <w:rFonts w:ascii="Arial" w:cs="Arial" w:eastAsia="Arial" w:hAnsi="Arial"/>
                <w:sz w:val="17"/>
                <w:szCs w:val="17"/>
                <w:color w:val="auto"/>
              </w:rPr>
              <w:t xml:space="preserve">Facilities activities total (average monthly volumes in millions of barrels) </w:t>
            </w:r>
            <w:r>
              <w:rPr>
                <w:rFonts w:ascii="Arial" w:cs="Arial" w:eastAsia="Arial" w:hAnsi="Arial"/>
                <w:sz w:val="22"/>
                <w:szCs w:val="22"/>
                <w:color w:val="auto"/>
                <w:vertAlign w:val="superscript"/>
              </w:rPr>
              <w:t>(2)</w:t>
            </w: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tcBorders>
            <w:vMerge w:val="continue"/>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activities (average daily volumes in thousands of</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3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7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Supply and Logistics activities total</w:t>
            </w: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1,124</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1,005</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8" w:lineRule="auto"/>
        <w:rPr>
          <w:sz w:val="20"/>
          <w:szCs w:val="20"/>
          <w:color w:val="auto"/>
        </w:rPr>
      </w:pPr>
      <w:r>
        <w:rPr>
          <w:rFonts w:ascii="Arial" w:cs="Arial" w:eastAsia="Arial" w:hAnsi="Arial"/>
          <w:sz w:val="18"/>
          <w:szCs w:val="18"/>
          <w:color w:val="auto"/>
        </w:rPr>
        <w:t>Volumes associated with assets employed through acquisitions and internal growth projects represent total volumes (attributable to our interest) for the number of days or months we employed the assets divided by the number of days or months in the period.</w:t>
      </w:r>
    </w:p>
    <w:p>
      <w:pPr>
        <w:spacing w:after="0" w:line="1" w:lineRule="exact"/>
        <w:rPr>
          <w:sz w:val="20"/>
          <w:szCs w:val="20"/>
          <w:color w:val="auto"/>
        </w:rPr>
      </w:pPr>
    </w:p>
    <w:p>
      <w:pPr>
        <w:ind w:left="20" w:right="20" w:hanging="11"/>
        <w:spacing w:after="0" w:line="295" w:lineRule="auto"/>
        <w:rPr>
          <w:sz w:val="20"/>
          <w:szCs w:val="20"/>
          <w:color w:val="auto"/>
        </w:rPr>
      </w:pPr>
      <w:r>
        <w:rPr>
          <w:rFonts w:ascii="Arial" w:cs="Arial" w:eastAsia="Arial" w:hAnsi="Arial"/>
          <w:sz w:val="16"/>
          <w:szCs w:val="16"/>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6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ectPr>
          <w:pgSz w:w="11900" w:h="16838" w:orient="portrait"/>
          <w:cols w:equalWidth="0" w:num="2">
            <w:col w:w="140" w:space="500"/>
            <w:col w:w="10780"/>
          </w:cols>
          <w:pgMar w:left="240" w:top="125" w:right="239" w:bottom="0" w:gutter="0" w:footer="0" w:header="0"/>
          <w:type w:val="continuous"/>
        </w:sectPr>
      </w:pPr>
    </w:p>
    <w:bookmarkStart w:id="9" w:name="page10"/>
    <w:bookmarkEnd w:id="9"/>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available to limited partners in accordance with application of the</w:t>
            </w: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60" w:type="dxa"/>
            <w:vAlign w:val="bottom"/>
            <w:vMerge w:val="restart"/>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780" w:type="dxa"/>
            <w:vAlign w:val="bottom"/>
            <w:vMerge w:val="restart"/>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360" w:type="dxa"/>
            <w:vAlign w:val="bottom"/>
            <w:vMerge w:val="restart"/>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76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0.38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available to limited partners in accordance with application of the</w:t>
            </w: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60" w:type="dxa"/>
            <w:vAlign w:val="bottom"/>
            <w:vMerge w:val="restart"/>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780" w:type="dxa"/>
            <w:vAlign w:val="bottom"/>
            <w:vMerge w:val="restart"/>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360" w:type="dxa"/>
            <w:vAlign w:val="bottom"/>
            <w:vMerge w:val="restart"/>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76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0.38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4" w:orient="portrait"/>
          <w:cols w:equalWidth="0" w:num="1">
            <w:col w:w="11420"/>
          </w:cols>
          <w:pgMar w:left="240" w:top="733"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80" w:hanging="11"/>
        <w:spacing w:after="0" w:line="254" w:lineRule="auto"/>
        <w:rPr>
          <w:sz w:val="20"/>
          <w:szCs w:val="20"/>
          <w:color w:val="auto"/>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sz w:val="20"/>
          <w:szCs w:val="20"/>
          <w:color w:val="auto"/>
        </w:rPr>
      </w:pPr>
    </w:p>
    <w:p>
      <w:pPr>
        <w:ind w:left="20" w:right="100" w:hanging="11"/>
        <w:spacing w:after="0" w:line="254" w:lineRule="auto"/>
        <w:rPr>
          <w:sz w:val="20"/>
          <w:szCs w:val="20"/>
          <w:color w:val="auto"/>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84" w:orient="portrait"/>
          <w:cols w:equalWidth="0" w:num="2">
            <w:col w:w="140" w:space="500"/>
            <w:col w:w="10780"/>
          </w:cols>
          <w:pgMar w:left="240" w:top="733"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center"/>
              <w:ind w:left="267"/>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47"/>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8"/>
                <w:szCs w:val="18"/>
                <w:color w:val="auto"/>
                <w:w w:val="97"/>
              </w:rPr>
              <w:t>Gains/(losses) from derivative activities net of inventory valuation adjustments</w:t>
            </w:r>
          </w:p>
        </w:tc>
        <w:tc>
          <w:tcPr>
            <w:tcW w:w="760" w:type="dxa"/>
            <w:vAlign w:val="bottom"/>
            <w:vMerge w:val="restart"/>
          </w:tcPr>
          <w:p>
            <w:pPr>
              <w:jc w:val="right"/>
              <w:ind w:right="607"/>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w:t>
            </w:r>
          </w:p>
        </w:tc>
        <w:tc>
          <w:tcPr>
            <w:tcW w:w="800" w:type="dxa"/>
            <w:vAlign w:val="bottom"/>
            <w:vMerge w:val="restart"/>
          </w:tcPr>
          <w:p>
            <w:pPr>
              <w:jc w:val="right"/>
              <w:ind w:right="647"/>
              <w:spacing w:after="0"/>
              <w:rPr>
                <w:sz w:val="20"/>
                <w:szCs w:val="20"/>
                <w:color w:val="auto"/>
              </w:rPr>
            </w:pPr>
            <w:r>
              <w:rPr>
                <w:rFonts w:ascii="Arial" w:cs="Arial" w:eastAsia="Arial" w:hAnsi="Arial"/>
                <w:sz w:val="15"/>
                <w:szCs w:val="15"/>
                <w:color w:val="auto"/>
                <w:w w:val="71"/>
              </w:rPr>
              <w:t>$</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(59)</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77</w:t>
            </w:r>
          </w:p>
        </w:tc>
        <w:tc>
          <w:tcPr>
            <w:tcW w:w="360" w:type="dxa"/>
            <w:vAlign w:val="bottom"/>
            <w:vMerge w:val="restart"/>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9"/>
        </w:trPr>
        <w:tc>
          <w:tcPr>
            <w:tcW w:w="6060" w:type="dxa"/>
            <w:vAlign w:val="bottom"/>
          </w:tcPr>
          <w:p>
            <w:pPr>
              <w:ind w:left="180"/>
              <w:spacing w:after="0"/>
              <w:rPr>
                <w:sz w:val="20"/>
                <w:szCs w:val="20"/>
                <w:color w:val="auto"/>
              </w:rPr>
            </w:pPr>
            <w:r>
              <w:rPr>
                <w:rFonts w:ascii="Arial" w:cs="Arial" w:eastAsia="Arial" w:hAnsi="Arial"/>
                <w:sz w:val="12"/>
                <w:szCs w:val="12"/>
                <w:color w:val="auto"/>
              </w:rPr>
              <w:t>(2)</w:t>
            </w:r>
          </w:p>
        </w:tc>
        <w:tc>
          <w:tcPr>
            <w:tcW w:w="76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(3)</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gain/(loss) on foreign currency revaluation</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84" w:orient="portrait"/>
          <w:cols w:equalWidth="0" w:num="1">
            <w:col w:w="11420"/>
          </w:cols>
          <w:pgMar w:left="240" w:top="733"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4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vMerge w:val="continue"/>
          </w:tcPr>
          <w:p>
            <w:pPr>
              <w:spacing w:after="0"/>
              <w:rPr>
                <w:sz w:val="17"/>
                <w:szCs w:val="17"/>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240" w:type="dxa"/>
            <w:vAlign w:val="bottom"/>
            <w:vMerge w:val="continue"/>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(0.15</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0.02</w:t>
            </w:r>
          </w:p>
        </w:tc>
        <w:tc>
          <w:tcPr>
            <w:tcW w:w="240" w:type="dxa"/>
            <w:vAlign w:val="bottom"/>
            <w:vMerge w:val="continue"/>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(0.13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644"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560" w:hanging="11"/>
        <w:spacing w:after="0" w:line="265" w:lineRule="auto"/>
        <w:rPr>
          <w:sz w:val="20"/>
          <w:szCs w:val="20"/>
          <w:color w:val="auto"/>
        </w:rPr>
      </w:pPr>
      <w:r>
        <w:rPr>
          <w:rFonts w:ascii="Arial" w:cs="Arial" w:eastAsia="Arial" w:hAnsi="Arial"/>
          <w:sz w:val="17"/>
          <w:szCs w:val="17"/>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ind w:left="20" w:right="220" w:hanging="11"/>
        <w:spacing w:after="0" w:line="250" w:lineRule="auto"/>
        <w:rPr>
          <w:sz w:val="20"/>
          <w:szCs w:val="20"/>
          <w:color w:val="auto"/>
        </w:rPr>
      </w:pPr>
      <w:r>
        <w:rPr>
          <w:rFonts w:ascii="Arial" w:cs="Arial" w:eastAsia="Arial" w:hAnsi="Arial"/>
          <w:sz w:val="18"/>
          <w:szCs w:val="18"/>
          <w:color w:val="auto"/>
        </w:rPr>
        <w:t>Equity-indexed compensation expense above excludes the portion of equity-indexed compensation expense represented by grants under LTIP that, pursuant to the terms of the grant, will be settled in cash only and have no impact on diluted units.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Includes other immaterial selected items impacting comparability, as well as the noncontrolling interests’ portion of selected items.</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91" w:right="239" w:bottom="6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7"/>
              </w:rPr>
              <w:t xml:space="preserve">Selected items impacting comparability of net income attributable to PAA </w:t>
            </w:r>
            <w:r>
              <w:rPr>
                <w:rFonts w:ascii="Arial" w:cs="Arial" w:eastAsia="Arial" w:hAnsi="Arial"/>
                <w:sz w:val="23"/>
                <w:szCs w:val="23"/>
                <w:color w:val="auto"/>
                <w:w w:val="97"/>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(2)</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0.54</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7"/>
              </w:rPr>
              <w:t xml:space="preserve">Selected items impacting comparability of net income attributable to PAA </w:t>
            </w:r>
            <w:r>
              <w:rPr>
                <w:rFonts w:ascii="Arial" w:cs="Arial" w:eastAsia="Arial" w:hAnsi="Arial"/>
                <w:sz w:val="23"/>
                <w:szCs w:val="23"/>
                <w:color w:val="auto"/>
                <w:w w:val="97"/>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(124)</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(2)</w:t>
            </w:r>
          </w:p>
        </w:tc>
        <w:tc>
          <w:tcPr>
            <w:tcW w:w="7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760" w:type="dxa"/>
            <w:vAlign w:val="bottom"/>
            <w:tcBorders>
              <w:top w:val="single" w:sz="8" w:color="auto"/>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0.53</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91" w:right="239" w:bottom="644"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3"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9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1560"/>
        <w:spacing w:after="0"/>
        <w:tabs>
          <w:tab w:leader="none" w:pos="4060" w:val="left"/>
          <w:tab w:leader="none" w:pos="61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91" w:right="239" w:bottom="644" w:gutter="0" w:footer="0" w:header="0"/>
          <w:type w:val="continuous"/>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8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146"/>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60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and Excluding Selected Items Impacting</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84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996</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1,074</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7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EBITDA</w:t>
            </w:r>
          </w:p>
        </w:tc>
        <w:tc>
          <w:tcPr>
            <w:tcW w:w="760" w:type="dxa"/>
            <w:vAlign w:val="bottom"/>
            <w:tcBorders>
              <w:top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1,625</w:t>
            </w:r>
          </w:p>
        </w:tc>
        <w:tc>
          <w:tcPr>
            <w:tcW w:w="240" w:type="dxa"/>
            <w:vAlign w:val="bottom"/>
          </w:tcPr>
          <w:p>
            <w:pPr>
              <w:spacing w:after="0"/>
              <w:rPr>
                <w:sz w:val="18"/>
                <w:szCs w:val="18"/>
                <w:color w:val="auto"/>
              </w:rPr>
            </w:pPr>
          </w:p>
        </w:tc>
        <w:tc>
          <w:tcPr>
            <w:tcW w:w="700" w:type="dxa"/>
            <w:vAlign w:val="bottom"/>
            <w:tcBorders>
              <w:top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1,606</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8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146"/>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527</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82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1,606</w:t>
            </w: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1,697</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7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7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Implied DCF</w:t>
            </w: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1,145</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700" w:hanging="692"/>
        <w:spacing w:after="0"/>
        <w:tabs>
          <w:tab w:leader="none" w:pos="7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80" w:type="dxa"/>
            <w:vAlign w:val="bottom"/>
            <w:gridSpan w:val="4"/>
          </w:tcPr>
          <w:p>
            <w:pPr>
              <w:jc w:val="right"/>
              <w:ind w:right="18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w w:val="98"/>
              </w:rPr>
              <w:t>September 30,</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EBITDA</w:t>
            </w:r>
          </w:p>
        </w:tc>
        <w:tc>
          <w:tcPr>
            <w:tcW w:w="21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1,625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2"/>
              </w:rPr>
              <w:t>Other items to reconcile to cash flows from operating activities:</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727"/>
              <w:spacing w:after="0"/>
              <w:rPr>
                <w:sz w:val="20"/>
                <w:szCs w:val="20"/>
                <w:color w:val="auto"/>
              </w:rPr>
            </w:pPr>
            <w:r>
              <w:rPr>
                <w:rFonts w:ascii="Arial" w:cs="Arial" w:eastAsia="Arial" w:hAnsi="Arial"/>
                <w:sz w:val="18"/>
                <w:szCs w:val="18"/>
                <w:color w:val="auto"/>
              </w:rPr>
              <w:t>- more -</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466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140" w:type="dxa"/>
            <w:vAlign w:val="bottom"/>
            <w:gridSpan w:val="2"/>
          </w:tcPr>
          <w:p>
            <w:pPr>
              <w:jc w:val="right"/>
              <w:ind w:right="347"/>
              <w:spacing w:after="0"/>
              <w:rPr>
                <w:sz w:val="20"/>
                <w:szCs w:val="20"/>
                <w:color w:val="auto"/>
              </w:rPr>
            </w:pPr>
            <w:r>
              <w:rPr>
                <w:rFonts w:ascii="Arial" w:cs="Arial" w:eastAsia="Arial" w:hAnsi="Arial"/>
                <w:sz w:val="18"/>
                <w:szCs w:val="18"/>
                <w:b w:val="1"/>
                <w:bCs w:val="1"/>
                <w:color w:val="auto"/>
                <w:w w:val="89"/>
              </w:rPr>
              <w:t>Houston, Texas 77002</w:t>
            </w:r>
          </w:p>
        </w:tc>
        <w:tc>
          <w:tcPr>
            <w:tcW w:w="2440" w:type="dxa"/>
            <w:vAlign w:val="bottom"/>
            <w:gridSpan w:val="7"/>
          </w:tcPr>
          <w:p>
            <w:pPr>
              <w:jc w:val="right"/>
              <w:spacing w:after="0"/>
              <w:rPr>
                <w:sz w:val="20"/>
                <w:szCs w:val="20"/>
                <w:color w:val="auto"/>
              </w:rPr>
            </w:pPr>
            <w:r>
              <w:rPr>
                <w:rFonts w:ascii="Arial" w:cs="Arial" w:eastAsia="Arial" w:hAnsi="Arial"/>
                <w:sz w:val="18"/>
                <w:szCs w:val="18"/>
                <w:b w:val="1"/>
                <w:bCs w:val="1"/>
                <w:color w:val="auto"/>
                <w:w w:val="91"/>
              </w:rPr>
              <w:t>(713) 646-4100 / (866) 809-1291</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3"/>
        </w:trPr>
        <w:tc>
          <w:tcPr>
            <w:tcW w:w="46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 2014</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 2014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 xml:space="preserve">Adjustments </w:t>
            </w:r>
            <w:r>
              <w:rPr>
                <w:rFonts w:ascii="Arial" w:cs="Arial" w:eastAsia="Arial" w:hAnsi="Arial"/>
                <w:sz w:val="8"/>
                <w:szCs w:val="8"/>
                <w:b w:val="1"/>
                <w:bCs w:val="1"/>
                <w:color w:val="auto"/>
                <w:w w:val="95"/>
              </w:rPr>
              <w:t>(1)</w:t>
            </w:r>
          </w:p>
        </w:tc>
        <w:tc>
          <w:tcPr>
            <w:tcW w:w="9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10,166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ind w:left="160"/>
              <w:spacing w:after="0" w:line="185" w:lineRule="exact"/>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10,723</w:t>
            </w:r>
          </w:p>
        </w:tc>
        <w:tc>
          <w:tcPr>
            <w:tcW w:w="4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10,724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32,744</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32,748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404</w:t>
            </w:r>
          </w:p>
        </w:tc>
        <w:tc>
          <w:tcPr>
            <w:tcW w:w="4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1,261</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34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52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BASIC AND DILUTED NET INCOME PER</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vMerge w:val="restart"/>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CLASS A SHARE</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AVERAGE CLASS A SHARES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OUTSTANDING</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 2014</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5,160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1,067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5,568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13,707</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8,071</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(7,034)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8,130</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21,837</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306"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2014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Q3 2014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GP Distribution/LP Unit</w:t>
            </w:r>
          </w:p>
        </w:tc>
        <w:tc>
          <w:tcPr>
            <w:tcW w:w="4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4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PAA LP Units Outstanding at 10/31/14</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4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Less: IDR Reduction</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Distribution from PAA to AAP</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Less: Debt Service</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G&amp;A Expense</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Less: Other</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w w:val="94"/>
              </w:rPr>
              <w:t>Direct AAP Owners &amp; AAP Management (79.1% economic interest)</w:t>
            </w:r>
          </w:p>
        </w:tc>
        <w:tc>
          <w:tcPr>
            <w:tcW w:w="4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PAGP (20.9% economic interest)</w:t>
            </w:r>
          </w:p>
        </w:tc>
        <w:tc>
          <w:tcPr>
            <w:tcW w:w="4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5300" w:type="dxa"/>
            <w:vAlign w:val="bottom"/>
            <w:gridSpan w:val="4"/>
          </w:tcPr>
          <w:p>
            <w:pPr>
              <w:spacing w:after="0"/>
              <w:rPr>
                <w:sz w:val="20"/>
                <w:szCs w:val="20"/>
                <w:color w:val="auto"/>
              </w:rPr>
            </w:pPr>
            <w:r>
              <w:rPr>
                <w:rFonts w:ascii="Arial" w:cs="Arial" w:eastAsia="Arial" w:hAnsi="Arial"/>
                <w:sz w:val="18"/>
                <w:szCs w:val="18"/>
                <w:color w:val="auto"/>
              </w:rPr>
              <w:t>Total distributions to AAP Partners</w:t>
            </w:r>
          </w:p>
        </w:tc>
        <w:tc>
          <w:tcPr>
            <w:tcW w:w="46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Distribution to PAGP Investors</w:t>
            </w:r>
          </w:p>
        </w:tc>
        <w:tc>
          <w:tcPr>
            <w:tcW w:w="4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PAGP Class A Shares Outstanding at 10/31/14</w:t>
            </w:r>
          </w:p>
        </w:tc>
        <w:tc>
          <w:tcPr>
            <w:tcW w:w="4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4"/>
          </w:tcPr>
          <w:p>
            <w:pPr>
              <w:spacing w:after="0"/>
              <w:rPr>
                <w:sz w:val="20"/>
                <w:szCs w:val="20"/>
                <w:color w:val="auto"/>
              </w:rPr>
            </w:pPr>
            <w:r>
              <w:rPr>
                <w:rFonts w:ascii="Arial" w:cs="Arial" w:eastAsia="Arial" w:hAnsi="Arial"/>
                <w:sz w:val="18"/>
                <w:szCs w:val="18"/>
                <w:color w:val="auto"/>
              </w:rPr>
              <w:t>PAGP Distribution/Class A Share</w:t>
            </w:r>
          </w:p>
        </w:tc>
        <w:tc>
          <w:tcPr>
            <w:tcW w:w="46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gridSpan w:val="2"/>
          </w:tcPr>
          <w:p>
            <w:pPr>
              <w:spacing w:after="0"/>
              <w:rPr>
                <w:sz w:val="20"/>
                <w:szCs w:val="20"/>
                <w:color w:val="auto"/>
              </w:rPr>
            </w:pPr>
            <w:r>
              <w:rPr>
                <w:rFonts w:ascii="Arial" w:cs="Arial" w:eastAsia="Arial" w:hAnsi="Arial"/>
                <w:sz w:val="12"/>
                <w:szCs w:val="12"/>
                <w:color w:val="auto"/>
                <w:w w:val="95"/>
              </w:rPr>
              <w:t>(1)</w:t>
            </w:r>
          </w:p>
        </w:tc>
        <w:tc>
          <w:tcPr>
            <w:tcW w:w="5140" w:type="dxa"/>
            <w:vAlign w:val="bottom"/>
            <w:gridSpan w:val="2"/>
          </w:tcPr>
          <w:p>
            <w:pPr>
              <w:ind w:left="480"/>
              <w:spacing w:after="0"/>
              <w:rPr>
                <w:sz w:val="20"/>
                <w:szCs w:val="20"/>
                <w:color w:val="auto"/>
              </w:rPr>
            </w:pPr>
            <w:r>
              <w:rPr>
                <w:rFonts w:ascii="Arial" w:cs="Arial" w:eastAsia="Arial" w:hAnsi="Arial"/>
                <w:sz w:val="18"/>
                <w:szCs w:val="18"/>
                <w:color w:val="auto"/>
              </w:rPr>
              <w:t>Amounts may not recalculate due to rounding.</w:t>
            </w: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80" w:type="dxa"/>
            <w:vAlign w:val="bottom"/>
            <w:gridSpan w:val="2"/>
          </w:tcPr>
          <w:p>
            <w:pPr>
              <w:jc w:val="right"/>
              <w:ind w:right="4090"/>
              <w:spacing w:after="0"/>
              <w:rPr>
                <w:sz w:val="20"/>
                <w:szCs w:val="20"/>
                <w:color w:val="auto"/>
              </w:rPr>
            </w:pPr>
            <w:r>
              <w:rPr>
                <w:rFonts w:ascii="Arial" w:cs="Arial" w:eastAsia="Arial" w:hAnsi="Arial"/>
                <w:sz w:val="18"/>
                <w:szCs w:val="18"/>
                <w:color w:val="auto"/>
              </w:rPr>
              <w:t>- more -</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September 30, 2014</w:t>
            </w: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2014</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5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20" w:type="dxa"/>
            <w:vAlign w:val="bottom"/>
          </w:tcPr>
          <w:p>
            <w:pPr>
              <w:ind w:left="1220"/>
              <w:spacing w:after="0"/>
              <w:rPr>
                <w:sz w:val="20"/>
                <w:szCs w:val="20"/>
                <w:color w:val="auto"/>
              </w:rPr>
            </w:pPr>
            <w:r>
              <w:rPr>
                <w:rFonts w:ascii="Arial" w:cs="Arial" w:eastAsia="Arial" w:hAnsi="Arial"/>
                <w:sz w:val="18"/>
                <w:szCs w:val="18"/>
                <w:color w:val="auto"/>
              </w:rPr>
              <w:t>Al Swanson</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920" w:type="dxa"/>
            <w:vAlign w:val="bottom"/>
            <w:gridSpan w:val="2"/>
          </w:tcPr>
          <w:p>
            <w:pPr>
              <w:ind w:left="12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920" w:type="dxa"/>
            <w:vAlign w:val="bottom"/>
            <w:gridSpan w:val="2"/>
          </w:tcPr>
          <w:p>
            <w:pPr>
              <w:ind w:left="122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3860" w:type="dxa"/>
            <w:vAlign w:val="bottom"/>
          </w:tcPr>
          <w:p>
            <w:pPr>
              <w:ind w:left="156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700" w:type="dxa"/>
            <w:vAlign w:val="bottom"/>
          </w:tcPr>
          <w:p>
            <w:pPr>
              <w:jc w:val="right"/>
              <w:ind w:right="2110"/>
              <w:spacing w:after="0"/>
              <w:rPr>
                <w:sz w:val="20"/>
                <w:szCs w:val="20"/>
                <w:color w:val="auto"/>
              </w:rPr>
            </w:pPr>
            <w:r>
              <w:rPr>
                <w:rFonts w:ascii="Arial" w:cs="Arial" w:eastAsia="Arial" w:hAnsi="Arial"/>
                <w:sz w:val="18"/>
                <w:szCs w:val="18"/>
                <w:b w:val="1"/>
                <w:bCs w:val="1"/>
                <w:color w:val="auto"/>
                <w:w w:val="94"/>
              </w:rPr>
              <w:t>(713) 646-4100 / (866) 809-1291</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386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7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2020-02-21T02:16:58Z</dcterms:created>
  <dcterms:modified xsi:type="dcterms:W3CDTF">2020-02-21T02:16:58Z</dcterms:modified>
</cp:coreProperties>
</file>