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KAFU HOLDINGS, L.P.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11/15/2016</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(First)</w:t>
            </w:r>
          </w:p>
        </w:tc>
        <w:tc>
          <w:tcPr>
            <w:tcW w:w="142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rPr>
              <w:t>1800 AVENUE OF THE STARS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3RD FLOOR</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ind w:left="120"/>
        <w:spacing w:after="0" w:line="212" w:lineRule="auto"/>
        <w:tabs>
          <w:tab w:leader="none" w:pos="1200" w:val="left"/>
          <w:tab w:leader="none" w:pos="2280" w:val="left"/>
        </w:tabs>
        <w:rPr>
          <w:sz w:val="20"/>
          <w:szCs w:val="20"/>
          <w:color w:val="auto"/>
        </w:rPr>
      </w:pPr>
      <w:r>
        <w:rPr>
          <w:rFonts w:ascii="Arial" w:cs="Arial" w:eastAsia="Arial" w:hAnsi="Arial"/>
          <w:sz w:val="16"/>
          <w:szCs w:val="16"/>
          <w:color w:val="0000FF"/>
          <w:vertAlign w:val="superscript"/>
        </w:rPr>
        <w:t>LOS</w:t>
      </w:r>
      <w:r>
        <w:rPr>
          <w:sz w:val="20"/>
          <w:szCs w:val="20"/>
          <w:color w:val="auto"/>
        </w:rPr>
        <w:tab/>
      </w:r>
      <w:r>
        <w:rPr>
          <w:rFonts w:ascii="Arial" w:cs="Arial" w:eastAsia="Arial" w:hAnsi="Arial"/>
          <w:sz w:val="11"/>
          <w:szCs w:val="11"/>
          <w:color w:val="0000FF"/>
        </w:rPr>
        <w:t>CA</w:t>
      </w:r>
      <w:r>
        <w:rPr>
          <w:sz w:val="20"/>
          <w:szCs w:val="20"/>
          <w:color w:val="auto"/>
        </w:rPr>
        <w:tab/>
      </w:r>
      <w:r>
        <w:rPr>
          <w:rFonts w:ascii="Arial" w:cs="Arial" w:eastAsia="Arial" w:hAnsi="Arial"/>
          <w:sz w:val="14"/>
          <w:szCs w:val="14"/>
          <w:color w:val="0000FF"/>
        </w:rPr>
        <w:t>90067</w:t>
      </w:r>
    </w:p>
    <w:p>
      <w:pPr>
        <w:spacing w:after="0" w:line="10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ANGELES</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PLAINS ALL AMERICAN PIPELINE LP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PAA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4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4"/>
                <w:szCs w:val="14"/>
                <w:color w:val="auto"/>
              </w:rPr>
              <w:t>10% Owner</w:t>
            </w:r>
          </w:p>
        </w:tc>
        <w:tc>
          <w:tcPr>
            <w:tcW w:w="4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44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20" w:type="dxa"/>
            <w:vAlign w:val="bottom"/>
            <w:vMerge w:val="restart"/>
          </w:tcPr>
          <w:p>
            <w:pPr>
              <w:ind w:left="60"/>
              <w:spacing w:after="0"/>
              <w:rPr>
                <w:sz w:val="20"/>
                <w:szCs w:val="20"/>
                <w:color w:val="auto"/>
              </w:rPr>
            </w:pPr>
            <w:r>
              <w:rPr>
                <w:rFonts w:ascii="Arial" w:cs="Arial" w:eastAsia="Arial" w:hAnsi="Arial"/>
                <w:sz w:val="14"/>
                <w:szCs w:val="14"/>
                <w:color w:val="auto"/>
              </w:rPr>
              <w:t>Other (specify</w:t>
            </w:r>
          </w:p>
        </w:tc>
        <w:tc>
          <w:tcPr>
            <w:tcW w:w="46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66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107"/>
        </w:trPr>
        <w:tc>
          <w:tcPr>
            <w:tcW w:w="16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rPr>
              <w:t>below)</w:t>
            </w:r>
          </w:p>
        </w:tc>
        <w:tc>
          <w:tcPr>
            <w:tcW w:w="440" w:type="dxa"/>
            <w:vAlign w:val="bottom"/>
            <w:vMerge w:val="continue"/>
          </w:tcPr>
          <w:p>
            <w:pPr>
              <w:spacing w:after="0"/>
              <w:rPr>
                <w:sz w:val="9"/>
                <w:szCs w:val="9"/>
                <w:color w:val="auto"/>
              </w:rPr>
            </w:pPr>
          </w:p>
        </w:tc>
        <w:tc>
          <w:tcPr>
            <w:tcW w:w="1220" w:type="dxa"/>
            <w:vAlign w:val="bottom"/>
            <w:vMerge w:val="restart"/>
          </w:tcPr>
          <w:p>
            <w:pPr>
              <w:ind w:left="60"/>
              <w:spacing w:after="0" w:line="135" w:lineRule="exact"/>
              <w:rPr>
                <w:sz w:val="20"/>
                <w:szCs w:val="20"/>
                <w:color w:val="auto"/>
              </w:rPr>
            </w:pPr>
            <w:r>
              <w:rPr>
                <w:rFonts w:ascii="Arial" w:cs="Arial" w:eastAsia="Arial" w:hAnsi="Arial"/>
                <w:sz w:val="14"/>
                <w:szCs w:val="14"/>
                <w:color w:val="auto"/>
              </w:rPr>
              <w:t>below)</w:t>
            </w:r>
          </w:p>
        </w:tc>
        <w:tc>
          <w:tcPr>
            <w:tcW w:w="2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166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28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100" w:type="dxa"/>
            <w:vAlign w:val="bottom"/>
            <w:gridSpan w:val="2"/>
            <w:vMerge w:val="restart"/>
          </w:tcPr>
          <w:p>
            <w:pPr>
              <w:ind w:left="1220"/>
              <w:spacing w:after="0"/>
              <w:rPr>
                <w:sz w:val="20"/>
                <w:szCs w:val="20"/>
                <w:color w:val="auto"/>
              </w:rPr>
            </w:pPr>
            <w:r>
              <w:rPr>
                <w:rFonts w:ascii="Arial" w:cs="Arial" w:eastAsia="Arial" w:hAnsi="Arial"/>
                <w:sz w:val="18"/>
                <w:szCs w:val="18"/>
                <w:color w:val="0000FF"/>
                <w:w w:val="89"/>
              </w:rPr>
              <w:t>See remaks</w:t>
            </w:r>
          </w:p>
        </w:tc>
        <w:tc>
          <w:tcPr>
            <w:tcW w:w="122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120"/>
        </w:trPr>
        <w:tc>
          <w:tcPr>
            <w:tcW w:w="2100" w:type="dxa"/>
            <w:vAlign w:val="bottom"/>
            <w:gridSpan w:val="2"/>
            <w:vMerge w:val="continue"/>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69"/>
        </w:trPr>
        <w:tc>
          <w:tcPr>
            <w:tcW w:w="1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0" w:type="dxa"/>
            <w:vAlign w:val="bottom"/>
          </w:tcPr>
          <w:p>
            <w:pPr>
              <w:ind w:left="240"/>
              <w:spacing w:after="0" w:line="189" w:lineRule="exact"/>
              <w:rPr>
                <w:sz w:val="20"/>
                <w:szCs w:val="20"/>
                <w:color w:val="auto"/>
              </w:rPr>
            </w:pPr>
            <w:r>
              <w:rPr>
                <w:rFonts w:ascii="Arial" w:cs="Arial" w:eastAsia="Arial" w:hAnsi="Arial"/>
                <w:sz w:val="18"/>
                <w:szCs w:val="18"/>
                <w:color w:val="0000FF"/>
              </w:rPr>
              <w:t>X</w:t>
            </w: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278"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2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80" w:type="dxa"/>
            <w:vAlign w:val="bottom"/>
          </w:tcPr>
          <w:p>
            <w:pPr>
              <w:spacing w:after="0"/>
              <w:rPr>
                <w:sz w:val="14"/>
                <w:szCs w:val="14"/>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94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1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w:t>
            </w:r>
          </w:p>
        </w:tc>
        <w:tc>
          <w:tcPr>
            <w:tcW w:w="1800" w:type="dxa"/>
            <w:vAlign w:val="bottom"/>
            <w:vMerge w:val="continue"/>
          </w:tcPr>
          <w:p>
            <w:pPr>
              <w:spacing w:after="0"/>
              <w:rPr>
                <w:sz w:val="15"/>
                <w:szCs w:val="15"/>
                <w:color w:val="auto"/>
              </w:rPr>
            </w:pPr>
          </w:p>
        </w:tc>
        <w:tc>
          <w:tcPr>
            <w:tcW w:w="11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940" w:type="dxa"/>
            <w:vAlign w:val="bottom"/>
            <w:gridSpan w:val="6"/>
          </w:tcPr>
          <w:p>
            <w:pPr>
              <w:ind w:left="60"/>
              <w:spacing w:after="0"/>
              <w:rPr>
                <w:sz w:val="20"/>
                <w:szCs w:val="20"/>
                <w:color w:val="auto"/>
              </w:rPr>
            </w:pPr>
            <w:r>
              <w:rPr>
                <w:rFonts w:ascii="Arial" w:cs="Arial" w:eastAsia="Arial" w:hAnsi="Arial"/>
                <w:sz w:val="18"/>
                <w:szCs w:val="18"/>
                <w:color w:val="0000FF"/>
                <w:w w:val="91"/>
              </w:rPr>
              <w:t>Class B Shares/Class A Units/GP Units</w:t>
            </w:r>
          </w:p>
        </w:tc>
        <w:tc>
          <w:tcPr>
            <w:tcW w:w="1360" w:type="dxa"/>
            <w:vAlign w:val="bottom"/>
            <w:gridSpan w:val="2"/>
          </w:tcPr>
          <w:p>
            <w:pPr>
              <w:ind w:left="800"/>
              <w:spacing w:after="0"/>
              <w:rPr>
                <w:sz w:val="20"/>
                <w:szCs w:val="20"/>
                <w:color w:val="auto"/>
              </w:rPr>
            </w:pPr>
            <w:r>
              <w:rPr>
                <w:rFonts w:ascii="Arial" w:cs="Arial" w:eastAsia="Arial" w:hAnsi="Arial"/>
                <w:sz w:val="11"/>
                <w:szCs w:val="11"/>
                <w:color w:val="008000"/>
              </w:rPr>
              <w:t>(1)(2)</w:t>
            </w:r>
          </w:p>
        </w:tc>
        <w:tc>
          <w:tcPr>
            <w:tcW w:w="800" w:type="dxa"/>
            <w:vAlign w:val="bottom"/>
            <w:gridSpan w:val="4"/>
          </w:tcPr>
          <w:p>
            <w:pPr>
              <w:jc w:val="right"/>
              <w:ind w:right="320"/>
              <w:spacing w:after="0"/>
              <w:rPr>
                <w:sz w:val="20"/>
                <w:szCs w:val="20"/>
                <w:color w:val="auto"/>
              </w:rPr>
            </w:pPr>
            <w:r>
              <w:rPr>
                <w:rFonts w:ascii="Arial" w:cs="Arial" w:eastAsia="Arial" w:hAnsi="Arial"/>
                <w:sz w:val="11"/>
                <w:szCs w:val="11"/>
                <w:color w:val="008000"/>
              </w:rPr>
              <w:t>(3)</w:t>
            </w:r>
          </w:p>
        </w:tc>
        <w:tc>
          <w:tcPr>
            <w:tcW w:w="1800" w:type="dxa"/>
            <w:vAlign w:val="bottom"/>
          </w:tcPr>
          <w:p>
            <w:pPr>
              <w:ind w:left="460"/>
              <w:spacing w:after="0"/>
              <w:rPr>
                <w:sz w:val="20"/>
                <w:szCs w:val="20"/>
                <w:color w:val="auto"/>
              </w:rPr>
            </w:pPr>
            <w:r>
              <w:rPr>
                <w:rFonts w:ascii="Arial" w:cs="Arial" w:eastAsia="Arial" w:hAnsi="Arial"/>
                <w:sz w:val="18"/>
                <w:szCs w:val="18"/>
                <w:color w:val="0000FF"/>
              </w:rPr>
              <w:t>Common Units</w:t>
            </w:r>
          </w:p>
        </w:tc>
        <w:tc>
          <w:tcPr>
            <w:tcW w:w="1140" w:type="dxa"/>
            <w:vAlign w:val="bottom"/>
          </w:tcPr>
          <w:p>
            <w:pPr>
              <w:ind w:left="280"/>
              <w:spacing w:after="0"/>
              <w:rPr>
                <w:sz w:val="20"/>
                <w:szCs w:val="20"/>
                <w:color w:val="auto"/>
              </w:rPr>
            </w:pPr>
            <w:r>
              <w:rPr>
                <w:rFonts w:ascii="Arial" w:cs="Arial" w:eastAsia="Arial" w:hAnsi="Arial"/>
                <w:sz w:val="18"/>
                <w:szCs w:val="18"/>
                <w:color w:val="0000FF"/>
                <w:w w:val="93"/>
              </w:rPr>
              <w:t>28,127,953</w:t>
            </w:r>
          </w:p>
        </w:tc>
        <w:tc>
          <w:tcPr>
            <w:tcW w:w="880" w:type="dxa"/>
            <w:vAlign w:val="bottom"/>
          </w:tcPr>
          <w:p>
            <w:pPr>
              <w:ind w:left="400"/>
              <w:spacing w:after="0"/>
              <w:rPr>
                <w:sz w:val="20"/>
                <w:szCs w:val="20"/>
                <w:color w:val="auto"/>
              </w:rPr>
            </w:pPr>
            <w:r>
              <w:rPr>
                <w:rFonts w:ascii="Arial" w:cs="Arial" w:eastAsia="Arial" w:hAnsi="Arial"/>
                <w:sz w:val="18"/>
                <w:szCs w:val="18"/>
                <w:color w:val="0000FF"/>
              </w:rPr>
              <w:t>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4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8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5"/>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KAFU HOLDINGS, L.P.</w:t>
              </w:r>
            </w:hyperlink>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140"/>
              <w:spacing w:after="0"/>
              <w:rPr>
                <w:sz w:val="20"/>
                <w:szCs w:val="20"/>
                <w:color w:val="auto"/>
              </w:rPr>
            </w:pPr>
            <w:r>
              <w:rPr>
                <w:rFonts w:ascii="Arial" w:cs="Arial" w:eastAsia="Arial" w:hAnsi="Arial"/>
                <w:sz w:val="14"/>
                <w:szCs w:val="14"/>
                <w:color w:val="auto"/>
              </w:rPr>
              <w:t>(First)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5"/>
          </w:tcPr>
          <w:p>
            <w:pPr>
              <w:spacing w:after="0"/>
              <w:rPr>
                <w:sz w:val="20"/>
                <w:szCs w:val="20"/>
                <w:color w:val="auto"/>
              </w:rPr>
            </w:pPr>
            <w:r>
              <w:rPr>
                <w:rFonts w:ascii="Arial" w:cs="Arial" w:eastAsia="Arial" w:hAnsi="Arial"/>
                <w:sz w:val="18"/>
                <w:szCs w:val="18"/>
                <w:color w:val="0000FF"/>
              </w:rPr>
              <w:t>1800 AVENUE OF THE STARS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3RD FLOOR</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520" w:type="dxa"/>
            <w:vAlign w:val="bottom"/>
            <w:gridSpan w:val="4"/>
          </w:tcPr>
          <w:p>
            <w:pPr>
              <w:ind w:left="140"/>
              <w:spacing w:after="0"/>
              <w:rPr>
                <w:sz w:val="20"/>
                <w:szCs w:val="20"/>
                <w:color w:val="auto"/>
              </w:rPr>
            </w:pPr>
            <w:r>
              <w:rPr>
                <w:rFonts w:ascii="Arial" w:cs="Arial" w:eastAsia="Arial" w:hAnsi="Arial"/>
                <w:sz w:val="18"/>
                <w:szCs w:val="18"/>
                <w:color w:val="0000FF"/>
              </w:rPr>
              <w:t>CA</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90067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gridSpan w:val="2"/>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140"/>
              <w:spacing w:after="0"/>
              <w:rPr>
                <w:sz w:val="20"/>
                <w:szCs w:val="20"/>
                <w:color w:val="auto"/>
              </w:rPr>
            </w:pPr>
            <w:r>
              <w:rPr>
                <w:rFonts w:ascii="Arial" w:cs="Arial" w:eastAsia="Arial" w:hAnsi="Arial"/>
                <w:sz w:val="14"/>
                <w:szCs w:val="14"/>
                <w:color w:val="auto"/>
              </w:rPr>
              <w:t>(State)</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5"/>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KAFU Holdings (QP), L.P.</w:t>
              </w:r>
            </w:hyperlink>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140"/>
              <w:spacing w:after="0"/>
              <w:rPr>
                <w:sz w:val="20"/>
                <w:szCs w:val="20"/>
                <w:color w:val="auto"/>
              </w:rPr>
            </w:pPr>
            <w:r>
              <w:rPr>
                <w:rFonts w:ascii="Arial" w:cs="Arial" w:eastAsia="Arial" w:hAnsi="Arial"/>
                <w:sz w:val="14"/>
                <w:szCs w:val="14"/>
                <w:color w:val="auto"/>
              </w:rPr>
              <w:t>(First)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7"/>
          </w:tcPr>
          <w:p>
            <w:pPr>
              <w:spacing w:after="0"/>
              <w:rPr>
                <w:sz w:val="20"/>
                <w:szCs w:val="20"/>
                <w:color w:val="auto"/>
              </w:rPr>
            </w:pPr>
            <w:r>
              <w:rPr>
                <w:rFonts w:ascii="Arial" w:cs="Arial" w:eastAsia="Arial" w:hAnsi="Arial"/>
                <w:sz w:val="18"/>
                <w:szCs w:val="18"/>
                <w:color w:val="0000FF"/>
              </w:rPr>
              <w:t>1800 AVENUE OF THE STARS, SUITE 300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520" w:type="dxa"/>
            <w:vAlign w:val="bottom"/>
            <w:gridSpan w:val="4"/>
          </w:tcPr>
          <w:p>
            <w:pPr>
              <w:ind w:left="140"/>
              <w:spacing w:after="0"/>
              <w:rPr>
                <w:sz w:val="20"/>
                <w:szCs w:val="20"/>
                <w:color w:val="auto"/>
              </w:rPr>
            </w:pPr>
            <w:r>
              <w:rPr>
                <w:rFonts w:ascii="Arial" w:cs="Arial" w:eastAsia="Arial" w:hAnsi="Arial"/>
                <w:sz w:val="18"/>
                <w:szCs w:val="18"/>
                <w:color w:val="0000FF"/>
              </w:rPr>
              <w:t>CA</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90067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gridSpan w:val="2"/>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140"/>
              <w:spacing w:after="0"/>
              <w:rPr>
                <w:sz w:val="20"/>
                <w:szCs w:val="20"/>
                <w:color w:val="auto"/>
              </w:rPr>
            </w:pPr>
            <w:r>
              <w:rPr>
                <w:rFonts w:ascii="Arial" w:cs="Arial" w:eastAsia="Arial" w:hAnsi="Arial"/>
                <w:sz w:val="14"/>
                <w:szCs w:val="14"/>
                <w:color w:val="auto"/>
              </w:rPr>
              <w:t>(State)</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KAFU Holdings II, L.P.</w:t>
              </w:r>
            </w:hyperlink>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140"/>
              <w:spacing w:after="0"/>
              <w:rPr>
                <w:sz w:val="20"/>
                <w:szCs w:val="20"/>
                <w:color w:val="auto"/>
              </w:rPr>
            </w:pPr>
            <w:r>
              <w:rPr>
                <w:rFonts w:ascii="Arial" w:cs="Arial" w:eastAsia="Arial" w:hAnsi="Arial"/>
                <w:sz w:val="14"/>
                <w:szCs w:val="14"/>
                <w:color w:val="auto"/>
              </w:rPr>
              <w:t>(First)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1800 AVENUE OF THE STARS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3RD FLOOR</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LOS ANGELES</w:t>
      </w:r>
      <w:r>
        <w:rPr>
          <w:sz w:val="20"/>
          <w:szCs w:val="20"/>
          <w:color w:val="auto"/>
        </w:rPr>
        <w:tab/>
      </w:r>
      <w:r>
        <w:rPr>
          <w:rFonts w:ascii="Arial" w:cs="Arial" w:eastAsia="Arial" w:hAnsi="Arial"/>
          <w:sz w:val="18"/>
          <w:szCs w:val="18"/>
          <w:color w:val="0000FF"/>
        </w:rPr>
        <w:t>CA</w:t>
      </w:r>
      <w:r>
        <w:rPr>
          <w:sz w:val="20"/>
          <w:szCs w:val="20"/>
          <w:color w:val="auto"/>
        </w:rPr>
        <w:tab/>
      </w:r>
      <w:r>
        <w:rPr>
          <w:rFonts w:ascii="Arial" w:cs="Arial" w:eastAsia="Arial" w:hAnsi="Arial"/>
          <w:sz w:val="15"/>
          <w:szCs w:val="15"/>
          <w:color w:val="0000FF"/>
        </w:rPr>
        <w:t>90067</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84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184150"/>
                    </a:xfrm>
                    <a:prstGeom prst="rect">
                      <a:avLst/>
                    </a:prstGeom>
                    <a:noFill/>
                  </pic:spPr>
                </pic:pic>
              </a:graphicData>
            </a:graphic>
          </wp:anchor>
        </w:drawing>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80" w:firstLine="9"/>
        <w:spacing w:after="0" w:line="27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limited partnership agreement of Plains AAP, L.P. ("AAP") was amended and restated on November 15, 2016 to provide, among other things, that each limited partner of AAP Holdings Class A Units, including the Reporting Persons, will have the right, subject to certain limitations, to redeem its Class A Units in AAP (the "Class A Units"), for common units ("Common Units") of Plains All American Pipeline, L.P. (the "Issuer") held by AAP on a one-for-one basis, by delivering such Class A Units to Plains AAP along with the associated Class B Shares (the "Class B Shares") in Plains GP Holdings, L.P. ("PAGP") and GP Units (the "GP Units") in PAA GP Holdings LLC (if applicable), to PAGP (the "Redemption Right").</w:t>
      </w:r>
    </w:p>
    <w:p>
      <w:pPr>
        <w:spacing w:after="0" w:line="8" w:lineRule="exact"/>
        <w:rPr>
          <w:rFonts w:ascii="Arial" w:cs="Arial" w:eastAsia="Arial" w:hAnsi="Arial"/>
          <w:sz w:val="12"/>
          <w:szCs w:val="12"/>
          <w:color w:val="008000"/>
        </w:rPr>
      </w:pPr>
    </w:p>
    <w:p>
      <w:pPr>
        <w:ind w:right="140" w:firstLine="9"/>
        <w:spacing w:after="0" w:line="305"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the limited agreement of AAP, prior to November 15, 2017, the Reporting Person may not exercise their Redemption Right if such exercise would result in the redemption (taken together with any previous redemptions by the Reporting Persons) of more than 78% of the Class A Units held by the Reporting Persons as of November 15, 2016.</w:t>
      </w: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limited partnership agreement of AAP, the Redemption Right does not expire.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008000"/>
        </w:rPr>
        <w:t>Robert Sinnott is a director of the managing general partner of the Issuer. Based on the relationship of Mr. Sinnott and the Reporting Persons, the Reporting Persons may be deemed directors by deputization of the Issuer. KAFU Holdings (QP), L.P., KAFU Holdings, L.P., and KAFU Holdings II, L.P. are referred to herein as the "Reporting Persons." The filing of this Statement shall not be construed as an admission that any Reporting Person is, for purposes of Section 13(d) of the Exchange Act, as amended, the beneficial owner of any security.</w:t>
      </w:r>
    </w:p>
    <w:p>
      <w:pPr>
        <w:spacing w:after="0" w:line="37"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David Shladovsky</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11/21/2016</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48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1" Type="http://schemas.openxmlformats.org/officeDocument/2006/relationships/hyperlink" Target="http://www.sec.gov/cgi-bin/browse-edgar?action=getcompany&amp;CIK=0001590015" TargetMode="External"/><Relationship Id="rId12" Type="http://schemas.openxmlformats.org/officeDocument/2006/relationships/hyperlink" Target="http://www.sec.gov/cgi-bin/browse-edgar?action=getcompany&amp;CIK=0001070423" TargetMode="External"/><Relationship Id="rId13" Type="http://schemas.openxmlformats.org/officeDocument/2006/relationships/hyperlink" Target="http://www.sec.gov/cgi-bin/browse-edgar?action=getcompany&amp;CIK=0001638385" TargetMode="External"/><Relationship Id="rId14" Type="http://schemas.openxmlformats.org/officeDocument/2006/relationships/hyperlink" Target="http://www.sec.gov/cgi-bin/browse-edgar?action=getcompany&amp;CIK=0001590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2020-01-19T09:52:37Z</dcterms:created>
  <dcterms:modified xsi:type="dcterms:W3CDTF">2020-01-19T09:52:37Z</dcterms:modified>
</cp:coreProperties>
</file>