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7691d1_8k.htm"/>
      <w:bookmarkStart w:id="1" w:name="kstm227691d1_8k"/>
      <w:bookmarkEnd w:id="0"/>
      <w:bookmarkEnd w:id="1"/>
      <w:r>
        <w:rPr/>
        <w:t> </w:t>
      </w:r>
    </w:p>
    <w:p>
      <w:pPr>
        <w:pStyle w:val="TextBody"/>
        <w:rPr/>
      </w:pPr>
      <w:bookmarkStart w:id="2" w:name="xdx_90D_edei--EntityRegistrantName_dxL_c"/>
      <w:bookmarkEnd w:id="2"/>
      <w:r>
        <w:rPr/>
        <w:t>PLAINS ALL AMERICAN PIPELINE LP</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2_edei--DocumentType_c20220224__20"/>
      <w:bookmarkEnd w:id="3"/>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6_edei--DocumentPeriodEndDate_c202"/>
      <w:bookmarkEnd w:id="4"/>
      <w:r>
        <w:rPr>
          <w:rFonts w:ascii="Times New Roman;Times;Serif" w:hAnsi="Times New Roman;Times;Serif"/>
          <w:b/>
          <w:i w:val="false"/>
          <w:caps w:val="false"/>
          <w:smallCaps w:val="false"/>
          <w:sz w:val="20"/>
        </w:rPr>
        <w:t>February 24,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8895" w:type="dxa"/>
        <w:jc w:val="left"/>
        <w:tblInd w:w="0" w:type="dxa"/>
        <w:tblCellMar>
          <w:top w:w="0" w:type="dxa"/>
          <w:left w:w="0" w:type="dxa"/>
          <w:bottom w:w="0" w:type="dxa"/>
          <w:right w:w="0" w:type="dxa"/>
        </w:tblCellMar>
      </w:tblPr>
      <w:tblGrid>
        <w:gridCol w:w="2840"/>
        <w:gridCol w:w="60"/>
        <w:gridCol w:w="2675"/>
        <w:gridCol w:w="60"/>
        <w:gridCol w:w="3260"/>
      </w:tblGrid>
      <w:tr>
        <w:trPr/>
        <w:tc>
          <w:tcPr>
            <w:tcW w:w="2840" w:type="dxa"/>
            <w:tcBorders/>
            <w:shd w:fill="auto" w:val="clear"/>
            <w:vAlign w:val="center"/>
          </w:tcPr>
          <w:p>
            <w:pPr>
              <w:pStyle w:val="TableContents"/>
              <w:spacing w:before="0" w:after="283"/>
              <w:jc w:val="center"/>
              <w:rPr>
                <w:rFonts w:ascii="Times New Roman;Times;Serif" w:hAnsi="Times New Roman;Times;Serif"/>
                <w:b/>
                <w:i w:val="false"/>
                <w:caps/>
                <w:sz w:val="20"/>
              </w:rPr>
            </w:pPr>
            <w:bookmarkStart w:id="5" w:name="xdx_903_edei--EntityIncorporationStateCo"/>
            <w:bookmarkEnd w:id="5"/>
            <w:r>
              <w:rPr>
                <w:rFonts w:ascii="Times New Roman;Times;Serif" w:hAnsi="Times New Roman;Times;Serif"/>
                <w:b/>
                <w:i w:val="false"/>
                <w:caps/>
                <w:sz w:val="20"/>
              </w:rPr>
              <w:t>Delaware</w:t>
            </w:r>
          </w:p>
        </w:tc>
        <w:tc>
          <w:tcPr>
            <w:tcW w:w="60"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A_edei--EntityFileNumber_c20220224"/>
            <w:bookmarkEnd w:id="6"/>
            <w:r>
              <w:rPr>
                <w:rFonts w:ascii="Times New Roman;Times;Serif" w:hAnsi="Times New Roman;Times;Serif"/>
                <w:b/>
                <w:i w:val="false"/>
                <w:caps w:val="false"/>
                <w:smallCaps w:val="false"/>
                <w:sz w:val="20"/>
              </w:rPr>
              <w:t>1-14569</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76-0582150</w:t>
            </w:r>
          </w:p>
        </w:tc>
      </w:tr>
      <w:tr>
        <w:trPr/>
        <w:tc>
          <w:tcPr>
            <w:tcW w:w="2840" w:type="dxa"/>
            <w:tcBorders/>
            <w:shd w:fill="auto" w:val="clear"/>
            <w:vAlign w:val="center"/>
          </w:tcPr>
          <w:p>
            <w:pPr>
              <w:pStyle w:val="TableContents"/>
              <w:spacing w:before="0" w:after="283"/>
              <w:jc w:val="center"/>
              <w:rPr/>
            </w:pPr>
            <w:r>
              <w:rPr>
                <w:caps/>
              </w:rPr>
              <w:t> </w:t>
            </w:r>
            <w:r>
              <w:rPr/>
              <w:t>(State or other jurisdiction of </w:t>
              <w:br/>
              <w:t>incorporation)</w:t>
            </w:r>
          </w:p>
        </w:tc>
        <w:tc>
          <w:tcPr>
            <w:tcW w:w="60"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jc w:val="center"/>
              <w:rPr/>
            </w:pPr>
            <w:r>
              <w:rPr>
                <w:caps w:val="false"/>
                <w:smallCaps w:val="false"/>
              </w:rPr>
              <w:t> </w:t>
            </w:r>
            <w:r>
              <w:rPr/>
              <w:t>(Commission File Number)</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pPr>
            <w:r>
              <w:rP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333 Clay Street, </w:t>
      </w:r>
      <w:bookmarkStart w:id="9" w:name="xdx_905_edei--EntityAddressAddressLine2_"/>
      <w:bookmarkEnd w:id="9"/>
      <w:r>
        <w:rPr>
          <w:rFonts w:ascii="Times New Roman;Times;Serif" w:hAnsi="Times New Roman;Times;Serif"/>
          <w:b/>
          <w:i w:val="false"/>
          <w:caps w:val="false"/>
          <w:smallCaps w:val="false"/>
          <w:sz w:val="20"/>
        </w:rPr>
        <w:t xml:space="preserve">Suite 1600, </w:t>
      </w:r>
      <w:bookmarkStart w:id="10" w:name="xdx_900_edei--EntityAddressCityOrTown_c2"/>
      <w:bookmarkEnd w:id="10"/>
      <w:r>
        <w:rPr>
          <w:rFonts w:ascii="Times New Roman;Times;Serif" w:hAnsi="Times New Roman;Times;Serif"/>
          <w:b/>
          <w:i w:val="false"/>
          <w:caps w:val="false"/>
          <w:smallCaps w:val="false"/>
          <w:sz w:val="20"/>
        </w:rPr>
        <w:t xml:space="preserve">Houston, </w:t>
      </w:r>
      <w:bookmarkStart w:id="11" w:name="xdx_904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77002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3" w:name="xdx_901_edei--CityAreaCode_c20220224__20"/>
      <w:bookmarkEnd w:id="13"/>
      <w:r>
        <w:rPr>
          <w:rFonts w:ascii="Times New Roman;Times;Serif" w:hAnsi="Times New Roman;Times;Serif"/>
          <w:b/>
          <w:i w:val="false"/>
          <w:caps w:val="false"/>
          <w:smallCaps w:val="false"/>
          <w:sz w:val="20"/>
        </w:rPr>
        <w:t>713-</w:t>
      </w:r>
      <w:bookmarkStart w:id="14" w:name="xdx_90B_edei--LocalPhoneNumber_c20220224"/>
      <w:bookmarkEnd w:id="14"/>
      <w:r>
        <w:rPr>
          <w:rFonts w:ascii="Times New Roman;Times;Serif" w:hAnsi="Times New Roman;Times;Serif"/>
          <w:b/>
          <w:i w:val="false"/>
          <w:caps w:val="false"/>
          <w:smallCaps w:val="false"/>
          <w:sz w:val="20"/>
        </w:rPr>
        <w:t>646-4100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5" w:name="xdx_90B_edei--WrittenCommunications_c202"/>
      <w:bookmarkEnd w:id="15"/>
      <w:r>
        <w:rPr/>
        <w:t>☐     </w:t>
      </w:r>
      <w:r>
        <w:rPr>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6" w:name="xdx_904_edei--SolicitingMaterial_c202202"/>
      <w:bookmarkEnd w:id="16"/>
      <w:r>
        <w:rPr/>
        <w:t>☐     </w:t>
      </w:r>
      <w:r>
        <w:rPr>
          <w:sz w:val="20"/>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7" w:name="xdx_900_edei--PreCommencementTenderOffer"/>
      <w:bookmarkEnd w:id="17"/>
      <w:r>
        <w:rPr/>
        <w:t>☐     </w:t>
      </w:r>
      <w:r>
        <w:rPr>
          <w:sz w:val="20"/>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8" w:name="xdx_907_edei--PreCommencementIssuerTende"/>
      <w:bookmarkEnd w:id="18"/>
      <w:r>
        <w:rPr/>
        <w:t>☐     </w:t>
      </w:r>
      <w:r>
        <w:rPr>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6945" w:type="dxa"/>
        <w:jc w:val="left"/>
        <w:tblInd w:w="0" w:type="dxa"/>
        <w:tblCellMar>
          <w:top w:w="0" w:type="dxa"/>
          <w:left w:w="0" w:type="dxa"/>
          <w:bottom w:w="0" w:type="dxa"/>
          <w:right w:w="0" w:type="dxa"/>
        </w:tblCellMar>
      </w:tblPr>
      <w:tblGrid>
        <w:gridCol w:w="1520"/>
        <w:gridCol w:w="60"/>
        <w:gridCol w:w="1610"/>
        <w:gridCol w:w="60"/>
        <w:gridCol w:w="3695"/>
      </w:tblGrid>
      <w:tr>
        <w:trPr/>
        <w:tc>
          <w:tcPr>
            <w:tcW w:w="15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vAlign w:val="center"/>
          </w:tcPr>
          <w:p>
            <w:pPr>
              <w:pStyle w:val="TableContents"/>
              <w:spacing w:before="0" w:after="283"/>
              <w:jc w:val="center"/>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vAlign w:val="center"/>
          </w:tcPr>
          <w:p>
            <w:pPr>
              <w:pStyle w:val="TableContents"/>
              <w:spacing w:before="0" w:after="283"/>
              <w:jc w:val="center"/>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4_edei--Security12bTitle_c20220224"/>
            <w:bookmarkEnd w:id="19"/>
            <w:r>
              <w:rPr>
                <w:rFonts w:ascii="Times New Roman;Times;Serif" w:hAnsi="Times New Roman;Times;Serif"/>
                <w:b w:val="false"/>
                <w:i w:val="false"/>
                <w:caps w:val="false"/>
                <w:smallCaps w:val="false"/>
                <w:sz w:val="20"/>
              </w:rPr>
              <w:t>Common Units</w:t>
            </w:r>
          </w:p>
        </w:tc>
        <w:tc>
          <w:tcPr>
            <w:tcW w:w="6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5_edei--TradingSymbol_c20220224__2"/>
            <w:bookmarkEnd w:id="20"/>
            <w:r>
              <w:rPr>
                <w:rFonts w:ascii="Times New Roman;Times;Serif" w:hAnsi="Times New Roman;Times;Serif"/>
                <w:b w:val="false"/>
                <w:i w:val="false"/>
                <w:caps w:val="false"/>
                <w:smallCaps w:val="false"/>
                <w:sz w:val="20"/>
              </w:rPr>
              <w:t>PAA</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A_edei--SecurityExchangeName_c2022"/>
            <w:bookmarkEnd w:id="21"/>
            <w:r>
              <w:rPr>
                <w:rFonts w:ascii="Times New Roman;Times;Serif" w:hAnsi="Times New Roman;Times;Serif"/>
                <w:b w:val="false"/>
                <w:i w:val="false"/>
                <w:caps w:val="false"/>
                <w:smallCaps w:val="false"/>
                <w:sz w:val="20"/>
              </w:rPr>
              <w:t>Nasdaq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965"/>
        <w:gridCol w:w="9240"/>
      </w:tblGrid>
      <w:tr>
        <w:trPr/>
        <w:tc>
          <w:tcPr>
            <w:tcW w:w="96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ITEM 5.02</w:t>
            </w:r>
          </w:p>
        </w:tc>
        <w:tc>
          <w:tcPr>
            <w:tcW w:w="9240"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of Certain Long-Term Incentive Awards</w:t>
      </w:r>
    </w:p>
    <w:p>
      <w:pPr>
        <w:pStyle w:val="TextBody"/>
        <w:spacing w:before="0" w:after="0"/>
        <w:ind w:left="0" w:right="0" w:hanging="0"/>
        <w:rPr/>
      </w:pPr>
      <w:r>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2022, the board of directors of PAA GP Holdings LLC, the general partner of Plains All American Pipeline, L.P. (the “Partnership” or “PAA”), upon the recommendation of the Compensation Committee, approved amendments to the performance-based portion of certain outstanding long-term incentive awards held by Jeremy Goebel and Chris Chandler, both of whom were identified as Named Executive Officers (“NEOs”) in our most recent proxy statement, which was filed with the Securities and Exchange Commission on April 12, 2021 (the “2021 Proxy Statement”). The amended awards were originally granted in November 2019 (the “2019 Special Grants”) and the basic terms were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the award (250,000 phantom units for each of Messrs. Goebel and Chandler) would vest on the August 2026 distribution date (the “time-based portion”);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1"/>
        <w:gridCol w:w="9946"/>
      </w:tblGrid>
      <w:tr>
        <w:trPr/>
        <w:tc>
          <w:tcPr>
            <w:tcW w:w="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award (125,000 phantom units for each of Messrs. Goebel and Chandler) would vest on the later of the August 2026 distribution date and the first distribution date following PAA’s achievement of distributable cash flow (“DCF”) per common unit equivalent (“CUE”) of $2.80 on a trailing four quarter basis;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80"/>
        <w:gridCol w:w="9887"/>
      </w:tblGrid>
      <w:tr>
        <w:trPr/>
        <w:tc>
          <w:tcPr>
            <w:tcW w:w="3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award (125,000 phantom units for each of Messrs. Goebel and Chandler) would vest on the later of the August 2026 distribution date and the first distribution date following PAA’s achievement of DCF per CUE of $3.15 on a trailing four quarter basis (together with (ii) above, the “performance-based portion”).</w:t>
            </w:r>
          </w:p>
        </w:tc>
      </w:tr>
    </w:tbl>
    <w:p>
      <w:pPr>
        <w:pStyle w:val="TextBody"/>
        <w:spacing w:before="0" w:after="0"/>
        <w:ind w:left="0" w:right="0" w:hanging="0"/>
        <w:rPr/>
      </w:pPr>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thresholds for the performance-based portion of the awards (a total of 250,000 phantom units for each of Messrs. Goebel and Chandler) were based on PAA’s pre-pandemic outlook for its business. The pandemic “reset” the North American production outlook, which in turn fundamentally changed the key forecasts and outlook upon which such performance metrics were based. As a result, the Board was of the view that the retentive and incentive benefit of the performance-based portion of the 2019 Special Grants had effectively been eliminated. Given the Board’s view that Messrs. Goebel and Chandler are critical to the future leadership of the company and taking into account feedback received from various investors, the Board concluded that it would be appropriate to reestablish an appropriate amount of retentive and incentive value for these grants, but to do so in a manner that further aligns the interests of these executive officers with the interests of our equity holders. In order to strike this balance, the Board approved an amendment to the performance-based portion of the 2019 Special Awards that replaces the original DCF/CUE targets with a relative total shareholder return (“TSR”) metric. The key features of the TSR metric included in the amended awards are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Vesting of the performance-based portion of the awards will be based on the TSR ranking of PAA relative to a designated comparator group over a designated period of time;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The designated performance measurement period will be January 1, 2022 through June 30, 2026, an approximate four and one-half year period with an end date that represents the quarter-end date closest in time to the vesting date for the time-based portion of the original grants;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The comparator group will be the same comparator group that was used for the TSR metric included in the regular annual equity grants issued by PAA to its NEOs in August 2021, which includes 14 midstream peers, the S&amp;P 500 index, the AMNA index and PAA (see the 2021 Proxy statement for a complete list of comparator group members);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Payout will be based on the numeric ranking of PAA’s TSR over the designated performance period relative to the TSR for the various members of the comparator group, with payout capped at 100% (a performance ranking at the midpoint or in the top half of the comparator group will pay out at 100% and performance in the bottom half will be scaled from 100% payout down to 0% payout).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jc w:val="both"/>
              <w:rPr/>
            </w:pPr>
            <w:r>
              <w:rPr/>
              <w:t>Unvested DERs associated with the 2019 Special Grants and tied to the achievement of DCF/CUE targets will accrue beginning on January 1, 2022 and will be paid in cash in a lump sum on the August 2026 distribution date with respect to the number of phantom units, if any, that vest on such date.</w:t>
            </w:r>
          </w:p>
        </w:tc>
      </w:tr>
    </w:tbl>
    <w:p>
      <w:pPr>
        <w:pStyle w:val="TextBody"/>
        <w:spacing w:before="0" w:after="0"/>
        <w:ind w:left="0" w:right="0" w:hanging="0"/>
        <w:rPr/>
      </w:pPr>
      <w:r>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compensation of our Named Executive Officers and our equity compensation plans, please see our 2021 Proxy Statement.</w:t>
      </w:r>
    </w:p>
    <w:p>
      <w:pPr>
        <w:pStyle w:val="TextBody"/>
        <w:spacing w:before="0" w:after="0"/>
        <w:ind w:left="0" w:right="0" w:hanging="0"/>
        <w:rPr/>
      </w:pPr>
      <w:r>
        <w:rPr/>
        <w:t> </w:t>
      </w:r>
    </w:p>
    <w:tbl>
      <w:tblPr>
        <w:tblW w:w="3685" w:type="dxa"/>
        <w:jc w:val="left"/>
        <w:tblInd w:w="0" w:type="dxa"/>
        <w:tblCellMar>
          <w:top w:w="0" w:type="dxa"/>
          <w:left w:w="0" w:type="dxa"/>
          <w:bottom w:w="0" w:type="dxa"/>
          <w:right w:w="0" w:type="dxa"/>
        </w:tblCellMar>
      </w:tblPr>
      <w:tblGrid>
        <w:gridCol w:w="1040"/>
        <w:gridCol w:w="2645"/>
      </w:tblGrid>
      <w:tr>
        <w:trPr/>
        <w:tc>
          <w:tcPr>
            <w:tcW w:w="1040" w:type="dxa"/>
            <w:tcBorders/>
            <w:shd w:fill="auto" w:val="clear"/>
            <w:vAlign w:val="center"/>
          </w:tcPr>
          <w:p>
            <w:pPr>
              <w:pStyle w:val="TableContents"/>
              <w:spacing w:before="0" w:after="283"/>
              <w:rPr>
                <w:b/>
              </w:rPr>
            </w:pPr>
            <w:r>
              <w:rPr>
                <w:b/>
              </w:rPr>
              <w:t>Item 7.01.</w:t>
            </w:r>
          </w:p>
        </w:tc>
        <w:tc>
          <w:tcPr>
            <w:tcW w:w="2645" w:type="dxa"/>
            <w:tcBorders/>
            <w:shd w:fill="auto" w:val="clear"/>
            <w:vAlign w:val="center"/>
          </w:tcPr>
          <w:p>
            <w:pPr>
              <w:pStyle w:val="TableContents"/>
              <w:spacing w:before="0" w:after="283"/>
              <w:jc w:val="both"/>
              <w:rPr>
                <w:b/>
              </w:rPr>
            </w:pPr>
            <w:r>
              <w:rPr>
                <w:b/>
              </w:rPr>
              <w:t>Regulation FD Disclosure</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firstLine="720"/>
        <w:jc w:val="both"/>
        <w:rPr/>
      </w:pPr>
      <w:r>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from PAA and Plains GP Holdings, L.P. (“PAGP”) intend to meet with investors and members of the financial community at the Barclays Select Series: Midstream &amp; Clean Infrastructure Corporate Access Days event to be held from March 1-2, 2022 and also at the Barclays Investment Grade Energy &amp; Pipeline Corporate Days event to be held on March 2, 2022. In conjunction with these events,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Tuesday, March 1,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7500" w:type="dxa"/>
        <w:jc w:val="left"/>
        <w:tblInd w:w="0" w:type="dxa"/>
        <w:tblCellMar>
          <w:top w:w="0" w:type="dxa"/>
          <w:left w:w="0" w:type="dxa"/>
          <w:bottom w:w="0" w:type="dxa"/>
          <w:right w:w="0" w:type="dxa"/>
        </w:tblCellMar>
      </w:tblPr>
      <w:tblGrid>
        <w:gridCol w:w="2480"/>
        <w:gridCol w:w="365"/>
        <w:gridCol w:w="4655"/>
      </w:tblGrid>
      <w:tr>
        <w:trPr/>
        <w:tc>
          <w:tcPr>
            <w:tcW w:w="2480" w:type="dxa"/>
            <w:tcBorders/>
            <w:shd w:fill="auto" w:val="clear"/>
            <w:vAlign w:val="center"/>
          </w:tcPr>
          <w:p>
            <w:pPr>
              <w:pStyle w:val="TableContents"/>
              <w:spacing w:before="0" w:after="283"/>
              <w:rPr/>
            </w:pPr>
            <w:r>
              <w:rPr/>
              <w:t> </w:t>
            </w:r>
          </w:p>
        </w:tc>
        <w:tc>
          <w:tcPr>
            <w:tcW w:w="5020" w:type="dxa"/>
            <w:gridSpan w:val="2"/>
            <w:tcBorders/>
            <w:shd w:fill="auto" w:val="clear"/>
            <w:vAlign w:val="center"/>
          </w:tcPr>
          <w:p>
            <w:pPr>
              <w:pStyle w:val="TableContents"/>
              <w:spacing w:before="0" w:after="283"/>
              <w:rPr/>
            </w:pPr>
            <w:r>
              <w:rPr/>
              <w:t>PLAINS ALL AMERICAN PIPELINE, L.P.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Date:   February 28, 2022</w:t>
            </w:r>
          </w:p>
        </w:tc>
        <w:tc>
          <w:tcPr>
            <w:tcW w:w="365" w:type="dxa"/>
            <w:tcBorders/>
            <w:shd w:fill="auto" w:val="clear"/>
            <w:vAlign w:val="center"/>
          </w:tcPr>
          <w:p>
            <w:pPr>
              <w:pStyle w:val="TableContents"/>
              <w:spacing w:before="0" w:after="283"/>
              <w:rPr/>
            </w:pPr>
            <w:r>
              <w:rPr/>
              <w:t>By:</w:t>
            </w:r>
          </w:p>
        </w:tc>
        <w:tc>
          <w:tcPr>
            <w:tcW w:w="4655" w:type="dxa"/>
            <w:tcBorders/>
            <w:shd w:fill="auto" w:val="clear"/>
            <w:vAlign w:val="center"/>
          </w:tcPr>
          <w:p>
            <w:pPr>
              <w:pStyle w:val="TableContents"/>
              <w:spacing w:before="0" w:after="283"/>
              <w:rPr/>
            </w:pPr>
            <w:r>
              <w:rPr/>
              <w:t>PAA GP LLC, its general partner</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655" w:type="dxa"/>
            <w:tcBorders/>
            <w:shd w:fill="auto" w:val="clear"/>
            <w:vAlign w:val="center"/>
          </w:tcPr>
          <w:p>
            <w:pPr>
              <w:pStyle w:val="TableContents"/>
              <w:spacing w:before="0" w:after="283"/>
              <w:rPr/>
            </w:pPr>
            <w:r>
              <w:rPr/>
              <w:t>Plains AAP, L.P., its sole member</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655" w:type="dxa"/>
            <w:tcBorders/>
            <w:shd w:fill="auto" w:val="clear"/>
            <w:vAlign w:val="center"/>
          </w:tcPr>
          <w:p>
            <w:pPr>
              <w:pStyle w:val="TableContents"/>
              <w:spacing w:before="0" w:after="283"/>
              <w:rPr/>
            </w:pPr>
            <w:r>
              <w:rPr/>
              <w:t>Plains All American GP LLC, its general partner</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4655" w:type="dxa"/>
            <w:tcBorders>
              <w:bottom w:val="single" w:sz="8" w:space="0" w:color="000000"/>
            </w:tcBorders>
            <w:shd w:fill="auto" w:val="clear"/>
            <w:tcMar>
              <w:bottom w:w="28" w:type="dxa"/>
            </w:tcMar>
            <w:vAlign w:val="center"/>
          </w:tcPr>
          <w:p>
            <w:pPr>
              <w:pStyle w:val="TableContents"/>
              <w:spacing w:before="0" w:after="283"/>
              <w:rPr/>
            </w:pPr>
            <w:r>
              <w:rPr/>
              <w:t xml:space="preserve">/s/ Richard McGee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 xml:space="preserve">Name: Richard McGee </w:t>
            </w:r>
          </w:p>
        </w:tc>
      </w:tr>
      <w:tr>
        <w:trPr/>
        <w:tc>
          <w:tcPr>
            <w:tcW w:w="248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283"/>
              <w:rPr/>
            </w:pPr>
            <w:r>
              <w:rPr/>
              <w:t>Title:   Executive Vice President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1348</Words>
  <CharactersWithSpaces>8525</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