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right"/>
              <w:ind w:right="1410"/>
              <w:spacing w:after="0"/>
              <w:rPr>
                <w:sz w:val="20"/>
                <w:szCs w:val="20"/>
                <w:color w:val="auto"/>
              </w:rPr>
            </w:pPr>
            <w:r>
              <w:rPr>
                <w:rFonts w:ascii="Arial" w:cs="Arial" w:eastAsia="Arial" w:hAnsi="Arial"/>
                <w:sz w:val="18"/>
                <w:szCs w:val="18"/>
                <w:b w:val="1"/>
                <w:bCs w:val="1"/>
                <w:color w:val="auto"/>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20"/>
        <w:spacing w:after="0"/>
        <w:tabs>
          <w:tab w:leader="none" w:pos="7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7"/>
          <w:szCs w:val="17"/>
          <w:color w:val="auto"/>
        </w:rPr>
        <w:t>Accelerated filer o</w:t>
      </w:r>
    </w:p>
    <w:p>
      <w:pPr>
        <w:spacing w:after="0" w:line="225" w:lineRule="exact"/>
        <w:rPr>
          <w:sz w:val="24"/>
          <w:szCs w:val="24"/>
          <w:color w:val="auto"/>
        </w:rPr>
      </w:pPr>
    </w:p>
    <w:p>
      <w:pPr>
        <w:ind w:left="1960"/>
        <w:spacing w:after="0"/>
        <w:tabs>
          <w:tab w:leader="none" w:pos="7520" w:val="left"/>
        </w:tabs>
        <w:rPr>
          <w:sz w:val="20"/>
          <w:szCs w:val="20"/>
          <w:color w:val="auto"/>
        </w:rPr>
      </w:pP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2, 2014, there were 135,833,637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9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20955</wp:posOffset>
            </wp:positionV>
            <wp:extent cx="471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640" w:type="dxa"/>
            <w:vAlign w:val="bottom"/>
            <w:gridSpan w:val="20"/>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30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10720" w:type="dxa"/>
            <w:vAlign w:val="bottom"/>
            <w:gridSpan w:val="3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March 31, 2014 and December 31, 2013</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2014 and 2013</w:t>
              </w:r>
            </w:hyperlink>
          </w:p>
        </w:tc>
        <w:tc>
          <w:tcPr>
            <w:tcW w:w="3080" w:type="dxa"/>
            <w:vAlign w:val="bottom"/>
            <w:gridSpan w:val="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5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2014 and 2013</w:t>
              </w:r>
            </w:hyperlink>
          </w:p>
        </w:tc>
        <w:tc>
          <w:tcPr>
            <w:tcW w:w="216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720" w:type="dxa"/>
            <w:vAlign w:val="bottom"/>
            <w:gridSpan w:val="33"/>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 of Changes in Accumulated Other Comprehensive Income: For the three months ended March 31, 2014</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0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three months ended March 31, 2014 and 2013</w:t>
              </w:r>
            </w:hyperlink>
          </w:p>
        </w:tc>
        <w:tc>
          <w:tcPr>
            <w:tcW w:w="64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22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Changes in Partners’ Capital / Members' Equity: For the three months ended March 31, 2014 and 2013</w:t>
              </w:r>
            </w:hyperlink>
          </w:p>
        </w:tc>
        <w:tc>
          <w:tcPr>
            <w:tcW w:w="5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Condensed Consolidated Financial Statements:</w:t>
              </w:r>
            </w:hyperlink>
          </w:p>
        </w:tc>
        <w:tc>
          <w:tcPr>
            <w:tcW w:w="666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Organization and Basis of Presentation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Accounts Receivable</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Inventory, Linefill and Base Gas and Long-term Inventory</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Goodwill</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Debt</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Net Income Per Class A Share</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Partners’ Capital and Distributions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Equity-Indexed Compensation Plans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1"/>
              </w:rPr>
            </w:pPr>
            <w:hyperlink w:anchor="page11">
              <w:r>
                <w:rPr>
                  <w:rFonts w:ascii="Arial" w:cs="Arial" w:eastAsia="Arial" w:hAnsi="Arial"/>
                  <w:sz w:val="18"/>
                  <w:szCs w:val="18"/>
                  <w:color w:val="0000EE"/>
                  <w:w w:val="71"/>
                </w:rPr>
                <w:t>10.</w:t>
              </w:r>
            </w:hyperlink>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Derivatives and Risk Management Activities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1"/>
              </w:rPr>
            </w:pPr>
            <w:hyperlink w:anchor="page16">
              <w:r>
                <w:rPr>
                  <w:rFonts w:ascii="Arial" w:cs="Arial" w:eastAsia="Arial" w:hAnsi="Arial"/>
                  <w:sz w:val="18"/>
                  <w:szCs w:val="18"/>
                  <w:color w:val="0000EE"/>
                  <w:w w:val="71"/>
                </w:rPr>
                <w:t>11.</w:t>
              </w:r>
            </w:hyperlink>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Commitments and Contingencies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1"/>
              </w:rPr>
            </w:pPr>
            <w:hyperlink w:anchor="page17">
              <w:r>
                <w:rPr>
                  <w:rFonts w:ascii="Arial" w:cs="Arial" w:eastAsia="Arial" w:hAnsi="Arial"/>
                  <w:sz w:val="18"/>
                  <w:szCs w:val="18"/>
                  <w:color w:val="0000EE"/>
                  <w:w w:val="71"/>
                </w:rPr>
                <w:t>12.</w:t>
              </w:r>
            </w:hyperlink>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Operating Segments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1"/>
              </w:rPr>
            </w:pPr>
            <w:hyperlink w:anchor="page18">
              <w:r>
                <w:rPr>
                  <w:rFonts w:ascii="Arial" w:cs="Arial" w:eastAsia="Arial" w:hAnsi="Arial"/>
                  <w:sz w:val="18"/>
                  <w:szCs w:val="18"/>
                  <w:color w:val="0000EE"/>
                  <w:w w:val="71"/>
                </w:rPr>
                <w:t>13.</w:t>
              </w:r>
            </w:hyperlink>
          </w:p>
        </w:tc>
        <w:tc>
          <w:tcPr>
            <w:tcW w:w="10500" w:type="dxa"/>
            <w:vAlign w:val="bottom"/>
            <w:gridSpan w:val="31"/>
          </w:tcPr>
          <w:p>
            <w:pPr>
              <w:ind w:left="5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Related Party Transactions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Item 2. MANAGEMENT’S DISCUSSION AND ANALYSIS OF FINANCIAL CONDITION AND RESULTS OF OPERATIONS</w:t>
              </w:r>
            </w:hyperlink>
          </w:p>
        </w:tc>
        <w:tc>
          <w:tcPr>
            <w:tcW w:w="12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0720" w:type="dxa"/>
            <w:vAlign w:val="bottom"/>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6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402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412"/>
        </w:trPr>
        <w:tc>
          <w:tcPr>
            <w:tcW w:w="278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4"/>
          </w:tcPr>
          <w:p>
            <w:pPr>
              <w:spacing w:after="0"/>
              <w:rPr>
                <w:sz w:val="24"/>
                <w:szCs w:val="24"/>
                <w:color w:val="auto"/>
              </w:rPr>
            </w:pPr>
          </w:p>
        </w:tc>
        <w:tc>
          <w:tcPr>
            <w:tcW w:w="7560" w:type="dxa"/>
            <w:vAlign w:val="bottom"/>
            <w:gridSpan w:val="19"/>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1. LEGAL PROCEEDINGS</w:t>
              </w:r>
            </w:hyperlink>
          </w:p>
        </w:tc>
        <w:tc>
          <w:tcPr>
            <w:tcW w:w="8280" w:type="dxa"/>
            <w:vAlign w:val="bottom"/>
            <w:gridSpan w:val="2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720" w:type="dxa"/>
            <w:vAlign w:val="bottom"/>
            <w:gridSpan w:val="3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 UNREGISTERED SALES OF EQUITY SECURITIES AND USE OF PROCEEDS</w:t>
              </w:r>
            </w:hyperlink>
          </w:p>
        </w:tc>
        <w:tc>
          <w:tcPr>
            <w:tcW w:w="408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72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698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772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4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8280" w:type="dxa"/>
            <w:vAlign w:val="bottom"/>
            <w:gridSpan w:val="2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9280" w:type="dxa"/>
            <w:vAlign w:val="bottom"/>
            <w:gridSpan w:val="2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453"/>
        </w:trPr>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gridSpan w:val="2"/>
          </w:tcPr>
          <w:p>
            <w:pPr>
              <w:spacing w:after="0"/>
              <w:rPr>
                <w:sz w:val="24"/>
                <w:szCs w:val="24"/>
                <w:color w:val="auto"/>
              </w:rPr>
            </w:pPr>
          </w:p>
        </w:tc>
        <w:tc>
          <w:tcPr>
            <w:tcW w:w="5280" w:type="dxa"/>
            <w:vAlign w:val="bottom"/>
            <w:gridSpan w:val="19"/>
          </w:tcPr>
          <w:p>
            <w:pPr>
              <w:jc w:val="right"/>
              <w:ind w:right="6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20" w:type="dxa"/>
            <w:vAlign w:val="bottom"/>
          </w:tcPr>
          <w:p>
            <w:pPr>
              <w:jc w:val="center"/>
              <w:ind w:left="23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tcPr>
          <w:p>
            <w:pPr>
              <w:ind w:left="140"/>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20" w:type="dxa"/>
            <w:vAlign w:val="bottom"/>
          </w:tcPr>
          <w:p>
            <w:pPr>
              <w:jc w:val="center"/>
              <w:ind w:left="2410"/>
              <w:spacing w:after="0"/>
              <w:rPr>
                <w:sz w:val="20"/>
                <w:szCs w:val="20"/>
                <w:color w:val="auto"/>
              </w:rPr>
            </w:pPr>
            <w:r>
              <w:rPr>
                <w:rFonts w:ascii="Arial" w:cs="Arial" w:eastAsia="Arial" w:hAnsi="Arial"/>
                <w:sz w:val="18"/>
                <w:szCs w:val="18"/>
                <w:b w:val="1"/>
                <w:bCs w:val="1"/>
                <w:color w:val="auto"/>
                <w:w w:val="98"/>
              </w:rPr>
              <w:t>PLAINS GP HOLDINGS, L.P. AND SUBSIDIARIES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2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20" w:type="dxa"/>
            <w:vAlign w:val="bottom"/>
          </w:tcPr>
          <w:p>
            <w:pPr>
              <w:jc w:val="center"/>
              <w:ind w:left="2410"/>
              <w:spacing w:after="0"/>
              <w:rPr>
                <w:sz w:val="20"/>
                <w:szCs w:val="20"/>
                <w:color w:val="auto"/>
              </w:rPr>
            </w:pPr>
            <w:r>
              <w:rPr>
                <w:rFonts w:ascii="Arial" w:cs="Arial" w:eastAsia="Arial" w:hAnsi="Arial"/>
                <w:sz w:val="18"/>
                <w:szCs w:val="18"/>
                <w:b w:val="1"/>
                <w:bCs w:val="1"/>
                <w:color w:val="auto"/>
                <w:w w:val="88"/>
              </w:rPr>
              <w:t>(in millions, except shares)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Inventory</w:t>
            </w: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12,905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Short-term debt</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$14 and $15,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Class A Shareholders (135,833,637 and 133,833,637 shares outstanding,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Class B Shareholders (470,196,136 and 472,196,136 shares outstanding,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10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0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2440" w:type="dxa"/>
            <w:vAlign w:val="bottom"/>
            <w:gridSpan w:val="2"/>
          </w:tcPr>
          <w:p>
            <w:pPr>
              <w:jc w:val="right"/>
              <w:ind w:right="67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11,346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11,684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10,670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11,192</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Interest expense (net of capitalized interest of $11 and $9, respectively)</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Basic and diluted weighted average Class A shares outstanding</w:t>
            </w:r>
          </w:p>
        </w:tc>
        <w:tc>
          <w:tcPr>
            <w:tcW w:w="1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Basic and diluted net income per Class A share</w:t>
            </w: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3" w:name="page4"/>
    <w:bookmarkEnd w:id="3"/>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38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10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1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(12)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10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Inventory valuation adjustments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(524)</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repayments under PAA senior unsecured revolving credit facility (Note 6)</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PNG credit agreement</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borrowings under AAP revolving credit facility (Note 6)</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commercial paper program (Note 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proceeds from the issuance of PAA common units (Note 8)</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noncontrolling interests related to PAA common unit issuances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Distributions paid to noncontrolling interests (Note 8)</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Class A shareholders (Note 8)</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Distributions paid to members</w:t>
            </w:r>
          </w:p>
        </w:tc>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26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paid for:</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28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Income taxes, net of amounts refunded</w:t>
            </w:r>
          </w:p>
        </w:tc>
        <w:tc>
          <w:tcPr>
            <w:tcW w:w="28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PARTNERS’ CAPITAL /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Partners’ Capital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0"/>
          </w:tcPr>
          <w:p>
            <w:pPr>
              <w:jc w:val="right"/>
              <w:ind w:right="268"/>
              <w:spacing w:after="0"/>
              <w:rPr>
                <w:sz w:val="20"/>
                <w:szCs w:val="20"/>
                <w:color w:val="auto"/>
              </w:rPr>
            </w:pPr>
            <w:r>
              <w:rPr>
                <w:rFonts w:ascii="Arial" w:cs="Arial" w:eastAsia="Arial" w:hAnsi="Arial"/>
                <w:sz w:val="14"/>
                <w:szCs w:val="14"/>
                <w:b w:val="1"/>
                <w:bCs w:val="1"/>
                <w:color w:val="auto"/>
                <w:w w:val="92"/>
              </w:rPr>
              <w:t>(Excluding Noncontrolling Interests)</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500" w:type="dxa"/>
            <w:vAlign w:val="bottom"/>
            <w:tcBorders>
              <w:bottom w:val="single" w:sz="8" w:color="auto"/>
            </w:tcBorders>
            <w:gridSpan w:val="5"/>
          </w:tcPr>
          <w:p>
            <w:pPr>
              <w:jc w:val="right"/>
              <w:ind w:right="105"/>
              <w:spacing w:after="0" w:line="142" w:lineRule="exact"/>
              <w:rPr>
                <w:sz w:val="20"/>
                <w:szCs w:val="20"/>
                <w:color w:val="auto"/>
              </w:rPr>
            </w:pPr>
            <w:r>
              <w:rPr>
                <w:rFonts w:ascii="Arial" w:cs="Arial" w:eastAsia="Arial" w:hAnsi="Arial"/>
                <w:sz w:val="14"/>
                <w:szCs w:val="14"/>
                <w:b w:val="1"/>
                <w:bCs w:val="1"/>
                <w:color w:val="auto"/>
              </w:rPr>
              <w:t>Class A</w:t>
            </w: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5"/>
              </w:rPr>
              <w:t>Class B</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6"/>
          </w:tcPr>
          <w:p>
            <w:pPr>
              <w:jc w:val="right"/>
              <w:ind w:right="168"/>
              <w:spacing w:after="0" w:line="142"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6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5"/>
          </w:tcPr>
          <w:p>
            <w:pPr>
              <w:jc w:val="right"/>
              <w:ind w:right="368"/>
              <w:spacing w:after="0" w:line="142" w:lineRule="exact"/>
              <w:rPr>
                <w:sz w:val="20"/>
                <w:szCs w:val="20"/>
                <w:color w:val="auto"/>
              </w:rPr>
            </w:pPr>
            <w:r>
              <w:rPr>
                <w:rFonts w:ascii="Arial" w:cs="Arial" w:eastAsia="Arial" w:hAnsi="Arial"/>
                <w:sz w:val="14"/>
                <w:szCs w:val="14"/>
                <w:b w:val="1"/>
                <w:bCs w:val="1"/>
                <w:color w:val="auto"/>
                <w:w w:val="95"/>
              </w:rPr>
              <w:t>Interests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7"/>
          </w:tcPr>
          <w:p>
            <w:pPr>
              <w:jc w:val="right"/>
              <w:ind w:right="7"/>
              <w:spacing w:after="0" w:line="142" w:lineRule="exact"/>
              <w:rPr>
                <w:sz w:val="20"/>
                <w:szCs w:val="20"/>
                <w:color w:val="auto"/>
              </w:rPr>
            </w:pPr>
            <w:r>
              <w:rPr>
                <w:rFonts w:ascii="Arial" w:cs="Arial" w:eastAsia="Arial" w:hAnsi="Arial"/>
                <w:sz w:val="14"/>
                <w:szCs w:val="14"/>
                <w:b w:val="1"/>
                <w:bCs w:val="1"/>
                <w:color w:val="auto"/>
              </w:rPr>
              <w:t>(unaudited)</w:t>
            </w: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1,035</w:t>
            </w:r>
          </w:p>
        </w:tc>
        <w:tc>
          <w:tcPr>
            <w:tcW w:w="3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472.2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7"/>
              </w:rPr>
              <w:t>7,244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50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358</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372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Transfer of ownership interest in connection with AAP</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unit exchanges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3"/>
          </w:tcPr>
          <w:p>
            <w:pPr>
              <w:jc w:val="right"/>
              <w:ind w:right="68"/>
              <w:spacing w:after="0"/>
              <w:rPr>
                <w:sz w:val="20"/>
                <w:szCs w:val="20"/>
                <w:color w:val="auto"/>
              </w:rPr>
            </w:pPr>
            <w:r>
              <w:rPr>
                <w:rFonts w:ascii="Arial" w:cs="Arial" w:eastAsia="Arial" w:hAnsi="Arial"/>
                <w:sz w:val="18"/>
                <w:szCs w:val="18"/>
                <w:color w:val="auto"/>
                <w:w w:val="86"/>
              </w:rPr>
              <w:t>(2.0)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Issuance of PAA common units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PAA common units under LTIP, net of units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tendered by employees to satisfy tax withholding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Equity-indexed compensation expense</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equivalent right payments</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Members’ Equity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5"/>
            <w:vMerge w:val="restart"/>
          </w:tcPr>
          <w:p>
            <w:pPr>
              <w:jc w:val="right"/>
              <w:ind w:right="428"/>
              <w:spacing w:after="0"/>
              <w:rPr>
                <w:sz w:val="20"/>
                <w:szCs w:val="20"/>
                <w:color w:val="auto"/>
              </w:rPr>
            </w:pPr>
            <w:r>
              <w:rPr>
                <w:rFonts w:ascii="Arial" w:cs="Arial" w:eastAsia="Arial" w:hAnsi="Arial"/>
                <w:sz w:val="14"/>
                <w:szCs w:val="14"/>
                <w:b w:val="1"/>
                <w:bCs w:val="1"/>
                <w:color w:val="auto"/>
                <w:w w:val="94"/>
              </w:rPr>
              <w:t>Noncontrolling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(Excluding Noncontrolling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Interests)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Members’ Equity</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6,968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534</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535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Issuance of PAA common units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3"/>
          </w:tcPr>
          <w:p>
            <w:pPr>
              <w:jc w:val="right"/>
              <w:ind w:right="108"/>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55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interests related to PAA common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 issuances</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Equity-indexed compensation expense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3"/>
          </w:tcPr>
          <w:p>
            <w:pPr>
              <w:jc w:val="right"/>
              <w:ind w:right="10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equivalent right payments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3"/>
          </w:tcPr>
          <w:p>
            <w:pPr>
              <w:jc w:val="right"/>
              <w:ind w:right="4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w:t>
      </w:r>
    </w:p>
    <w:p>
      <w:pPr>
        <w:sectPr>
          <w:pgSz w:w="11900" w:h="1690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corporation for U.S. federal income tax purposes.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completed our initial public offering (“IPO”) on October 21, 2013. Immediately prior to our IPO, certain owners of Plains AAP, L.P. (“AAP”) sold a portion of their interests in AAP to us, resulting in our ownership of AAP units, which represent limited partnership interests in AAP. As of March 31, 2014, we owned 135,833,637 AAP units (representing a 22.4% limited partner interest in AAP). AAP is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 Also, through a series of transactions prior to our IPO with our general partner and the owners of Plains All American GP LLC (“GP LLC”), a Delaware limited liability company formed on May 2, 2001, GP LLC’s general partner interest in AAP became a non-economic interest, and we became the owner of a 100% managing member interest in GP LLC. See “Basis of Consolidation and Presentation” below for the resulting accounting impacts.</w:t>
      </w:r>
    </w:p>
    <w:p>
      <w:pPr>
        <w:spacing w:after="0" w:line="17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w:t>
      </w:r>
    </w:p>
    <w:p>
      <w:pPr>
        <w:ind w:right="260"/>
        <w:spacing w:after="0" w:line="277" w:lineRule="auto"/>
        <w:rPr>
          <w:sz w:val="20"/>
          <w:szCs w:val="20"/>
          <w:color w:val="auto"/>
        </w:rPr>
      </w:pPr>
      <w:r>
        <w:rPr>
          <w:rFonts w:ascii="Arial" w:cs="Arial" w:eastAsia="Arial" w:hAnsi="Arial"/>
          <w:sz w:val="17"/>
          <w:szCs w:val="17"/>
          <w:color w:val="auto"/>
        </w:rPr>
        <w:t>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12 for further discussion of our operating segments.</w:t>
      </w:r>
    </w:p>
    <w:p>
      <w:pPr>
        <w:spacing w:after="0" w:line="17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As used in this Form 10-Q and unless the context suggests otherwise (taking into account the fact that PAGP has no operating activities apart from those conducted by PAA and its subsidiaries), the terms “PAGP,” “Partnership,” “Plains,” “we,” “us,” “our,” “ours” and similar terms refer to PAGP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AOCI</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Bcf</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Billion cubic feet</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Btu</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British thermal unit</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CAD</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Canadian dollar</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DERs</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FASB</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GAAP</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ICE</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IntercontinentalExchange</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IPO</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Initial public offering</w:t>
            </w: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00" w:type="dxa"/>
            <w:vAlign w:val="bottom"/>
          </w:tcPr>
          <w:p>
            <w:pPr>
              <w:ind w:left="3500"/>
              <w:spacing w:after="0"/>
              <w:rPr>
                <w:sz w:val="20"/>
                <w:szCs w:val="20"/>
                <w:color w:val="auto"/>
              </w:rPr>
            </w:pPr>
            <w:r>
              <w:rPr>
                <w:rFonts w:ascii="Arial" w:cs="Arial" w:eastAsia="Arial" w:hAnsi="Arial"/>
                <w:sz w:val="18"/>
                <w:szCs w:val="18"/>
                <w:color w:val="auto"/>
              </w:rPr>
              <w:t>8</w:t>
            </w:r>
          </w:p>
        </w:tc>
      </w:tr>
      <w:tr>
        <w:trPr>
          <w:trHeight w:val="132"/>
        </w:trPr>
        <w:tc>
          <w:tcPr>
            <w:tcW w:w="1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9300" w:type="dxa"/>
            <w:vAlign w:val="bottom"/>
            <w:tcBorders>
              <w:bottom w:val="single" w:sz="8" w:color="010101"/>
            </w:tcBorders>
          </w:tcPr>
          <w:p>
            <w:pPr>
              <w:spacing w:after="0"/>
              <w:rPr>
                <w:sz w:val="11"/>
                <w:szCs w:val="11"/>
                <w:color w:val="auto"/>
              </w:rPr>
            </w:pPr>
          </w:p>
        </w:tc>
      </w:tr>
      <w:tr>
        <w:trPr>
          <w:trHeight w:val="523"/>
        </w:trPr>
        <w:tc>
          <w:tcPr>
            <w:tcW w:w="15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20" w:type="dxa"/>
            <w:vAlign w:val="bottom"/>
          </w:tcPr>
          <w:p>
            <w:pPr>
              <w:spacing w:after="0"/>
              <w:rPr>
                <w:sz w:val="24"/>
                <w:szCs w:val="24"/>
                <w:color w:val="auto"/>
              </w:rPr>
            </w:pPr>
          </w:p>
        </w:tc>
        <w:tc>
          <w:tcPr>
            <w:tcW w:w="93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LIBOR</w:t>
            </w:r>
          </w:p>
        </w:tc>
        <w:tc>
          <w:tcPr>
            <w:tcW w:w="260" w:type="dxa"/>
            <w:vAlign w:val="bottom"/>
          </w:tcPr>
          <w:p>
            <w:pPr>
              <w:spacing w:after="0"/>
              <w:rPr>
                <w:sz w:val="24"/>
                <w:szCs w:val="24"/>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LTIP</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Long-term incentive plan</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Mcf</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Thousand cubic feet</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Natural gas liquids including ethane, natural gasoline products, propane and butane</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NYMEX</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PLA</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Pipeline loss allowance</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PNG</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SEC</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USD</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United States dollar</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White Cliffs</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White Cliffs Pipeline, LLC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WTI</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00" w:type="dxa"/>
            <w:vAlign w:val="bottom"/>
          </w:tcPr>
          <w:p>
            <w:pPr>
              <w:ind w:left="280"/>
              <w:spacing w:after="0"/>
              <w:rPr>
                <w:sz w:val="20"/>
                <w:szCs w:val="20"/>
                <w:color w:val="auto"/>
              </w:rPr>
            </w:pPr>
            <w:r>
              <w:rPr>
                <w:rFonts w:ascii="Arial" w:cs="Arial" w:eastAsia="Arial" w:hAnsi="Arial"/>
                <w:sz w:val="18"/>
                <w:szCs w:val="18"/>
                <w:color w:val="auto"/>
              </w:rPr>
              <w:t>West Texas Intermediate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notes thereto should be read in conjunction with our 2013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2013 was derived from audited financial statements, but does not include all disclosures required by GAAP. The results of operations for the three months ended March 31, 2014 should not be taken as indicative of results to be expected for the entire year. These financials include PAGP and all of our wholly owned subsidiaries and those entities that we control. Under GAAP, we consolidate PAA, AAP and GP LLC. Amounts associated with the interests in these entities not owned by us are reflected in our results of operations as net income attributable to noncontrolling interests and in our balance sheet partners’ capital section as noncontrolling interests.</w:t>
      </w:r>
    </w:p>
    <w:p>
      <w:pPr>
        <w:sectPr>
          <w:pgSz w:w="11900" w:h="16838" w:orient="portrait"/>
          <w:cols w:equalWidth="0" w:num="1">
            <w:col w:w="11460"/>
          </w:cols>
          <w:pgMar w:left="240" w:top="125" w:right="199" w:bottom="52" w:gutter="0" w:footer="0" w:header="0"/>
        </w:sectPr>
      </w:pPr>
    </w:p>
    <w:bookmarkStart w:id="6" w:name="page7"/>
    <w:bookmarkEnd w:id="6"/>
    <w:p>
      <w:pPr>
        <w:ind w:right="240" w:firstLine="648"/>
        <w:spacing w:after="0" w:line="279" w:lineRule="auto"/>
        <w:rPr>
          <w:sz w:val="20"/>
          <w:szCs w:val="20"/>
          <w:color w:val="auto"/>
        </w:rPr>
      </w:pPr>
      <w:r>
        <w:rPr>
          <w:rFonts w:ascii="Arial" w:cs="Arial" w:eastAsia="Arial" w:hAnsi="Arial"/>
          <w:sz w:val="17"/>
          <w:szCs w:val="17"/>
          <w:color w:val="auto"/>
        </w:rPr>
        <w:t>For periods prior to our IPO, the accompanying condensed consolidated financial statements reflect the financial statements of GP LLC, the predecessor of PAGP, and are based on the historical ownership percentages of GP LLC and AAP. These financial statements, to the extent they relate to periods prior to our IPO, have been prepared from the separate financial records maintained by GP LLC and may not necessarily be indicative of the actual results of operations that might have occurred if PAGP had operated separately during those periods.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than as discussed below and in our 2013 Annual Report on Form 10-K, no new accounting pronouncements have become effective or have been issued during the three months ended March 31, 2014 that are of significance or potential significance to us.</w:t>
      </w:r>
    </w:p>
    <w:p>
      <w:pPr>
        <w:spacing w:after="0" w:line="170"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for interim and annual periods beginning after December 15, 2013. We adopted this guidance on January 1, 2014. Our adoption did not have a material impact on our financial position, results of operations or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As of March 31, 2014 and December 31, 2013, we had received approximately $105 million and $117 million, respectively, of advance cash payments from third parties to mitigate credit risk. Furthermore, as of March 31, 2014 and December 31, 2013, we had received approximately $206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8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2014 and December 31, 2013, substantially all of our accounts receivable (net of allowance for doubtful accounts) were less than 30 days past their scheduled invoice date. Our allowance for doubtful accounts receivable totaled approximately $4 million and $5 million at March 31, 2014 and December 31, 2013, respectively. Although we consider our allowance for doubtful accounts receivable to be adequate, actual amounts could vary significantly from estimated amounts.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10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Unit of</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Price/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Volumes</w:t>
            </w:r>
          </w:p>
        </w:tc>
        <w:tc>
          <w:tcPr>
            <w:tcW w:w="8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Unit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Measure</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Measure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7,274</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88.67</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6,951</w:t>
            </w:r>
          </w:p>
        </w:tc>
        <w:tc>
          <w:tcPr>
            <w:tcW w:w="800" w:type="dxa"/>
            <w:vAlign w:val="bottom"/>
          </w:tcPr>
          <w:p>
            <w:pPr>
              <w:spacing w:after="0"/>
              <w:rPr>
                <w:sz w:val="20"/>
                <w:szCs w:val="20"/>
                <w:color w:val="auto"/>
              </w:rPr>
            </w:pPr>
            <w:r>
              <w:rPr>
                <w:rFonts w:ascii="Arial" w:cs="Arial" w:eastAsia="Arial" w:hAnsi="Arial"/>
                <w:sz w:val="18"/>
                <w:szCs w:val="18"/>
                <w:color w:val="auto"/>
              </w:rPr>
              <w:t>barrels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3,846</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8,061</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Natural gas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12,660</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Mcf</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4.82</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40,505</w:t>
            </w:r>
          </w:p>
        </w:tc>
        <w:tc>
          <w:tcPr>
            <w:tcW w:w="800" w:type="dxa"/>
            <w:vAlign w:val="bottom"/>
          </w:tcPr>
          <w:p>
            <w:pPr>
              <w:spacing w:after="0"/>
              <w:rPr>
                <w:sz w:val="20"/>
                <w:szCs w:val="20"/>
                <w:color w:val="auto"/>
              </w:rPr>
            </w:pPr>
            <w:r>
              <w:rPr>
                <w:rFonts w:ascii="Arial" w:cs="Arial" w:eastAsia="Arial" w:hAnsi="Arial"/>
                <w:sz w:val="18"/>
                <w:szCs w:val="18"/>
                <w:color w:val="auto"/>
              </w:rPr>
              <w:t>Mcf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Inventory subtotal</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Linefill and base gas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1,431</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42.63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1,341</w:t>
            </w:r>
          </w:p>
        </w:tc>
        <w:tc>
          <w:tcPr>
            <w:tcW w:w="800" w:type="dxa"/>
            <w:vAlign w:val="bottom"/>
          </w:tcPr>
          <w:p>
            <w:pPr>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25,612</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16,615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Linefill and base gas subtotal</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Long-term inventory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2,655</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2,498</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41.32</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1,161</w:t>
            </w:r>
          </w:p>
        </w:tc>
        <w:tc>
          <w:tcPr>
            <w:tcW w:w="800" w:type="dxa"/>
            <w:vAlign w:val="bottom"/>
          </w:tcPr>
          <w:p>
            <w:pPr>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Long-term inventory subtotal</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ind w:left="660" w:right="280" w:hanging="598"/>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We recorded a charge of approximately $37 million during the three months ended March 31, 2014 related to the writedown of our natural gas inventory that was purchased in conjunction with managing natural gas storage deliverability requirements during the extended period of severe cold weather in the three months ended March 31, 2014. This adjustment is a component of “Purchases and related costs” in our accompanying condensed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38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Facilities</w:t>
            </w:r>
          </w:p>
        </w:tc>
        <w:tc>
          <w:tcPr>
            <w:tcW w:w="180" w:type="dxa"/>
            <w:vAlign w:val="bottom"/>
          </w:tcPr>
          <w:p>
            <w:pPr>
              <w:spacing w:after="0"/>
              <w:rPr>
                <w:sz w:val="14"/>
                <w:szCs w:val="14"/>
                <w:color w:val="auto"/>
              </w:rPr>
            </w:pPr>
          </w:p>
        </w:tc>
        <w:tc>
          <w:tcPr>
            <w:tcW w:w="1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Supply and Logistics</w:t>
            </w:r>
          </w:p>
        </w:tc>
        <w:tc>
          <w:tcPr>
            <w:tcW w:w="1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ind w:left="160"/>
              <w:spacing w:after="0"/>
              <w:rPr>
                <w:sz w:val="20"/>
                <w:szCs w:val="20"/>
                <w:color w:val="auto"/>
              </w:rPr>
            </w:pPr>
            <w:r>
              <w:rPr>
                <w:rFonts w:ascii="Arial" w:cs="Arial" w:eastAsia="Arial" w:hAnsi="Arial"/>
                <w:sz w:val="18"/>
                <w:szCs w:val="18"/>
                <w:color w:val="auto"/>
              </w:rPr>
              <w:t>2014 Goodwill Related Activity:</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color w:val="auto"/>
              </w:rPr>
              <w:t>Balance at March 31, 2014</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6—Debt</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80" w:type="dxa"/>
            <w:vAlign w:val="bottom"/>
            <w:gridSpan w:val="5"/>
          </w:tcPr>
          <w:p>
            <w:pPr>
              <w:jc w:val="right"/>
              <w:ind w:right="50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line="216" w:lineRule="exact"/>
              <w:rPr>
                <w:sz w:val="20"/>
                <w:szCs w:val="20"/>
                <w:color w:val="auto"/>
              </w:rPr>
            </w:pPr>
            <w:r>
              <w:rPr>
                <w:rFonts w:ascii="Arial" w:cs="Arial" w:eastAsia="Arial" w:hAnsi="Arial"/>
                <w:sz w:val="18"/>
                <w:szCs w:val="18"/>
                <w:color w:val="auto"/>
                <w:w w:val="90"/>
              </w:rPr>
              <w:t xml:space="preserve">PAA commercial paper notes, bearing a weighted-average interest rate of 0.30% and 0.33%, respectively </w:t>
            </w:r>
            <w:r>
              <w:rPr>
                <w:rFonts w:ascii="Arial" w:cs="Arial" w:eastAsia="Arial" w:hAnsi="Arial"/>
                <w:sz w:val="23"/>
                <w:szCs w:val="23"/>
                <w:color w:val="auto"/>
                <w:w w:val="90"/>
                <w:vertAlign w:val="superscript"/>
              </w:rPr>
              <w:t>(1) (2)</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short-term debt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PAA senior notes, net of unamortized discounts of $14 and $15, respectively</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5"/>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0.30% </w:t>
            </w:r>
            <w:r>
              <w:rPr>
                <w:rFonts w:ascii="Arial" w:cs="Arial" w:eastAsia="Arial" w:hAnsi="Arial"/>
                <w:sz w:val="23"/>
                <w:szCs w:val="23"/>
                <w:color w:val="auto"/>
                <w:w w:val="92"/>
                <w:vertAlign w:val="superscript"/>
              </w:rPr>
              <w:t>(2)</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 and Other: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6"/>
          </w:tcPr>
          <w:p>
            <w:pPr>
              <w:ind w:left="160"/>
              <w:spacing w:after="0"/>
              <w:rPr>
                <w:sz w:val="20"/>
                <w:szCs w:val="20"/>
                <w:color w:val="auto"/>
              </w:rPr>
            </w:pPr>
            <w:r>
              <w:rPr>
                <w:rFonts w:ascii="Arial" w:cs="Arial" w:eastAsia="Arial" w:hAnsi="Arial"/>
                <w:sz w:val="18"/>
                <w:szCs w:val="18"/>
                <w:color w:val="auto"/>
                <w:w w:val="90"/>
              </w:rPr>
              <w:t>AAP term loan, bearing a weighted-average interest rate of 1.9% and 1.9%, respectively</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8"/>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AAP senior secured revolving credit facility, bearing a weighted-average interest rate of 1.9% and 2.2%,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(1) (3)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420" w:hanging="598"/>
        <w:spacing w:after="0" w:line="234" w:lineRule="auto"/>
        <w:tabs>
          <w:tab w:leader="none" w:pos="648" w:val="left"/>
        </w:tabs>
        <w:numPr>
          <w:ilvl w:val="1"/>
          <w:numId w:val="4"/>
        </w:numPr>
        <w:rPr>
          <w:rFonts w:ascii="Arial" w:cs="Arial" w:eastAsia="Arial" w:hAnsi="Arial"/>
          <w:sz w:val="23"/>
          <w:szCs w:val="23"/>
          <w:color w:val="auto"/>
          <w:vertAlign w:val="superscript"/>
        </w:rPr>
      </w:pPr>
      <w:r>
        <w:rPr>
          <w:rFonts w:ascii="Arial" w:cs="Arial" w:eastAsia="Arial" w:hAnsi="Arial"/>
          <w:sz w:val="18"/>
          <w:szCs w:val="18"/>
          <w:color w:val="auto"/>
        </w:rPr>
        <w:t>At March 31, 2014 and December 31, 2013, we classified $876 million and $1.1 billion, respectively, of borrowings under the PAA commercial paper program as short-term. These borrowings are primarily designated as working capital borrowings, must be repaid within one year and are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ind w:left="660" w:right="80" w:hanging="639"/>
        <w:spacing w:after="0" w:line="254" w:lineRule="auto"/>
        <w:tabs>
          <w:tab w:leader="none" w:pos="647"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PAA commercial paper notes are backstopped by the PAA senior unsecured revolving credit facility and the PAA senior secured hedged inventory facility, which mature in August 2018 and August 2016, respectively; as such, any borrowings under the PAA commercial paper program reduce the available capacity under these facilities. Although the PAA commercial paper notes generally have maturities of less than one year, we classified $102 million of such notes as long-term based on the ability and intent to refinance them on a long-term basis.</w:t>
      </w:r>
    </w:p>
    <w:p>
      <w:pPr>
        <w:spacing w:after="0" w:line="192" w:lineRule="exact"/>
        <w:rPr>
          <w:rFonts w:ascii="Arial" w:cs="Arial" w:eastAsia="Arial" w:hAnsi="Arial"/>
          <w:sz w:val="22"/>
          <w:szCs w:val="22"/>
          <w:color w:val="auto"/>
          <w:vertAlign w:val="superscript"/>
        </w:rPr>
      </w:pPr>
    </w:p>
    <w:p>
      <w:pPr>
        <w:ind w:left="660" w:right="60" w:hanging="639"/>
        <w:spacing w:after="0" w:line="276" w:lineRule="auto"/>
        <w:tabs>
          <w:tab w:leader="none" w:pos="64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PAA’s fixed-rate senior notes had a face value of approximately $6.7 billion at both March 31, 2014 and December 31, 2013. We estimated the aggregate fair value of these notes as of March 31, 2014 and December 31, 2013 to be approximately $7.3 billion and $7.2 billion, respectively. PAA’s fixed-rate senior notes are traded among institutions, and these trades are routinely published by a reporting service. Our determination of fair value is based on reported trading activity near quarter end. We estimate that the carrying value of outstanding borrowings under credit facilities and agreements and commercial paper program approximates fair value as interest rates reflect current market rates. The fair value estimates for both the senior notes and credit facilities are based upon observable market data and are classified within Level 2 of the fair value hierarchy.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Total borrowings under credit agreements and the commercial paper program for the three months ended March 31, 2014 and 2013 were approximately $19.2 billion and $3.2 billion, respectively. Total repayments under credit agreements and the commercial paper program were approximately $19.3 billion and $3.6 billion for the three months ended March 31, 2014 and 2013,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March 31, 2014 and December 31, 2013 we had outstanding letters of credit of approximately $70 million and $41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Senior Notes Issuance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2014, PAA completed the issuance of $700 million, 4.70% senior notes due 2044 at a public offering price of 99.734%. Interest payments are due on June 15 and December 15 of each year, commencing on December 15, 2014. In anticipation of the issuance of these senior notes, PAA entered into $250 million notional principal amount of U.S. treasury locks in March and April 2014 to hedge the treasury rate portion of the interest rate on a portion of the notes. See Note 10 for additional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Income Per Class A Share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outstanding Class A shares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weighted average number of outstanding diluted Class A shares during the period. For the purposes of the calculation of diluted net income per Class A share, both the net income attributable to PAGP and the weighted average number of outstanding diluted Class A shares consider the impact of possible future exchanges of (i) AAP units and the associated Class B shares into our Class A shares and (ii) certain AAP Management Units into our Class A shares. In addition, the calculation of the weighted average number of outstanding diluted Class A shares considers the effect of potentially dilutive awards under the Plains GP Holdings, L.P. Long-Term Incentive Plan (the “PAGP LTIP”).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AAP Management Units are considered potentially dilutive unless (i) vesting occurs only upon the satisfaction of a performance condition and</w:t>
      </w:r>
    </w:p>
    <w:p>
      <w:pPr>
        <w:spacing w:after="0" w:line="35" w:lineRule="exact"/>
        <w:rPr>
          <w:sz w:val="20"/>
          <w:szCs w:val="20"/>
          <w:color w:val="auto"/>
        </w:rPr>
      </w:pPr>
    </w:p>
    <w:p>
      <w:pPr>
        <w:jc w:val="both"/>
        <w:ind w:right="20" w:firstLine="8"/>
        <w:spacing w:after="0" w:line="281"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performance condition has yet to be satisfied. Conversions of AAP units and AAP Management Units are assumed to have occurred at the beginning of the period and the incremental income attributable to PAGP resulting from the assumed conversions is representative of the incremental income that would have been attributable to PAGP if the assumed conversions occurred on that date. Our PAGP LTIP awards that contemplate the issuance of Class A Shares are considered dilutive unless (i) vesting occurs only upon the satisfaction of a performance condition and (ii) that performance condition has yet to be satisfied.</w:t>
      </w:r>
    </w:p>
    <w:p>
      <w:pPr>
        <w:spacing w:after="0" w:line="2" w:lineRule="exact"/>
        <w:rPr>
          <w:rFonts w:ascii="Arial" w:cs="Arial" w:eastAsia="Arial" w:hAnsi="Arial"/>
          <w:sz w:val="16"/>
          <w:szCs w:val="16"/>
          <w:color w:val="auto"/>
        </w:rPr>
      </w:pPr>
    </w:p>
    <w:p>
      <w:pPr>
        <w:ind w:right="780"/>
        <w:spacing w:after="0" w:line="323" w:lineRule="auto"/>
        <w:rPr>
          <w:rFonts w:ascii="Arial" w:cs="Arial" w:eastAsia="Arial" w:hAnsi="Arial"/>
          <w:sz w:val="16"/>
          <w:szCs w:val="16"/>
          <w:color w:val="auto"/>
        </w:rPr>
      </w:pPr>
      <w:r>
        <w:rPr>
          <w:rFonts w:ascii="Arial" w:cs="Arial" w:eastAsia="Arial" w:hAnsi="Arial"/>
          <w:sz w:val="16"/>
          <w:szCs w:val="16"/>
          <w:color w:val="auto"/>
        </w:rPr>
        <w:t>PAGP LTIP awards that are deemed to be dilutive are reduced by a hypothetical share repurchase based on the remaining unamortized fair value, as prescribed by the treasury stock method in guidance issued by the FASB. All outstanding PAGP LTIP awards as of March 31, 2014 are dilutive.</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three months ended March 31, 2014, the possible conversion of any AAP units and certain AAP Management Units would have had an antidilutive effect on net income per Class A share. For the same period, our PAGP LTIP awards are dilutive; however, there are less than 0.1 million dilutive LTIP awards, which amount is not large enough to change the presentation of weighted average shares outstanding or net income per Class A share. The following table illustrates the calculation of basic net income per Class A share and diluted net income per Class A share for the three months ended March 31, 2014 (amounts in millions,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2014</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number of Class A shares outstanding</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7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three months of 2014 (in millions,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2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Paid or To Be Paid</w:t>
            </w:r>
          </w:p>
        </w:tc>
        <w:tc>
          <w:tcPr>
            <w:tcW w:w="300" w:type="dxa"/>
            <w:vAlign w:val="bottom"/>
          </w:tcPr>
          <w:p>
            <w:pPr>
              <w:spacing w:after="0"/>
              <w:rPr>
                <w:sz w:val="14"/>
                <w:szCs w:val="14"/>
                <w:color w:val="auto"/>
              </w:rPr>
            </w:pPr>
          </w:p>
        </w:tc>
        <w:tc>
          <w:tcPr>
            <w:tcW w:w="1940" w:type="dxa"/>
            <w:vAlign w:val="bottom"/>
          </w:tcPr>
          <w:p>
            <w:pPr>
              <w:jc w:val="right"/>
              <w:ind w:right="82"/>
              <w:spacing w:after="0"/>
              <w:rPr>
                <w:sz w:val="20"/>
                <w:szCs w:val="20"/>
                <w:color w:val="auto"/>
              </w:rPr>
            </w:pPr>
            <w:r>
              <w:rPr>
                <w:rFonts w:ascii="Arial" w:cs="Arial" w:eastAsia="Arial" w:hAnsi="Arial"/>
                <w:sz w:val="14"/>
                <w:szCs w:val="14"/>
                <w:b w:val="1"/>
                <w:bCs w:val="1"/>
                <w:color w:val="auto"/>
              </w:rPr>
              <w:t>Distributions Paid to</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Distributions per</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jc w:val="right"/>
              <w:ind w:right="82"/>
              <w:spacing w:after="0"/>
              <w:rPr>
                <w:sz w:val="20"/>
                <w:szCs w:val="20"/>
                <w:color w:val="auto"/>
              </w:rPr>
            </w:pPr>
            <w:r>
              <w:rPr>
                <w:rFonts w:ascii="Arial" w:cs="Arial" w:eastAsia="Arial" w:hAnsi="Arial"/>
                <w:sz w:val="14"/>
                <w:szCs w:val="14"/>
                <w:b w:val="1"/>
                <w:bCs w:val="1"/>
                <w:color w:val="auto"/>
              </w:rPr>
              <w:t>Class A Shareholders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 xml:space="preserve">Class A Share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15, 2014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76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3020" w:type="dxa"/>
            <w:vAlign w:val="bottom"/>
          </w:tcPr>
          <w:p>
            <w:pPr>
              <w:ind w:left="20"/>
              <w:spacing w:after="0"/>
              <w:rPr>
                <w:sz w:val="20"/>
                <w:szCs w:val="20"/>
                <w:color w:val="auto"/>
              </w:rPr>
            </w:pPr>
            <w:r>
              <w:rPr>
                <w:rFonts w:ascii="Arial" w:cs="Arial" w:eastAsia="Arial" w:hAnsi="Arial"/>
                <w:sz w:val="18"/>
                <w:szCs w:val="18"/>
                <w:color w:val="auto"/>
              </w:rPr>
              <w:t>9, 2014</w:t>
            </w:r>
          </w:p>
        </w:tc>
        <w:tc>
          <w:tcPr>
            <w:tcW w:w="2580" w:type="dxa"/>
            <w:vAlign w:val="bottom"/>
            <w:gridSpan w:val="2"/>
          </w:tcPr>
          <w:p>
            <w:pPr>
              <w:ind w:left="300"/>
              <w:spacing w:after="0"/>
              <w:rPr>
                <w:sz w:val="20"/>
                <w:szCs w:val="20"/>
                <w:color w:val="auto"/>
              </w:rPr>
            </w:pPr>
            <w:r>
              <w:rPr>
                <w:rFonts w:ascii="Arial" w:cs="Arial" w:eastAsia="Arial" w:hAnsi="Arial"/>
                <w:sz w:val="18"/>
                <w:szCs w:val="18"/>
                <w:color w:val="auto"/>
              </w:rPr>
              <w:t>February 14, 2014</w:t>
            </w:r>
          </w:p>
        </w:tc>
        <w:tc>
          <w:tcPr>
            <w:tcW w:w="2240" w:type="dxa"/>
            <w:vAlign w:val="bottom"/>
            <w:gridSpan w:val="2"/>
          </w:tcPr>
          <w:p>
            <w:pPr>
              <w:jc w:val="right"/>
              <w:ind w:right="1762"/>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0.12505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Payable to shareholders of record at the close of business on May 2, 2014, for the period January 1, 2014 through March 31, 2014.</w:t>
      </w:r>
    </w:p>
    <w:p>
      <w:pPr>
        <w:spacing w:after="0" w:line="225"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The distribution per Class A share paid on February 14, 2014 was prorated for the partial quarter following the closing of our IPO on October 21, 2013.</w:t>
      </w:r>
    </w:p>
    <w:p>
      <w:pPr>
        <w:spacing w:after="0" w:line="17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2014, noncontrolling interests in subsidiaries consisted of the following: (i) a 98% limited partner interest in PAA, (ii) an approximate 78% limited partner interest in AAP that consists of Class A units and AAP Management Units (a profits interest) and (iii) a 25% interest in SLC Pipeline LLC.</w:t>
      </w:r>
    </w:p>
    <w:p>
      <w:pPr>
        <w:sectPr>
          <w:pgSz w:w="11900" w:h="16838" w:orient="portrait"/>
          <w:cols w:equalWidth="0" w:num="1">
            <w:col w:w="11420"/>
          </w:cols>
          <w:pgMar w:left="240" w:top="125" w:right="239" w:bottom="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details the distributions PAA paid during or pertaining to the first three months of 2014, net of incentive distribution reductions (in millions, except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Distributions Paid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Distributions</w:t>
            </w:r>
          </w:p>
        </w:tc>
      </w:tr>
      <w:tr>
        <w:trPr>
          <w:trHeight w:val="142"/>
        </w:trPr>
        <w:tc>
          <w:tcPr>
            <w:tcW w:w="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756"/>
              <w:spacing w:after="0" w:line="142" w:lineRule="exact"/>
              <w:rPr>
                <w:sz w:val="20"/>
                <w:szCs w:val="20"/>
                <w:color w:val="auto"/>
              </w:rPr>
            </w:pPr>
            <w:r>
              <w:rPr>
                <w:rFonts w:ascii="Arial" w:cs="Arial" w:eastAsia="Arial" w:hAnsi="Arial"/>
                <w:sz w:val="14"/>
                <w:szCs w:val="14"/>
                <w:b w:val="1"/>
                <w:bCs w:val="1"/>
                <w:color w:val="auto"/>
              </w:rPr>
              <w:t>AAP</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per limited</w:t>
            </w:r>
          </w:p>
        </w:tc>
      </w:tr>
      <w:tr>
        <w:trPr>
          <w:trHeight w:val="142"/>
        </w:trPr>
        <w:tc>
          <w:tcPr>
            <w:tcW w:w="2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rPr>
              <w:t>Date Paid or To Be Paid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2"/>
                <w:szCs w:val="12"/>
                <w:color w:val="auto"/>
              </w:rPr>
            </w:pPr>
          </w:p>
        </w:tc>
        <w:tc>
          <w:tcPr>
            <w:tcW w:w="11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Incentive</w:t>
            </w:r>
          </w:p>
        </w:tc>
        <w:tc>
          <w:tcPr>
            <w:tcW w:w="8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15, 2014 </w:t>
            </w:r>
            <w:r>
              <w:rPr>
                <w:rFonts w:ascii="Arial" w:cs="Arial" w:eastAsia="Arial" w:hAnsi="Arial"/>
                <w:sz w:val="23"/>
                <w:szCs w:val="23"/>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1700" w:type="dxa"/>
            <w:vAlign w:val="bottom"/>
          </w:tcPr>
          <w:p>
            <w:pPr>
              <w:ind w:left="20"/>
              <w:spacing w:after="0"/>
              <w:rPr>
                <w:sz w:val="20"/>
                <w:szCs w:val="20"/>
                <w:color w:val="auto"/>
              </w:rPr>
            </w:pPr>
            <w:r>
              <w:rPr>
                <w:rFonts w:ascii="Arial" w:cs="Arial" w:eastAsia="Arial" w:hAnsi="Arial"/>
                <w:sz w:val="18"/>
                <w:szCs w:val="18"/>
                <w:color w:val="auto"/>
              </w:rPr>
              <w:t>9, 2014</w:t>
            </w:r>
          </w:p>
        </w:tc>
        <w:tc>
          <w:tcPr>
            <w:tcW w:w="2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February 14, 2014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May 2, 2014, for the period January 1, 2014 through March 31, 2014.</w:t>
      </w:r>
    </w:p>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February 14, 2014, AAP distributed approximately $104 million of the distributions received from PAA, net of cash reserves of approximately $3 million, to its partners. The distribution was prorated as of the date of the consummation of our IPO, such that the owners of AAP prior to our IPO received the portion of the distribution attributable to the period of the fourth quarter of 2013 prior to our IPO, and the owners of AAP at the date of record of January 31, 2014, including us, received the portion of the distribution attributable to the period beginning on the date of our IPO through the end of the fourth quarter of 2013. Of the $104 million distributed by AAP, approximately $87 million was paid to noncontrolling interests.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May 15, 2014, AAP will distribute approximately $111 million of the distributions it receives from PAA, net of cash reserves of approximately $4 million, to its partners as of the date of record of May 2, 2014. Of the $111 million to be distributed by AAP, approximately $88 million will be paid to noncontrolling interests.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during the three months ended March 31, 2014, distributions of approximately $1 million were paid to noncontrolling interests in SLC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Pipeline.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Continuous Offering Program</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three months ended March 31, 2014, PAA sold an aggregate of approximately 2.8 million common units under its continuous offering program, generating proceeds of approximately $148 million, net of offering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refer to the PAGP LTIP, PAA LTIPs and AAP Management Units collectively as our “Equity-indexed compensation plans.” For additional discussion of our equity-indexed compensation plans and awards, see Note 15 to our Consolidated Financial Statements included in Part IV of our 2013 Annual Report on Form 10-K.</w:t>
      </w:r>
    </w:p>
    <w:p>
      <w:pPr>
        <w:spacing w:after="0" w:line="18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connection with our IPO in October 2013, our general partner adopted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10 million Class A shares deliverable upon vesting. In February 2014, an aggregate of 83,200 phantom Class A shares were issued to our directors, resulting in expense of less than $1 million for the three months ended March 31, 2014. These awards will vest annually in 25% increments and have an automatic re-grant feature such that as they vest, an equivalent amount is granted.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Equity-indexed compensation activity for PAA and PAGP LTIP awards is summarized in the following table (units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9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xml:space="preserve">PAGP Shares </w:t>
            </w:r>
            <w:r>
              <w:rPr>
                <w:rFonts w:ascii="Arial" w:cs="Arial" w:eastAsia="Arial" w:hAnsi="Arial"/>
                <w:sz w:val="8"/>
                <w:szCs w:val="8"/>
                <w:b w:val="1"/>
                <w:bCs w:val="1"/>
                <w:color w:val="auto"/>
              </w:rPr>
              <w:t>(1)</w:t>
            </w: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Fair Value per Unit</w:t>
            </w:r>
          </w:p>
        </w:tc>
        <w:tc>
          <w:tcPr>
            <w:tcW w:w="1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45.02</w:t>
            </w: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0.6</w:t>
            </w:r>
          </w:p>
        </w:tc>
        <w:tc>
          <w:tcPr>
            <w:tcW w:w="3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2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38.07</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2014</w:t>
            </w: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37.55</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ind w:left="20" w:hanging="11"/>
        <w:spacing w:after="0" w:line="264" w:lineRule="auto"/>
        <w:rPr>
          <w:sz w:val="20"/>
          <w:szCs w:val="20"/>
          <w:color w:val="auto"/>
        </w:rPr>
      </w:pPr>
      <w:r>
        <w:rPr>
          <w:rFonts w:ascii="Arial" w:cs="Arial" w:eastAsia="Arial" w:hAnsi="Arial"/>
          <w:sz w:val="18"/>
          <w:szCs w:val="18"/>
          <w:color w:val="auto"/>
        </w:rPr>
        <w:t>Approximately 0.1 million PAA common units were issued net of tax withholding of less than 0.1 million units during the three months ended March 31, 2014 in connection with the settlement of vested awards. The remaining PAA awards that vested during the three months ended March 31, 2014 (less than 0.1 million units) were settled in cash.</w:t>
      </w:r>
    </w:p>
    <w:p>
      <w:pPr>
        <w:spacing w:after="0" w:line="181"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contains a summary of AAP Management Units (in millions):</w:t>
      </w:r>
    </w:p>
    <w:p>
      <w:pPr>
        <w:spacing w:after="0" w:line="204"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62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w w:val="93"/>
              </w:rPr>
              <w:t>Reserved for Future</w:t>
            </w:r>
          </w:p>
        </w:tc>
        <w:tc>
          <w:tcPr>
            <w:tcW w:w="154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 Units</w:t>
            </w:r>
          </w:p>
        </w:tc>
        <w:tc>
          <w:tcPr>
            <w:tcW w:w="2380" w:type="dxa"/>
            <w:vAlign w:val="bottom"/>
          </w:tcPr>
          <w:p>
            <w:pPr>
              <w:jc w:val="center"/>
              <w:ind w:left="32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5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Outstanding</w:t>
            </w:r>
          </w:p>
        </w:tc>
        <w:tc>
          <w:tcPr>
            <w:tcW w:w="1940" w:type="dxa"/>
            <w:vAlign w:val="bottom"/>
            <w:vMerge w:val="continue"/>
          </w:tcPr>
          <w:p>
            <w:pPr>
              <w:spacing w:after="0"/>
              <w:rPr>
                <w:sz w:val="12"/>
                <w:szCs w:val="12"/>
                <w:color w:val="auto"/>
              </w:rPr>
            </w:pPr>
          </w:p>
        </w:tc>
        <w:tc>
          <w:tcPr>
            <w:tcW w:w="238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6"/>
              </w:rPr>
              <w:t>Fair Value Of Outstanding AAP</w:t>
            </w:r>
          </w:p>
        </w:tc>
        <w:tc>
          <w:tcPr>
            <w:tcW w:w="0" w:type="dxa"/>
            <w:vAlign w:val="bottom"/>
          </w:tcPr>
          <w:p>
            <w:pPr>
              <w:spacing w:after="0"/>
              <w:rPr>
                <w:sz w:val="1"/>
                <w:szCs w:val="1"/>
                <w:color w:val="auto"/>
              </w:rPr>
            </w:pPr>
          </w:p>
        </w:tc>
      </w:tr>
      <w:tr>
        <w:trPr>
          <w:trHeight w:val="186"/>
        </w:trPr>
        <w:tc>
          <w:tcPr>
            <w:tcW w:w="1620" w:type="dxa"/>
            <w:vAlign w:val="bottom"/>
          </w:tcPr>
          <w:p>
            <w:pPr>
              <w:jc w:val="center"/>
              <w:ind w:right="328"/>
              <w:spacing w:after="0"/>
              <w:rPr>
                <w:sz w:val="20"/>
                <w:szCs w:val="20"/>
                <w:color w:val="auto"/>
              </w:rPr>
            </w:pPr>
            <w:r>
              <w:rPr>
                <w:rFonts w:ascii="Arial" w:cs="Arial" w:eastAsia="Arial" w:hAnsi="Arial"/>
                <w:sz w:val="14"/>
                <w:szCs w:val="14"/>
                <w:b w:val="1"/>
                <w:bCs w:val="1"/>
                <w:color w:val="auto"/>
                <w:w w:val="92"/>
              </w:rPr>
              <w:t>Grants</w:t>
            </w:r>
          </w:p>
        </w:tc>
        <w:tc>
          <w:tcPr>
            <w:tcW w:w="1540" w:type="dxa"/>
            <w:vAlign w:val="bottom"/>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Earned</w:t>
            </w:r>
          </w:p>
        </w:tc>
        <w:tc>
          <w:tcPr>
            <w:tcW w:w="238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 xml:space="preserve">Management Units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81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16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p>
      <w:pPr>
        <w:spacing w:after="0"/>
        <w:tabs>
          <w:tab w:leader="none" w:pos="4740" w:val="left"/>
          <w:tab w:leader="none" w:pos="6200" w:val="left"/>
          <w:tab w:leader="none" w:pos="8100" w:val="left"/>
          <w:tab w:leader="none" w:pos="8680" w:val="left"/>
          <w:tab w:leader="none" w:pos="11120" w:val="left"/>
        </w:tabs>
        <w:rPr>
          <w:sz w:val="20"/>
          <w:szCs w:val="20"/>
          <w:color w:val="auto"/>
        </w:rPr>
      </w:pPr>
      <w:r>
        <w:rPr>
          <w:rFonts w:ascii="Arial" w:cs="Arial" w:eastAsia="Arial" w:hAnsi="Arial"/>
          <w:sz w:val="18"/>
          <w:szCs w:val="18"/>
          <w:color w:val="auto"/>
        </w:rPr>
        <w:t>Balance as of December 31, 2013</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48.6</w:t>
      </w:r>
      <w:r>
        <w:rPr>
          <w:sz w:val="20"/>
          <w:szCs w:val="20"/>
          <w:color w:val="auto"/>
        </w:rPr>
        <w:tab/>
      </w:r>
      <w:r>
        <w:rPr>
          <w:rFonts w:ascii="Arial" w:cs="Arial" w:eastAsia="Arial" w:hAnsi="Arial"/>
          <w:sz w:val="18"/>
          <w:szCs w:val="18"/>
          <w:color w:val="auto"/>
        </w:rPr>
        <w:t>47.0</w:t>
        <w:tab/>
        <w:t>$</w:t>
      </w:r>
      <w:r>
        <w:rPr>
          <w:sz w:val="20"/>
          <w:szCs w:val="20"/>
          <w:color w:val="auto"/>
        </w:rPr>
        <w:tab/>
      </w:r>
      <w:r>
        <w:rPr>
          <w:rFonts w:ascii="Arial" w:cs="Arial" w:eastAsia="Arial" w:hAnsi="Arial"/>
          <w:sz w:val="16"/>
          <w:szCs w:val="16"/>
          <w:color w:val="auto"/>
        </w:rPr>
        <w:t>51</w:t>
      </w:r>
    </w:p>
    <w:p>
      <w:pPr>
        <w:sectPr>
          <w:pgSz w:w="11900" w:h="16838" w:orient="portrait"/>
          <w:cols w:equalWidth="0" w:num="1">
            <w:col w:w="11420"/>
          </w:cols>
          <w:pgMar w:left="240" w:top="121"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 as of March 31, 2014</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328"/>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the grant date fair value, approximately $1 million was recognized as expense during the three months ended March 31, 2014. Of the $62 million grant date fair value, approximately $50 million had been recognized through March 31, 2014.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Equity-Indexed Compensation Information</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table below summarizes the expense recognized and the value of vesting (settled both in PAA common units and cash) related to our equity-indexed compensation plans and includes both liability-classified and equity-classified awards (in millions):</w:t>
      </w:r>
    </w:p>
    <w:p>
      <w:pPr>
        <w:spacing w:after="0" w:line="162"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DER cash payments</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 use derivatives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risks and to optimize profits. As of March 31, 2014, net derivative positions related to these activities included:</w:t>
      </w:r>
    </w:p>
    <w:p>
      <w:pPr>
        <w:spacing w:after="0" w:line="170" w:lineRule="exact"/>
        <w:rPr>
          <w:sz w:val="20"/>
          <w:szCs w:val="20"/>
          <w:color w:val="auto"/>
        </w:rPr>
      </w:pPr>
    </w:p>
    <w:p>
      <w:pPr>
        <w:ind w:left="1460" w:right="200" w:hanging="318"/>
        <w:spacing w:after="0" w:line="277" w:lineRule="auto"/>
        <w:tabs>
          <w:tab w:leader="none" w:pos="1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of 272,000 barrels per day net long position (total of 8.2 million barrels) associated with our crude oil purchases, which was unwound ratably during April 2014 to match monthly average pricing.</w:t>
      </w:r>
    </w:p>
    <w:p>
      <w:pPr>
        <w:spacing w:after="0" w:line="170" w:lineRule="exact"/>
        <w:rPr>
          <w:rFonts w:ascii="Arial" w:cs="Arial" w:eastAsia="Arial" w:hAnsi="Arial"/>
          <w:sz w:val="18"/>
          <w:szCs w:val="18"/>
          <w:color w:val="auto"/>
        </w:rPr>
      </w:pPr>
    </w:p>
    <w:p>
      <w:pPr>
        <w:ind w:left="1460" w:right="140" w:hanging="318"/>
        <w:spacing w:after="0" w:line="286" w:lineRule="auto"/>
        <w:tabs>
          <w:tab w:leader="none" w:pos="1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A net short spread position averaging approximately 24,700 barrels per day (total of 9.8 million barrels), which hedges a portion of our anticipated crude oil lease gathering purchases through May 2015. These derivatives are time spreads consisting of offsetting purchases and sales between two different months. Our use of these derivatives does not expose us to outright price risk.</w:t>
      </w:r>
    </w:p>
    <w:p>
      <w:pPr>
        <w:spacing w:after="0" w:line="165" w:lineRule="exact"/>
        <w:rPr>
          <w:rFonts w:ascii="Arial" w:cs="Arial" w:eastAsia="Arial" w:hAnsi="Arial"/>
          <w:sz w:val="17"/>
          <w:szCs w:val="17"/>
          <w:color w:val="auto"/>
        </w:rPr>
      </w:pPr>
    </w:p>
    <w:p>
      <w:pPr>
        <w:ind w:left="1460" w:right="500" w:hanging="318"/>
        <w:spacing w:after="0" w:line="277" w:lineRule="auto"/>
        <w:tabs>
          <w:tab w:leader="none" w:pos="1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of 2,900 barrels per day (total of 1.1 million barrels) of butane/WTI spread positions, which hedge specific butane sales contracts that are priced as a percentage of WTI through March 2015.</w:t>
      </w:r>
    </w:p>
    <w:p>
      <w:pPr>
        <w:spacing w:after="0" w:line="170" w:lineRule="exact"/>
        <w:rPr>
          <w:rFonts w:ascii="Arial" w:cs="Arial" w:eastAsia="Arial" w:hAnsi="Arial"/>
          <w:sz w:val="18"/>
          <w:szCs w:val="18"/>
          <w:color w:val="auto"/>
        </w:rPr>
      </w:pPr>
    </w:p>
    <w:p>
      <w:pPr>
        <w:ind w:left="1460" w:right="200" w:hanging="318"/>
        <w:spacing w:after="0" w:line="277" w:lineRule="auto"/>
        <w:tabs>
          <w:tab w:leader="none" w:pos="1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of 19,000 barrels per day (total of 1.2 million barrels) of Brent/WTI spread positions, which hedge purchases based on WTI derived indices and sales based on Brent derived indices through June 2014.</w:t>
      </w:r>
    </w:p>
    <w:p>
      <w:pPr>
        <w:spacing w:after="0" w:line="170" w:lineRule="exact"/>
        <w:rPr>
          <w:rFonts w:ascii="Arial" w:cs="Arial" w:eastAsia="Arial" w:hAnsi="Arial"/>
          <w:sz w:val="18"/>
          <w:szCs w:val="18"/>
          <w:color w:val="auto"/>
        </w:rPr>
      </w:pPr>
    </w:p>
    <w:p>
      <w:pPr>
        <w:ind w:left="1440" w:hanging="298"/>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long position of approximately 2.1 Bcf through April 2016 related to anticipated base gas requirements.</w:t>
      </w:r>
    </w:p>
    <w:p>
      <w:pPr>
        <w:spacing w:after="0" w:line="225" w:lineRule="exact"/>
        <w:rPr>
          <w:rFonts w:ascii="Arial" w:cs="Arial" w:eastAsia="Arial" w:hAnsi="Arial"/>
          <w:sz w:val="18"/>
          <w:szCs w:val="18"/>
          <w:color w:val="auto"/>
        </w:rPr>
      </w:pPr>
    </w:p>
    <w:p>
      <w:pPr>
        <w:ind w:left="1440" w:hanging="298"/>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short position of approximately 12.6 Bcf through July 2014 related to anticipated sales of natural gas inventory.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60" w:right="260" w:hanging="318"/>
        <w:spacing w:after="0" w:line="277" w:lineRule="auto"/>
        <w:tabs>
          <w:tab w:leader="none" w:pos="1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approximately 5.0 million barrels through March 2015 related to the anticipated sales of our crude oil, NGL and refined products inventory.</w:t>
      </w:r>
    </w:p>
    <w:p>
      <w:pPr>
        <w:sectPr>
          <w:pgSz w:w="11900" w:h="16838" w:orient="portrait"/>
          <w:cols w:equalWidth="0" w:num="1">
            <w:col w:w="11420"/>
          </w:cols>
          <w:pgMar w:left="240" w:top="140" w:right="239" w:bottom="85" w:gutter="0" w:footer="0" w:header="0"/>
        </w:sectPr>
      </w:pPr>
    </w:p>
    <w:bookmarkStart w:id="11" w:name="page12"/>
    <w:bookmarkEnd w:id="11"/>
    <w:p>
      <w:pPr>
        <w:spacing w:after="0" w:line="3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Storage Capacity Utilization — </w:t>
      </w:r>
      <w:r>
        <w:rPr>
          <w:rFonts w:ascii="Arial" w:cs="Arial" w:eastAsia="Arial" w:hAnsi="Arial"/>
          <w:sz w:val="17"/>
          <w:szCs w:val="17"/>
          <w:color w:val="auto"/>
        </w:rPr>
        <w:t>We own a significant amount of crude oil, NGL and refined products storage capacity other than that used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March 31, 2014, we used derivatives to manage the risk of not utilizing approximately 0.5 million barrels of storage capacity through June 2014. These positions involve no outright price exposure, but instead enable us to profitably use the capacity to store hedged crude oil.</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March 31, 2014, our PLA hedges included a net short position for an average of approximately 1,800 barrels per day (total of 1.1 million barrels) through December 2015 and a long call option position of approximately 0.4 million barrels through December 2015.</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As part of our supply and logistics activities, we purchase natural gas for processing and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March 31, 2014, we had a long natural gas position of approximately 21.8 Bcf through December 2015, a short propane position of approximately 3.8 million barrels through December 2015, a short butane position of approximately 1.2 million barrels through December 2015 and a short WTI position of approximately 0.4 million barrels through December 2015. In addition, we had a long power position of 0.7 million megawatt hours which hedges a portion of our power supply requirements at our natural gas processing and fractionation plants through December 2016.</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All of our commodity derivatives that qualify for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March 31, 2014, AOCI includes deferred losses of approximately $83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PAA has entered into forward starting interest rate swaps to hedge the underlying benchmark interest rate related to forecasted debt issuances through 2015. The following table summarizes the terms of these forward starting interest rate swaps as of March 31, 2014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Expected</w:t>
            </w:r>
          </w:p>
        </w:tc>
        <w:tc>
          <w:tcPr>
            <w:tcW w:w="14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1"/>
              </w:rPr>
              <w:t>Average Rate</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 Employed</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Termination Date</w:t>
            </w:r>
          </w:p>
        </w:tc>
        <w:tc>
          <w:tcPr>
            <w:tcW w:w="14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Locked</w:t>
            </w:r>
          </w:p>
        </w:tc>
        <w:tc>
          <w:tcPr>
            <w:tcW w:w="1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2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10 forward starting</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6/15/2015</w:t>
            </w: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3.60</w:t>
            </w:r>
          </w:p>
        </w:tc>
        <w:tc>
          <w:tcPr>
            <w:tcW w:w="280" w:type="dxa"/>
            <w:vAlign w:val="bottom"/>
            <w:tcBorders>
              <w:top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74"/>
              </w:rPr>
              <w:t>%</w:t>
            </w: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swaps (30-year)</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anticipation of PAA’s April 2014 issuance of senior notes, PAA entered into four treasury lock agreements in March 2014 for a combined notional amount of $200 million at a locked in rate of 3.64%. In addition, PAA entered into a treasury lock agreement in April 2014 for a notional amount of $50 million. The treasury locks were designated as cash flow hedges, thus changes in fair value are deferred in AOCI. In connection with PAA’s April 2014 senior notes issuance, these treasury locks were terminated prior to maturity for an aggregate cash payment of approximately $7 million. The effective portion of the treasury locks will be deferred in AOCI and amortized to interest expense over the life of the senior notes.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As of March 31,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2014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CAD</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Average Exchange Rate USD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jc w:val="right"/>
              <w:ind w:right="175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$1.00 - $1.11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CEEFF"/>
            </w:tcBorders>
          </w:tcPr>
          <w:p>
            <w:pPr>
              <w:spacing w:after="0"/>
              <w:rPr>
                <w:sz w:val="21"/>
                <w:szCs w:val="21"/>
                <w:color w:val="auto"/>
              </w:rPr>
            </w:pPr>
          </w:p>
        </w:tc>
        <w:tc>
          <w:tcPr>
            <w:tcW w:w="2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$1.00 - $1.11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jc w:val="right"/>
              <w:ind w:right="175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$1.00 - $1.06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position by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0" w:orient="portrait"/>
          <w:cols w:equalWidth="0" w:num="1">
            <w:col w:w="11420"/>
          </w:cols>
          <w:pgMar w:left="240" w:top="125"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60"/>
              <w:spacing w:after="0"/>
              <w:rPr>
                <w:sz w:val="20"/>
                <w:szCs w:val="20"/>
                <w:color w:val="auto"/>
              </w:rPr>
            </w:pPr>
            <w:r>
              <w:rPr>
                <w:rFonts w:ascii="Arial" w:cs="Arial" w:eastAsia="Arial" w:hAnsi="Arial"/>
                <w:sz w:val="18"/>
                <w:szCs w:val="18"/>
                <w:color w:val="auto"/>
              </w:rPr>
              <w:t>2014</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3280" w:type="dxa"/>
            <w:vAlign w:val="bottom"/>
            <w:gridSpan w:val="2"/>
          </w:tcPr>
          <w:p>
            <w:pPr>
              <w:jc w:val="right"/>
              <w:ind w:right="27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5660"/>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7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3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months ended March 31, 2014 and 2013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rPr>
              <w:t>Three Months Ended March 31, 2014</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Three Months Ended March 31, 2013</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6"/>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Derivatives in Hedging</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rPr>
              <w:t>Derivatives in Hedging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15"/>
              <w:spacing w:after="0"/>
              <w:rPr>
                <w:sz w:val="20"/>
                <w:szCs w:val="20"/>
                <w:color w:val="auto"/>
              </w:rPr>
            </w:pPr>
            <w:r>
              <w:rPr>
                <w:rFonts w:ascii="Arial" w:cs="Arial" w:eastAsia="Arial" w:hAnsi="Arial"/>
                <w:sz w:val="14"/>
                <w:szCs w:val="14"/>
                <w:b w:val="1"/>
                <w:bCs w:val="1"/>
                <w:color w:val="auto"/>
                <w:w w:val="91"/>
              </w:rPr>
              <w:t>Relationships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4"/>
                <w:szCs w:val="14"/>
                <w:b w:val="1"/>
                <w:bCs w:val="1"/>
                <w:color w:val="auto"/>
                <w:w w:val="89"/>
              </w:rPr>
              <w:t>Relationships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Gain/(loss)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Gain/(loss)</w:t>
            </w:r>
          </w:p>
        </w:tc>
        <w:tc>
          <w:tcPr>
            <w:tcW w:w="8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gain/(loss)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gain/(loss)</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 a</w:t>
            </w:r>
          </w:p>
        </w:tc>
        <w:tc>
          <w:tcPr>
            <w:tcW w:w="1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AOCI into</w:t>
            </w: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as a</w:t>
            </w:r>
          </w:p>
        </w:tc>
        <w:tc>
          <w:tcPr>
            <w:tcW w:w="12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Hedge</w:t>
            </w: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Hedge</w:t>
            </w: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 segment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 segment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598"/>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2013, we reclassified a gain of approximately $2 million from AOCI to Supply and Logistics segment revenues as a result of anticipated hedged transactions that are probable of not occurring. During the three months ended March 31, 2014, all of our hedged transactions were probable of occurring.</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99"/>
              </w:rPr>
              <w:t>Asset Derivatives</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2560" w:type="dxa"/>
            <w:vAlign w:val="bottom"/>
            <w:gridSpan w:val="2"/>
          </w:tcPr>
          <w:p>
            <w:pPr>
              <w:ind w:left="700"/>
              <w:spacing w:after="0" w:line="119" w:lineRule="exact"/>
              <w:rPr>
                <w:sz w:val="20"/>
                <w:szCs w:val="20"/>
                <w:color w:val="auto"/>
              </w:rPr>
            </w:pPr>
            <w:r>
              <w:rPr>
                <w:rFonts w:ascii="Arial" w:cs="Arial" w:eastAsia="Arial" w:hAnsi="Arial"/>
                <w:sz w:val="13"/>
                <w:szCs w:val="13"/>
                <w:b w:val="1"/>
                <w:bCs w:val="1"/>
                <w:color w:val="auto"/>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2"/>
          </w:tcPr>
          <w:p>
            <w:pPr>
              <w:ind w:left="86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2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Other current assets</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5"/>
              </w:rPr>
              <w:t>Total derivatives designated as hedging instruments</w:t>
            </w:r>
          </w:p>
        </w:tc>
        <w:tc>
          <w:tcPr>
            <w:tcW w:w="240" w:type="dxa"/>
            <w:vAlign w:val="bottom"/>
            <w:tcBorders>
              <w:bottom w:val="single" w:sz="8" w:color="CCEEFF"/>
            </w:tcBorders>
          </w:tcPr>
          <w:p>
            <w:pPr>
              <w:spacing w:after="0"/>
              <w:rPr>
                <w:sz w:val="21"/>
                <w:szCs w:val="21"/>
                <w:color w:val="auto"/>
              </w:rPr>
            </w:pPr>
          </w:p>
        </w:tc>
        <w:tc>
          <w:tcPr>
            <w:tcW w:w="20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w w:val="93"/>
              </w:rPr>
              <w:t>Derivatives not designated as hedging instruments:</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3" w:name="page14"/>
    <w:bookmarkEnd w:id="1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780" w:type="dxa"/>
            <w:vAlign w:val="bottom"/>
          </w:tcPr>
          <w:p>
            <w:pPr>
              <w:ind w:left="44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7"/>
                <w:szCs w:val="17"/>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w w:val="93"/>
              </w:rPr>
              <w:t>Other long-term liabilities</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182"/>
        </w:trPr>
        <w:tc>
          <w:tcPr>
            <w:tcW w:w="6780" w:type="dxa"/>
            <w:vAlign w:val="bottom"/>
          </w:tcPr>
          <w:p>
            <w:pPr>
              <w:ind w:left="180"/>
              <w:spacing w:after="0" w:line="182" w:lineRule="exact"/>
              <w:rPr>
                <w:sz w:val="20"/>
                <w:szCs w:val="20"/>
                <w:color w:val="auto"/>
              </w:rPr>
            </w:pPr>
            <w:r>
              <w:rPr>
                <w:rFonts w:ascii="Arial" w:cs="Arial" w:eastAsia="Arial" w:hAnsi="Arial"/>
                <w:sz w:val="18"/>
                <w:szCs w:val="18"/>
                <w:color w:val="auto"/>
              </w:rPr>
              <w:t>Total derivatives not designated as hedging</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right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3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80" w:type="dxa"/>
            <w:vAlign w:val="bottom"/>
          </w:tcPr>
          <w:p>
            <w:pPr>
              <w:ind w:left="180"/>
              <w:spacing w:after="0"/>
              <w:rPr>
                <w:sz w:val="20"/>
                <w:szCs w:val="20"/>
                <w:color w:val="auto"/>
              </w:rPr>
            </w:pPr>
            <w:r>
              <w:rPr>
                <w:rFonts w:ascii="Arial" w:cs="Arial" w:eastAsia="Arial" w:hAnsi="Arial"/>
                <w:sz w:val="18"/>
                <w:szCs w:val="18"/>
                <w:color w:val="auto"/>
              </w:rPr>
              <w:t>Total derivatives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right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-745490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57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77" w:lineRule="exact"/>
        <w:rPr>
          <w:sz w:val="20"/>
          <w:szCs w:val="20"/>
          <w:color w:val="auto"/>
        </w:rPr>
      </w:pPr>
    </w:p>
    <w:p>
      <w:pPr>
        <w:ind w:left="660" w:hanging="659"/>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(70)</w:t>
      </w:r>
    </w:p>
    <w:p>
      <w:pPr>
        <w:spacing w:after="0" w:line="288" w:lineRule="exact"/>
        <w:rPr>
          <w:rFonts w:ascii="Arial" w:cs="Arial" w:eastAsia="Arial" w:hAnsi="Arial"/>
          <w:sz w:val="16"/>
          <w:szCs w:val="16"/>
          <w:color w:val="auto"/>
        </w:rPr>
      </w:pPr>
    </w:p>
    <w:p>
      <w:pPr>
        <w:ind w:left="660" w:hanging="659"/>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5657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63500</wp:posOffset>
            </wp:positionV>
            <wp:extent cx="5657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-269875</wp:posOffset>
            </wp:positionV>
            <wp:extent cx="5657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13" w:lineRule="exact"/>
        <w:rPr>
          <w:sz w:val="20"/>
          <w:szCs w:val="20"/>
          <w:color w:val="auto"/>
        </w:rPr>
      </w:pPr>
    </w:p>
    <w:p>
      <w:pPr>
        <w:sectPr>
          <w:pgSz w:w="11900" w:h="16875" w:orient="portrait"/>
          <w:cols w:equalWidth="0" w:num="2">
            <w:col w:w="9740" w:space="680"/>
            <w:col w:w="1000"/>
          </w:cols>
          <w:pgMar w:left="240" w:top="125" w:right="239" w:bottom="0" w:gutter="0" w:footer="0" w:header="0"/>
        </w:sectPr>
      </w:pPr>
    </w:p>
    <w:p>
      <w:pPr>
        <w:spacing w:after="0" w:line="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Asset Derivatives</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24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1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designated as hedging instruments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Derivatives not designated as hedging instruments:</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Total derivatives not designated as hedging instruments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18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2014, we had a net broker receivable of approximately $43 million (consisting of initial margin of $65 million reduced by $22 million of variation margin that had been returned to us). As of December 31, 2013, we had a net broker receivable of approximately $161 million (consisting of initial margin of $85 million increased by $76 million of variation margin that had been posted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702"/>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at March 31, 2014 and December 31, 2013 (in millions):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Derivative</w:t>
            </w: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Asset Positions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Asset Positions</w:t>
            </w:r>
          </w:p>
        </w:tc>
        <w:tc>
          <w:tcPr>
            <w:tcW w:w="8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Sheet Location After Netting Adjustments: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March 31, 2014, there was a net loss of approximately $89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2014, we expect to reclassify a net gain of approximately $1 million to earnings in the next twelve months. The remaining deferred loss of approximately $90 million is expected to be reclassified to earnings through 2045. A portion of these amounts are based on market prices as of March 31, 2014; thus, actual amounts to be reclassified will differ and could vary materially as a result of changes in market conditions.</w:t>
      </w:r>
    </w:p>
    <w:p>
      <w:pPr>
        <w:spacing w:after="0" w:line="178" w:lineRule="exact"/>
        <w:rPr>
          <w:sz w:val="20"/>
          <w:szCs w:val="20"/>
          <w:color w:val="auto"/>
        </w:rPr>
      </w:pPr>
    </w:p>
    <w:p>
      <w:pPr>
        <w:ind w:right="180" w:firstLine="702"/>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months ended March 31, 2014 and 2013 are as follows (in millions):</w:t>
      </w:r>
    </w:p>
    <w:p>
      <w:pPr>
        <w:sectPr>
          <w:pgSz w:w="11900" w:h="16875" w:orient="portrait"/>
          <w:cols w:equalWidth="0" w:num="1">
            <w:col w:w="11420"/>
          </w:cols>
          <w:pgMar w:left="240" w:top="125" w:right="239" w:bottom="0" w:gutter="0" w:footer="0" w:header="0"/>
          <w:type w:val="continuous"/>
        </w:sectPr>
      </w:pPr>
    </w:p>
    <w:bookmarkStart w:id="14" w:name="page15"/>
    <w:bookmarkEnd w:id="14"/>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6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72"/>
              </w:rPr>
              <w:t>(12)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(32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At March 31,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March 31, 2014 and December 31, 2013 (in millions):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March 31, 2014</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Fair Value as of December 31, 2013</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Level 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Level 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rPr>
                <w:sz w:val="20"/>
                <w:szCs w:val="20"/>
                <w:color w:val="auto"/>
              </w:rPr>
            </w:pPr>
            <w:r>
              <w:rPr>
                <w:rFonts w:ascii="Arial" w:cs="Arial" w:eastAsia="Arial" w:hAnsi="Arial"/>
                <w:sz w:val="18"/>
                <w:szCs w:val="18"/>
                <w:color w:val="auto"/>
              </w:rPr>
              <w:t>Total net derivative asset/(liability)</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4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Unrealized gains/(losses):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8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w w:val="92"/>
              </w:rPr>
              <w:t>Change in unrealized gains/(losses) included in earnings relating to level 3 derivatives still held at the end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of the periods</w:t>
            </w:r>
          </w:p>
        </w:tc>
        <w:tc>
          <w:tcPr>
            <w:tcW w:w="120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line="227" w:lineRule="auto"/>
        <w:tabs>
          <w:tab w:leader="none" w:pos="39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condensed consolidated statements of operations as Supply and Logistics segment revenues.</w:t>
      </w:r>
    </w:p>
    <w:p>
      <w:pPr>
        <w:sectPr>
          <w:pgSz w:w="11900" w:h="16838" w:orient="portrait"/>
          <w:cols w:equalWidth="0" w:num="1">
            <w:col w:w="11420"/>
          </w:cols>
          <w:pgMar w:left="240" w:top="333" w:right="239" w:bottom="0" w:gutter="0" w:footer="0" w:header="0"/>
        </w:sectPr>
      </w:pPr>
    </w:p>
    <w:bookmarkStart w:id="15" w:name="page16"/>
    <w:bookmarkEnd w:id="15"/>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firstLine="468"/>
        <w:spacing w:after="0" w:line="342" w:lineRule="auto"/>
        <w:rPr>
          <w:sz w:val="20"/>
          <w:szCs w:val="20"/>
          <w:color w:val="auto"/>
        </w:rPr>
      </w:pPr>
      <w:r>
        <w:rPr>
          <w:rFonts w:ascii="Arial" w:cs="Arial" w:eastAsia="Arial" w:hAnsi="Arial"/>
          <w:sz w:val="16"/>
          <w:szCs w:val="16"/>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 xml:space="preserve">Pemex Exploración y Producción v. Big Star Gathering Ltd L.L.P. et al (the “Big Star Lawsuit”) and Pemex Exploración y Producción v. Murphy Energy et al (the “Murphy Lawsuit”). </w:t>
      </w:r>
      <w:r>
        <w:rPr>
          <w:rFonts w:ascii="Arial" w:cs="Arial" w:eastAsia="Arial" w:hAnsi="Arial"/>
          <w:sz w:val="17"/>
          <w:szCs w:val="17"/>
          <w:color w:val="auto"/>
        </w:rPr>
        <w:t>In two cases filed in the Texas Southern District Court in May 2011 and April 2012, Pemex Exploración y Producción</w:t>
      </w:r>
      <w:r>
        <w:rPr>
          <w:rFonts w:ascii="Arial" w:cs="Arial" w:eastAsia="Arial" w:hAnsi="Arial"/>
          <w:sz w:val="17"/>
          <w:szCs w:val="17"/>
          <w:i w:val="1"/>
          <w:iCs w:val="1"/>
          <w:color w:val="auto"/>
        </w:rPr>
        <w:t xml:space="preserve"> </w:t>
      </w:r>
      <w:r>
        <w:rPr>
          <w:rFonts w:ascii="Arial" w:cs="Arial" w:eastAsia="Arial" w:hAnsi="Arial"/>
          <w:sz w:val="17"/>
          <w:szCs w:val="17"/>
          <w:color w:val="auto"/>
        </w:rPr>
        <w:t>(“PEP”)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Murphy Lawsuit. In October 2013, the Court issued an order in the Big Star Lawsuit granting summary judgment in favor of Plains Marketing, L.P. with respect to all of PEP’s remaining claims against Plains Marketing, L.P. In February 2014, the Court affirmed its order granting summary judgment in favor of Plains Marketing, L.P.in the Big Star Lawsuit, denied PEP’s motion for reconsideration, severed the case against Plains from the other defendants and issued a final judgment dismissing all claims against Plains. The time for PEP to appeal the final judgment in the Big Star case has lapsed. Plains’ motion to sever Plains from the remainder of the defendants in the Murphy Lawsuit in order to obtain a final judgment is pending.</w:t>
      </w:r>
    </w:p>
    <w:p>
      <w:pPr>
        <w:spacing w:after="0" w:line="18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PNG Merger. </w:t>
      </w:r>
      <w:r>
        <w:rPr>
          <w:rFonts w:ascii="Arial" w:cs="Arial" w:eastAsia="Arial" w:hAnsi="Arial"/>
          <w:sz w:val="16"/>
          <w:szCs w:val="16"/>
          <w:color w:val="auto"/>
        </w:rPr>
        <w:t>Purported class action lawsuits were filed on behalf of PNG unitholders challenging the PNG Merger. Two lawsuits were filed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Court of Chancery in September 2013 and were consolidated under the caption In re PAA Natural Gas Storage, Limited Partnership Unitholder Litigation, C.A. No. 8908-VCL (which we refer to as the Consolidated Delaware Action). Two lawsuits were filed in Texas state court in September 2013 and were consolidated under the caption Vicars v. PNGS GP, LLC, et al., Cause No. 2013-52687 (Tex. Dist. Ct. Harris County) (which we refer to as the Consolidated Texas Action). Four lawsuits were filed in Texas federal court in October 2013 and were consolidated under the caption The DuckPond Trust, et al., v. PAA Natural Gas Storage, LP., et al., 4:13-cv-03170 (S.D. Tex.) (which we refer to as the Consolidated Federal Action).</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Plaintiffs in these Actions generally alleged that (i) the individual defendants breached fiduciary duties owed to PNG unitholders; (ii) the PNG Merger unfairly benefitted certain members of PNG’s board of directors; and (iii) PNG’s general partner, PNG and other of our affiliates aided and abetted the alleged fiduciary breaches by the individual defendants. In addition, the Consolidated Texas Action included purported derivative claims on behalf of PNG based on the alleged breaches of duties by the individual defendants. All of the PNG unitholder suits were voluntarily dismissed by the plaintiffs with no settlement payments or concessions by PNG.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At March 31, 2014, our estimated undiscounted reserve for environmental liabilities totaled approximately $91 million, of which approximately $12 million was classified as short-term and approximately $79 million was classified as long-term. At December 31, 2013, our estimated undiscounted reserve for environmental liabilities totaled approximately $93 million, of which approximately $11 million was classified as short-term and approximately $82 million was classified as long-term. The short- and long-term environmental liabilities referenced above are reflected in “Accounts payable and accrued liabilities” and “Other long-term liabilities and deferred credits,” respectively, on our condensed consolidated balance sheets. At both March 31, 2014 and December 31, 2013, we had recorded receivables totaling approximately $10 million for amounts probable of recovery under insurance and from third parties under indemnification agreements, which are predominantly reflected in “Trade accounts receivable and other receivables, net” on our condensed consolidated balance sheets.</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Rainbow Pipeline Release. </w:t>
      </w:r>
      <w:r>
        <w:rPr>
          <w:rFonts w:ascii="Arial" w:cs="Arial" w:eastAsia="Arial" w:hAnsi="Arial"/>
          <w:sz w:val="16"/>
          <w:szCs w:val="16"/>
          <w:color w:val="auto"/>
        </w:rPr>
        <w:t>During April 2011, we experienced a crude oil release of approximately 28,000 barrels of crude oil on a remote section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Rainbow Pipeline located in Alberta, Canada. Since the release and through March 31, 2014, we spent approximately $70 million, before insurance</w:t>
      </w:r>
    </w:p>
    <w:p>
      <w:pPr>
        <w:sectPr>
          <w:pgSz w:w="11900" w:h="16975" w:orient="portrait"/>
          <w:cols w:equalWidth="0" w:num="1">
            <w:col w:w="11400"/>
          </w:cols>
          <w:pgMar w:left="240" w:top="341" w:right="259" w:bottom="0" w:gutter="0" w:footer="0" w:header="0"/>
        </w:sectPr>
      </w:pPr>
    </w:p>
    <w:bookmarkStart w:id="16" w:name="page17"/>
    <w:bookmarkEnd w:id="16"/>
    <w:p>
      <w:pPr>
        <w:spacing w:after="0" w:line="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recoveries, in connection with site clean-up, reclamation and remediation activities, and as of March 31, 2014, we did not have any material outstanding liabilities or insurance receivables relating to this release. On February 26, 2013, the Alberta Energy Regulator (“AER”) issued four enforcement actions against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w:t>
      </w:r>
    </w:p>
    <w:p>
      <w:pPr>
        <w:spacing w:after="0" w:line="18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Rangeland Pipeline Release. </w:t>
      </w:r>
      <w:r>
        <w:rPr>
          <w:rFonts w:ascii="Arial" w:cs="Arial" w:eastAsia="Arial" w:hAnsi="Arial"/>
          <w:sz w:val="17"/>
          <w:szCs w:val="17"/>
          <w:color w:val="auto"/>
        </w:rPr>
        <w:t>During June 2012, we experienced a crude oil release on a section of our Rangeland Pipeline located near Sundre,</w:t>
      </w:r>
      <w:r>
        <w:rPr>
          <w:rFonts w:ascii="Arial" w:cs="Arial" w:eastAsia="Arial" w:hAnsi="Arial"/>
          <w:sz w:val="17"/>
          <w:szCs w:val="17"/>
          <w:i w:val="1"/>
          <w:iCs w:val="1"/>
          <w:color w:val="auto"/>
        </w:rPr>
        <w:t xml:space="preserve"> </w:t>
      </w:r>
      <w:r>
        <w:rPr>
          <w:rFonts w:ascii="Arial" w:cs="Arial" w:eastAsia="Arial" w:hAnsi="Arial"/>
          <w:sz w:val="17"/>
          <w:szCs w:val="17"/>
          <w:color w:val="auto"/>
        </w:rPr>
        <w:t>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A long-term monitoring plan has been developed and implemented in accordance with regulatory requirements. Through March 31, 2014, we spent approximately $46 million, before insurance recoveries, in connection with site clean-up, reclamation and remediation activities.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To date, no charges, fines or penalties have been assessed against PMC with respect to this release; however, it is possible that fines or penalties may be assessed against PMC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Bay Springs Pipeline Release </w:t>
      </w:r>
      <w:r>
        <w:rPr>
          <w:rFonts w:ascii="Arial" w:cs="Arial" w:eastAsia="Arial" w:hAnsi="Arial"/>
          <w:sz w:val="18"/>
          <w:szCs w:val="18"/>
          <w:color w:val="auto"/>
        </w:rPr>
        <w:t>During February 2013, we experienced a crude oil release of approximately 120 barrels on a portion of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w:t>
      </w:r>
    </w:p>
    <w:p>
      <w:pPr>
        <w:spacing w:after="0" w:line="18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Kemp River Pipeline Release. </w:t>
      </w:r>
      <w:r>
        <w:rPr>
          <w:rFonts w:ascii="Arial" w:cs="Arial" w:eastAsia="Arial" w:hAnsi="Arial"/>
          <w:sz w:val="16"/>
          <w:szCs w:val="16"/>
          <w:color w:val="auto"/>
        </w:rPr>
        <w:t>During May and June 2013, two separate releases were discovered on our Kemp River pipeline in Northern Alberta,</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that, in the aggregate, resulted in the release of approximately 700 barrels of condensate and light crude oil. Clean-up and remediation activities are being conducted in cooperation with the applicable regulatory agencies. AER’s final investigation is not complete. To date, no charges, fines or penalties have been assessed against PMC with respect to this release; however, it is possible that fines or penalties may be assessed against PMC in the future. We estimate that the aggregate clean-up and remediation costs associated with these releases will be approximately $15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Segments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2014</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line="216"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Three Months Ended March 31, 2013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10,224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 (4)</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434</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3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0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24" w:lineRule="exact"/>
        <w:rPr>
          <w:sz w:val="20"/>
          <w:szCs w:val="20"/>
          <w:color w:val="auto"/>
        </w:rPr>
      </w:pPr>
    </w:p>
    <w:p>
      <w:pPr>
        <w:ind w:right="20" w:hanging="11"/>
        <w:spacing w:after="0" w:line="264"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2013 Annual Report on Form 10-K.</w:t>
      </w:r>
    </w:p>
    <w:p>
      <w:pPr>
        <w:sectPr>
          <w:pgSz w:w="11900" w:h="16931" w:orient="portrait"/>
          <w:cols w:equalWidth="0" w:num="2">
            <w:col w:w="140" w:space="520"/>
            <w:col w:w="10760"/>
          </w:cols>
          <w:pgMar w:left="240" w:top="125" w:right="239" w:bottom="0" w:gutter="0" w:footer="0" w:header="0"/>
          <w:type w:val="continuous"/>
        </w:sectPr>
      </w:pPr>
    </w:p>
    <w:bookmarkStart w:id="17" w:name="page18"/>
    <w:bookmarkEnd w:id="17"/>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20" w:right="4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approximately $2 million and $5 million for the three months ended March 31,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profit to net income attributable to PAGP (in millions):</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341" w:right="199" w:bottom="5"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Three Months</w:t>
      </w:r>
    </w:p>
    <w:p>
      <w:pPr>
        <w:jc w:val="center"/>
        <w:ind w:left="72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PAGP</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March 31, 2014, a subsidiary of Occidental Petroleum Corporation (“Oxy”) owned approximately 25% of the limited partner interests in AAP and had a representative on the board of directors of GP LLC and our general partner. During the three months ended March 31, 2014 and 2013, we recognized sales and transportation revenues and purchased petroleum products from companies affiliated with Oxy. These transactions were conducted at posted tariff rates or prices that we believe approximate market. See detail below (in millions):</w:t>
      </w:r>
    </w:p>
    <w:p>
      <w:pPr>
        <w:spacing w:after="0" w:line="17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00" w:type="dxa"/>
            <w:vAlign w:val="bottom"/>
          </w:tcPr>
          <w:p>
            <w:pPr>
              <w:jc w:val="right"/>
              <w:ind w:right="165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following discussion is intended to provide investors with an understanding of our financial condition and results of our operations, including periods prior to the closing of our IPO on October 21, 2013. Such analysis should be read in conjunction with our historical Consolidated Financial Statements and accompanying notes and Management’s Discussion and Analysis of Financial Condition and Results of Operations as presented in our 2013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ectPr>
          <w:pgSz w:w="11900" w:h="16838" w:orient="portrait"/>
          <w:cols w:equalWidth="0" w:num="1">
            <w:col w:w="11460"/>
          </w:cols>
          <w:pgMar w:left="240" w:top="341" w:right="199" w:bottom="5" w:gutter="0" w:footer="0" w:header="0"/>
          <w:type w:val="continuous"/>
        </w:sectPr>
      </w:pPr>
    </w:p>
    <w:bookmarkStart w:id="18" w:name="page19"/>
    <w:bookmarkEnd w:id="18"/>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a Delaware limited partnership formed on July 17, 2013 to own an interest in the general partner and incentive distribution rights (“IDRs”) of Plains All American Pipeline, L.P (“PAA”), a publicly traded Delaware limited partnership. Although we were formed as a limited partnership, we have elected to be taxed as a corporation for United States federal income tax purposes. As of March 31, 2014, we owned a 22.4% limited partner interest in AAP,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Since we are the managing member of and control GP LLC, which in turn effectively controls PAA, we reflect our ownership in PAA and its subsidiaries on a consolidated basis in accordance with generally accepted accounting principles. Accordingly, our financial results are combined with those of GP LLC and PAA as well as with their subsidiaries. As such, our results of operations as discussed below do not differ materially from the results of operations of PAA.</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 PAA owns an extensive network of pipeline transportation, terminalling, storage, and gathering assets in key crude oil and NGL producing basins and transportation corridors and at major market hubs in the United States and Canada.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During the first three months of 2014, net income was approximately $372 million, as compared to net income of approximately $535 million recognized during the first three months of 2013. This decrease was primarily driven by less favorable crude oil market conditions experienced during the comparable 2014 period, which provided fewer opportunities for above-baseline crude oil margins in our Supply and Logistics segment. In addition, our Facilities and Supply and Logistics segments were negatively impacted by costs incurred in our natural gas storage activities to manage deliverability requirements in conjunction with the severe cold weather experienced during the first quarter of 2014. However, such decreases were partially offset by favorable results from our Transportation segment, largely due to the continued increase in North American crude oil production and our related, recently completed capital expansion projects.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our capital expenditures for acquisitions, internal growth projects and maintenance capital for the periods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w:t>
      </w:r>
    </w:p>
    <w:p>
      <w:pPr>
        <w:jc w:val="center"/>
        <w:ind w:left="82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more notable projects in progress during 2014 and the forecasted expenditures for the year ending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330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215</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Ft. Sask Facility Projects / NGL Line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160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Western Oklahoma Extension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White Cliffs Expansion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Natural Gas Storage Expansions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385</w:t>
            </w:r>
          </w:p>
        </w:tc>
        <w:tc>
          <w:tcPr>
            <w:tcW w:w="100" w:type="dxa"/>
            <w:vAlign w:val="bottom"/>
            <w:shd w:val="clear" w:color="auto" w:fill="CCEEFF"/>
          </w:tcPr>
          <w:p>
            <w:pPr>
              <w:spacing w:after="0"/>
              <w:rPr>
                <w:sz w:val="18"/>
                <w:szCs w:val="18"/>
                <w:color w:val="auto"/>
              </w:rPr>
            </w:pPr>
          </w:p>
        </w:tc>
      </w:tr>
      <w:tr>
        <w:trPr>
          <w:trHeight w:val="210"/>
        </w:trPr>
        <w:tc>
          <w:tcPr>
            <w:tcW w:w="9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$1,850</w:t>
            </w: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 $100</w:t>
            </w:r>
          </w:p>
        </w:tc>
        <w:tc>
          <w:tcPr>
            <w:tcW w:w="100" w:type="dxa"/>
            <w:vAlign w:val="bottom"/>
            <w:shd w:val="clear" w:color="auto" w:fill="CCEEFF"/>
          </w:tcPr>
          <w:p>
            <w:pPr>
              <w:spacing w:after="0"/>
              <w:rPr>
                <w:sz w:val="18"/>
                <w:szCs w:val="18"/>
                <w:color w:val="auto"/>
              </w:rPr>
            </w:pPr>
          </w:p>
        </w:tc>
      </w:tr>
      <w:tr>
        <w:trPr>
          <w:trHeight w:val="210"/>
        </w:trPr>
        <w:tc>
          <w:tcPr>
            <w:tcW w:w="9620" w:type="dxa"/>
            <w:vAlign w:val="bottom"/>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$1,750 - $1,950</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projects located in or near Bakersfield, CA; Carr, CO; Van Hook, ND; and Western Canada.</w:t>
      </w:r>
    </w:p>
    <w:p>
      <w:pPr>
        <w:sectPr>
          <w:pgSz w:w="11900" w:h="16838" w:orient="portrait"/>
          <w:cols w:equalWidth="0" w:num="1">
            <w:col w:w="11420"/>
          </w:cols>
          <w:pgMar w:left="240" w:top="125" w:right="239" w:bottom="0" w:gutter="0" w:footer="0" w:header="0"/>
          <w:type w:val="continuous"/>
        </w:sectPr>
      </w:pPr>
    </w:p>
    <w:bookmarkStart w:id="19" w:name="page20"/>
    <w:bookmarkEnd w:id="19"/>
    <w:p>
      <w:pPr>
        <w:ind w:left="660" w:right="66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2013 Annual Report on Form 10-K for further discussion of how we evaluate segment profit.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Three Months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ind w:left="640"/>
              <w:spacing w:after="0"/>
              <w:rPr>
                <w:sz w:val="20"/>
                <w:szCs w:val="20"/>
                <w:color w:val="auto"/>
              </w:rPr>
            </w:pPr>
            <w:r>
              <w:rPr>
                <w:rFonts w:ascii="Arial" w:cs="Arial" w:eastAsia="Arial" w:hAnsi="Arial"/>
                <w:sz w:val="14"/>
                <w:szCs w:val="14"/>
                <w:b w:val="1"/>
                <w:bCs w:val="1"/>
                <w:color w:val="auto"/>
              </w:rPr>
              <w:t>Favorable/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Ended March 31,</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(Unfavorable) Variance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30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Total segment profit</w:t>
            </w:r>
          </w:p>
        </w:tc>
        <w:tc>
          <w:tcPr>
            <w:tcW w:w="5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Unallocated general and administrative expenses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PAGP</w:t>
            </w:r>
          </w:p>
        </w:tc>
        <w:tc>
          <w:tcPr>
            <w:tcW w:w="5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income per Class A share</w:t>
            </w:r>
          </w:p>
        </w:tc>
        <w:tc>
          <w:tcPr>
            <w:tcW w:w="130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160"/>
              <w:spacing w:after="0" w:line="201" w:lineRule="exact"/>
              <w:rPr>
                <w:sz w:val="20"/>
                <w:szCs w:val="20"/>
                <w:color w:val="auto"/>
              </w:rPr>
            </w:pPr>
            <w:r>
              <w:rPr>
                <w:rFonts w:ascii="Arial" w:cs="Arial" w:eastAsia="Arial" w:hAnsi="Arial"/>
                <w:sz w:val="18"/>
                <w:szCs w:val="18"/>
                <w:color w:val="auto"/>
              </w:rPr>
              <w:t>Basic and diluted weighted average number of Class A shares</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20"/>
                <w:szCs w:val="20"/>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1440" w:type="dxa"/>
            <w:vAlign w:val="bottom"/>
            <w:gridSpan w:val="3"/>
          </w:tcPr>
          <w:p>
            <w:pPr>
              <w:ind w:left="50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Transportation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Three Months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jc w:val="center"/>
              <w:ind w:right="490"/>
              <w:spacing w:after="0"/>
              <w:rPr>
                <w:sz w:val="20"/>
                <w:szCs w:val="20"/>
                <w:color w:val="auto"/>
              </w:rPr>
            </w:pPr>
            <w:r>
              <w:rPr>
                <w:rFonts w:ascii="Arial" w:cs="Arial" w:eastAsia="Arial" w:hAnsi="Arial"/>
                <w:sz w:val="14"/>
                <w:szCs w:val="14"/>
                <w:b w:val="1"/>
                <w:bCs w:val="1"/>
                <w:color w:val="auto"/>
                <w:w w:val="96"/>
              </w:rPr>
              <w:t>Favorable/(Unfavorable)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2"/>
              </w:rPr>
              <w:t>Variance</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Total transportation revenues</w:t>
            </w: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3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1"/>
              </w:rPr>
              <w:t>Field operating costs (excluding equity-indexed compensation 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w w:val="97"/>
              </w:rPr>
              <w:t xml:space="preserve">Segment general and administrative expenses </w:t>
            </w:r>
            <w:r>
              <w:rPr>
                <w:rFonts w:ascii="Arial" w:cs="Arial" w:eastAsia="Arial" w:hAnsi="Arial"/>
                <w:sz w:val="23"/>
                <w:szCs w:val="23"/>
                <w:color w:val="auto"/>
                <w:w w:val="97"/>
                <w:vertAlign w:val="superscript"/>
              </w:rPr>
              <w:t>(2)</w:t>
            </w:r>
            <w:r>
              <w:rPr>
                <w:rFonts w:ascii="Arial" w:cs="Arial" w:eastAsia="Arial" w:hAnsi="Arial"/>
                <w:sz w:val="18"/>
                <w:szCs w:val="18"/>
                <w:color w:val="auto"/>
                <w:w w:val="97"/>
              </w:rPr>
              <w:t xml:space="preserve"> (excluding equity-</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indexed compensation expense)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Equity-indexed compensation expense - general and administrative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84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84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5"/>
              </w:rPr>
              <w:t>Ended March 31,</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5"/>
              </w:rPr>
              <w:t>Variance</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(3)</w:t>
            </w: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Volumes</w:t>
            </w:r>
          </w:p>
        </w:tc>
        <w:tc>
          <w:tcPr>
            <w:tcW w:w="82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Bakken Area Systems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Basin / Mesa</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745</w:t>
            </w: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Capline</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Eagle Ford Area Systems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Line 63 / Line 2000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Mid-Continent Area Systems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w:t>
            </w: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Rainbow</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Salt Lake City Area Systems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White Cliffs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w:t>
            </w: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NGL Pipelines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Refined Products Pipelines</w:t>
            </w:r>
          </w:p>
        </w:tc>
        <w:tc>
          <w:tcPr>
            <w:tcW w:w="18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Tariff activities total</w:t>
            </w: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3,530</w:t>
            </w:r>
          </w:p>
        </w:tc>
        <w:tc>
          <w:tcPr>
            <w:tcW w:w="14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Transportation segment 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(attributable to our interest) for the number of days we employed the assets divided by the number of days in the period.</w:t>
      </w:r>
    </w:p>
    <w:p>
      <w:pPr>
        <w:spacing w:after="0" w:line="170" w:lineRule="exact"/>
        <w:rPr>
          <w:sz w:val="20"/>
          <w:szCs w:val="20"/>
          <w:color w:val="auto"/>
        </w:rPr>
      </w:pPr>
    </w:p>
    <w:p>
      <w:pPr>
        <w:sectPr>
          <w:pgSz w:w="11900" w:h="16838" w:orient="portrait"/>
          <w:cols w:equalWidth="0" w:num="2">
            <w:col w:w="140" w:space="500"/>
            <w:col w:w="10780"/>
          </w:cols>
          <w:pgMar w:left="240" w:top="104" w:right="239" w:bottom="0" w:gutter="0" w:footer="0" w:header="0"/>
          <w:type w:val="continuous"/>
        </w:sect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the three months ended March 31, 2014 compared to the three months ended March 31, 2013. Our Transportation segment results for the comparative periods were impacted by the following:</w:t>
      </w:r>
    </w:p>
    <w:p>
      <w:pPr>
        <w:spacing w:after="0" w:line="181" w:lineRule="exact"/>
        <w:rPr>
          <w:sz w:val="20"/>
          <w:szCs w:val="20"/>
          <w:color w:val="auto"/>
        </w:rPr>
      </w:pPr>
    </w:p>
    <w:p>
      <w:pPr>
        <w:ind w:left="660" w:right="80" w:hanging="328"/>
        <w:spacing w:after="0" w:line="255"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American Crude Oil Production and Related Expansion Projects — For the three months ended March 31, 2014, we experienced favorable volume and revenue variances due to increased producer drilling activities as well as the completion of certain of our expansion projects, most notably on our Permian Basin and Eagle Ford Area Systems and our Basin and Mesa pipelines. The Permian Basin Area Systems also benefited from increased movements to a new third-party pipeline connected to Gulf Coast markets. We estimate that increased production combined with our phased-in expansion projects increased revenues by approximately $22 million for the three months ended March 31, 2014 compared to the three months ended March 31,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328"/>
        <w:spacing w:after="0" w:line="273" w:lineRule="auto"/>
        <w:tabs>
          <w:tab w:leader="none" w:pos="6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$10 million for the three months ended March 31, 2014 compared to three months ended March 31, 2013 driven by higher volumes, as well as a higher average realized price per barrel (including the impact of gains and losses from derivative-related activities).</w:t>
      </w:r>
    </w:p>
    <w:p>
      <w:pPr>
        <w:spacing w:after="0" w:line="178" w:lineRule="exact"/>
        <w:rPr>
          <w:rFonts w:ascii="Arial" w:cs="Arial" w:eastAsia="Arial" w:hAnsi="Arial"/>
          <w:sz w:val="17"/>
          <w:szCs w:val="17"/>
          <w:color w:val="auto"/>
        </w:rPr>
      </w:pPr>
    </w:p>
    <w:p>
      <w:pPr>
        <w:ind w:left="660" w:right="160" w:hanging="328"/>
        <w:spacing w:after="0" w:line="286" w:lineRule="auto"/>
        <w:tabs>
          <w:tab w:leader="none" w:pos="6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Sale of Refined Products Pipelines — We sold certain refined products pipeline systems and related assets in July 2013 and November 2013. As we did not own these assets during the three months ended March 31, 2014, our revenues and volumes were lower by approximately $10 million and 101,000 barrels per day, respectively, as compared to the three months ended March 31, 2013.</w:t>
      </w:r>
    </w:p>
    <w:p>
      <w:pPr>
        <w:spacing w:after="0" w:line="165" w:lineRule="exact"/>
        <w:rPr>
          <w:rFonts w:ascii="Arial" w:cs="Arial" w:eastAsia="Arial" w:hAnsi="Arial"/>
          <w:sz w:val="17"/>
          <w:szCs w:val="17"/>
          <w:color w:val="auto"/>
        </w:rPr>
      </w:pPr>
    </w:p>
    <w:p>
      <w:pPr>
        <w:ind w:left="660" w:right="300" w:hanging="328"/>
        <w:spacing w:after="0" w:line="297" w:lineRule="auto"/>
        <w:tabs>
          <w:tab w:leader="none" w:pos="6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the three months ended March 31, 2014 and 2013 were $1.10 CAD: $1.00 USD and $1.01 CAD: $1.00 USD, respectively. Therefore, revenues from our Canadian pipeline systems and trucking operations were unfavorably impacted by approximately $8 million for the three months ended March 31, 2014 compared to the three months ended March 31, 2013 due to the depreciation of the Canadian dollar relative to the U.S. dollar.</w:t>
      </w:r>
    </w:p>
    <w:p>
      <w:pPr>
        <w:sectPr>
          <w:pgSz w:w="11900" w:h="16838" w:orient="portrait"/>
          <w:cols w:equalWidth="0" w:num="1">
            <w:col w:w="11420"/>
          </w:cols>
          <w:pgMar w:left="240" w:top="104" w:right="239" w:bottom="0" w:gutter="0" w:footer="0" w:header="0"/>
          <w:type w:val="continuous"/>
        </w:sectPr>
      </w:pPr>
    </w:p>
    <w:bookmarkStart w:id="21" w:name="page22"/>
    <w:bookmarkEnd w:id="21"/>
    <w:p>
      <w:pPr>
        <w:ind w:right="340" w:firstLine="648"/>
        <w:spacing w:after="0" w:line="288" w:lineRule="auto"/>
        <w:rPr>
          <w:sz w:val="20"/>
          <w:szCs w:val="20"/>
          <w:color w:val="auto"/>
        </w:rPr>
      </w:pPr>
      <w:r>
        <w:rPr>
          <w:rFonts w:ascii="Arial" w:cs="Arial" w:eastAsia="Arial" w:hAnsi="Arial"/>
          <w:sz w:val="16"/>
          <w:szCs w:val="16"/>
          <w:color w:val="auto"/>
        </w:rPr>
        <w:t>Additional noteworthy volume and revenue variances on our pipelines for the three months ended March 31, 2014 compared to the three months ended March 31, 2013 are (i) decreased volumes and revenues on certain of our NGL pipelines due to the discontinuation of an agreement in 2014 to transport volumes on such pipelines and netting joint venture related volumes to our share on a certain pipeline in 2014, which did not impact revenues,</w:t>
      </w:r>
    </w:p>
    <w:p>
      <w:pPr>
        <w:ind w:right="20" w:firstLine="8"/>
        <w:spacing w:after="0" w:line="252"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volumes and revenues from our new Mississippian Lime pipeline, which was placed into service in the third quarter of 2013, (iii) decreased volumes and revenues on our Capline pipeline due to refinery turnaround in the first quarter of 2014, (iv) decreased volumes and revenues on our All American pipeline due to maintenance issues and (v) a net decrease in volumes on our crude oil pipelines included in “Other” in the table above, a majority of which is related to (a) pipelines subject to long-term lease commitments with annual service payments whereby volumes may fluctuate, but such fluctuations do not have a meaningful impact on revenue and (b) pipelines impacted by third-party connection shut-downs and line repairs, which also did not have a significant impact on revenues for the period.</w:t>
      </w:r>
    </w:p>
    <w:p>
      <w:pPr>
        <w:spacing w:after="0" w:line="19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Equity-Indexed Compensation Expense. </w:t>
      </w:r>
      <w:r>
        <w:rPr>
          <w:rFonts w:ascii="Arial" w:cs="Arial" w:eastAsia="Arial" w:hAnsi="Arial"/>
          <w:sz w:val="16"/>
          <w:szCs w:val="16"/>
          <w:color w:val="auto"/>
        </w:rPr>
        <w:t>On a consolidated basis across all segments, equity-indexed compensation expense decreased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2014 compared to the three months ended March 31, 2013, primarily due to a less significant impact of the increase in PAA unit price during the three months ended March 31, 2014 compared to the three months ended March 31, 2013. See Note 15 to our Consolidated Financial Statements included in Part IV of our 2013 Annual Report on Form 10-K for additional information regarding our equity-indexed compensation plans.</w:t>
      </w:r>
    </w:p>
    <w:p>
      <w:pPr>
        <w:spacing w:after="0" w:line="154"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compared to the three months ended March 31, 2013 was largely due to increased throughput on the Eagle Ford pipeline as a result of increased production, as discussed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Facilities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3"/>
              </w:rPr>
              <w:t>Three Months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5"/>
              </w:rPr>
              <w:t>Ended March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2"/>
              </w:rPr>
              <w:t>Variance</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Storage related costs (natural gas related)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4"/>
              </w:rPr>
              <w:t>Field operating costs (excluding equity-indexed compensation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 xml:space="preserve">Segment general and administrative expenses </w:t>
            </w:r>
            <w:r>
              <w:rPr>
                <w:rFonts w:ascii="Arial" w:cs="Arial" w:eastAsia="Arial" w:hAnsi="Arial"/>
                <w:sz w:val="23"/>
                <w:szCs w:val="23"/>
                <w:color w:val="auto"/>
                <w:w w:val="89"/>
                <w:vertAlign w:val="superscript"/>
              </w:rPr>
              <w:t>(3)</w:t>
            </w:r>
            <w:r>
              <w:rPr>
                <w:rFonts w:ascii="Arial" w:cs="Arial" w:eastAsia="Arial" w:hAnsi="Arial"/>
                <w:sz w:val="18"/>
                <w:szCs w:val="18"/>
                <w:color w:val="auto"/>
                <w:w w:val="89"/>
              </w:rPr>
              <w:t xml:space="preserve"> (excluding equity-indexed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95"/>
              </w:rPr>
              <w:t>Three Months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center"/>
              <w:ind w:right="39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5"/>
              </w:rPr>
              <w:t>Ended March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5"/>
              </w:rPr>
              <w:t>Variance</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Volumes</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Crude oil, refined products and NGL terminalling and storage (average</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 barrels)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Rail load / unload volumes (average volumes in thousands of barrels per</w:t>
            </w: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3"/>
                <w:szCs w:val="13"/>
                <w:color w:val="auto"/>
              </w:rPr>
            </w:pPr>
          </w:p>
        </w:tc>
        <w:tc>
          <w:tcPr>
            <w:tcW w:w="11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day)</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96"/>
              </w:rPr>
              <w:t>Natural gas storage (average monthly capacity in billions of cubic feet)</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w:t>
            </w: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NGL fractionation (average volumes in thousands of barrels per day)</w:t>
            </w: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w w:val="96"/>
              </w:rPr>
              <w:t xml:space="preserve">Facilities segment total (average monthly volumes in millions of barrels) </w:t>
            </w:r>
            <w:r>
              <w:rPr>
                <w:rFonts w:ascii="Arial" w:cs="Arial" w:eastAsia="Arial" w:hAnsi="Arial"/>
                <w:sz w:val="22"/>
                <w:szCs w:val="22"/>
                <w:color w:val="auto"/>
                <w:w w:val="96"/>
                <w:vertAlign w:val="superscript"/>
              </w:rPr>
              <w:t>(5)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0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the Supply and Logistics segment.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for the number of months we employed the assets divided by the number of months in the period.</w:t>
      </w:r>
    </w:p>
    <w:p>
      <w:pPr>
        <w:spacing w:after="0" w:line="170" w:lineRule="exact"/>
        <w:rPr>
          <w:sz w:val="20"/>
          <w:szCs w:val="20"/>
          <w:color w:val="auto"/>
        </w:rPr>
      </w:pPr>
    </w:p>
    <w:p>
      <w:pPr>
        <w:ind w:left="20" w:hanging="7"/>
        <w:spacing w:after="0" w:line="279" w:lineRule="auto"/>
        <w:rPr>
          <w:sz w:val="20"/>
          <w:szCs w:val="20"/>
          <w:color w:val="auto"/>
        </w:rPr>
      </w:pPr>
      <w:r>
        <w:rPr>
          <w:rFonts w:ascii="Arial" w:cs="Arial" w:eastAsia="Arial" w:hAnsi="Arial"/>
          <w:sz w:val="17"/>
          <w:szCs w:val="17"/>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ectPr>
          <w:pgSz w:w="11900" w:h="16838" w:orient="portrait"/>
          <w:cols w:equalWidth="0" w:num="2">
            <w:col w:w="160" w:space="480"/>
            <w:col w:w="10780"/>
          </w:cols>
          <w:pgMar w:left="240" w:top="125" w:right="239" w:bottom="0" w:gutter="0" w:footer="0" w:header="0"/>
          <w:type w:val="continuous"/>
        </w:sectPr>
      </w:pPr>
    </w:p>
    <w:bookmarkStart w:id="22" w:name="page23"/>
    <w:bookmarkEnd w:id="2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Facilities segment revenues, less storage related costs, and volumes increased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comparative period presented. The significant variances in revenues and average monthly volumes between the comparative periods are primarily due to our ongoing acquisition and expansion activities as discussed below:</w:t>
      </w:r>
    </w:p>
    <w:p>
      <w:pPr>
        <w:spacing w:after="0" w:line="181" w:lineRule="exact"/>
        <w:rPr>
          <w:sz w:val="20"/>
          <w:szCs w:val="20"/>
          <w:color w:val="auto"/>
        </w:rPr>
      </w:pPr>
    </w:p>
    <w:p>
      <w:pPr>
        <w:ind w:left="660" w:right="220" w:hanging="328"/>
        <w:spacing w:after="0" w:line="276" w:lineRule="auto"/>
        <w:tabs>
          <w:tab w:leader="none" w:pos="6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NGL Fractionation, NGL Storage and Gas Processing Activities —Revenues from our NGL fractionation and storage and gas processing activities increased by approximately $23 million for the three months ended March 31, 2014 compared to the three months ended March 31, 2013. This increase was largely driven by increased facility fees and higher processing gains related to the component mix of the products. NGL fractionation volumes, however, were lower during the first quarter of 2014 relative to the comparative period primarily related to reduced streams of NGL mix supply at certain of our facilities that resulted in decreased production rates.</w:t>
      </w:r>
    </w:p>
    <w:p>
      <w:pPr>
        <w:spacing w:after="0" w:line="173"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This favorable revenue variance was partially offset by unfavorable foreign exchange impact of approximately $6 million. The average CAD to USD exchange rates for the three months ended March 31, 2014 and 2013 were $1.10 CAD: $1.00 USD and $1.01 CAD: $1.00 USD, respectively. Therefore, revenues from our Canadian operations in our Facilities segment were unfavorably impacted for the three months ended March 31, 2014 compared to the three months ended March 31, 2013 due to the depreciation of the Canadian dollar relative to the U.S. dollar.</w:t>
      </w:r>
    </w:p>
    <w:p>
      <w:pPr>
        <w:spacing w:after="0" w:line="154" w:lineRule="exact"/>
        <w:rPr>
          <w:sz w:val="20"/>
          <w:szCs w:val="20"/>
          <w:color w:val="auto"/>
        </w:rPr>
      </w:pPr>
    </w:p>
    <w:p>
      <w:pPr>
        <w:ind w:left="660" w:right="180" w:hanging="328"/>
        <w:spacing w:after="0" w:line="259"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Gas Storage Operations — Net revenues from our natural gas storage operations decreased by approximately $12 million for the three months ended March 31, 2014 compared to the three months ended March 31, 2013, primarily due to costs incurred in our natural gas storage activities to manage deliverability requirements in conjunction with the extended period of severe cold weather experienced during the first quarter of 2014.</w:t>
      </w:r>
    </w:p>
    <w:p>
      <w:pPr>
        <w:spacing w:after="0" w:line="186" w:lineRule="exact"/>
        <w:rPr>
          <w:rFonts w:ascii="Arial" w:cs="Arial" w:eastAsia="Arial" w:hAnsi="Arial"/>
          <w:sz w:val="18"/>
          <w:szCs w:val="18"/>
          <w:color w:val="auto"/>
        </w:rPr>
      </w:pPr>
    </w:p>
    <w:p>
      <w:pPr>
        <w:ind w:left="660" w:right="20" w:hanging="328"/>
        <w:spacing w:after="0" w:line="259"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Rail Terminals — Revenue and volumes from rail load and unload activities increased by approximately $3 million and 13,300 barrels per day, respectively, for the three months ended March 31, 2014 compared to the three months ended March 31, 2013. These increases were primarily due to new rail terminals that came online in the fourth quarter of 2013, partially offset by the unfavorable impact of weather-related issues at certain of our terminals.</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expenses) increased during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three months ended March 31, 2013 due to (i) growth in our rail terminal operations, resulting in increased operating expenses,</w:t>
      </w:r>
    </w:p>
    <w:p>
      <w:pPr>
        <w:spacing w:after="0"/>
        <w:rPr>
          <w:sz w:val="20"/>
          <w:szCs w:val="20"/>
          <w:color w:val="auto"/>
        </w:rPr>
      </w:pPr>
      <w:r>
        <w:rPr>
          <w:rFonts w:ascii="Arial" w:cs="Arial" w:eastAsia="Arial" w:hAnsi="Arial"/>
          <w:sz w:val="16"/>
          <w:szCs w:val="16"/>
          <w:color w:val="auto"/>
        </w:rPr>
        <w:t>(ii) increased utility costs due primarily to higher power and gas prices and (iii) a change in classification of costs from General and Administrative Expenses.</w:t>
      </w:r>
    </w:p>
    <w:p>
      <w:pPr>
        <w:spacing w:after="0" w:line="23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2014 compared to the three months ended March 31, 2013 primarily due to a change in classification of costs to Field Operating Costs.</w:t>
      </w:r>
    </w:p>
    <w:p>
      <w:pPr>
        <w:spacing w:after="0" w:line="18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expenditures for the replacement of partially or fully depreciated assets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the operating and/or earnings capacity of our existing assets. The increase in maintenance capital for the three months ended March 31, 2014 compared to the three months ended March 31, 2013 is primarily due to increased investments on integrity-related projects.</w:t>
      </w:r>
    </w:p>
    <w:p>
      <w:pPr>
        <w:spacing w:after="0" w:line="16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 expense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2014 compared to the three months ended March 31, 2013. See the discussion regarding such variances under “— Transportation Segment” above. Also, see Note 15 to our condensed consolidated financial statements included in Part IV of our 2013 Annual Report on Form 10-K for additional information regarding our equity-indexed compensation plans.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operating results from our Supply and Logistics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(1)(2)</w:t>
            </w:r>
          </w:p>
        </w:tc>
        <w:tc>
          <w:tcPr>
            <w:tcW w:w="300" w:type="dxa"/>
            <w:vAlign w:val="bottom"/>
          </w:tcPr>
          <w:p>
            <w:pPr>
              <w:spacing w:after="0"/>
              <w:rPr>
                <w:sz w:val="14"/>
                <w:szCs w:val="14"/>
                <w:color w:val="auto"/>
              </w:rPr>
            </w:pPr>
          </w:p>
        </w:tc>
        <w:tc>
          <w:tcPr>
            <w:tcW w:w="17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5"/>
              </w:rPr>
              <w:t>Three Months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Ended 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(10,975)</w:t>
            </w:r>
          </w:p>
        </w:tc>
        <w:tc>
          <w:tcPr>
            <w:tcW w:w="4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Field operating costs (excluding equity-indexed compensation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 xml:space="preserve">Segment general and administrative expenses </w:t>
            </w:r>
            <w:r>
              <w:rPr>
                <w:rFonts w:ascii="Arial" w:cs="Arial" w:eastAsia="Arial" w:hAnsi="Arial"/>
                <w:sz w:val="23"/>
                <w:szCs w:val="23"/>
                <w:color w:val="auto"/>
                <w:w w:val="90"/>
                <w:vertAlign w:val="superscript"/>
              </w:rPr>
              <w:t>(4)</w:t>
            </w:r>
            <w:r>
              <w:rPr>
                <w:rFonts w:ascii="Arial" w:cs="Arial" w:eastAsia="Arial" w:hAnsi="Arial"/>
                <w:sz w:val="18"/>
                <w:szCs w:val="18"/>
                <w:color w:val="auto"/>
                <w:w w:val="90"/>
              </w:rPr>
              <w:t xml:space="preserve"> (excluding equity-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indexed compensation expense)</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Arial" w:cs="Arial" w:eastAsia="Arial" w:hAnsi="Arial"/>
                <w:sz w:val="18"/>
                <w:szCs w:val="18"/>
                <w:color w:val="auto"/>
              </w:rPr>
              <w:t>Equity-indexed compensation expense - general and</w:t>
            </w:r>
          </w:p>
        </w:tc>
        <w:tc>
          <w:tcPr>
            <w:tcW w:w="3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administrative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2"/>
            <w:vMerge w:val="continue"/>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vMerge w:val="continue"/>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7"/>
        </w:trPr>
        <w:tc>
          <w:tcPr>
            <w:tcW w:w="49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c>
          <w:tcPr>
            <w:tcW w:w="1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2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4"/>
                <w:szCs w:val="24"/>
                <w:color w:val="auto"/>
              </w:rPr>
            </w:pPr>
          </w:p>
        </w:tc>
        <w:tc>
          <w:tcPr>
            <w:tcW w:w="178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Three Months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Volumes</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273</w:t>
            </w:r>
          </w:p>
        </w:tc>
        <w:tc>
          <w:tcPr>
            <w:tcW w:w="4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780" w:hanging="11"/>
        <w:spacing w:after="0" w:line="277" w:lineRule="auto"/>
        <w:rPr>
          <w:sz w:val="20"/>
          <w:szCs w:val="20"/>
          <w:color w:val="auto"/>
        </w:rPr>
      </w:pPr>
      <w:r>
        <w:rPr>
          <w:rFonts w:ascii="Arial" w:cs="Arial" w:eastAsia="Arial" w:hAnsi="Arial"/>
          <w:sz w:val="18"/>
          <w:szCs w:val="18"/>
          <w:color w:val="auto"/>
        </w:rPr>
        <w:t>Prior to January 1, 2014, natural gas sales revenues and costs attributable to the activities performed by our natural gas storage commercial optimization group were reported in the Facilities segment.</w:t>
      </w:r>
    </w:p>
    <w:p>
      <w:pPr>
        <w:spacing w:after="0" w:line="170"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approximately $2 million and $5 million for the three months ended March 31,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60" w:space="480"/>
            <w:col w:w="10780"/>
          </w:cols>
          <w:pgMar w:left="240" w:top="134" w:right="239" w:bottom="0" w:gutter="0" w:footer="0" w:header="0"/>
          <w:type w:val="continuous"/>
        </w:sectPr>
      </w:pPr>
    </w:p>
    <w:p>
      <w:pPr>
        <w:spacing w:after="0" w:line="34"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The NYMEX West Texas Intermediate benchmark price of crude oil ranged from approximately $92 to $105 per barrel and $89 to $98 per barrel during the three months ended March 31, 2014 and 2013,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2014 relative to the comparative period, resulting from increases in prices and volumes in 2014.</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Our Supply and Logistics segment revenues, net of purchases and related costs and excluding gains and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from derivative activities (see the “Impact from Derivative Activities” section below), decreased year-over-year for the comparative periods presented.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 between NGL and crude oil. Lack of existing pipeline takeaway capacity and associated logistical challenges in certain of these producing regions created market conditions and opportunities that were favorable to our supply and logistics activities. During the first quarter of 2013, these conditions provided opportunities for increased margins. However, infrastructure additions in many of these resource plays during 2013 began to relieve certain of the transportation constraints that had created opportunities for these favorable crude oil margins. Therefore, although we experienced higher crude oil lease gathering volumes in the first quarter of 2014 compared to the first quarter of 2013, we experienced fewer opportunities to capture favorable location differentials. Additionally, our natural gas storage commercial optimization activities were unfavorably impacted by costs incurred to manage deliverability requirements in conjunction with the extended period of severe cold weather experienced during the first quarter of 2014.</w:t>
      </w:r>
    </w:p>
    <w:p>
      <w:pPr>
        <w:spacing w:after="0" w:line="183"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believe the fundamentals of our business remain strong; however, as the midstream infrastructure in these producing regions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of our 2013 Annual Report on Form 10-K for further discussion regarding our business model, including diversification and utilization of our asset base among varying demand- and supply-driven markets.)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Impact from Derivative Activities</w:t>
      </w:r>
      <w:r>
        <w:rPr>
          <w:rFonts w:ascii="Arial" w:cs="Arial" w:eastAsia="Arial" w:hAnsi="Arial"/>
          <w:sz w:val="18"/>
          <w:szCs w:val="18"/>
          <w:color w:val="auto"/>
        </w:rPr>
        <w:t>. The mark-to-market valuation of our derivative activities impacted our net revenues as shown in the table below</w:t>
      </w:r>
      <w:r>
        <w:rPr>
          <w:rFonts w:ascii="Arial" w:cs="Arial" w:eastAsia="Arial" w:hAnsi="Arial"/>
          <w:sz w:val="18"/>
          <w:szCs w:val="18"/>
          <w:i w:val="1"/>
          <w:iCs w:val="1"/>
          <w:color w:val="auto"/>
        </w:rPr>
        <w:t xml:space="preserve"> </w:t>
      </w:r>
      <w:r>
        <w:rPr>
          <w:rFonts w:ascii="Arial" w:cs="Arial" w:eastAsia="Arial" w:hAnsi="Arial"/>
          <w:sz w:val="18"/>
          <w:szCs w:val="18"/>
          <w:color w:val="auto"/>
        </w:rPr>
        <w:t>(in millions):</w:t>
      </w:r>
    </w:p>
    <w:p>
      <w:pPr>
        <w:spacing w:after="0" w:line="162" w:lineRule="exact"/>
        <w:rPr>
          <w:sz w:val="20"/>
          <w:szCs w:val="20"/>
          <w:color w:val="auto"/>
        </w:rPr>
      </w:pPr>
    </w:p>
    <w:p>
      <w:pPr>
        <w:jc w:val="center"/>
        <w:ind w:left="4900"/>
        <w:spacing w:after="0"/>
        <w:rPr>
          <w:sz w:val="20"/>
          <w:szCs w:val="20"/>
          <w:color w:val="auto"/>
        </w:rPr>
      </w:pPr>
      <w:r>
        <w:rPr>
          <w:rFonts w:ascii="Arial" w:cs="Arial" w:eastAsia="Arial" w:hAnsi="Arial"/>
          <w:sz w:val="14"/>
          <w:szCs w:val="14"/>
          <w:b w:val="1"/>
          <w:bCs w:val="1"/>
          <w:color w:val="auto"/>
        </w:rPr>
        <w:t>Three Months</w:t>
      </w:r>
    </w:p>
    <w:p>
      <w:pPr>
        <w:jc w:val="center"/>
        <w:ind w:left="49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02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Variance</w:t>
            </w:r>
          </w:p>
        </w:tc>
      </w:tr>
      <w:tr>
        <w:trPr>
          <w:trHeight w:val="210"/>
        </w:trPr>
        <w:tc>
          <w:tcPr>
            <w:tcW w:w="6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(1)</w:t>
            </w: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52"/>
        <w:spacing w:after="0" w:line="269" w:lineRule="auto"/>
        <w:tabs>
          <w:tab w:leader="none" w:pos="64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Includes mark-to-market and other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w:t>
      </w:r>
    </w:p>
    <w:p>
      <w:pPr>
        <w:sectPr>
          <w:pgSz w:w="11900" w:h="16838" w:orient="portrait"/>
          <w:cols w:equalWidth="0" w:num="1">
            <w:col w:w="11420"/>
          </w:cols>
          <w:pgMar w:left="240" w:top="134" w:right="239" w:bottom="0" w:gutter="0" w:footer="0" w:header="0"/>
          <w:type w:val="continuous"/>
        </w:sectPr>
      </w:pPr>
    </w:p>
    <w:bookmarkStart w:id="24" w:name="page25"/>
    <w:bookmarkEnd w:id="24"/>
    <w:p>
      <w:pPr>
        <w:spacing w:after="0" w:line="2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previously written down. See Note 10 to our condensed consolidated financial statements for a comprehensive discussion regarding our derivatives and risk management activities.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compared to the three months ended March 31, 2013 was primarily due to lower third-party transportation costs as we shift our volumes to pipelines.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 expense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2014 as compared to the three months ended March 31, 2013. See the discussion regarding such variances under “— Transportation Segment” above. Also, see Note 15 to our Consolidated Financial Statements included in Part IV of our 2013 Annual Report on Form 10-K for additional information regarding our equity-indexed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Depreciation and amortization expense was approximately $96 million for the three months ended March 31, 2014 compared to approximately $82 million for the three months ended March 31, 2013. The increase in depreciation and amortization expense during the 2014 period over the comparable 2013 was primarily due to an acceleration of depreciation on certain pipeline assets to reflect a change in their estimated useful lives, as well as various internal growth projects completed since March 31,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Income tax expense increased by approximately $4 million for the three months ended March 31, 2014, compared to the three months ended March 31, 2013, primarily due to the tax expense of the amortization of the deferred tax asset created in connection with our IPO, partially offset by a decrease in income tax expense by PAA, primarily as a result of higher taxable income in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the PAA commercial paper program or the credit facilities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March 31, 2014, we had a working capital deficit of approximately $622 million and approximately $2.0 billion of liquidity available to meet our ongoing operating, investing and financing needs as noted below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2014</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Less: Amounts outstanding under PAA commercial paper program</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0"/>
        </w:trPr>
        <w:tc>
          <w:tcPr>
            <w:tcW w:w="9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20" w:hanging="652"/>
        <w:spacing w:after="0" w:line="227" w:lineRule="auto"/>
        <w:tabs>
          <w:tab w:leader="none" w:pos="64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20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2013 Annual Report on Form 10-K for further discussion regarding such risks that may impact our liquidity and capital resources. Usage of the PAA credit facilities, which provide the backstop for the PAA commercial paper program, and the AAP credit facility is subject to ongoing compliance with covenants. As of March 31, 2014, PAA and AAP were in compliance with all such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 activities, see “Liquidity and Capital Resources-Cash Flow from Operating Activities” under Item 7 of our 2013 Annual Report on Form 10-K.</w:t>
      </w:r>
    </w:p>
    <w:p>
      <w:pPr>
        <w:spacing w:after="0" w:line="18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Net cash provided by operating activities for the first three months of 2014 was approximately $817 million, primarily resulting from earnings from our operations. Additionally, during the first three months of 2014, we decreased the amount of our inventory, primarily due to the sale of NGL and natural</w:t>
      </w:r>
    </w:p>
    <w:p>
      <w:pPr>
        <w:sectPr>
          <w:pgSz w:w="11900" w:h="16867" w:orient="portrait"/>
          <w:cols w:equalWidth="0" w:num="1">
            <w:col w:w="11420"/>
          </w:cols>
          <w:pgMar w:left="240" w:top="125" w:right="239" w:bottom="0" w:gutter="0" w:footer="0" w:header="0"/>
        </w:sectPr>
      </w:pPr>
    </w:p>
    <w:bookmarkStart w:id="25" w:name="page26"/>
    <w:bookmarkEnd w:id="25"/>
    <w:p>
      <w:pPr>
        <w:ind w:right="20"/>
        <w:spacing w:after="0" w:line="308" w:lineRule="auto"/>
        <w:rPr>
          <w:sz w:val="20"/>
          <w:szCs w:val="20"/>
          <w:color w:val="auto"/>
        </w:rPr>
      </w:pPr>
      <w:r>
        <w:rPr>
          <w:rFonts w:ascii="Arial" w:cs="Arial" w:eastAsia="Arial" w:hAnsi="Arial"/>
          <w:sz w:val="17"/>
          <w:szCs w:val="17"/>
          <w:color w:val="auto"/>
        </w:rPr>
        <w:t>gas inventory related to high demand for product used for heating during the extended 2014 winter season. The net proceeds received from liquidation of such inventory were used to repay borrowings under the PAA commercial paper program and favorably impacted cash flow from operating activities.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cash provided by operating activities for the first three months of 2013 of approximately $978 million also resulted primarily from earnings from our operations. In addition, we decreased the amount of our inventory during the first quarter of 2013, primarily due to the sale of NGL inventory related to product demand caused by increases in (i) heating requirements during the 2013 winter season, (ii) export activity that reduced overall product availability in the market and (iii) petrochemical demand. The net proceeds received from liquidation of such inventory during the quarter were used to repay borrowings under our credit facilities and favorably impacted our cash flow from operating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addition to operating needs discussed above, we also use cash for acquisition activities and internal growth projects. We have made and will continue to make capital expenditures for acquisitions, expansion capital and maintenance capital.</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2014 Capital Expansion Projects. </w:t>
      </w:r>
      <w:r>
        <w:rPr>
          <w:rFonts w:ascii="Arial" w:cs="Arial" w:eastAsia="Arial" w:hAnsi="Arial"/>
          <w:sz w:val="18"/>
          <w:szCs w:val="18"/>
          <w:color w:val="auto"/>
        </w:rPr>
        <w:t>See “—Acquisitions and Internal Growth Projects” for detail of our projected capital expenditures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2014. We expect the majority of funding for our 2014 capital program will be provided by borrowings under the PAA commercial paper program, our credit facilities and cash flow in excess of partnership distributions, as well as through our access to the capital markets for equity and debt as we deem necessary.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period. Historically, we have financed acquisitions primarily with cash generated by operations and the financing activities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 consolidated basis, our financing activities primarily relate to funding acquisitions, internal capital projects and refinancing our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the PAA commercial paper program or credit facilities, as well as payments to our Class A shareholders and noncontrolling interests.</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PAA Registration Statements</w:t>
      </w:r>
      <w:r>
        <w:rPr>
          <w:rFonts w:ascii="Arial" w:cs="Arial" w:eastAsia="Arial" w:hAnsi="Arial"/>
          <w:sz w:val="17"/>
          <w:szCs w:val="17"/>
          <w:color w:val="auto"/>
        </w:rPr>
        <w:t>. 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up to an aggregate of $2.0 billion of debt or equity securities (“Traditional Shelf”). All issuances of equity securities associated with PAA’s continuous offering program, as discussed further below, have been issued pursuant to the Traditional Shelf. At March 31, 2014, PAA had approximately $1.3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PAA Continuous Offering Program</w:t>
      </w:r>
      <w:r>
        <w:rPr>
          <w:rFonts w:ascii="Arial" w:cs="Arial" w:eastAsia="Arial" w:hAnsi="Arial"/>
          <w:sz w:val="18"/>
          <w:szCs w:val="18"/>
          <w:color w:val="auto"/>
        </w:rPr>
        <w:t>. During the three months ended March 31, 2014, PAA issued an aggregate of approximately 2.8 million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under its continuous offering program, generating net proceeds of approximately $148 million. The net proceeds from these sales were used for general partnership purposes.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 ability to access the PAA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PAA and AAP were in compliance with the covenants contained in the credit agreements and indentures as of March 31, 2014.</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 consolidated basis, during the three months ended March 31, 2014 and 2013 we had net repayments on the credit agreements and PAA commercial paper program of approximately $123 million and $378 million, respectively. The repayments during both periods were primarily driven by cash flow from operating activities, including sales of NGL inventory that was liquidated during the periods, as well as cash received from PAA common units issued under PAA’s continuous offering program.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In April 2014, PAA completed the issuance of $700 million, 4.70% senior notes due 2044 at a public offering price of 99.734%. Interest payments are due on June 15 and December 15 of each year, commencing on December 15, 2014. The net proceeds from this offering of approximately $691 million were used to repay outstanding borrowings under the PAA commercial paper program and for general partnership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Class A Shareholders and Noncontrolling Interests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100% of our available cash within 55 days after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On May 15, 2014, we will pay a quarterly distribution of $0.17055 per Class A share. See Note 8 to our condensed consolidated financial statements for details of distributions paid. Also, see Item 5. “Market for Registrant’s Shares, Related Shareholder Matters and Issuer Purchases of Equity Securities-Cash Distribution Policy” included in our 2013 Annual Report on Form 10-K for additional discussion on distributions.</w:t>
      </w:r>
    </w:p>
    <w:p>
      <w:pPr>
        <w:sectPr>
          <w:pgSz w:w="11900" w:h="16838" w:orient="portrait"/>
          <w:cols w:equalWidth="0" w:num="1">
            <w:col w:w="11420"/>
          </w:cols>
          <w:pgMar w:left="240" w:top="125" w:right="239" w:bottom="0" w:gutter="0" w:footer="0" w:header="0"/>
        </w:sectPr>
      </w:pPr>
    </w:p>
    <w:bookmarkStart w:id="26" w:name="page27"/>
    <w:bookmarkEnd w:id="26"/>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owned by us. During the three months ended March 31, 2014 and 2013 we paid distributions of approximately $309 million and $284 million, respectively, to noncontrolling interests.</w:t>
      </w:r>
    </w:p>
    <w:p>
      <w:pPr>
        <w:spacing w:after="0" w:line="181"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11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Remainder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2019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Long-term debt, including related</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other purchases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debt service payments, interest payments due on PAA’s senior notes, interest payments on long-term borrowings outstanding under the AAP credit agreement and the commitment fee on assumed available capacity under the PAA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1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20"/>
        <w:spacing w:after="0" w:line="264" w:lineRule="auto"/>
        <w:rPr>
          <w:sz w:val="20"/>
          <w:szCs w:val="20"/>
          <w:color w:val="auto"/>
        </w:rPr>
      </w:pPr>
      <w:r>
        <w:rPr>
          <w:rFonts w:ascii="Arial" w:cs="Arial" w:eastAsia="Arial" w:hAnsi="Arial"/>
          <w:sz w:val="18"/>
          <w:szCs w:val="18"/>
          <w:color w:val="auto"/>
        </w:rPr>
        <w:t>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jc w:val="both"/>
        <w:ind w:left="20" w:right="660" w:hanging="11"/>
        <w:spacing w:after="0" w:line="286" w:lineRule="auto"/>
        <w:rPr>
          <w:sz w:val="20"/>
          <w:szCs w:val="20"/>
          <w:color w:val="auto"/>
        </w:rPr>
      </w:pPr>
      <w:r>
        <w:rPr>
          <w:rFonts w:ascii="Arial" w:cs="Arial" w:eastAsia="Arial" w:hAnsi="Arial"/>
          <w:sz w:val="17"/>
          <w:szCs w:val="17"/>
          <w:color w:val="auto"/>
        </w:rPr>
        <w:t>Includes (i) other long-term liabilities, (ii) storage and transportation agreements and (iii) commitments related to capital expansion projects, including projected contributions for our share of the capital spending of our equity-method investments. Excludes a non-current liability of approximately $2 million related to derivative activity included in Crude oil, natural gas, NGL and other purchases.</w:t>
      </w:r>
    </w:p>
    <w:p>
      <w:pPr>
        <w:spacing w:after="0" w:line="166" w:lineRule="exact"/>
        <w:rPr>
          <w:sz w:val="20"/>
          <w:szCs w:val="20"/>
          <w:color w:val="auto"/>
        </w:rPr>
      </w:pPr>
    </w:p>
    <w:p>
      <w:pPr>
        <w:sectPr>
          <w:pgSz w:w="11900" w:h="16838" w:orient="portrait"/>
          <w:cols w:equalWidth="0" w:num="2">
            <w:col w:w="140" w:space="500"/>
            <w:col w:w="10780"/>
          </w:cols>
          <w:pgMar w:left="240" w:top="125" w:right="239" w:bottom="158" w:gutter="0" w:footer="0" w:header="0"/>
          <w:type w:val="continuous"/>
        </w:sectPr>
      </w:pPr>
    </w:p>
    <w:p>
      <w:pPr>
        <w:ind w:left="660" w:right="220" w:hanging="652"/>
        <w:spacing w:after="0" w:line="249" w:lineRule="auto"/>
        <w:tabs>
          <w:tab w:leader="none" w:pos="64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Additionally, we issue letters of credit to support insurance programs and construction activities. At March 31, 2014 and December 31, 2013, we had outstanding letters of credit of approximately $70 million and $41 million,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Critical Accounting Policies and Estimates</w:t>
      </w:r>
    </w:p>
    <w:p>
      <w:pPr>
        <w:sectPr>
          <w:pgSz w:w="11900" w:h="16838" w:orient="portrait"/>
          <w:cols w:equalWidth="0" w:num="1">
            <w:col w:w="11420"/>
          </w:cols>
          <w:pgMar w:left="240" w:top="125" w:right="239" w:bottom="158" w:gutter="0" w:footer="0" w:header="0"/>
          <w:type w:val="continuous"/>
        </w:sectPr>
      </w:pPr>
    </w:p>
    <w:bookmarkStart w:id="27" w:name="page28"/>
    <w:bookmarkEnd w:id="27"/>
    <w:p>
      <w:pPr>
        <w:spacing w:after="0" w:line="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“Critical Accounting Policies and Estimates” under Item 7 of our 2013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4"/>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0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ectPr>
          <w:pgSz w:w="11900" w:h="16929" w:orient="portrait"/>
          <w:cols w:equalWidth="0" w:num="1">
            <w:col w:w="11400"/>
          </w:cols>
          <w:pgMar w:left="240" w:top="125" w:right="259" w:bottom="0" w:gutter="0" w:footer="0" w:header="0"/>
        </w:sectPr>
      </w:pPr>
    </w:p>
    <w:bookmarkStart w:id="28" w:name="page29"/>
    <w:bookmarkEnd w:id="28"/>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2013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1260" w:hanging="28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87" w:lineRule="exact"/>
        <w:rPr>
          <w:sz w:val="20"/>
          <w:szCs w:val="20"/>
          <w:color w:val="auto"/>
        </w:rPr>
      </w:pPr>
    </w:p>
    <w:p>
      <w:pPr>
        <w:ind w:left="1260" w:hanging="28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1300" w:right="200"/>
        <w:spacing w:after="0" w:line="286" w:lineRule="auto"/>
        <w:rPr>
          <w:sz w:val="20"/>
          <w:szCs w:val="20"/>
          <w:color w:val="auto"/>
        </w:rPr>
      </w:pPr>
      <w:r>
        <w:rPr>
          <w:rFonts w:ascii="Arial" w:cs="Arial" w:eastAsia="Arial" w:hAnsi="Arial"/>
          <w:sz w:val="17"/>
          <w:szCs w:val="17"/>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66" w:lineRule="exact"/>
        <w:rPr>
          <w:sz w:val="20"/>
          <w:szCs w:val="20"/>
          <w:color w:val="auto"/>
        </w:rPr>
      </w:pPr>
    </w:p>
    <w:p>
      <w:pPr>
        <w:ind w:left="1260" w:hanging="280"/>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1300" w:right="12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10 to our condensed consolidated financial statements for further discussion regarding our hedging strategies and objectives.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2014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100" w:type="dxa"/>
            <w:vAlign w:val="bottom"/>
            <w:tcBorders>
              <w:top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ectPr>
          <w:pgSz w:w="11900" w:h="16838" w:orient="portrait"/>
          <w:cols w:equalWidth="0" w:num="1">
            <w:col w:w="11420"/>
          </w:cols>
          <w:pgMar w:left="240" w:top="341" w:right="239" w:bottom="171" w:gutter="0" w:footer="0" w:header="0"/>
        </w:sectPr>
      </w:pPr>
    </w:p>
    <w:bookmarkStart w:id="29" w:name="page30"/>
    <w:bookmarkEnd w:id="29"/>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derivatives to hedge interest rate risk associated with anticipated debt issuances and, in certain cases, outstanding debt instruments. All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are fixed rate notes and thus are not subject to interest rate risk. The majority of our variable rate debt at March 31, 2014, approximately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is subject to interest rate re-sets, which range from one week to three months. The average interest rate of approximately 0.8% is based upon rates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 during the first three months ended March 31, 2014. The fair value of our interest rate derivatives is an asset of approximately $6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A 10% increase in the forward LIBOR curve as of March 31, 2014 would result in an increase of approximately $18 million to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interest rate derivatives. A 10% decrease in the forward LIBOR curve as of March 31, 2014 would result in a decrease of approximately $18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interest rate derivatives. See Note 10 to our condensed consolidated financial statements for a discussion of our interest rate risk hedging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approximately $3 million as of March 31, 2014. A 10% increase in the exchange rate (USD-to-CAD) would result in a decrease of approximately $19 million to the fair value of our foreign currency derivatives. A 10% decrease in the exchange rate (USD-to-CAD) would result in an increase of approximately $19 million to the fair value of our foreign currency derivatives. See Note 10 to our condensed consolidated financial statements for a discussion of our currency exchange rate risk hedging.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In addition to the information concerning our DCP, we are required to disclose certain changes in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11 to our condensed consolidated financial statements, and is incorporated herein by reference thereto.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AAP units representing an economic limited partner interest in Plains AAP, L.P. (“AAP”); (ii) general partner units representing a non-economic membership interest in PAA GP Holdings LLC (“GP Holdings”), our general partner; and (iii) Class B shares representing a non-economic limited partner interest in us. The Legacy Owners and any permitted transferees of their Stapled Interests have the right</w:t>
      </w:r>
    </w:p>
    <w:p>
      <w:pPr>
        <w:sectPr>
          <w:pgSz w:w="11900" w:h="16945" w:orient="portrait"/>
          <w:cols w:equalWidth="0" w:num="1">
            <w:col w:w="11420"/>
          </w:cols>
          <w:pgMar w:left="240" w:top="125" w:right="239" w:bottom="0" w:gutter="0" w:footer="0" w:header="0"/>
        </w:sectPr>
      </w:pPr>
    </w:p>
    <w:bookmarkStart w:id="30" w:name="page31"/>
    <w:bookmarkEnd w:id="30"/>
    <w:p>
      <w:pPr>
        <w:ind w:right="140"/>
        <w:spacing w:after="0" w:line="297" w:lineRule="auto"/>
        <w:rPr>
          <w:sz w:val="20"/>
          <w:szCs w:val="20"/>
          <w:color w:val="auto"/>
        </w:rPr>
      </w:pPr>
      <w:r>
        <w:rPr>
          <w:rFonts w:ascii="Arial" w:cs="Arial" w:eastAsia="Arial" w:hAnsi="Arial"/>
          <w:sz w:val="16"/>
          <w:szCs w:val="16"/>
          <w:color w:val="auto"/>
        </w:rPr>
        <w:t>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quarter ended March 31, 2014, certain Legacy Owners exercised the Exchange Right, which resulted in the issuance of additional Class A shares. The following table reflects such Exchange Right exercises and related issuances of Class A shares: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AAP Units,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General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Partner Units</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and Class B</w:t>
            </w:r>
          </w:p>
        </w:tc>
        <w:tc>
          <w:tcPr>
            <w:tcW w:w="14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472,196,136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470,196,136</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issuance of Class A shares in connection with the exercise of the Exchange Rights was exempt from the registration requirements of the Securities Act of 1933, as amended, pursuant to Section 4(2) thereof.</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PLAINS GP HOLDINGS, L.P.</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Date: May 13, 2014</w:t>
            </w:r>
          </w:p>
        </w:tc>
        <w:tc>
          <w:tcPr>
            <w:tcW w:w="5240" w:type="dxa"/>
            <w:vAlign w:val="bottom"/>
          </w:tcPr>
          <w:p>
            <w:pPr>
              <w:spacing w:after="0"/>
              <w:rPr>
                <w:sz w:val="24"/>
                <w:szCs w:val="24"/>
                <w:color w:val="auto"/>
              </w:rPr>
            </w:pPr>
          </w:p>
        </w:tc>
      </w:tr>
      <w:tr>
        <w:trPr>
          <w:trHeight w:val="432"/>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r>
      <w:tr>
        <w:trPr>
          <w:trHeight w:val="195"/>
        </w:trPr>
        <w:tc>
          <w:tcPr>
            <w:tcW w:w="618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92"/>
              </w:rPr>
              <w:t xml:space="preserve">Greg L. Armstrong, </w:t>
            </w:r>
            <w:r>
              <w:rPr>
                <w:rFonts w:ascii="Arial" w:cs="Arial" w:eastAsia="Arial" w:hAnsi="Arial"/>
                <w:sz w:val="18"/>
                <w:szCs w:val="18"/>
                <w:i w:val="1"/>
                <w:iCs w:val="1"/>
                <w:color w:val="auto"/>
                <w:w w:val="92"/>
              </w:rPr>
              <w:t>Chairman of the Board,</w:t>
            </w:r>
          </w:p>
        </w:tc>
      </w:tr>
      <w:tr>
        <w:trPr>
          <w:trHeight w:val="216"/>
        </w:trPr>
        <w:tc>
          <w:tcPr>
            <w:tcW w:w="61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and Director</w:t>
            </w:r>
          </w:p>
        </w:tc>
      </w:tr>
      <w:tr>
        <w:trPr>
          <w:trHeight w:val="230"/>
        </w:trPr>
        <w:tc>
          <w:tcPr>
            <w:tcW w:w="61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Date: May 13, 2014</w:t>
            </w:r>
          </w:p>
        </w:tc>
        <w:tc>
          <w:tcPr>
            <w:tcW w:w="5240" w:type="dxa"/>
            <w:vAlign w:val="bottom"/>
          </w:tcPr>
          <w:p>
            <w:pPr>
              <w:spacing w:after="0"/>
              <w:rPr>
                <w:sz w:val="24"/>
                <w:szCs w:val="24"/>
                <w:color w:val="auto"/>
              </w:rPr>
            </w:pPr>
          </w:p>
        </w:tc>
      </w:tr>
      <w:tr>
        <w:trPr>
          <w:trHeight w:val="432"/>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Al Swanson</w:t>
            </w:r>
          </w:p>
        </w:tc>
      </w:tr>
      <w:tr>
        <w:trPr>
          <w:trHeight w:val="195"/>
        </w:trPr>
        <w:tc>
          <w:tcPr>
            <w:tcW w:w="618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89"/>
              </w:rPr>
              <w:t xml:space="preserve">Al Swanson, </w:t>
            </w:r>
            <w:r>
              <w:rPr>
                <w:rFonts w:ascii="Arial" w:cs="Arial" w:eastAsia="Arial" w:hAnsi="Arial"/>
                <w:sz w:val="18"/>
                <w:szCs w:val="18"/>
                <w:i w:val="1"/>
                <w:iCs w:val="1"/>
                <w:color w:val="auto"/>
                <w:w w:val="89"/>
              </w:rPr>
              <w:t>Executive Vice President and</w:t>
            </w:r>
          </w:p>
        </w:tc>
      </w:tr>
      <w:tr>
        <w:trPr>
          <w:trHeight w:val="216"/>
        </w:trPr>
        <w:tc>
          <w:tcPr>
            <w:tcW w:w="61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61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Date: May 13, 2014</w:t>
            </w:r>
          </w:p>
        </w:tc>
        <w:tc>
          <w:tcPr>
            <w:tcW w:w="5240" w:type="dxa"/>
            <w:vAlign w:val="bottom"/>
          </w:tcPr>
          <w:p>
            <w:pPr>
              <w:spacing w:after="0"/>
              <w:rPr>
                <w:sz w:val="24"/>
                <w:szCs w:val="24"/>
                <w:color w:val="auto"/>
              </w:rPr>
            </w:pPr>
          </w:p>
        </w:tc>
      </w:tr>
      <w:tr>
        <w:trPr>
          <w:trHeight w:val="432"/>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r>
    </w:tbl>
    <w:p>
      <w:pPr>
        <w:jc w:val="center"/>
        <w:ind w:left="6180"/>
        <w:spacing w:after="0"/>
        <w:rPr>
          <w:sz w:val="20"/>
          <w:szCs w:val="20"/>
          <w:color w:val="auto"/>
        </w:rPr>
      </w:pPr>
      <w:r>
        <w:rPr>
          <w:rFonts w:ascii="Arial" w:cs="Arial" w:eastAsia="Arial" w:hAnsi="Arial"/>
          <w:sz w:val="18"/>
          <w:szCs w:val="18"/>
          <w:color w:val="auto"/>
        </w:rPr>
        <w:t xml:space="preserve">Chris Herbold, </w:t>
      </w:r>
      <w:r>
        <w:rPr>
          <w:rFonts w:ascii="Arial" w:cs="Arial" w:eastAsia="Arial" w:hAnsi="Arial"/>
          <w:sz w:val="18"/>
          <w:szCs w:val="18"/>
          <w:i w:val="1"/>
          <w:iCs w:val="1"/>
          <w:color w:val="auto"/>
        </w:rPr>
        <w:t>Vice President- Accounting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25" w:right="2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7"/>
              </w:rPr>
              <w:t>Certificate of Limited Partnership of Plains GP Holdings, L.P. (incorporated by reference to Exhibit 3.1 to the Registration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Statement on 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Amended and Restated Limited Partnership Agreement of Plains GP Holdings, L.P. (incorporated by reference to Exhibit 3.1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4"/>
              </w:rPr>
              <w:t>Certificate of Formation of PAA GP Holdings LLC. (incorporated by reference to Exhibit 3.3 to the Registration Statement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Amended and Restated Limited Liability Company Agreement of PAA GP Holdings LLC (incorporated by reference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Exhibit 3.2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Amendment No. 1 to Amended and Restated Limited Liability Company Agreement of PAA GP Holdings LLC, dated as of</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December 31, 2013 (incorporated by reference to Exhibit 3.2 to the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Fourth Amended and Restated Agreement of Limited Partnership of Plains All American Pipeline, L.P. dated as of May 17, 2012</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(incorporated by reference to Exhibit 3.1 to PAA’s Current Report on Form 8-K filed May 23,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Amendment No. 1 dated October 1, 2012 to the Fourth Amended and Restated Agreement of Limited Partnership of Plains All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American Pipeline, L.P. (incorporated by reference to Exhibit 3.1 to PAA’s Current Report on Form 8-K filed October 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Amendment No. 2 dated December 31, 2013 to the Fourth Amended and Restated Agreement of Limited Partnership of Plains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All American Pipeline, L.P. (incorporated by reference to Exhibit 3.3 to the Current Report on Form 8-K filed December 31,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5"/>
              </w:rPr>
              <w:t>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(incorporated by reference to Exhibit 3.4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reference to Exhibit 3.3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Amendment No. 1 dated December 31, 2013 to Seventh Amended and Restated Limited Partnership Agreement of Plains AAP,</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L.P. (incorporated by reference to Exhibit 3.1 to the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4"/>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PAA’s the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7"/>
              </w:rPr>
              <w:t>Indenture dated September 25, 2002 among Plains All American Pipeline, L.P., PAA Finance Corp. and Wachovia Bank,</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National Association, as trustee (incorporated by reference to Exhibit 4.1 to the Quarterly Report on Form 10-Q for the quarter</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ended 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7"/>
              </w:rPr>
              <w:t>Association, as trustee (incorporated by reference to Exhibit 4.5 to the Registration Statement on Form S-4, File No. 333-</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8"/>
              </w:rPr>
              <w:t>Association, as trustee (incorporated by reference to Exhibit 4.1 to the Current Report on Form 8-K filed May 31, 2005).</w:t>
            </w:r>
          </w:p>
        </w:tc>
      </w:tr>
      <w:tr>
        <w:trPr>
          <w:trHeight w:val="348"/>
        </w:trPr>
        <w:tc>
          <w:tcPr>
            <w:tcW w:w="12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4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5"/>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8"/>
              </w:rPr>
              <w:t>Association, as trustee (incorporated by reference to Exhibit 4.1 to the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4.1 to the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4.2 to the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Thirteenth Supplemental Indenture (Series A and Series B 6.5% Senior Notes due 2018) dated April 23, 2008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4.1 to the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5"/>
              </w:rPr>
              <w:t>Fifteenth Supplemental Indenture (8.75% Senior Notes due 2019) dated April 20, 2009 among Plains All American Pipeline,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by reference to Exhibit 4.1 to the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5"/>
              </w:rPr>
              <w:t>Seventeenth Supplemental Indenture (5.75% Senior Notes due 2020) dated September 4, 2009 among Plains All American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the Subsidiary Guarantors named therein and U.S. Bank National Association, as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the Current Report on Form 8-K filed September 4, 2009).</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4.10</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4"/>
              </w:rPr>
              <w:t>Eighteenth Supplemental Indenture (3.95% Senior Notes due 2015) dated July 14, 2010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by reference to Exhibit 4.1 to the Current Report on Form 8-K filed July 13, 2010).</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by reference to Exhibit 4.1 to the Current Report on Form 8-K filed January 11, 2011).</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4.12</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4.1 to the Current</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4.13</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8"/>
              </w:rPr>
              <w:t>Twenty-First Supplemental Indenture (5.15% Senior Notes due 2042) dated March 22, 2012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1"/>
              </w:rPr>
              <w:t>Pipeline, L.P., PAA Finance Corp and U.S. Bank National Association, as trustee (incorporated by reference to Exhibit 4.3 to the</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Current Report on Form 8-K filed March 26,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Exhibit 4.1 to the 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Exhibit 4.3 to the Current Report on Form 8-K filed December 12, 2012).</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Twenty-Fourth Supplemental Indenture (3.85% Senior Notes due 2023) dated August 15, 2013, by and among</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400" w:type="dxa"/>
            <w:vAlign w:val="bottom"/>
            <w:gridSpan w:val="3"/>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4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8"/>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8"/>
              </w:rPr>
              <w:t>Plains All American Pipeline, L.P., PAA Finance Corp., and U.S. Bank National Association, as trustee (incorporated by</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reference to Exhibit 4.1 to the Current Report on Form 8-K filed August 15,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4.17</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the Current Report on Form 8-K filed April 29, 2014).</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Form of LTIP Grant Letter (PAGP Audit Committee Members).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958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154940</wp:posOffset>
            </wp:positionV>
            <wp:extent cx="2306955" cy="557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Grant of Phantom Class A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I am pleased to inform you that you have been granted [amount1] Phantom Class A Shares as of the above date pursuant to the Plains GP Holdings, L.P. Long-Term Incentive Plan (the “Plan”). In addition, in tandem with each Phantom Class A Share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54" w:lineRule="exact"/>
        <w:rPr>
          <w:sz w:val="20"/>
          <w:szCs w:val="20"/>
          <w:color w:val="auto"/>
        </w:rPr>
      </w:pPr>
    </w:p>
    <w:p>
      <w:pPr>
        <w:ind w:left="660" w:right="2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Phantom Class A Shares shall vest (become payable in the form of one Class A Share of Plains GP Holdings, L.P. for each Phantom Class A Share) in equal 25% increments ([amount2] Phantom Class A Shares per year) annually on the February Distribution Date.</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be payable in cash substantially contemporaneously with each Distribution Date.</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each vesting date, for so long as your service on the Board of Directors has not been terminated, you shall automatically receive a grant, evidenced hereby, of [amount2] additional Phantom Class A Shares (and tandem DERs), such that the total outstanding Phantom Class A Shares (and tandem DERs) granted by this letter shall remain [amount1].</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the vesting of any Phantom Class A Shares, an equal number of DERs shall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any forfeiture of Phantom Class A Shares, an equal number of DERs shall expire.</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right="160" w:hanging="328"/>
        <w:spacing w:after="0" w:line="30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your service on the Board of Directors is terminated (i) because of your death or disability (as determined in good faith by the Board), (ii) due to your Retirement, or (iii) for any reason other than as described in clauses (i) and (ii) of paragraph 6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5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a vesting under paragraph 7 above, the provisions of paragraph 3 above shall no longer be operative.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and (iii) “Retirement” means you no longer serve as an officer or director of any public company and have retired from full-time employment.</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Terms used herein that are not defined herein shall have the meanings set forth in the Plan or, if not defined in the Plan, in the Amended and Restated Agreement of Limited Partnership of Plains GP Holdings, L.P., as amended (the “Partnership Agreement”) or the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GP HOLDINGS LLC</w:t>
      </w:r>
    </w:p>
    <w:p>
      <w:pPr>
        <w:sectPr>
          <w:pgSz w:w="11900" w:h="16838" w:orient="portrait"/>
          <w:cols w:equalWidth="0" w:num="1">
            <w:col w:w="11420"/>
          </w:cols>
          <w:pgMar w:left="240" w:top="121" w:right="239" w:bottom="19"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ind w:left="780"/>
              <w:spacing w:after="0"/>
              <w:rPr>
                <w:sz w:val="20"/>
                <w:szCs w:val="20"/>
                <w:color w:val="auto"/>
              </w:rPr>
            </w:pPr>
            <w:r>
              <w:rPr>
                <w:rFonts w:ascii="Arial" w:cs="Arial" w:eastAsia="Arial" w:hAnsi="Arial"/>
                <w:sz w:val="18"/>
                <w:szCs w:val="18"/>
                <w:color w:val="auto"/>
              </w:rPr>
              <w:t>By:</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r>
      <w:tr>
        <w:trPr>
          <w:trHeight w:val="195"/>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ind w:left="780"/>
              <w:spacing w:after="0" w:line="195" w:lineRule="exact"/>
              <w:rPr>
                <w:sz w:val="20"/>
                <w:szCs w:val="20"/>
                <w:color w:val="auto"/>
              </w:rPr>
            </w:pPr>
            <w:r>
              <w:rPr>
                <w:rFonts w:ascii="Arial" w:cs="Arial" w:eastAsia="Arial" w:hAnsi="Arial"/>
                <w:sz w:val="18"/>
                <w:szCs w:val="18"/>
                <w:color w:val="auto"/>
              </w:rPr>
              <w:t>Name:</w:t>
            </w:r>
          </w:p>
        </w:tc>
        <w:tc>
          <w:tcPr>
            <w:tcW w:w="4960" w:type="dxa"/>
            <w:vAlign w:val="bottom"/>
            <w:gridSpan w:val="3"/>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ind w:left="780"/>
              <w:spacing w:after="0"/>
              <w:rPr>
                <w:sz w:val="20"/>
                <w:szCs w:val="20"/>
                <w:color w:val="auto"/>
              </w:rPr>
            </w:pPr>
            <w:r>
              <w:rPr>
                <w:rFonts w:ascii="Arial" w:cs="Arial" w:eastAsia="Arial" w:hAnsi="Arial"/>
                <w:sz w:val="18"/>
                <w:szCs w:val="18"/>
                <w:color w:val="auto"/>
              </w:rPr>
              <w:t>Title:</w:t>
            </w:r>
          </w:p>
        </w:tc>
        <w:tc>
          <w:tcPr>
            <w:tcW w:w="496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648"/>
        </w:trPr>
        <w:tc>
          <w:tcPr>
            <w:tcW w:w="4940" w:type="dxa"/>
            <w:vAlign w:val="bottom"/>
            <w:gridSpan w:val="2"/>
          </w:tcPr>
          <w:p>
            <w:pPr>
              <w:spacing w:after="0"/>
              <w:rPr>
                <w:sz w:val="20"/>
                <w:szCs w:val="20"/>
                <w:color w:val="auto"/>
              </w:rPr>
            </w:pPr>
            <w:r>
              <w:rPr>
                <w:rFonts w:ascii="Arial" w:cs="Arial" w:eastAsia="Arial" w:hAnsi="Arial"/>
                <w:sz w:val="18"/>
                <w:szCs w:val="18"/>
                <w:color w:val="auto"/>
              </w:rPr>
              <w:t>Beneficiary Designation</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365"/>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Primary Beneficiary Name</w:t>
            </w:r>
          </w:p>
        </w:tc>
        <w:tc>
          <w:tcPr>
            <w:tcW w:w="1520" w:type="dxa"/>
            <w:vAlign w:val="bottom"/>
          </w:tcPr>
          <w:p>
            <w:pPr>
              <w:ind w:left="700"/>
              <w:spacing w:after="0"/>
              <w:rPr>
                <w:sz w:val="20"/>
                <w:szCs w:val="20"/>
                <w:color w:val="auto"/>
              </w:rPr>
            </w:pPr>
            <w:r>
              <w:rPr>
                <w:rFonts w:ascii="Arial" w:cs="Arial" w:eastAsia="Arial" w:hAnsi="Arial"/>
                <w:sz w:val="14"/>
                <w:szCs w:val="14"/>
                <w:b w:val="1"/>
                <w:bCs w:val="1"/>
                <w:color w:val="auto"/>
                <w:w w:val="95"/>
              </w:rPr>
              <w:t>Relationship</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tcPr>
          <w:p>
            <w:pPr>
              <w:ind w:left="1200"/>
              <w:spacing w:after="0"/>
              <w:rPr>
                <w:sz w:val="20"/>
                <w:szCs w:val="20"/>
                <w:color w:val="auto"/>
              </w:rPr>
            </w:pPr>
            <w:r>
              <w:rPr>
                <w:rFonts w:ascii="Arial" w:cs="Arial" w:eastAsia="Arial" w:hAnsi="Arial"/>
                <w:sz w:val="14"/>
                <w:szCs w:val="14"/>
                <w:b w:val="1"/>
                <w:bCs w:val="1"/>
                <w:color w:val="auto"/>
              </w:rPr>
              <w:t>Percent (Must total 100%)</w:t>
            </w:r>
          </w:p>
        </w:tc>
      </w:tr>
      <w:tr>
        <w:trPr>
          <w:trHeight w:val="210"/>
        </w:trPr>
        <w:tc>
          <w:tcPr>
            <w:tcW w:w="4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spacing w:after="0"/>
        <w:tabs>
          <w:tab w:leader="none" w:pos="5620" w:val="left"/>
          <w:tab w:leader="none" w:pos="8580" w:val="left"/>
        </w:tabs>
        <w:rPr>
          <w:sz w:val="20"/>
          <w:szCs w:val="20"/>
          <w:color w:val="auto"/>
        </w:rPr>
      </w:pPr>
      <w:r>
        <w:rPr>
          <w:rFonts w:ascii="Arial" w:cs="Arial" w:eastAsia="Arial" w:hAnsi="Arial"/>
          <w:sz w:val="14"/>
          <w:szCs w:val="14"/>
          <w:b w:val="1"/>
          <w:bCs w:val="1"/>
          <w:color w:val="auto"/>
        </w:rPr>
        <w:t>Secondary Beneficiary Name</w:t>
      </w:r>
      <w:r>
        <w:rPr>
          <w:sz w:val="20"/>
          <w:szCs w:val="20"/>
          <w:color w:val="auto"/>
        </w:rPr>
        <w:tab/>
      </w:r>
      <w:r>
        <w:rPr>
          <w:rFonts w:ascii="Arial" w:cs="Arial" w:eastAsia="Arial" w:hAnsi="Arial"/>
          <w:sz w:val="14"/>
          <w:szCs w:val="14"/>
          <w:b w:val="1"/>
          <w:bCs w:val="1"/>
          <w:color w:val="auto"/>
        </w:rPr>
        <w:t>Relationship</w:t>
      </w:r>
      <w:r>
        <w:rPr>
          <w:sz w:val="20"/>
          <w:szCs w:val="20"/>
          <w:color w:val="auto"/>
        </w:rPr>
        <w:tab/>
      </w:r>
      <w:r>
        <w:rPr>
          <w:rFonts w:ascii="Arial" w:cs="Arial" w:eastAsia="Arial" w:hAnsi="Arial"/>
          <w:sz w:val="13"/>
          <w:szCs w:val="13"/>
          <w:b w:val="1"/>
          <w:bCs w:val="1"/>
          <w:color w:val="auto"/>
        </w:rPr>
        <w:t>Percent (Must total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No. of Phantom Class A Shares:</w:t>
      </w:r>
      <w:r>
        <w:rPr>
          <w:sz w:val="20"/>
          <w:szCs w:val="20"/>
          <w:color w:val="auto"/>
        </w:rPr>
        <w:tab/>
      </w:r>
      <w:r>
        <w:rPr>
          <w:rFonts w:ascii="Arial" w:cs="Arial" w:eastAsia="Arial" w:hAnsi="Arial"/>
          <w:sz w:val="16"/>
          <w:szCs w:val="16"/>
          <w:color w:val="auto"/>
        </w:rPr>
        <w:t>[amount1]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18097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173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Months Ended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March 31, 2014</w:t>
            </w:r>
          </w:p>
        </w:tc>
        <w:tc>
          <w:tcPr>
            <w:tcW w:w="240" w:type="dxa"/>
            <w:vAlign w:val="bottom"/>
          </w:tcPr>
          <w:p>
            <w:pPr>
              <w:spacing w:after="0"/>
              <w:rPr>
                <w:sz w:val="12"/>
                <w:szCs w:val="12"/>
                <w:color w:val="auto"/>
              </w:rPr>
            </w:pPr>
          </w:p>
        </w:tc>
        <w:tc>
          <w:tcPr>
            <w:tcW w:w="86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operations before noncontrolling</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interest and income from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60"/>
              <w:spacing w:after="0" w:line="201" w:lineRule="exact"/>
              <w:rPr>
                <w:sz w:val="20"/>
                <w:szCs w:val="20"/>
                <w:color w:val="auto"/>
              </w:rPr>
            </w:pPr>
            <w:r>
              <w:rPr>
                <w:rFonts w:ascii="Arial" w:cs="Arial" w:eastAsia="Arial" w:hAnsi="Arial"/>
                <w:sz w:val="18"/>
                <w:szCs w:val="18"/>
                <w:color w:val="auto"/>
              </w:rPr>
              <w:t>add: Distributed income of equity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60"/>
              <w:spacing w:after="0" w:line="201" w:lineRule="exact"/>
              <w:rPr>
                <w:sz w:val="20"/>
                <w:szCs w:val="20"/>
                <w:color w:val="auto"/>
              </w:rPr>
            </w:pPr>
            <w:r>
              <w:rPr>
                <w:rFonts w:ascii="Arial" w:cs="Arial" w:eastAsia="Arial" w:hAnsi="Arial"/>
                <w:sz w:val="18"/>
                <w:szCs w:val="18"/>
                <w:color w:val="auto"/>
                <w:w w:val="99"/>
              </w:rPr>
              <w:t>Portion of rent expense related to interest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RATIO OF EARNINGS TO FIXED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line="234" w:lineRule="exact"/>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23"/>
                <w:szCs w:val="23"/>
                <w:b w:val="1"/>
                <w:bCs w:val="1"/>
                <w:color w:val="auto"/>
                <w:vertAlign w:val="superscript"/>
              </w:rPr>
              <w:t>(3)</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4.89x</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4.34x</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3.95x</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4.05x</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2.49x</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54" w:lineRule="auto"/>
        <w:tabs>
          <w:tab w:leader="none" w:pos="328"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2" w:lineRule="exact"/>
        <w:rPr>
          <w:rFonts w:ascii="Arial" w:cs="Arial" w:eastAsia="Arial" w:hAnsi="Arial"/>
          <w:sz w:val="22"/>
          <w:szCs w:val="22"/>
          <w:color w:val="auto"/>
          <w:vertAlign w:val="superscript"/>
        </w:rPr>
      </w:pPr>
    </w:p>
    <w:p>
      <w:pPr>
        <w:ind w:left="340" w:right="520" w:hanging="332"/>
        <w:spacing w:after="0" w:line="267" w:lineRule="auto"/>
        <w:tabs>
          <w:tab w:leader="none" w:pos="32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Includes interest costs attributable to borrowings for hedged inventory purchases of $2 million for the three months ended March 31, 2014 and $30 million, $12 million, $20 million, $17 million and $11 million for the years ended December 31, 2013, 2012, 2011, 2010 and 2009, respectively.</w:t>
      </w:r>
    </w:p>
    <w:p>
      <w:pPr>
        <w:spacing w:after="0" w:line="14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77" w:lineRule="auto"/>
        <w:tabs>
          <w:tab w:leader="none" w:pos="8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40" w:firstLine="656"/>
        <w:spacing w:after="0" w:line="264" w:lineRule="auto"/>
        <w:tabs>
          <w:tab w:leader="none" w:pos="13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36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77"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40" w:firstLine="656"/>
        <w:spacing w:after="0" w:line="264"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320" w:firstLine="708"/>
        <w:spacing w:after="0" w:line="308" w:lineRule="auto"/>
        <w:tabs>
          <w:tab w:leader="none" w:pos="1395"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sz w:val="20"/>
          <w:szCs w:val="20"/>
          <w:color w:val="auto"/>
        </w:rPr>
      </w:pPr>
    </w:p>
    <w:p>
      <w:pPr>
        <w:ind w:right="320" w:firstLine="656"/>
        <w:spacing w:after="0" w:line="264"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lvl w:ilvl="1">
      <w:lvlJc w:val="left"/>
      <w:lvlText w:val="(%2)"/>
      <w:numFmt w:val="decimal"/>
      <w:start w:val="1"/>
    </w:lvl>
  </w:abstractNum>
  <w:abstractNum w:abstractNumId="4">
    <w:nsid w:val="54E49EB4"/>
    <w:multiLevelType w:val="hybridMultilevel"/>
    <w:lvl w:ilvl="0">
      <w:lvlJc w:val="left"/>
      <w:lvlText w:val="(%1)"/>
      <w:numFmt w:val="decimal"/>
      <w:start w:val="2"/>
    </w:lvl>
    <w:lvl w:ilvl="1">
      <w:lvlJc w:val="left"/>
      <w:lvlText w:val="%2"/>
      <w:numFmt w:val="decimal"/>
      <w:start w:val="1"/>
    </w:lvl>
  </w:abstractNum>
  <w:abstractNum w:abstractNumId="5">
    <w:nsid w:val="71F32454"/>
    <w:multiLevelType w:val="hybridMultilevel"/>
    <w:lvl w:ilvl="0">
      <w:lvlJc w:val="left"/>
      <w:lvlText w:val="(%1)"/>
      <w:numFmt w:val="lowerRoman"/>
      <w:start w:val="2"/>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2"/>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lowerRoman"/>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4"/>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3"/>
    </w:lvl>
  </w:abstractNum>
  <w:abstractNum w:abstractNumId="40">
    <w:nsid w:val="57E4CCAF"/>
    <w:multiLevelType w:val="hybridMultilevel"/>
    <w:lvl w:ilvl="0">
      <w:lvlJc w:val="left"/>
      <w:lvlText w:val="%1."/>
      <w:numFmt w:val="decimal"/>
      <w:start w:val="5"/>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lowerLetter"/>
      <w:start w:val="1"/>
    </w:lvl>
    <w:lvl w:ilvl="1">
      <w:lvlJc w:val="left"/>
      <w:lvlText w:val="(%2)"/>
      <w:numFmt w:val="lowerLetter"/>
      <w:start w:val="3"/>
    </w:lvl>
  </w:abstractNum>
  <w:abstractNum w:abstractNumId="44">
    <w:nsid w:val="6DE91B18"/>
    <w:multiLevelType w:val="hybridMultilevel"/>
    <w:lvl w:ilvl="0">
      <w:lvlJc w:val="left"/>
      <w:lvlText w:val="(%1)"/>
      <w:numFmt w:val="lowerLetter"/>
      <w:start w:val="4"/>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2020-01-27T10:57:26Z</dcterms:created>
  <dcterms:modified xsi:type="dcterms:W3CDTF">2020-01-27T10:57:26Z</dcterms:modified>
</cp:coreProperties>
</file>