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542328d8k.htm"/>
      <w:bookmarkStart w:id="1" w:name="ksd542328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 May 21, 2013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DELAWARE</w:t>
            </w:r>
          </w:p>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1-14569</w:t>
            </w:r>
          </w:p>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76-0582150</w:t>
            </w:r>
          </w:p>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 Houston, Texas</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6837"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Representatives of Plains All American Pipeline, L.P. (PAA or the Partnership) intend to make a presentation and meet with members of the financial community at the National Association of Publicly Traded Partnerships 2013 Master Limited Partnership Investor Conference to be held in Stamford, Connecticut on Wednesday, May 22, 2013. Such presentation will give an overview of PAA, including a review of the Partnerships strategic positioning, expansion capital projects, organic growth activities, financial growth strategy and related matters. On the morning of May 22, 2013, the prepared presentation materials will be made available for viewing on the Partnerships website at www.PAALP.com. The presentation will also be webcast live beginning at approximately 9:00 a.m. EDT and will be available for a period of approximately 90 days following the event at the following weblink: </w:t>
      </w:r>
      <w:r>
        <w:rPr>
          <w:rFonts w:ascii="Times New Roman" w:hAnsi="Times New Roman"/>
          <w:sz w:val="20"/>
          <w:u w:val="single"/>
        </w:rPr>
        <w:t>http://www.wsw.com/webcast/naptp6/paa/</w:t>
      </w:r>
      <w:r>
        <w:rPr>
          <w:rFonts w:ascii="Times New Roman" w:hAnsi="Times New Roman"/>
          <w:sz w:val="20"/>
        </w:rPr>
        <w:t xml:space="preserve">. PAA does not undertake to update the information as posted on its website; however, it may post additional information included in future press releases and Forms 8-K, as well as posting its periodic Exchange Act reports.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594"/>
        <w:gridCol w:w="113"/>
        <w:gridCol w:w="405"/>
        <w:gridCol w:w="113"/>
        <w:gridCol w:w="267"/>
        <w:gridCol w:w="113"/>
        <w:gridCol w:w="4600"/>
      </w:tblGrid>
      <w:tr>
        <w:trPr/>
        <w:tc>
          <w:tcPr>
            <w:tcW w:w="4594"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600" w:type="dxa"/>
            <w:tcBorders/>
            <w:shd w:fill="auto" w:val="clear"/>
            <w:vAlign w:val="center"/>
          </w:tcPr>
          <w:p>
            <w:pPr>
              <w:pStyle w:val="TableContents"/>
              <w:spacing w:before="0" w:after="283"/>
              <w:rPr>
                <w:sz w:val="4"/>
                <w:szCs w:val="4"/>
              </w:rPr>
            </w:pPr>
            <w:r>
              <w:rPr>
                <w:sz w:val="4"/>
                <w:szCs w:val="4"/>
              </w:rPr>
            </w:r>
          </w:p>
        </w:tc>
      </w:tr>
      <w:tr>
        <w:trPr/>
        <w:tc>
          <w:tcPr>
            <w:tcW w:w="4594"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4980"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594" w:type="dxa"/>
            <w:tcBorders/>
            <w:shd w:fill="auto" w:val="clear"/>
            <w:vAlign w:val="center"/>
          </w:tcPr>
          <w:p>
            <w:pPr>
              <w:pStyle w:val="TableContents"/>
              <w:spacing w:before="0" w:after="283"/>
              <w:rPr>
                <w:sz w:val="4"/>
                <w:szCs w:val="4"/>
              </w:rPr>
            </w:pPr>
            <w:r>
              <w:rPr>
                <w:sz w:val="4"/>
                <w:szCs w:val="4"/>
              </w:rPr>
            </w:r>
          </w:p>
        </w:tc>
        <w:tc>
          <w:tcPr>
            <w:tcW w:w="518" w:type="dxa"/>
            <w:gridSpan w:val="2"/>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4713" w:type="dxa"/>
            <w:gridSpan w:val="2"/>
            <w:tcBorders/>
            <w:shd w:fill="auto" w:val="clear"/>
            <w:vAlign w:val="center"/>
          </w:tcPr>
          <w:p>
            <w:pPr>
              <w:pStyle w:val="TableContents"/>
              <w:spacing w:before="0" w:after="283"/>
              <w:rPr>
                <w:sz w:val="4"/>
                <w:szCs w:val="4"/>
              </w:rPr>
            </w:pPr>
            <w:r>
              <w:rPr>
                <w:sz w:val="4"/>
                <w:szCs w:val="4"/>
              </w:rPr>
            </w:r>
          </w:p>
        </w:tc>
      </w:tr>
      <w:tr>
        <w:trPr/>
        <w:tc>
          <w:tcPr>
            <w:tcW w:w="4594" w:type="dxa"/>
            <w:tcBorders/>
            <w:shd w:fill="auto" w:val="clear"/>
          </w:tcPr>
          <w:p>
            <w:pPr>
              <w:pStyle w:val="TableContents"/>
              <w:spacing w:before="0" w:after="283"/>
              <w:rPr>
                <w:rFonts w:ascii="Times New Roman" w:hAnsi="Times New Roman"/>
                <w:sz w:val="20"/>
              </w:rPr>
            </w:pPr>
            <w:r>
              <w:rPr>
                <w:rFonts w:ascii="Times New Roman" w:hAnsi="Times New Roman"/>
                <w:sz w:val="20"/>
              </w:rPr>
              <w:t>Date: May 21, 2013</w:t>
            </w:r>
          </w:p>
        </w:tc>
        <w:tc>
          <w:tcPr>
            <w:tcW w:w="113"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594" w:type="dxa"/>
            <w:tcBorders/>
            <w:shd w:fill="auto" w:val="clear"/>
            <w:vAlign w:val="center"/>
          </w:tcPr>
          <w:p>
            <w:pPr>
              <w:pStyle w:val="TableContents"/>
              <w:spacing w:before="0" w:after="283"/>
              <w:rPr>
                <w:sz w:val="4"/>
                <w:szCs w:val="4"/>
              </w:rPr>
            </w:pPr>
            <w:r>
              <w:rPr>
                <w:sz w:val="4"/>
                <w:szCs w:val="4"/>
              </w:rPr>
            </w:r>
          </w:p>
        </w:tc>
        <w:tc>
          <w:tcPr>
            <w:tcW w:w="518" w:type="dxa"/>
            <w:gridSpan w:val="2"/>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4713" w:type="dxa"/>
            <w:gridSpan w:val="2"/>
            <w:tcBorders/>
            <w:shd w:fill="auto" w:val="clear"/>
            <w:vAlign w:val="center"/>
          </w:tcPr>
          <w:p>
            <w:pPr>
              <w:pStyle w:val="TableContents"/>
              <w:spacing w:before="0" w:after="283"/>
              <w:rPr>
                <w:sz w:val="4"/>
                <w:szCs w:val="4"/>
              </w:rPr>
            </w:pPr>
            <w:r>
              <w:rPr>
                <w:sz w:val="4"/>
                <w:szCs w:val="4"/>
              </w:rPr>
            </w:r>
          </w:p>
        </w:tc>
      </w:tr>
      <w:tr>
        <w:trPr/>
        <w:tc>
          <w:tcPr>
            <w:tcW w:w="45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594" w:type="dxa"/>
            <w:tcBorders/>
            <w:shd w:fill="auto" w:val="clear"/>
            <w:vAlign w:val="center"/>
          </w:tcPr>
          <w:p>
            <w:pPr>
              <w:pStyle w:val="TableContents"/>
              <w:spacing w:before="0" w:after="283"/>
              <w:rPr>
                <w:sz w:val="4"/>
                <w:szCs w:val="4"/>
              </w:rPr>
            </w:pPr>
            <w:r>
              <w:rPr>
                <w:sz w:val="4"/>
                <w:szCs w:val="4"/>
              </w:rPr>
            </w:r>
          </w:p>
        </w:tc>
        <w:tc>
          <w:tcPr>
            <w:tcW w:w="518" w:type="dxa"/>
            <w:gridSpan w:val="2"/>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4713" w:type="dxa"/>
            <w:gridSpan w:val="2"/>
            <w:tcBorders/>
            <w:shd w:fill="auto" w:val="clear"/>
            <w:vAlign w:val="center"/>
          </w:tcPr>
          <w:p>
            <w:pPr>
              <w:pStyle w:val="TableContents"/>
              <w:spacing w:before="0" w:after="283"/>
              <w:rPr>
                <w:sz w:val="4"/>
                <w:szCs w:val="4"/>
              </w:rPr>
            </w:pPr>
            <w:r>
              <w:rPr>
                <w:sz w:val="4"/>
                <w:szCs w:val="4"/>
              </w:rPr>
            </w:r>
          </w:p>
        </w:tc>
      </w:tr>
      <w:tr>
        <w:trPr/>
        <w:tc>
          <w:tcPr>
            <w:tcW w:w="45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594" w:type="dxa"/>
            <w:tcBorders/>
            <w:shd w:fill="auto" w:val="clear"/>
            <w:vAlign w:val="center"/>
          </w:tcPr>
          <w:p>
            <w:pPr>
              <w:pStyle w:val="TableContents"/>
              <w:spacing w:before="0" w:after="283"/>
              <w:rPr>
                <w:sz w:val="4"/>
                <w:szCs w:val="4"/>
              </w:rPr>
            </w:pPr>
            <w:r>
              <w:rPr>
                <w:sz w:val="4"/>
                <w:szCs w:val="4"/>
              </w:rPr>
            </w:r>
          </w:p>
        </w:tc>
        <w:tc>
          <w:tcPr>
            <w:tcW w:w="518" w:type="dxa"/>
            <w:gridSpan w:val="2"/>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4713" w:type="dxa"/>
            <w:gridSpan w:val="2"/>
            <w:tcBorders/>
            <w:shd w:fill="auto" w:val="clear"/>
            <w:vAlign w:val="center"/>
          </w:tcPr>
          <w:p>
            <w:pPr>
              <w:pStyle w:val="TableContents"/>
              <w:spacing w:before="0" w:after="283"/>
              <w:rPr>
                <w:sz w:val="4"/>
                <w:szCs w:val="4"/>
              </w:rPr>
            </w:pPr>
            <w:r>
              <w:rPr>
                <w:sz w:val="4"/>
                <w:szCs w:val="4"/>
              </w:rPr>
            </w:r>
          </w:p>
        </w:tc>
      </w:tr>
      <w:tr>
        <w:trPr/>
        <w:tc>
          <w:tcPr>
            <w:tcW w:w="45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bottom w:val="single" w:sz="2" w:space="0" w:color="000000"/>
            </w:tcBorders>
            <w:shd w:fill="auto" w:val="clear"/>
            <w:tcMar>
              <w:bottom w:w="28" w:type="dxa"/>
            </w:tcMar>
            <w:vAlign w:val="bottom"/>
          </w:tcPr>
          <w:p>
            <w:pPr>
              <w:pStyle w:val="TableContents"/>
              <w:spacing w:before="0" w:after="283"/>
              <w:rPr/>
            </w:pPr>
            <w:r>
              <w:rPr/>
              <w:t> </w:t>
            </w:r>
          </w:p>
        </w:tc>
        <w:tc>
          <w:tcPr>
            <w:tcW w:w="4600"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5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Richard McGee</w:t>
            </w:r>
          </w:p>
        </w:tc>
      </w:tr>
      <w:tr>
        <w:trPr/>
        <w:tc>
          <w:tcPr>
            <w:tcW w:w="4594"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0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Executive Vice President</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513</Words>
  <CharactersWithSpaces>3299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