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Plains GP Holdings, L.P.</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Shares</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72651A207</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August 31, 2018</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72651A207</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3,204,228</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3,204,228</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3,204,228</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2.0%</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72651A207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Plains GP Holdings, L.P.</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333 Clay Street, Suite 1600</w:t>
      </w:r>
    </w:p>
    <w:p>
      <w:pPr>
        <w:ind w:left="7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142" w:right="1440" w:bottom="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Shares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72651A207</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(e) [X] An investment adviser in accordance with</w:t>
      </w:r>
    </w:p>
    <w:p>
      <w:pPr>
        <w:sectPr>
          <w:pgSz w:w="11900" w:h="16838" w:orient="portrait"/>
          <w:cols w:equalWidth="0" w:num="2">
            <w:col w:w="640" w:space="100"/>
            <w:col w:w="947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3039"/>
        <w:spacing w:after="0" w:line="236" w:lineRule="auto"/>
        <w:rPr>
          <w:sz w:val="20"/>
          <w:szCs w:val="20"/>
          <w:color w:val="auto"/>
        </w:rPr>
      </w:pPr>
      <w:r>
        <w:rPr>
          <w:rFonts w:ascii="Courier New" w:cs="Courier New" w:eastAsia="Courier New" w:hAnsi="Courier New"/>
          <w:sz w:val="18"/>
          <w:szCs w:val="18"/>
          <w:color w:val="auto"/>
        </w:rPr>
        <w:t>Capital Research Global Investors divisions of CRMC is deemed to be the beneficial owner of 3,204,228 shares or 2% of the 157,954,130 shares believed to be outstanding.</w:t>
      </w:r>
    </w:p>
    <w:p>
      <w:pPr>
        <w:spacing w:after="0" w:line="203" w:lineRule="exact"/>
        <w:rPr>
          <w:sz w:val="20"/>
          <w:szCs w:val="20"/>
          <w:color w:val="auto"/>
        </w:rPr>
      </w:pPr>
    </w:p>
    <w:p>
      <w:pPr>
        <w:spacing w:after="0"/>
        <w:tabs>
          <w:tab w:leader="none" w:pos="1140" w:val="left"/>
          <w:tab w:leader="none" w:pos="610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Five Percent or Less of a Class.</w:t>
      </w:r>
      <w:r>
        <w:rPr>
          <w:sz w:val="20"/>
          <w:szCs w:val="20"/>
          <w:color w:val="auto"/>
        </w:rPr>
        <w:tab/>
      </w:r>
      <w:r>
        <w:rPr>
          <w:rFonts w:ascii="Courier New" w:cs="Courier New" w:eastAsia="Courier New" w:hAnsi="Courier New"/>
          <w:sz w:val="16"/>
          <w:szCs w:val="16"/>
          <w:color w:val="auto"/>
        </w:rPr>
        <w:t>If this</w:t>
      </w:r>
    </w:p>
    <w:p>
      <w:pPr>
        <w:ind w:left="740"/>
        <w:spacing w:after="0" w:line="238" w:lineRule="auto"/>
        <w:rPr>
          <w:sz w:val="20"/>
          <w:szCs w:val="20"/>
          <w:color w:val="auto"/>
        </w:rPr>
      </w:pPr>
      <w:r>
        <w:rPr>
          <w:rFonts w:ascii="Courier New" w:cs="Courier New" w:eastAsia="Courier New" w:hAnsi="Courier New"/>
          <w:sz w:val="18"/>
          <w:szCs w:val="18"/>
          <w:color w:val="auto"/>
        </w:rPr>
        <w:t>statement is being filed to report the fact that as of the date</w:t>
      </w:r>
    </w:p>
    <w:p>
      <w:pPr>
        <w:ind w:left="740"/>
        <w:spacing w:after="0"/>
        <w:rPr>
          <w:sz w:val="20"/>
          <w:szCs w:val="20"/>
          <w:color w:val="auto"/>
        </w:rPr>
      </w:pPr>
      <w:r>
        <w:rPr>
          <w:rFonts w:ascii="Courier New" w:cs="Courier New" w:eastAsia="Courier New" w:hAnsi="Courier New"/>
          <w:sz w:val="18"/>
          <w:szCs w:val="18"/>
          <w:color w:val="auto"/>
        </w:rPr>
        <w:t>hereof the reporting person has ceased to be the beneficial</w:t>
      </w:r>
    </w:p>
    <w:p>
      <w:pPr>
        <w:spacing w:after="0"/>
        <w:tabs>
          <w:tab w:leader="none" w:pos="6720" w:val="left"/>
        </w:tabs>
        <w:rPr>
          <w:sz w:val="20"/>
          <w:szCs w:val="20"/>
          <w:color w:val="auto"/>
        </w:rPr>
      </w:pPr>
      <w:r>
        <w:rPr>
          <w:rFonts w:ascii="Courier New" w:cs="Courier New" w:eastAsia="Courier New" w:hAnsi="Courier New"/>
          <w:sz w:val="18"/>
          <w:szCs w:val="18"/>
          <w:color w:val="auto"/>
        </w:rPr>
        <w:t>CUSIP: 72651A207</w:t>
      </w:r>
      <w:r>
        <w:rPr>
          <w:sz w:val="20"/>
          <w:szCs w:val="20"/>
          <w:color w:val="auto"/>
        </w:rPr>
        <w:tab/>
      </w:r>
      <w:r>
        <w:rPr>
          <w:rFonts w:ascii="Courier New" w:cs="Courier New" w:eastAsia="Courier New" w:hAnsi="Courier New"/>
          <w:sz w:val="16"/>
          <w:szCs w:val="16"/>
          <w:color w:val="auto"/>
        </w:rPr>
        <w:t>Page 3 of 4</w:t>
      </w:r>
    </w:p>
    <w:p>
      <w:pPr>
        <w:spacing w:after="0" w:line="200" w:lineRule="exact"/>
        <w:rPr>
          <w:sz w:val="20"/>
          <w:szCs w:val="20"/>
          <w:color w:val="auto"/>
        </w:rPr>
      </w:pPr>
    </w:p>
    <w:p>
      <w:pPr>
        <w:spacing w:after="0" w:line="385" w:lineRule="exact"/>
        <w:rPr>
          <w:sz w:val="20"/>
          <w:szCs w:val="20"/>
          <w:color w:val="auto"/>
        </w:rPr>
      </w:pPr>
    </w:p>
    <w:p>
      <w:pPr>
        <w:ind w:left="740" w:right="3259"/>
        <w:spacing w:after="0" w:line="235" w:lineRule="auto"/>
        <w:rPr>
          <w:sz w:val="20"/>
          <w:szCs w:val="20"/>
          <w:color w:val="auto"/>
        </w:rPr>
      </w:pPr>
      <w:r>
        <w:rPr>
          <w:rFonts w:ascii="Courier New" w:cs="Courier New" w:eastAsia="Courier New" w:hAnsi="Courier New"/>
          <w:sz w:val="18"/>
          <w:szCs w:val="18"/>
          <w:color w:val="auto"/>
        </w:rPr>
        <w:t>owner of more than five percent of the class of securities, check the following: [X]</w:t>
      </w:r>
    </w:p>
    <w:p>
      <w:pPr>
        <w:spacing w:after="0" w:line="208"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6" w:right="1440" w:bottom="1440" w:gutter="0" w:footer="0" w:header="0"/>
        </w:sect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September 10, 2018</w:t>
      </w:r>
    </w:p>
    <w:p>
      <w:pPr>
        <w:spacing w:after="0" w:line="200" w:lineRule="exact"/>
        <w:rPr>
          <w:sz w:val="20"/>
          <w:szCs w:val="20"/>
          <w:color w:val="auto"/>
        </w:rPr>
      </w:pPr>
    </w:p>
    <w:p>
      <w:pPr>
        <w:sectPr>
          <w:pgSz w:w="11900" w:h="16838" w:orient="portrait"/>
          <w:cols w:equalWidth="0" w:num="2">
            <w:col w:w="1720" w:space="720"/>
            <w:col w:w="7779"/>
          </w:cols>
          <w:pgMar w:left="240" w:top="136" w:right="1440" w:bottom="144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Donald H. Rolfe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H. Rolfe - Senior Vice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Senior Counsel, Fund Business</w:t>
      </w:r>
    </w:p>
    <w:p>
      <w:pPr>
        <w:spacing w:after="0" w:line="238" w:lineRule="auto"/>
        <w:rPr>
          <w:sz w:val="20"/>
          <w:szCs w:val="20"/>
          <w:color w:val="auto"/>
        </w:rPr>
      </w:pPr>
      <w:r>
        <w:rPr>
          <w:rFonts w:ascii="Courier New" w:cs="Courier New" w:eastAsia="Courier New" w:hAnsi="Courier New"/>
          <w:sz w:val="18"/>
          <w:szCs w:val="18"/>
          <w:color w:val="auto"/>
        </w:rPr>
        <w:t>Management Group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2">
            <w:col w:w="2000" w:space="440"/>
            <w:col w:w="7779"/>
          </w:cols>
          <w:pgMar w:left="240" w:top="136" w:right="1440" w:bottom="1440" w:gutter="0" w:footer="0" w:header="0"/>
          <w:type w:val="continuous"/>
        </w:sectPr>
      </w:pPr>
    </w:p>
    <w:bookmarkStart w:id="3" w:name="page4"/>
    <w:bookmarkEnd w:id="3"/>
    <w:p>
      <w:pPr>
        <w:spacing w:after="0" w:line="200" w:lineRule="exact"/>
        <w:rPr>
          <w:sz w:val="20"/>
          <w:szCs w:val="20"/>
          <w:color w:val="auto"/>
        </w:rPr>
      </w:pPr>
    </w:p>
    <w:p>
      <w:pPr>
        <w:spacing w:after="0" w:line="320"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72651A207</w:t>
      </w:r>
      <w:r>
        <w:rPr>
          <w:sz w:val="20"/>
          <w:szCs w:val="20"/>
          <w:color w:val="auto"/>
        </w:rPr>
        <w:tab/>
      </w:r>
      <w:r>
        <w:rPr>
          <w:rFonts w:ascii="Courier New" w:cs="Courier New" w:eastAsia="Courier New" w:hAnsi="Courier New"/>
          <w:sz w:val="16"/>
          <w:szCs w:val="16"/>
          <w:color w:val="auto"/>
        </w:rPr>
        <w:t>Page 4 of 4</w:t>
      </w:r>
    </w:p>
    <w:p>
      <w:pPr>
        <w:sectPr>
          <w:pgSz w:w="11900" w:h="16838" w:orient="portrait"/>
          <w:cols w:equalWidth="0" w:num="1">
            <w:col w:w="10219"/>
          </w:cols>
          <w:pgMar w:left="240" w:top="1440" w:right="1440"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2020-01-12T21:52:45Z</dcterms:created>
  <dcterms:modified xsi:type="dcterms:W3CDTF">2020-01-12T21:52:45Z</dcterms:modified>
</cp:coreProperties>
</file>