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1005840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929005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August 4, 2020</w:t>
      </w:r>
    </w:p>
    <w:p>
      <w:pPr>
        <w:spacing w:after="0" w:line="24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440" w:right="479" w:bottom="1440" w:gutter="0" w:footer="0" w:header="0"/>
        </w:sectPr>
      </w:pPr>
    </w:p>
    <w:p>
      <w:pPr>
        <w:spacing w:after="0" w:line="286" w:lineRule="exact"/>
        <w:rPr>
          <w:sz w:val="24"/>
          <w:szCs w:val="24"/>
          <w:color w:val="auto"/>
        </w:rPr>
      </w:pPr>
    </w:p>
    <w:p>
      <w:pPr>
        <w:ind w:left="17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77" w:lineRule="exact"/>
        <w:rPr>
          <w:sz w:val="24"/>
          <w:szCs w:val="24"/>
          <w:color w:val="auto"/>
        </w:rPr>
      </w:pPr>
    </w:p>
    <w:p>
      <w:pPr>
        <w:sectPr>
          <w:pgSz w:w="11900" w:h="16838" w:orient="portrait"/>
          <w:cols w:equalWidth="0" w:num="3">
            <w:col w:w="4620" w:space="720"/>
            <w:col w:w="2620" w:space="720"/>
            <w:col w:w="2420"/>
          </w:cols>
          <w:pgMar w:left="320" w:top="1440" w:right="47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1" w:lineRule="exact"/>
        <w:rPr>
          <w:sz w:val="24"/>
          <w:szCs w:val="24"/>
          <w:color w:val="auto"/>
        </w:rPr>
      </w:pPr>
    </w:p>
    <w:p>
      <w:pPr>
        <w:sectPr>
          <w:pgSz w:w="11900" w:h="16838" w:orient="portrait"/>
          <w:cols w:equalWidth="0" w:num="3">
            <w:col w:w="3920" w:space="720"/>
            <w:col w:w="2520" w:space="720"/>
            <w:col w:w="3220"/>
          </w:cols>
          <w:pgMar w:left="320" w:top="1440" w:right="479" w:bottom="1440" w:gutter="0" w:footer="0" w:header="0"/>
          <w:type w:val="continuous"/>
        </w:sectPr>
      </w:pPr>
    </w:p>
    <w:p>
      <w:pPr>
        <w:ind w:left="162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100"/>
          </w:cols>
          <w:pgMar w:left="320" w:top="1440" w:right="479" w:bottom="1440" w:gutter="0" w:footer="0" w:header="0"/>
          <w:type w:val="continuous"/>
        </w:sectPr>
      </w:pPr>
    </w:p>
    <w:p>
      <w:pPr>
        <w:spacing w:after="0" w:line="333"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(Address of principal executive offices) (Zip Code)</w:t>
      </w:r>
    </w:p>
    <w:p>
      <w:pPr>
        <w:spacing w:after="0" w:line="23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40" w:firstLine="8"/>
        <w:spacing w:after="0" w:line="559"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236"/>
        </w:trPr>
        <w:tc>
          <w:tcPr>
            <w:tcW w:w="34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Class A Shares</w:t>
            </w:r>
          </w:p>
        </w:tc>
        <w:tc>
          <w:tcPr>
            <w:tcW w:w="34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PAGP</w:t>
            </w:r>
          </w:p>
        </w:tc>
        <w:tc>
          <w:tcPr>
            <w:tcW w:w="4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75"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1" w:lineRule="exact"/>
        <w:rPr>
          <w:sz w:val="24"/>
          <w:szCs w:val="24"/>
          <w:color w:val="auto"/>
        </w:rPr>
      </w:pPr>
    </w:p>
    <w:p>
      <w:pPr>
        <w:ind w:right="100"/>
        <w:spacing w:after="0" w:line="254"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1021715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224155</wp:posOffset>
            </wp:positionV>
            <wp:extent cx="69265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658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164465</wp:posOffset>
            </wp:positionV>
            <wp:extent cx="69265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56"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On August 4, 2020, the Registrant issued a press release reporting its second-quarter 2020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Exhibit</w:t>
            </w:r>
          </w:p>
        </w:tc>
        <w:tc>
          <w:tcPr>
            <w:tcW w:w="10060" w:type="dxa"/>
            <w:vAlign w:val="bottom"/>
          </w:tcPr>
          <w:p>
            <w:pPr>
              <w:spacing w:after="0"/>
              <w:rPr>
                <w:sz w:val="17"/>
                <w:szCs w:val="17"/>
                <w:color w:val="auto"/>
              </w:rPr>
            </w:pPr>
          </w:p>
        </w:tc>
      </w:tr>
      <w:tr>
        <w:trPr>
          <w:trHeight w:val="210"/>
        </w:trPr>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Number</w:t>
            </w:r>
          </w:p>
        </w:tc>
        <w:tc>
          <w:tcPr>
            <w:tcW w:w="10060" w:type="dxa"/>
            <w:vAlign w:val="bottom"/>
          </w:tcPr>
          <w:p>
            <w:pPr>
              <w:ind w:left="464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60" w:type="dxa"/>
            <w:vAlign w:val="bottom"/>
            <w:tcBorders>
              <w:bottom w:val="single" w:sz="8" w:color="auto"/>
            </w:tcBorders>
          </w:tcPr>
          <w:p>
            <w:pPr>
              <w:spacing w:after="0"/>
              <w:rPr>
                <w:sz w:val="2"/>
                <w:szCs w:val="2"/>
                <w:color w:val="auto"/>
              </w:rPr>
            </w:pPr>
          </w:p>
        </w:tc>
      </w:tr>
      <w:tr>
        <w:trPr>
          <w:trHeight w:val="264"/>
        </w:trPr>
        <w:tc>
          <w:tcPr>
            <w:tcW w:w="108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100" w:type="dxa"/>
            <w:vAlign w:val="bottom"/>
          </w:tcPr>
          <w:p>
            <w:pPr>
              <w:spacing w:after="0"/>
              <w:rPr>
                <w:sz w:val="22"/>
                <w:szCs w:val="22"/>
                <w:color w:val="auto"/>
              </w:rPr>
            </w:pPr>
          </w:p>
        </w:tc>
        <w:tc>
          <w:tcPr>
            <w:tcW w:w="10060" w:type="dxa"/>
            <w:vAlign w:val="bottom"/>
          </w:tcPr>
          <w:p>
            <w:pPr>
              <w:ind w:left="20"/>
              <w:spacing w:after="0"/>
              <w:rPr>
                <w:rFonts w:ascii="Arial" w:cs="Arial" w:eastAsia="Arial" w:hAnsi="Arial"/>
                <w:sz w:val="18"/>
                <w:szCs w:val="18"/>
                <w:color w:val="0000FF"/>
              </w:rPr>
            </w:pPr>
            <w:hyperlink w:anchor="page4">
              <w:r>
                <w:rPr>
                  <w:rFonts w:ascii="Arial" w:cs="Arial" w:eastAsia="Arial" w:hAnsi="Arial"/>
                  <w:sz w:val="18"/>
                  <w:szCs w:val="18"/>
                  <w:u w:val="single" w:color="auto"/>
                  <w:color w:val="0000FF"/>
                </w:rPr>
                <w:t>Press Release dated August</w:t>
              </w:r>
              <w:r>
                <w:rPr>
                  <w:rFonts w:ascii="Arial" w:cs="Arial" w:eastAsia="Arial" w:hAnsi="Arial"/>
                  <w:sz w:val="18"/>
                  <w:szCs w:val="18"/>
                  <w:color w:val="0000FF"/>
                </w:rPr>
                <w:t xml:space="preserve"> </w:t>
              </w:r>
            </w:hyperlink>
            <w:r>
              <w:rPr>
                <w:rFonts w:ascii="Arial" w:cs="Arial" w:eastAsia="Arial" w:hAnsi="Arial"/>
                <w:sz w:val="18"/>
                <w:szCs w:val="18"/>
                <w:color w:val="0000FF"/>
              </w:rPr>
              <w:t xml:space="preserve">4, </w:t>
            </w:r>
            <w:hyperlink w:anchor="page4">
              <w:r>
                <w:rPr>
                  <w:rFonts w:ascii="Arial" w:cs="Arial" w:eastAsia="Arial" w:hAnsi="Arial"/>
                  <w:sz w:val="18"/>
                  <w:szCs w:val="18"/>
                  <w:u w:val="single" w:color="auto"/>
                  <w:color w:val="0000FF"/>
                </w:rPr>
                <w:t>2020</w:t>
              </w:r>
            </w:hyperlink>
          </w:p>
        </w:tc>
      </w:tr>
    </w:tbl>
    <w:p>
      <w:pPr>
        <w:spacing w:after="0" w:line="13" w:lineRule="exact"/>
        <w:rPr>
          <w:sz w:val="20"/>
          <w:szCs w:val="20"/>
          <w:color w:val="auto"/>
        </w:rPr>
      </w:pPr>
    </w:p>
    <w:p>
      <w:pPr>
        <w:ind w:left="1200" w:hanging="787"/>
        <w:spacing w:after="0"/>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3"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PLAINS GP HOLDINGS, L.P.</w:t>
      </w:r>
    </w:p>
    <w:p>
      <w:pPr>
        <w:spacing w:after="0" w:line="333" w:lineRule="exact"/>
        <w:rPr>
          <w:sz w:val="20"/>
          <w:szCs w:val="20"/>
          <w:color w:val="auto"/>
        </w:rPr>
      </w:pPr>
    </w:p>
    <w:p>
      <w:pPr>
        <w:ind w:left="4580"/>
        <w:spacing w:after="0"/>
        <w:tabs>
          <w:tab w:leader="none" w:pos="5020" w:val="left"/>
        </w:tabs>
        <w:rPr>
          <w:sz w:val="20"/>
          <w:szCs w:val="20"/>
          <w:color w:val="auto"/>
        </w:rPr>
      </w:pPr>
      <w:r>
        <w:rPr>
          <w:rFonts w:ascii="Arial" w:cs="Arial" w:eastAsia="Arial" w:hAnsi="Arial"/>
          <w:sz w:val="18"/>
          <w:szCs w:val="18"/>
          <w:color w:val="auto"/>
        </w:rPr>
        <w:t>By:</w:t>
        <w:tab/>
        <w:t>PAA GP Holdings LLC, its general partner</w:t>
      </w:r>
    </w:p>
    <w:p>
      <w:pPr>
        <w:spacing w:after="0" w:line="333" w:lineRule="exact"/>
        <w:rPr>
          <w:sz w:val="20"/>
          <w:szCs w:val="20"/>
          <w:color w:val="auto"/>
        </w:rPr>
      </w:pPr>
    </w:p>
    <w:p>
      <w:pPr>
        <w:ind w:left="40"/>
        <w:spacing w:after="0"/>
        <w:tabs>
          <w:tab w:leader="none" w:pos="4560" w:val="left"/>
          <w:tab w:leader="none" w:pos="5020" w:val="left"/>
        </w:tabs>
        <w:rPr>
          <w:sz w:val="20"/>
          <w:szCs w:val="20"/>
          <w:color w:val="auto"/>
        </w:rPr>
      </w:pPr>
      <w:r>
        <w:rPr>
          <w:rFonts w:ascii="Arial" w:cs="Arial" w:eastAsia="Arial" w:hAnsi="Arial"/>
          <w:sz w:val="18"/>
          <w:szCs w:val="18"/>
          <w:color w:val="auto"/>
        </w:rPr>
        <w:t>Date: August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31750</wp:posOffset>
            </wp:positionV>
            <wp:extent cx="3934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57" w:lineRule="exact"/>
        <w:rPr>
          <w:sz w:val="20"/>
          <w:szCs w:val="20"/>
          <w:color w:val="auto"/>
        </w:rPr>
      </w:pPr>
    </w:p>
    <w:p>
      <w:pPr>
        <w:ind w:left="5040"/>
        <w:spacing w:after="0"/>
        <w:tabs>
          <w:tab w:leader="none" w:pos="5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Al Swanson</w:t>
      </w:r>
    </w:p>
    <w:p>
      <w:pPr>
        <w:spacing w:after="0" w:line="63" w:lineRule="exact"/>
        <w:rPr>
          <w:sz w:val="20"/>
          <w:szCs w:val="20"/>
          <w:color w:val="auto"/>
        </w:rPr>
      </w:pPr>
    </w:p>
    <w:p>
      <w:pPr>
        <w:ind w:left="5040"/>
        <w:spacing w:after="0"/>
        <w:tabs>
          <w:tab w:leader="none" w:pos="5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320" w:top="985"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445770</wp:posOffset>
            </wp:positionV>
            <wp:extent cx="5846445" cy="754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644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and Plains GP Holdings Report Second-Quarter 2020 Results; Update 2020 Guidance</w:t>
      </w:r>
    </w:p>
    <w:p>
      <w:pPr>
        <w:spacing w:after="0" w:line="256"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(Houston — August 4, 2020) Plains All American Pipeline, L.P. (NYSE: PAA) and Plains GP Holdings (NYSE: PAGP) today reported second-quarter 2020 results and furnished updated 2020 guidance.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w:t>
      </w:r>
    </w:p>
    <w:p>
      <w:pPr>
        <w:spacing w:after="0" w:line="24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Reported net income for the period of $142 million</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Delivered second-quarter 2020 Adjusted EBITDA of $524 million</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Updated full-year 2020 Adjusted EBITDA guidance to $2.5 billion (increase of $75 million, or 3%)</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Reduced 2020 / 2021 expansion capital program to $1.45 billion (incremental reduction of $100 million, or 6%)</w:t>
      </w:r>
    </w:p>
    <w:p>
      <w:pPr>
        <w:spacing w:after="0" w:line="215" w:lineRule="exact"/>
        <w:rPr>
          <w:sz w:val="20"/>
          <w:szCs w:val="20"/>
          <w:color w:val="auto"/>
        </w:rPr>
      </w:pPr>
    </w:p>
    <w:p>
      <w:pPr>
        <w:ind w:right="100" w:firstLine="648"/>
        <w:spacing w:after="0" w:line="295" w:lineRule="auto"/>
        <w:rPr>
          <w:sz w:val="20"/>
          <w:szCs w:val="20"/>
          <w:color w:val="auto"/>
        </w:rPr>
      </w:pPr>
      <w:r>
        <w:rPr>
          <w:rFonts w:ascii="Arial" w:cs="Arial" w:eastAsia="Arial" w:hAnsi="Arial"/>
          <w:sz w:val="16"/>
          <w:szCs w:val="16"/>
          <w:color w:val="auto"/>
        </w:rPr>
        <w:t>“We delivered second-quarter results slightly favorable to our expectations and raised our guidance for the year,” stated Willie Chiang, Chairman and CEO of Plains. “We continue to focus on increasing free cash flow and improving our financial positioning, while protecting the health and safety of our team members, streamlining and optimizing our business, and lowering capital expenditures and costs in all areas. Today we announced a further $100 million reduction of our capital program, supplementing the significant capital reductions we announced in April. Despite meaningful uncertainty in the current environment, we are confident that we are taking the appropriate actions to position our business for the long-term.”</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5"/>
          </w:tcPr>
          <w:p>
            <w:pPr>
              <w:ind w:left="140"/>
              <w:spacing w:after="0"/>
              <w:rPr>
                <w:sz w:val="20"/>
                <w:szCs w:val="20"/>
                <w:color w:val="auto"/>
              </w:rPr>
            </w:pPr>
            <w:r>
              <w:rPr>
                <w:rFonts w:ascii="Arial" w:cs="Arial" w:eastAsia="Arial" w:hAnsi="Arial"/>
                <w:sz w:val="16"/>
                <w:szCs w:val="16"/>
                <w:b w:val="1"/>
                <w:bCs w:val="1"/>
                <w:color w:val="auto"/>
              </w:rPr>
              <w:t>Six Months Ended</w:t>
            </w:r>
          </w:p>
        </w:tc>
        <w:tc>
          <w:tcPr>
            <w:tcW w:w="980" w:type="dxa"/>
            <w:vAlign w:val="bottom"/>
          </w:tcPr>
          <w:p>
            <w:pPr>
              <w:spacing w:after="0"/>
              <w:rPr>
                <w:sz w:val="17"/>
                <w:szCs w:val="17"/>
                <w:color w:val="auto"/>
              </w:rPr>
            </w:pPr>
          </w:p>
        </w:tc>
      </w:tr>
      <w:tr>
        <w:trPr>
          <w:trHeight w:val="210"/>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33"/>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33"/>
              <w:spacing w:after="0"/>
              <w:rPr>
                <w:sz w:val="20"/>
                <w:szCs w:val="20"/>
                <w:color w:val="auto"/>
              </w:rPr>
            </w:pPr>
            <w:r>
              <w:rPr>
                <w:rFonts w:ascii="Arial" w:cs="Arial" w:eastAsia="Arial" w:hAnsi="Arial"/>
                <w:sz w:val="16"/>
                <w:szCs w:val="16"/>
                <w:b w:val="1"/>
                <w:bCs w:val="1"/>
                <w:color w:val="auto"/>
              </w:rPr>
              <w:t>%</w:t>
            </w:r>
          </w:p>
        </w:tc>
      </w:tr>
      <w:tr>
        <w:trPr>
          <w:trHeight w:val="33"/>
        </w:trPr>
        <w:tc>
          <w:tcPr>
            <w:tcW w:w="494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7"/>
        </w:trPr>
        <w:tc>
          <w:tcPr>
            <w:tcW w:w="49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GAAP Results</w:t>
            </w:r>
          </w:p>
        </w:tc>
        <w:tc>
          <w:tcPr>
            <w:tcW w:w="160" w:type="dxa"/>
            <w:vAlign w:val="bottom"/>
          </w:tcPr>
          <w:p>
            <w:pPr>
              <w:spacing w:after="0"/>
              <w:rPr>
                <w:sz w:val="18"/>
                <w:szCs w:val="18"/>
                <w:color w:val="auto"/>
              </w:rPr>
            </w:pPr>
          </w:p>
        </w:tc>
        <w:tc>
          <w:tcPr>
            <w:tcW w:w="760" w:type="dxa"/>
            <w:vAlign w:val="bottom"/>
          </w:tcPr>
          <w:p>
            <w:pPr>
              <w:jc w:val="right"/>
              <w:ind w:right="21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ind w:right="212"/>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18"/>
                <w:szCs w:val="18"/>
                <w:color w:val="auto"/>
              </w:rPr>
            </w:pPr>
          </w:p>
        </w:tc>
        <w:tc>
          <w:tcPr>
            <w:tcW w:w="1120" w:type="dxa"/>
            <w:vAlign w:val="bottom"/>
            <w:gridSpan w:val="2"/>
          </w:tcPr>
          <w:p>
            <w:pPr>
              <w:ind w:left="240"/>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95"/>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ind w:right="213"/>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Pr>
          <w:p>
            <w:pPr>
              <w:spacing w:after="0"/>
              <w:rPr>
                <w:sz w:val="18"/>
                <w:szCs w:val="18"/>
                <w:color w:val="auto"/>
              </w:rPr>
            </w:pPr>
          </w:p>
        </w:tc>
        <w:tc>
          <w:tcPr>
            <w:tcW w:w="980" w:type="dxa"/>
            <w:vAlign w:val="bottom"/>
          </w:tcPr>
          <w:p>
            <w:pPr>
              <w:jc w:val="right"/>
              <w:ind w:right="133"/>
              <w:spacing w:after="0"/>
              <w:rPr>
                <w:sz w:val="20"/>
                <w:szCs w:val="20"/>
                <w:color w:val="auto"/>
              </w:rPr>
            </w:pPr>
            <w:r>
              <w:rPr>
                <w:rFonts w:ascii="Arial" w:cs="Arial" w:eastAsia="Arial" w:hAnsi="Arial"/>
                <w:sz w:val="16"/>
                <w:szCs w:val="16"/>
                <w:b w:val="1"/>
                <w:bCs w:val="1"/>
                <w:color w:val="auto"/>
              </w:rPr>
              <w:t>Change</w:t>
            </w:r>
          </w:p>
        </w:tc>
      </w:tr>
      <w:tr>
        <w:trPr>
          <w:trHeight w:val="33"/>
        </w:trPr>
        <w:tc>
          <w:tcPr>
            <w:tcW w:w="4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3"/>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Net income/(loss) attributable to PAA </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right w:val="single" w:sz="8" w:color="auto"/>
            </w:tcBorders>
            <w:shd w:val="clear" w:color="auto" w:fill="CCEEFF"/>
          </w:tcPr>
          <w:p>
            <w:pPr>
              <w:spacing w:after="0"/>
              <w:rPr>
                <w:sz w:val="22"/>
                <w:szCs w:val="22"/>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(2,705)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1,416</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4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Diluted net income/(loss) per common unit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right w:val="single" w:sz="8" w:color="auto"/>
            </w:tcBorders>
          </w:tcPr>
          <w:p>
            <w:pPr>
              <w:spacing w:after="0"/>
              <w:rPr>
                <w:sz w:val="21"/>
                <w:szCs w:val="21"/>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1"/>
                <w:szCs w:val="21"/>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Diluted weighted average common units outstanding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right w:val="single" w:sz="8" w:color="auto"/>
            </w:tcBorders>
          </w:tcPr>
          <w:p>
            <w:pPr>
              <w:spacing w:after="0"/>
              <w:rPr>
                <w:sz w:val="21"/>
                <w:szCs w:val="21"/>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5"/>
              <w:spacing w:after="0"/>
              <w:rPr>
                <w:sz w:val="20"/>
                <w:szCs w:val="20"/>
                <w:color w:val="auto"/>
              </w:rPr>
            </w:pPr>
            <w:r>
              <w:rPr>
                <w:rFonts w:ascii="Arial" w:cs="Arial" w:eastAsia="Arial" w:hAnsi="Arial"/>
                <w:sz w:val="17"/>
                <w:szCs w:val="17"/>
                <w:color w:val="auto"/>
              </w:rPr>
              <w:t>974</w:t>
            </w:r>
          </w:p>
        </w:tc>
        <w:tc>
          <w:tcPr>
            <w:tcW w:w="120" w:type="dxa"/>
            <w:vAlign w:val="bottom"/>
          </w:tcPr>
          <w:p>
            <w:pPr>
              <w:spacing w:after="0"/>
              <w:rPr>
                <w:sz w:val="21"/>
                <w:szCs w:val="21"/>
                <w:color w:val="auto"/>
              </w:rPr>
            </w:pPr>
          </w:p>
        </w:tc>
        <w:tc>
          <w:tcPr>
            <w:tcW w:w="260" w:type="dxa"/>
            <w:vAlign w:val="bottom"/>
          </w:tcPr>
          <w:p>
            <w:pPr>
              <w:jc w:val="right"/>
              <w:ind w:right="72"/>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ind w:right="53"/>
              <w:spacing w:after="0"/>
              <w:rPr>
                <w:sz w:val="20"/>
                <w:szCs w:val="20"/>
                <w:color w:val="auto"/>
              </w:rPr>
            </w:pPr>
            <w:r>
              <w:rPr>
                <w:rFonts w:ascii="Arial" w:cs="Arial" w:eastAsia="Arial" w:hAnsi="Arial"/>
                <w:sz w:val="17"/>
                <w:szCs w:val="17"/>
                <w:color w:val="auto"/>
              </w:rPr>
              <w:t>1,464</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Distribution per common unit declared for the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7"/>
        </w:trPr>
        <w:tc>
          <w:tcPr>
            <w:tcW w:w="4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0" w:right="260" w:hanging="332"/>
        <w:spacing w:after="0" w:line="269" w:lineRule="auto"/>
        <w:tabs>
          <w:tab w:leader="none" w:pos="328"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Reported results for the three months ended June 30, 2020 include the write-down of certain of our investments in unconsolidated entities of $69 million. Reported results for the six months ended June 30, 2020 include aggregate non-cash goodwill and asset impairments and the write-down of certain of our investments in unconsolidated entities totaling $3.2 billion representing a six-month net loss of $4.42 after tax per common unit.</w:t>
      </w:r>
    </w:p>
    <w:p>
      <w:pPr>
        <w:spacing w:after="0" w:line="72" w:lineRule="exact"/>
        <w:rPr>
          <w:rFonts w:ascii="Arial" w:cs="Arial" w:eastAsia="Arial" w:hAnsi="Arial"/>
          <w:sz w:val="21"/>
          <w:szCs w:val="21"/>
          <w:color w:val="auto"/>
          <w:vertAlign w:val="superscript"/>
        </w:rPr>
      </w:pPr>
    </w:p>
    <w:p>
      <w:pPr>
        <w:ind w:left="340" w:right="40" w:hanging="332"/>
        <w:spacing w:after="0" w:line="234" w:lineRule="auto"/>
        <w:tabs>
          <w:tab w:leader="none" w:pos="32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For the three and six months ended June 30, 2019, includes all potentially dilutive securities (our Series A preferred units and equity-indexed compensation awards) outstanding during the period. See the “Computation of Basic and Diluted Net Income/(Loss) Per Common Unit” table attached hereto for additional information.</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5"/>
          </w:tcPr>
          <w:p>
            <w:pPr>
              <w:ind w:left="140"/>
              <w:spacing w:after="0"/>
              <w:rPr>
                <w:sz w:val="20"/>
                <w:szCs w:val="20"/>
                <w:color w:val="auto"/>
              </w:rPr>
            </w:pPr>
            <w:r>
              <w:rPr>
                <w:rFonts w:ascii="Arial" w:cs="Arial" w:eastAsia="Arial" w:hAnsi="Arial"/>
                <w:sz w:val="16"/>
                <w:szCs w:val="16"/>
                <w:b w:val="1"/>
                <w:bCs w:val="1"/>
                <w:color w:val="auto"/>
              </w:rPr>
              <w:t>Six Months Ended</w:t>
            </w:r>
          </w:p>
        </w:tc>
        <w:tc>
          <w:tcPr>
            <w:tcW w:w="1000" w:type="dxa"/>
            <w:vAlign w:val="bottom"/>
          </w:tcPr>
          <w:p>
            <w:pPr>
              <w:spacing w:after="0"/>
              <w:rPr>
                <w:sz w:val="17"/>
                <w:szCs w:val="17"/>
                <w:color w:val="auto"/>
              </w:rPr>
            </w:pPr>
          </w:p>
        </w:tc>
      </w:tr>
      <w:tr>
        <w:trPr>
          <w:trHeight w:val="210"/>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32"/>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32"/>
              <w:spacing w:after="0"/>
              <w:rPr>
                <w:sz w:val="20"/>
                <w:szCs w:val="20"/>
                <w:color w:val="auto"/>
              </w:rPr>
            </w:pPr>
            <w:r>
              <w:rPr>
                <w:rFonts w:ascii="Arial" w:cs="Arial" w:eastAsia="Arial" w:hAnsi="Arial"/>
                <w:sz w:val="16"/>
                <w:szCs w:val="16"/>
                <w:b w:val="1"/>
                <w:bCs w:val="1"/>
                <w:color w:val="auto"/>
              </w:rPr>
              <w:t>%</w:t>
            </w:r>
          </w:p>
        </w:tc>
      </w:tr>
      <w:tr>
        <w:trPr>
          <w:trHeight w:val="33"/>
        </w:trPr>
        <w:tc>
          <w:tcPr>
            <w:tcW w:w="492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 xml:space="preserve">Non-GAAP Results </w:t>
            </w:r>
            <w:r>
              <w:rPr>
                <w:rFonts w:ascii="Arial" w:cs="Arial" w:eastAsia="Arial" w:hAnsi="Arial"/>
                <w:sz w:val="21"/>
                <w:szCs w:val="21"/>
                <w:b w:val="1"/>
                <w:bCs w:val="1"/>
                <w:i w:val="1"/>
                <w:iCs w:val="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Change</w:t>
            </w:r>
          </w:p>
        </w:tc>
      </w:tr>
      <w:tr>
        <w:trPr>
          <w:trHeight w:val="244"/>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right w:val="single" w:sz="8" w:color="auto"/>
            </w:tcBorders>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784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1,646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Implied DCF per common unit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right w:val="single" w:sz="8" w:color="auto"/>
            </w:tcBorders>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Free cash flow after distributions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pacing w:after="0" w:line="63" w:lineRule="exact"/>
        <w:rPr>
          <w:sz w:val="20"/>
          <w:szCs w:val="20"/>
          <w:color w:val="auto"/>
        </w:rPr>
      </w:pPr>
    </w:p>
    <w:p>
      <w:pPr>
        <w:ind w:left="340" w:right="200" w:hanging="332"/>
        <w:spacing w:after="0" w:line="254" w:lineRule="auto"/>
        <w:tabs>
          <w:tab w:leader="none" w:pos="328" w:val="left"/>
        </w:tabs>
        <w:numPr>
          <w:ilvl w:val="0"/>
          <w:numId w:val="5"/>
        </w:numPr>
        <w:rPr>
          <w:rFonts w:ascii="Arial" w:cs="Arial" w:eastAsia="Arial" w:hAnsi="Arial"/>
          <w:sz w:val="22"/>
          <w:szCs w:val="22"/>
          <w:color w:val="auto"/>
          <w:vertAlign w:val="superscript"/>
        </w:rPr>
      </w:pPr>
      <w:r>
        <w:rPr>
          <w:rFonts w:ascii="Arial" w:cs="Arial" w:eastAsia="Arial" w:hAnsi="Arial"/>
          <w:sz w:val="17"/>
          <w:szCs w:val="17"/>
          <w:color w:val="auto"/>
        </w:rPr>
        <w:t>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Implied DCF, Free Cash Flow and Free Cash Flow After Distributions) and their reconciliation to the most directly comparable measures as reported in accordance with GAAP.</w:t>
      </w:r>
    </w:p>
    <w:p>
      <w:pPr>
        <w:spacing w:after="0" w:line="29" w:lineRule="exact"/>
        <w:rPr>
          <w:rFonts w:ascii="Arial" w:cs="Arial" w:eastAsia="Arial" w:hAnsi="Arial"/>
          <w:sz w:val="22"/>
          <w:szCs w:val="22"/>
          <w:color w:val="auto"/>
          <w:vertAlign w:val="superscript"/>
        </w:rPr>
      </w:pPr>
    </w:p>
    <w:p>
      <w:pPr>
        <w:ind w:left="5440" w:hanging="106"/>
        <w:spacing w:after="0"/>
        <w:tabs>
          <w:tab w:leader="none" w:pos="5440" w:val="left"/>
        </w:tabs>
        <w:numPr>
          <w:ilvl w:val="1"/>
          <w:numId w:val="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3</w:t>
      </w: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Segment Adjusted EBITDA for the second quarter and first half of 2020 and 2019 is presented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540" w:type="dxa"/>
            <w:vAlign w:val="bottom"/>
            <w:gridSpan w:val="6"/>
          </w:tcPr>
          <w:p>
            <w:pPr>
              <w:jc w:val="center"/>
              <w:ind w:right="373"/>
              <w:spacing w:after="0"/>
              <w:rPr>
                <w:sz w:val="20"/>
                <w:szCs w:val="20"/>
                <w:color w:val="auto"/>
              </w:rPr>
            </w:pPr>
            <w:r>
              <w:rPr>
                <w:rFonts w:ascii="Arial" w:cs="Arial" w:eastAsia="Arial" w:hAnsi="Arial"/>
                <w:sz w:val="16"/>
                <w:szCs w:val="16"/>
                <w:b w:val="1"/>
                <w:bCs w:val="1"/>
                <w:color w:val="auto"/>
                <w:w w:val="93"/>
              </w:rPr>
              <w:t>Segment Adjusted EBITDA</w:t>
            </w:r>
          </w:p>
        </w:tc>
        <w:tc>
          <w:tcPr>
            <w:tcW w:w="980" w:type="dxa"/>
            <w:vAlign w:val="bottom"/>
          </w:tcPr>
          <w:p>
            <w:pPr>
              <w:spacing w:after="0"/>
              <w:rPr>
                <w:sz w:val="18"/>
                <w:szCs w:val="18"/>
                <w:color w:val="auto"/>
              </w:rPr>
            </w:pPr>
          </w:p>
        </w:tc>
      </w:tr>
      <w:tr>
        <w:trPr>
          <w:trHeight w:val="33"/>
        </w:trPr>
        <w:tc>
          <w:tcPr>
            <w:tcW w:w="6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r>
      <w:tr>
        <w:trPr>
          <w:trHeight w:val="217"/>
        </w:trPr>
        <w:tc>
          <w:tcPr>
            <w:tcW w:w="6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32"/>
              <w:spacing w:after="0"/>
              <w:rPr>
                <w:sz w:val="20"/>
                <w:szCs w:val="20"/>
                <w:color w:val="auto"/>
              </w:rPr>
            </w:pPr>
            <w:r>
              <w:rPr>
                <w:rFonts w:ascii="Arial" w:cs="Arial" w:eastAsia="Arial" w:hAnsi="Arial"/>
                <w:sz w:val="16"/>
                <w:szCs w:val="16"/>
                <w:b w:val="1"/>
                <w:bCs w:val="1"/>
                <w:color w:val="auto"/>
                <w:w w:val="99"/>
              </w:rPr>
              <w:t>Transportation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Facilities</w:t>
            </w: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Supply and Logistics</w:t>
            </w:r>
          </w:p>
        </w:tc>
      </w:tr>
      <w:tr>
        <w:trPr>
          <w:trHeight w:val="33"/>
        </w:trPr>
        <w:tc>
          <w:tcPr>
            <w:tcW w:w="6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4"/>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Three Months Ended June 30,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r>
      <w:tr>
        <w:trPr>
          <w:trHeight w:val="20"/>
        </w:trPr>
        <w:tc>
          <w:tcPr>
            <w:tcW w:w="6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6220" w:type="dxa"/>
            <w:vAlign w:val="bottom"/>
          </w:tcPr>
          <w:p>
            <w:pPr>
              <w:spacing w:after="0"/>
              <w:rPr>
                <w:sz w:val="20"/>
                <w:szCs w:val="20"/>
                <w:color w:val="auto"/>
              </w:rPr>
            </w:pPr>
            <w:r>
              <w:rPr>
                <w:rFonts w:ascii="Arial" w:cs="Arial" w:eastAsia="Arial" w:hAnsi="Arial"/>
                <w:sz w:val="18"/>
                <w:szCs w:val="18"/>
                <w:color w:val="auto"/>
              </w:rPr>
              <w:t>Three Months Ended June 30, 2019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410</w:t>
            </w:r>
          </w:p>
        </w:tc>
        <w:tc>
          <w:tcPr>
            <w:tcW w:w="5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600" w:type="dxa"/>
            <w:vAlign w:val="bottom"/>
          </w:tcPr>
          <w:p>
            <w:pPr>
              <w:jc w:val="right"/>
              <w:ind w:right="413"/>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200</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62"/>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Percentage change in Segment Adjusted EBITDA versus 2019 period</w:t>
            </w: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(99)%</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441"/>
        </w:trPr>
        <w:tc>
          <w:tcPr>
            <w:tcW w:w="6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40" w:type="dxa"/>
            <w:vAlign w:val="bottom"/>
            <w:gridSpan w:val="6"/>
          </w:tcPr>
          <w:p>
            <w:pPr>
              <w:jc w:val="center"/>
              <w:ind w:right="373"/>
              <w:spacing w:after="0"/>
              <w:rPr>
                <w:sz w:val="20"/>
                <w:szCs w:val="20"/>
                <w:color w:val="auto"/>
              </w:rPr>
            </w:pPr>
            <w:r>
              <w:rPr>
                <w:rFonts w:ascii="Arial" w:cs="Arial" w:eastAsia="Arial" w:hAnsi="Arial"/>
                <w:sz w:val="16"/>
                <w:szCs w:val="16"/>
                <w:b w:val="1"/>
                <w:bCs w:val="1"/>
                <w:color w:val="auto"/>
                <w:w w:val="93"/>
              </w:rPr>
              <w:t>Segment Adjusted EBITDA</w:t>
            </w:r>
          </w:p>
        </w:tc>
        <w:tc>
          <w:tcPr>
            <w:tcW w:w="980" w:type="dxa"/>
            <w:vAlign w:val="bottom"/>
          </w:tcPr>
          <w:p>
            <w:pPr>
              <w:spacing w:after="0"/>
              <w:rPr>
                <w:sz w:val="24"/>
                <w:szCs w:val="24"/>
                <w:color w:val="auto"/>
              </w:rPr>
            </w:pPr>
          </w:p>
        </w:tc>
      </w:tr>
      <w:tr>
        <w:trPr>
          <w:trHeight w:val="33"/>
        </w:trPr>
        <w:tc>
          <w:tcPr>
            <w:tcW w:w="6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r>
      <w:tr>
        <w:trPr>
          <w:trHeight w:val="217"/>
        </w:trPr>
        <w:tc>
          <w:tcPr>
            <w:tcW w:w="6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32"/>
              <w:spacing w:after="0"/>
              <w:rPr>
                <w:sz w:val="20"/>
                <w:szCs w:val="20"/>
                <w:color w:val="auto"/>
              </w:rPr>
            </w:pPr>
            <w:r>
              <w:rPr>
                <w:rFonts w:ascii="Arial" w:cs="Arial" w:eastAsia="Arial" w:hAnsi="Arial"/>
                <w:sz w:val="16"/>
                <w:szCs w:val="16"/>
                <w:b w:val="1"/>
                <w:bCs w:val="1"/>
                <w:color w:val="auto"/>
                <w:w w:val="99"/>
              </w:rPr>
              <w:t>Transportation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Facilities</w:t>
            </w: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Supply and Logistics</w:t>
            </w:r>
          </w:p>
        </w:tc>
      </w:tr>
      <w:tr>
        <w:trPr>
          <w:trHeight w:val="33"/>
        </w:trPr>
        <w:tc>
          <w:tcPr>
            <w:tcW w:w="6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3"/>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Six Months Ended June 30,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144</w:t>
            </w:r>
          </w:p>
        </w:tc>
      </w:tr>
      <w:tr>
        <w:trPr>
          <w:trHeight w:val="20"/>
        </w:trPr>
        <w:tc>
          <w:tcPr>
            <w:tcW w:w="6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6220" w:type="dxa"/>
            <w:vAlign w:val="bottom"/>
          </w:tcPr>
          <w:p>
            <w:pPr>
              <w:spacing w:after="0"/>
              <w:rPr>
                <w:sz w:val="20"/>
                <w:szCs w:val="20"/>
                <w:color w:val="auto"/>
              </w:rPr>
            </w:pPr>
            <w:r>
              <w:rPr>
                <w:rFonts w:ascii="Arial" w:cs="Arial" w:eastAsia="Arial" w:hAnsi="Arial"/>
                <w:sz w:val="18"/>
                <w:szCs w:val="18"/>
                <w:color w:val="auto"/>
              </w:rPr>
              <w:t>Six Months Ended June 30, 2019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809</w:t>
            </w:r>
          </w:p>
        </w:tc>
        <w:tc>
          <w:tcPr>
            <w:tcW w:w="5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600" w:type="dxa"/>
            <w:vAlign w:val="bottom"/>
          </w:tcPr>
          <w:p>
            <w:pPr>
              <w:jc w:val="right"/>
              <w:ind w:right="413"/>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478</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89"/>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Percentage change in Segment Adjusted EBITDA versus 2019 period</w:t>
            </w:r>
          </w:p>
        </w:tc>
        <w:tc>
          <w:tcPr>
            <w:tcW w:w="1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8 %</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(70)%</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360"/>
        <w:spacing w:after="0" w:line="243" w:lineRule="auto"/>
        <w:rPr>
          <w:sz w:val="20"/>
          <w:szCs w:val="20"/>
          <w:color w:val="auto"/>
        </w:rPr>
      </w:pPr>
      <w:r>
        <w:rPr>
          <w:rFonts w:ascii="Arial" w:cs="Arial" w:eastAsia="Arial" w:hAnsi="Arial"/>
          <w:sz w:val="18"/>
          <w:szCs w:val="18"/>
          <w:color w:val="auto"/>
        </w:rPr>
        <w:t>Second-quarter 2020 Transportation Segment Adjusted EBITDA decreased 16% versus comparable 2019 results, due to reductions in tariff volumes in multiple regions resulting from lower crude oil prices, production shut-ins, and tighter regional basis differentials during the quarter. Our Permian long-haul movements were the most notably impacted, a portion of which were minimum volume commitment deficiencies and will be made up and / or paid for in future periods.</w:t>
      </w:r>
    </w:p>
    <w:p>
      <w:pPr>
        <w:spacing w:after="0" w:line="215" w:lineRule="exact"/>
        <w:rPr>
          <w:sz w:val="20"/>
          <w:szCs w:val="20"/>
          <w:color w:val="auto"/>
        </w:rPr>
      </w:pPr>
    </w:p>
    <w:p>
      <w:pPr>
        <w:ind w:right="300" w:firstLine="360"/>
        <w:spacing w:after="0" w:line="342" w:lineRule="auto"/>
        <w:rPr>
          <w:sz w:val="20"/>
          <w:szCs w:val="20"/>
          <w:color w:val="auto"/>
        </w:rPr>
      </w:pPr>
      <w:r>
        <w:rPr>
          <w:rFonts w:ascii="Arial" w:cs="Arial" w:eastAsia="Arial" w:hAnsi="Arial"/>
          <w:sz w:val="16"/>
          <w:szCs w:val="16"/>
          <w:color w:val="auto"/>
        </w:rPr>
        <w:t>Second-quarter 2020 Facilities Segment Adjusted EBITDA increased 1% versus comparable 2019 results primarily due to operational cost savings and increased capacity at certain of our Mid-Continent and Gulf Coast crude oil storage terminals, partially offset by the impact of asset sales.</w:t>
      </w:r>
    </w:p>
    <w:p>
      <w:pPr>
        <w:spacing w:after="0" w:line="124" w:lineRule="exact"/>
        <w:rPr>
          <w:sz w:val="20"/>
          <w:szCs w:val="20"/>
          <w:color w:val="auto"/>
        </w:rPr>
      </w:pPr>
    </w:p>
    <w:p>
      <w:pPr>
        <w:ind w:right="100" w:firstLine="360"/>
        <w:spacing w:after="0" w:line="308" w:lineRule="auto"/>
        <w:rPr>
          <w:sz w:val="20"/>
          <w:szCs w:val="20"/>
          <w:color w:val="auto"/>
        </w:rPr>
      </w:pPr>
      <w:r>
        <w:rPr>
          <w:rFonts w:ascii="Arial" w:cs="Arial" w:eastAsia="Arial" w:hAnsi="Arial"/>
          <w:sz w:val="17"/>
          <w:szCs w:val="17"/>
          <w:color w:val="auto"/>
        </w:rPr>
        <w:t>Second-quarter 2020 Supply and Logistics Segment Adjusted EBITDA decreased by 99% versus comparable 2019 results due to less favorable crude oil differentials in both the Permian Basin and Canada, partially offset by the benefit of contango-based margin opportunities.</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Page 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Full-Year Guidance</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presents our full-year 2020 financial and operating guidance: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and Operating Guidance</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volumes, per unit and per barrel data)</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40" w:type="dxa"/>
            <w:vAlign w:val="bottom"/>
            <w:gridSpan w:val="6"/>
          </w:tcPr>
          <w:p>
            <w:pPr>
              <w:jc w:val="right"/>
              <w:spacing w:after="0"/>
              <w:rPr>
                <w:sz w:val="20"/>
                <w:szCs w:val="20"/>
                <w:color w:val="auto"/>
              </w:rPr>
            </w:pPr>
            <w:r>
              <w:rPr>
                <w:rFonts w:ascii="Arial" w:cs="Arial" w:eastAsia="Arial" w:hAnsi="Arial"/>
                <w:sz w:val="16"/>
                <w:szCs w:val="16"/>
                <w:b w:val="1"/>
                <w:bCs w:val="1"/>
                <w:color w:val="auto"/>
                <w:w w:val="99"/>
              </w:rPr>
              <w:t>Twelve Months Ended December 31,</w:t>
            </w:r>
          </w:p>
        </w:tc>
        <w:tc>
          <w:tcPr>
            <w:tcW w:w="116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411"/>
              <w:spacing w:after="0"/>
              <w:rPr>
                <w:sz w:val="20"/>
                <w:szCs w:val="20"/>
                <w:color w:val="auto"/>
              </w:rPr>
            </w:pPr>
            <w:r>
              <w:rPr>
                <w:rFonts w:ascii="Arial" w:cs="Arial" w:eastAsia="Arial" w:hAnsi="Arial"/>
                <w:sz w:val="16"/>
                <w:szCs w:val="16"/>
                <w:b w:val="1"/>
                <w:bCs w:val="1"/>
                <w:color w:val="auto"/>
              </w:rPr>
              <w:t>2020 (G)</w:t>
            </w:r>
          </w:p>
        </w:tc>
      </w:tr>
      <w:tr>
        <w:trPr>
          <w:trHeight w:val="33"/>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571"/>
              <w:spacing w:after="0"/>
              <w:rPr>
                <w:sz w:val="20"/>
                <w:szCs w:val="20"/>
                <w:color w:val="auto"/>
              </w:rPr>
            </w:pPr>
            <w:r>
              <w:rPr>
                <w:rFonts w:ascii="Arial" w:cs="Arial" w:eastAsia="Arial" w:hAnsi="Arial"/>
                <w:sz w:val="16"/>
                <w:szCs w:val="16"/>
                <w:color w:val="auto"/>
              </w:rPr>
              <w:t>+ / -</w:t>
            </w:r>
          </w:p>
        </w:tc>
      </w:tr>
      <w:tr>
        <w:trPr>
          <w:trHeight w:val="33"/>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Segment Adjusted EBITDA</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Transportation</w:t>
            </w:r>
          </w:p>
        </w:tc>
        <w:tc>
          <w:tcPr>
            <w:tcW w:w="440" w:type="dxa"/>
            <w:vAlign w:val="bottom"/>
          </w:tcPr>
          <w:p>
            <w:pPr>
              <w:spacing w:after="0"/>
              <w:rPr>
                <w:sz w:val="23"/>
                <w:szCs w:val="23"/>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3"/>
              </w:rPr>
              <w:t>1,508</w:t>
            </w:r>
          </w:p>
        </w:tc>
        <w:tc>
          <w:tcPr>
            <w:tcW w:w="1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1,722</w:t>
            </w:r>
          </w:p>
        </w:tc>
        <w:tc>
          <w:tcPr>
            <w:tcW w:w="12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1,540</w:t>
            </w:r>
          </w:p>
        </w:tc>
      </w:tr>
      <w:tr>
        <w:trPr>
          <w:trHeight w:val="270"/>
        </w:trPr>
        <w:tc>
          <w:tcPr>
            <w:tcW w:w="20" w:type="dxa"/>
            <w:vAlign w:val="bottom"/>
          </w:tcPr>
          <w:p>
            <w:pPr>
              <w:spacing w:after="0"/>
              <w:rPr>
                <w:sz w:val="23"/>
                <w:szCs w:val="23"/>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Facilities</w:t>
            </w: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705</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700</w:t>
            </w:r>
          </w:p>
        </w:tc>
      </w:tr>
      <w:tr>
        <w:trPr>
          <w:trHeight w:val="263"/>
        </w:trPr>
        <w:tc>
          <w:tcPr>
            <w:tcW w:w="20" w:type="dxa"/>
            <w:vAlign w:val="bottom"/>
          </w:tcPr>
          <w:p>
            <w:pPr>
              <w:spacing w:after="0"/>
              <w:rPr>
                <w:sz w:val="22"/>
                <w:szCs w:val="22"/>
                <w:color w:val="auto"/>
              </w:rPr>
            </w:pPr>
          </w:p>
        </w:tc>
        <w:tc>
          <w:tcPr>
            <w:tcW w:w="4720" w:type="dxa"/>
            <w:vAlign w:val="bottom"/>
          </w:tcPr>
          <w:p>
            <w:pPr>
              <w:ind w:left="280"/>
              <w:spacing w:after="0"/>
              <w:rPr>
                <w:sz w:val="20"/>
                <w:szCs w:val="20"/>
                <w:color w:val="auto"/>
              </w:rPr>
            </w:pPr>
            <w:r>
              <w:rPr>
                <w:rFonts w:ascii="Arial" w:cs="Arial" w:eastAsia="Arial" w:hAnsi="Arial"/>
                <w:sz w:val="18"/>
                <w:szCs w:val="18"/>
                <w:b w:val="1"/>
                <w:bCs w:val="1"/>
                <w:color w:val="auto"/>
              </w:rPr>
              <w:t>Fee-Based</w:t>
            </w:r>
          </w:p>
        </w:tc>
        <w:tc>
          <w:tcPr>
            <w:tcW w:w="440" w:type="dxa"/>
            <w:vAlign w:val="bottom"/>
          </w:tcPr>
          <w:p>
            <w:pPr>
              <w:spacing w:after="0"/>
              <w:rPr>
                <w:sz w:val="22"/>
                <w:szCs w:val="22"/>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2,219</w:t>
            </w:r>
          </w:p>
        </w:tc>
        <w:tc>
          <w:tcPr>
            <w:tcW w:w="12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2,427</w:t>
            </w:r>
          </w:p>
        </w:tc>
        <w:tc>
          <w:tcPr>
            <w:tcW w:w="12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2,240</w:t>
            </w:r>
          </w:p>
        </w:tc>
      </w:tr>
      <w:tr>
        <w:trPr>
          <w:trHeight w:val="270"/>
        </w:trPr>
        <w:tc>
          <w:tcPr>
            <w:tcW w:w="20" w:type="dxa"/>
            <w:vAlign w:val="bottom"/>
          </w:tcPr>
          <w:p>
            <w:pPr>
              <w:spacing w:after="0"/>
              <w:rPr>
                <w:sz w:val="23"/>
                <w:szCs w:val="23"/>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Supply and Logistics</w:t>
            </w: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260</w:t>
            </w:r>
          </w:p>
        </w:tc>
      </w:tr>
      <w:tr>
        <w:trPr>
          <w:trHeight w:val="270"/>
        </w:trPr>
        <w:tc>
          <w:tcPr>
            <w:tcW w:w="20" w:type="dxa"/>
            <w:vAlign w:val="bottom"/>
          </w:tcPr>
          <w:p>
            <w:pPr>
              <w:spacing w:after="0"/>
              <w:rPr>
                <w:sz w:val="23"/>
                <w:szCs w:val="23"/>
                <w:color w:val="auto"/>
              </w:rPr>
            </w:pPr>
          </w:p>
        </w:tc>
        <w:tc>
          <w:tcPr>
            <w:tcW w:w="47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Adjusted other income/(expense), net</w:t>
            </w:r>
          </w:p>
        </w:tc>
        <w:tc>
          <w:tcPr>
            <w:tcW w:w="440" w:type="dxa"/>
            <w:vAlign w:val="bottom"/>
            <w:tcBorders>
              <w:bottom w:val="single" w:sz="8" w:color="CCEEFF"/>
            </w:tcBorders>
          </w:tcPr>
          <w:p>
            <w:pPr>
              <w:spacing w:after="0"/>
              <w:rPr>
                <w:sz w:val="23"/>
                <w:szCs w:val="23"/>
                <w:color w:val="auto"/>
              </w:rPr>
            </w:pPr>
          </w:p>
        </w:tc>
        <w:tc>
          <w:tcPr>
            <w:tcW w:w="104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r>
      <w:tr>
        <w:trPr>
          <w:trHeight w:val="283"/>
        </w:trPr>
        <w:tc>
          <w:tcPr>
            <w:tcW w:w="20" w:type="dxa"/>
            <w:vAlign w:val="bottom"/>
          </w:tcPr>
          <w:p>
            <w:pPr>
              <w:spacing w:after="0"/>
              <w:rPr>
                <w:sz w:val="24"/>
                <w:szCs w:val="24"/>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3"/>
                <w:szCs w:val="23"/>
                <w:b w:val="1"/>
                <w:bCs w:val="1"/>
                <w:color w:val="auto"/>
                <w:vertAlign w:val="superscript"/>
              </w:rPr>
              <w:t>(1)</w:t>
            </w:r>
          </w:p>
        </w:tc>
        <w:tc>
          <w:tcPr>
            <w:tcW w:w="440" w:type="dxa"/>
            <w:vAlign w:val="bottom"/>
            <w:shd w:val="clear" w:color="auto" w:fill="CCEEFF"/>
          </w:tcPr>
          <w:p>
            <w:pPr>
              <w:spacing w:after="0"/>
              <w:rPr>
                <w:sz w:val="24"/>
                <w:szCs w:val="24"/>
                <w:color w:val="auto"/>
              </w:rPr>
            </w:pP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3"/>
              </w:rPr>
              <w:t>2,684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3,237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2,500</w:t>
            </w: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720" w:type="dxa"/>
            <w:vAlign w:val="bottom"/>
          </w:tcPr>
          <w:p>
            <w:pPr>
              <w:ind w:left="160"/>
              <w:spacing w:after="0" w:line="244" w:lineRule="exact"/>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(2)</w:t>
            </w: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(420)</w:t>
            </w:r>
          </w:p>
        </w:tc>
      </w:tr>
      <w:tr>
        <w:trPr>
          <w:trHeight w:val="270"/>
        </w:trPr>
        <w:tc>
          <w:tcPr>
            <w:tcW w:w="20" w:type="dxa"/>
            <w:vAlign w:val="bottom"/>
          </w:tcPr>
          <w:p>
            <w:pPr>
              <w:spacing w:after="0"/>
              <w:rPr>
                <w:sz w:val="23"/>
                <w:szCs w:val="23"/>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Maintenance capital</w:t>
            </w: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r>
      <w:tr>
        <w:trPr>
          <w:trHeight w:val="270"/>
        </w:trPr>
        <w:tc>
          <w:tcPr>
            <w:tcW w:w="20" w:type="dxa"/>
            <w:vAlign w:val="bottom"/>
          </w:tcPr>
          <w:p>
            <w:pPr>
              <w:spacing w:after="0"/>
              <w:rPr>
                <w:sz w:val="23"/>
                <w:szCs w:val="23"/>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Current income tax expense</w:t>
            </w: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0"/>
        </w:trPr>
        <w:tc>
          <w:tcPr>
            <w:tcW w:w="20" w:type="dxa"/>
            <w:vAlign w:val="bottom"/>
          </w:tcPr>
          <w:p>
            <w:pPr>
              <w:spacing w:after="0"/>
              <w:rPr>
                <w:sz w:val="23"/>
                <w:szCs w:val="23"/>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w:t>
            </w:r>
          </w:p>
        </w:tc>
      </w:tr>
      <w:tr>
        <w:trPr>
          <w:trHeight w:val="263"/>
        </w:trPr>
        <w:tc>
          <w:tcPr>
            <w:tcW w:w="20" w:type="dxa"/>
            <w:vAlign w:val="bottom"/>
          </w:tcPr>
          <w:p>
            <w:pPr>
              <w:spacing w:after="0"/>
              <w:rPr>
                <w:sz w:val="22"/>
                <w:szCs w:val="22"/>
                <w:color w:val="auto"/>
              </w:rPr>
            </w:pPr>
          </w:p>
        </w:tc>
        <w:tc>
          <w:tcPr>
            <w:tcW w:w="4720" w:type="dxa"/>
            <w:vAlign w:val="bottom"/>
          </w:tcPr>
          <w:p>
            <w:pPr>
              <w:spacing w:after="0"/>
              <w:rPr>
                <w:sz w:val="20"/>
                <w:szCs w:val="20"/>
                <w:color w:val="auto"/>
              </w:rPr>
            </w:pPr>
            <w:r>
              <w:rPr>
                <w:rFonts w:ascii="Arial" w:cs="Arial" w:eastAsia="Arial" w:hAnsi="Arial"/>
                <w:sz w:val="18"/>
                <w:szCs w:val="18"/>
                <w:b w:val="1"/>
                <w:bCs w:val="1"/>
                <w:color w:val="auto"/>
              </w:rPr>
              <w:t xml:space="preserve">Implied DCF </w:t>
            </w:r>
            <w:r>
              <w:rPr>
                <w:rFonts w:ascii="Arial" w:cs="Arial" w:eastAsia="Arial" w:hAnsi="Arial"/>
                <w:sz w:val="23"/>
                <w:szCs w:val="23"/>
                <w:b w:val="1"/>
                <w:bCs w:val="1"/>
                <w:color w:val="auto"/>
                <w:vertAlign w:val="superscript"/>
              </w:rPr>
              <w:t>(1)</w:t>
            </w:r>
          </w:p>
        </w:tc>
        <w:tc>
          <w:tcPr>
            <w:tcW w:w="440" w:type="dxa"/>
            <w:vAlign w:val="bottom"/>
          </w:tcPr>
          <w:p>
            <w:pPr>
              <w:spacing w:after="0"/>
              <w:rPr>
                <w:sz w:val="22"/>
                <w:szCs w:val="22"/>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1,948</w:t>
            </w:r>
          </w:p>
        </w:tc>
        <w:tc>
          <w:tcPr>
            <w:tcW w:w="12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2,376</w:t>
            </w:r>
          </w:p>
        </w:tc>
        <w:tc>
          <w:tcPr>
            <w:tcW w:w="12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1,835</w:t>
            </w:r>
          </w:p>
        </w:tc>
      </w:tr>
      <w:tr>
        <w:trPr>
          <w:trHeight w:val="270"/>
        </w:trPr>
        <w:tc>
          <w:tcPr>
            <w:tcW w:w="20" w:type="dxa"/>
            <w:vAlign w:val="bottom"/>
          </w:tcPr>
          <w:p>
            <w:pPr>
              <w:spacing w:after="0"/>
              <w:rPr>
                <w:sz w:val="23"/>
                <w:szCs w:val="23"/>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(3)</w:t>
            </w: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r>
      <w:tr>
        <w:trPr>
          <w:trHeight w:val="264"/>
        </w:trPr>
        <w:tc>
          <w:tcPr>
            <w:tcW w:w="20" w:type="dxa"/>
            <w:vAlign w:val="bottom"/>
          </w:tcPr>
          <w:p>
            <w:pPr>
              <w:spacing w:after="0"/>
              <w:rPr>
                <w:sz w:val="22"/>
                <w:szCs w:val="22"/>
                <w:color w:val="auto"/>
              </w:rPr>
            </w:pPr>
          </w:p>
        </w:tc>
        <w:tc>
          <w:tcPr>
            <w:tcW w:w="4720" w:type="dxa"/>
            <w:vAlign w:val="bottom"/>
          </w:tcPr>
          <w:p>
            <w:pPr>
              <w:spacing w:after="0"/>
              <w:rPr>
                <w:sz w:val="20"/>
                <w:szCs w:val="20"/>
                <w:color w:val="auto"/>
              </w:rPr>
            </w:pPr>
            <w:r>
              <w:rPr>
                <w:rFonts w:ascii="Arial" w:cs="Arial" w:eastAsia="Arial" w:hAnsi="Arial"/>
                <w:sz w:val="18"/>
                <w:szCs w:val="18"/>
                <w:b w:val="1"/>
                <w:bCs w:val="1"/>
                <w:color w:val="auto"/>
              </w:rPr>
              <w:t>Implied DCF Available to Common Unitholders</w:t>
            </w:r>
          </w:p>
        </w:tc>
        <w:tc>
          <w:tcPr>
            <w:tcW w:w="440" w:type="dxa"/>
            <w:vAlign w:val="bottom"/>
          </w:tcPr>
          <w:p>
            <w:pPr>
              <w:spacing w:after="0"/>
              <w:rPr>
                <w:sz w:val="22"/>
                <w:szCs w:val="22"/>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1,787</w:t>
            </w:r>
          </w:p>
        </w:tc>
        <w:tc>
          <w:tcPr>
            <w:tcW w:w="12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2,178</w:t>
            </w:r>
          </w:p>
        </w:tc>
        <w:tc>
          <w:tcPr>
            <w:tcW w:w="12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1,635</w:t>
            </w:r>
          </w:p>
        </w:tc>
      </w:tr>
      <w:tr>
        <w:trPr>
          <w:trHeight w:val="20"/>
        </w:trPr>
        <w:tc>
          <w:tcPr>
            <w:tcW w:w="20" w:type="dxa"/>
            <w:vAlign w:val="bottom"/>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7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70"/>
        </w:trPr>
        <w:tc>
          <w:tcPr>
            <w:tcW w:w="20" w:type="dxa"/>
            <w:vAlign w:val="bottom"/>
          </w:tcPr>
          <w:p>
            <w:pPr>
              <w:spacing w:after="0"/>
              <w:rPr>
                <w:sz w:val="23"/>
                <w:szCs w:val="23"/>
                <w:color w:val="auto"/>
              </w:rPr>
            </w:pPr>
          </w:p>
        </w:tc>
        <w:tc>
          <w:tcPr>
            <w:tcW w:w="4720" w:type="dxa"/>
            <w:vAlign w:val="bottom"/>
          </w:tcPr>
          <w:p>
            <w:pPr>
              <w:spacing w:after="0"/>
              <w:rPr>
                <w:sz w:val="20"/>
                <w:szCs w:val="20"/>
                <w:color w:val="auto"/>
              </w:rPr>
            </w:pPr>
            <w:r>
              <w:rPr>
                <w:rFonts w:ascii="Arial" w:cs="Arial" w:eastAsia="Arial" w:hAnsi="Arial"/>
                <w:sz w:val="18"/>
                <w:szCs w:val="18"/>
                <w:b w:val="1"/>
                <w:bCs w:val="1"/>
                <w:color w:val="auto"/>
              </w:rPr>
              <w:t xml:space="preserve">Implied DCF per Common Unit </w:t>
            </w:r>
            <w:r>
              <w:rPr>
                <w:rFonts w:ascii="Arial" w:cs="Arial" w:eastAsia="Arial" w:hAnsi="Arial"/>
                <w:sz w:val="23"/>
                <w:szCs w:val="23"/>
                <w:b w:val="1"/>
                <w:bCs w:val="1"/>
                <w:color w:val="auto"/>
                <w:vertAlign w:val="superscript"/>
              </w:rPr>
              <w:t>(1)</w:t>
            </w:r>
          </w:p>
        </w:tc>
        <w:tc>
          <w:tcPr>
            <w:tcW w:w="440" w:type="dxa"/>
            <w:vAlign w:val="bottom"/>
          </w:tcPr>
          <w:p>
            <w:pPr>
              <w:spacing w:after="0"/>
              <w:rPr>
                <w:sz w:val="23"/>
                <w:szCs w:val="23"/>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2.25</w:t>
            </w:r>
          </w:p>
        </w:tc>
      </w:tr>
      <w:tr>
        <w:trPr>
          <w:trHeight w:val="270"/>
        </w:trPr>
        <w:tc>
          <w:tcPr>
            <w:tcW w:w="20" w:type="dxa"/>
            <w:vAlign w:val="bottom"/>
          </w:tcPr>
          <w:p>
            <w:pPr>
              <w:spacing w:after="0"/>
              <w:rPr>
                <w:sz w:val="23"/>
                <w:szCs w:val="23"/>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 xml:space="preserve">Implied DCF per Common Unit and Common Equivalent Unit </w:t>
            </w:r>
            <w:r>
              <w:rPr>
                <w:rFonts w:ascii="Arial" w:cs="Arial" w:eastAsia="Arial" w:hAnsi="Arial"/>
                <w:sz w:val="23"/>
                <w:szCs w:val="23"/>
                <w:b w:val="1"/>
                <w:bCs w:val="1"/>
                <w:color w:val="auto"/>
                <w:w w:val="95"/>
                <w:vertAlign w:val="superscript"/>
              </w:rPr>
              <w:t>(1)</w:t>
            </w: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2.23</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Distributions per Common Unit </w:t>
            </w:r>
            <w:r>
              <w:rPr>
                <w:rFonts w:ascii="Arial" w:cs="Arial" w:eastAsia="Arial" w:hAnsi="Arial"/>
                <w:sz w:val="23"/>
                <w:szCs w:val="23"/>
                <w:b w:val="1"/>
                <w:bCs w:val="1"/>
                <w:color w:val="auto"/>
                <w:vertAlign w:val="superscript"/>
              </w:rPr>
              <w:t>(4)</w:t>
            </w:r>
          </w:p>
        </w:tc>
        <w:tc>
          <w:tcPr>
            <w:tcW w:w="44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0.90</w:t>
            </w:r>
          </w:p>
        </w:tc>
      </w:tr>
      <w:tr>
        <w:trPr>
          <w:trHeight w:val="243"/>
        </w:trPr>
        <w:tc>
          <w:tcPr>
            <w:tcW w:w="20" w:type="dxa"/>
            <w:vAlign w:val="bottom"/>
          </w:tcPr>
          <w:p>
            <w:pPr>
              <w:spacing w:after="0"/>
              <w:rPr>
                <w:sz w:val="21"/>
                <w:szCs w:val="21"/>
                <w:color w:val="auto"/>
              </w:rPr>
            </w:pPr>
          </w:p>
        </w:tc>
        <w:tc>
          <w:tcPr>
            <w:tcW w:w="4720" w:type="dxa"/>
            <w:vAlign w:val="bottom"/>
          </w:tcPr>
          <w:p>
            <w:pPr>
              <w:spacing w:after="0"/>
              <w:rPr>
                <w:sz w:val="20"/>
                <w:szCs w:val="20"/>
                <w:color w:val="auto"/>
              </w:rPr>
            </w:pPr>
            <w:r>
              <w:rPr>
                <w:rFonts w:ascii="Arial" w:cs="Arial" w:eastAsia="Arial" w:hAnsi="Arial"/>
                <w:sz w:val="18"/>
                <w:szCs w:val="18"/>
                <w:b w:val="1"/>
                <w:bCs w:val="1"/>
                <w:color w:val="auto"/>
              </w:rPr>
              <w:t>Common Unit Distribution Coverage Ratio</w:t>
            </w: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2.05x</w:t>
            </w:r>
          </w:p>
        </w:tc>
        <w:tc>
          <w:tcPr>
            <w:tcW w:w="360" w:type="dxa"/>
            <w:vAlign w:val="bottom"/>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2.17x</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2.49x</w:t>
            </w:r>
          </w:p>
        </w:tc>
      </w:tr>
      <w:tr>
        <w:trPr>
          <w:trHeight w:val="27"/>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4720" w:type="dxa"/>
            <w:vAlign w:val="bottom"/>
          </w:tcPr>
          <w:p>
            <w:pPr>
              <w:spacing w:after="0"/>
              <w:rPr>
                <w:sz w:val="20"/>
                <w:szCs w:val="20"/>
                <w:color w:val="auto"/>
              </w:rPr>
            </w:pPr>
            <w:r>
              <w:rPr>
                <w:rFonts w:ascii="Arial" w:cs="Arial" w:eastAsia="Arial" w:hAnsi="Arial"/>
                <w:sz w:val="18"/>
                <w:szCs w:val="18"/>
                <w:b w:val="1"/>
                <w:bCs w:val="1"/>
                <w:color w:val="auto"/>
              </w:rPr>
              <w:t xml:space="preserve">Diluted Adjusted Net Income per Common Unit </w:t>
            </w:r>
            <w:r>
              <w:rPr>
                <w:rFonts w:ascii="Arial" w:cs="Arial" w:eastAsia="Arial" w:hAnsi="Arial"/>
                <w:sz w:val="23"/>
                <w:szCs w:val="23"/>
                <w:b w:val="1"/>
                <w:bCs w:val="1"/>
                <w:color w:val="auto"/>
                <w:vertAlign w:val="superscript"/>
              </w:rPr>
              <w:t>(1)</w:t>
            </w:r>
          </w:p>
        </w:tc>
        <w:tc>
          <w:tcPr>
            <w:tcW w:w="440" w:type="dxa"/>
            <w:vAlign w:val="bottom"/>
          </w:tcPr>
          <w:p>
            <w:pPr>
              <w:spacing w:after="0"/>
              <w:rPr>
                <w:sz w:val="23"/>
                <w:szCs w:val="23"/>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1.49</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4720" w:type="dxa"/>
            <w:vAlign w:val="bottom"/>
          </w:tcPr>
          <w:p>
            <w:pPr>
              <w:spacing w:after="0"/>
              <w:rPr>
                <w:sz w:val="20"/>
                <w:szCs w:val="20"/>
                <w:color w:val="auto"/>
              </w:rPr>
            </w:pPr>
            <w:r>
              <w:rPr>
                <w:rFonts w:ascii="Arial" w:cs="Arial" w:eastAsia="Arial" w:hAnsi="Arial"/>
                <w:sz w:val="18"/>
                <w:szCs w:val="18"/>
                <w:b w:val="1"/>
                <w:bCs w:val="1"/>
                <w:color w:val="auto"/>
              </w:rPr>
              <w:t>Operating Data</w:t>
            </w: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Transportation</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Average daily volumes (MBbls/d)</w:t>
            </w: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3"/>
              </w:rPr>
              <w:t>5,889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6,893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6,350</w:t>
            </w:r>
          </w:p>
        </w:tc>
      </w:tr>
      <w:tr>
        <w:trPr>
          <w:trHeight w:val="270"/>
        </w:trPr>
        <w:tc>
          <w:tcPr>
            <w:tcW w:w="20" w:type="dxa"/>
            <w:vAlign w:val="bottom"/>
          </w:tcPr>
          <w:p>
            <w:pPr>
              <w:spacing w:after="0"/>
              <w:rPr>
                <w:sz w:val="23"/>
                <w:szCs w:val="23"/>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Segment Adjusted EBITDA per barrel</w:t>
            </w:r>
          </w:p>
        </w:tc>
        <w:tc>
          <w:tcPr>
            <w:tcW w:w="44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0.70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0.68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0.66</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Facilities</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Average capacity (MMBbls/Mo)</w:t>
            </w: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124</w:t>
            </w:r>
          </w:p>
        </w:tc>
      </w:tr>
      <w:tr>
        <w:trPr>
          <w:trHeight w:val="270"/>
        </w:trPr>
        <w:tc>
          <w:tcPr>
            <w:tcW w:w="20" w:type="dxa"/>
            <w:vAlign w:val="bottom"/>
          </w:tcPr>
          <w:p>
            <w:pPr>
              <w:spacing w:after="0"/>
              <w:rPr>
                <w:sz w:val="23"/>
                <w:szCs w:val="23"/>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Segment Adjusted EBITDA per barrel</w:t>
            </w:r>
          </w:p>
        </w:tc>
        <w:tc>
          <w:tcPr>
            <w:tcW w:w="44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0.48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0.47</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0.47</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Supply and Logistics</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Average daily volumes (MBbls/d)</w:t>
            </w: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3"/>
              </w:rPr>
              <w:t>1,309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1,250</w:t>
            </w:r>
          </w:p>
        </w:tc>
      </w:tr>
      <w:tr>
        <w:trPr>
          <w:trHeight w:val="270"/>
        </w:trPr>
        <w:tc>
          <w:tcPr>
            <w:tcW w:w="20" w:type="dxa"/>
            <w:vAlign w:val="bottom"/>
          </w:tcPr>
          <w:p>
            <w:pPr>
              <w:spacing w:after="0"/>
              <w:rPr>
                <w:sz w:val="23"/>
                <w:szCs w:val="23"/>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Segment Adjusted EBITDA per barrel</w:t>
            </w:r>
          </w:p>
        </w:tc>
        <w:tc>
          <w:tcPr>
            <w:tcW w:w="44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0.97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0.57</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Expansion Capital</w:t>
            </w:r>
          </w:p>
        </w:tc>
        <w:tc>
          <w:tcPr>
            <w:tcW w:w="4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3"/>
              </w:rPr>
              <w:t>1,888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1,340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1,000</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3"/>
              </w:rPr>
              <w:t>Third-Quarter Adjusted EBITDA as Percentage of Full Year</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r>
      <w:tr>
        <w:trPr>
          <w:trHeight w:val="378"/>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20" w:type="dxa"/>
            <w:vAlign w:val="bottom"/>
            <w:gridSpan w:val="2"/>
          </w:tcPr>
          <w:p>
            <w:pPr>
              <w:jc w:val="right"/>
              <w:ind w:right="1300"/>
              <w:spacing w:after="0"/>
              <w:rPr>
                <w:sz w:val="20"/>
                <w:szCs w:val="20"/>
                <w:color w:val="auto"/>
              </w:rPr>
            </w:pPr>
            <w:r>
              <w:rPr>
                <w:rFonts w:ascii="Arial" w:cs="Arial" w:eastAsia="Arial" w:hAnsi="Arial"/>
                <w:sz w:val="18"/>
                <w:szCs w:val="18"/>
                <w:color w:val="auto"/>
              </w:rPr>
              <w:t>- more -</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35"/>
        </w:trPr>
        <w:tc>
          <w:tcPr>
            <w:tcW w:w="20" w:type="dxa"/>
            <w:vAlign w:val="bottom"/>
            <w:tcBorders>
              <w:bottom w:val="single" w:sz="8" w:color="auto"/>
            </w:tcBorders>
          </w:tcPr>
          <w:p>
            <w:pPr>
              <w:spacing w:after="0"/>
              <w:rPr>
                <w:sz w:val="11"/>
                <w:szCs w:val="11"/>
                <w:color w:val="auto"/>
              </w:rPr>
            </w:pPr>
          </w:p>
        </w:tc>
        <w:tc>
          <w:tcPr>
            <w:tcW w:w="472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3"/>
          </w:tcPr>
          <w:p>
            <w:pPr>
              <w:spacing w:after="0"/>
              <w:rPr>
                <w:sz w:val="11"/>
                <w:szCs w:val="11"/>
                <w:color w:val="auto"/>
              </w:rPr>
            </w:pPr>
          </w:p>
        </w:tc>
        <w:tc>
          <w:tcPr>
            <w:tcW w:w="2840" w:type="dxa"/>
            <w:vAlign w:val="bottom"/>
            <w:tcBorders>
              <w:bottom w:val="single" w:sz="8" w:color="auto"/>
            </w:tcBorders>
            <w:gridSpan w:val="6"/>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r>
      <w:tr>
        <w:trPr>
          <w:trHeight w:val="331"/>
        </w:trPr>
        <w:tc>
          <w:tcPr>
            <w:tcW w:w="20" w:type="dxa"/>
            <w:vAlign w:val="bottom"/>
          </w:tcPr>
          <w:p>
            <w:pPr>
              <w:spacing w:after="0"/>
              <w:rPr>
                <w:sz w:val="24"/>
                <w:szCs w:val="24"/>
                <w:color w:val="auto"/>
              </w:rPr>
            </w:pPr>
          </w:p>
        </w:tc>
        <w:tc>
          <w:tcPr>
            <w:tcW w:w="4720" w:type="dxa"/>
            <w:vAlign w:val="bottom"/>
          </w:tcPr>
          <w:p>
            <w:pPr>
              <w:ind w:left="1660"/>
              <w:spacing w:after="0"/>
              <w:rPr>
                <w:sz w:val="20"/>
                <w:szCs w:val="20"/>
                <w:color w:val="auto"/>
              </w:rPr>
            </w:pPr>
            <w:r>
              <w:rPr>
                <w:rFonts w:ascii="Arial" w:cs="Arial" w:eastAsia="Arial" w:hAnsi="Arial"/>
                <w:sz w:val="18"/>
                <w:szCs w:val="18"/>
                <w:b w:val="1"/>
                <w:bCs w:val="1"/>
                <w:color w:val="auto"/>
              </w:rPr>
              <w:t>333 Clay Street, Suite 1600</w:t>
            </w:r>
          </w:p>
        </w:tc>
        <w:tc>
          <w:tcPr>
            <w:tcW w:w="246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w w:val="89"/>
              </w:rPr>
              <w:t>Houston, Texas 77002</w:t>
            </w:r>
          </w:p>
        </w:tc>
        <w:tc>
          <w:tcPr>
            <w:tcW w:w="2840" w:type="dxa"/>
            <w:vAlign w:val="bottom"/>
            <w:gridSpan w:val="6"/>
          </w:tcPr>
          <w:p>
            <w:pPr>
              <w:jc w:val="right"/>
              <w:ind w:right="270"/>
              <w:spacing w:after="0"/>
              <w:rPr>
                <w:sz w:val="20"/>
                <w:szCs w:val="20"/>
                <w:color w:val="auto"/>
              </w:rPr>
            </w:pPr>
            <w:r>
              <w:rPr>
                <w:rFonts w:ascii="Arial" w:cs="Arial" w:eastAsia="Arial" w:hAnsi="Arial"/>
                <w:sz w:val="18"/>
                <w:szCs w:val="18"/>
                <w:b w:val="1"/>
                <w:bCs w:val="1"/>
                <w:color w:val="auto"/>
              </w:rPr>
              <w:t>713-646-4100 / 866-809-1291</w:t>
            </w:r>
          </w:p>
        </w:tc>
        <w:tc>
          <w:tcPr>
            <w:tcW w:w="1160" w:type="dxa"/>
            <w:vAlign w:val="bottom"/>
          </w:tcPr>
          <w:p>
            <w:pPr>
              <w:spacing w:after="0"/>
              <w:rPr>
                <w:sz w:val="24"/>
                <w:szCs w:val="24"/>
                <w:color w:val="auto"/>
              </w:rPr>
            </w:pPr>
          </w:p>
        </w:tc>
      </w:tr>
    </w:tbl>
    <w:p>
      <w:pPr>
        <w:sectPr>
          <w:pgSz w:w="11900" w:h="16838" w:orient="portrait"/>
          <w:cols w:equalWidth="0" w:num="1">
            <w:col w:w="11220"/>
          </w:cols>
          <w:pgMar w:left="320" w:top="368"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24599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(G) 2020 Guidance forecasts are intended to be + / - amounts.</w:t>
      </w:r>
    </w:p>
    <w:p>
      <w:pPr>
        <w:spacing w:after="0" w:line="117" w:lineRule="exact"/>
        <w:rPr>
          <w:sz w:val="20"/>
          <w:szCs w:val="20"/>
          <w:color w:val="auto"/>
        </w:rPr>
      </w:pPr>
    </w:p>
    <w:p>
      <w:pPr>
        <w:ind w:left="340" w:right="100" w:hanging="332"/>
        <w:spacing w:after="0" w:line="259" w:lineRule="auto"/>
        <w:tabs>
          <w:tab w:leader="none" w:pos="328"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See the section of this release entitled “Non-GAAP Financial Measures and Selected Items Impacting Comparability” and the Non-GAAP Reconciliation tables attached hereto for information regarding non-GAAP financial measures and, for the historical 2018 and 2019 periods, their reconciliation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and the periods in which such items may be recognized. Thus, a reconciliation of non-GAAP financial measures to the equivalent GAAP financial measures could result in disclosure that could be imprecise or potentially misleading.</w:t>
      </w:r>
    </w:p>
    <w:p>
      <w:pPr>
        <w:spacing w:after="0" w:line="58"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93" w:lineRule="exact"/>
        <w:rPr>
          <w:rFonts w:ascii="Arial" w:cs="Arial" w:eastAsia="Arial" w:hAnsi="Arial"/>
          <w:sz w:val="22"/>
          <w:szCs w:val="22"/>
          <w:color w:val="auto"/>
          <w:vertAlign w:val="superscript"/>
        </w:rPr>
      </w:pPr>
    </w:p>
    <w:p>
      <w:pPr>
        <w:jc w:val="both"/>
        <w:ind w:left="340" w:right="220" w:hanging="332"/>
        <w:spacing w:after="0" w:line="249" w:lineRule="auto"/>
        <w:tabs>
          <w:tab w:leader="none" w:pos="328"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Cash distributions paid to our preferred unitholders during the year presented. Distributions on our Series A preferred units were paid-in-kind for the February 2018 quarterly distribution. Distributions on our Series A preferred units have been paid in cash since the May 2018 quarterly distribution. Distributions on our Series B preferred units are payable in cash semi-annually in arrears on May 15 and November 15.</w:t>
      </w:r>
    </w:p>
    <w:p>
      <w:pPr>
        <w:spacing w:after="0" w:line="87" w:lineRule="exact"/>
        <w:rPr>
          <w:rFonts w:ascii="Arial" w:cs="Arial" w:eastAsia="Arial" w:hAnsi="Arial"/>
          <w:sz w:val="22"/>
          <w:szCs w:val="22"/>
          <w:color w:val="auto"/>
          <w:vertAlign w:val="superscript"/>
        </w:rPr>
      </w:pPr>
    </w:p>
    <w:p>
      <w:pPr>
        <w:ind w:left="340" w:right="300" w:hanging="332"/>
        <w:spacing w:after="0" w:line="220" w:lineRule="auto"/>
        <w:tabs>
          <w:tab w:leader="none" w:pos="32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Cash distributions per common unit paid during 2018 and 2019. 2020 (G) reflects the annualized distribution rate of $1.44 per common unit paid in February and the decreased annualized distribution rate of $0.72 per common unit for the remainder of the year.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56" w:lineRule="exact"/>
        <w:rPr>
          <w:sz w:val="20"/>
          <w:szCs w:val="20"/>
          <w:color w:val="auto"/>
        </w:rPr>
      </w:pPr>
    </w:p>
    <w:p>
      <w:pPr>
        <w:ind w:right="220" w:firstLine="360"/>
        <w:spacing w:after="0" w:line="286"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Q2 2020</w:t>
            </w:r>
          </w:p>
        </w:tc>
        <w:tc>
          <w:tcPr>
            <w:tcW w:w="22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Q1 2020</w:t>
            </w:r>
          </w:p>
        </w:tc>
        <w:tc>
          <w:tcPr>
            <w:tcW w:w="220" w:type="dxa"/>
            <w:vAlign w:val="bottom"/>
          </w:tcPr>
          <w:p>
            <w:pPr>
              <w:spacing w:after="0"/>
              <w:rPr>
                <w:sz w:val="18"/>
                <w:szCs w:val="18"/>
                <w:color w:val="auto"/>
              </w:rPr>
            </w:pPr>
          </w:p>
        </w:tc>
        <w:tc>
          <w:tcPr>
            <w:tcW w:w="1020" w:type="dxa"/>
            <w:vAlign w:val="bottom"/>
          </w:tcPr>
          <w:p>
            <w:pPr>
              <w:jc w:val="right"/>
              <w:ind w:right="253"/>
              <w:spacing w:after="0"/>
              <w:rPr>
                <w:sz w:val="20"/>
                <w:szCs w:val="20"/>
                <w:color w:val="auto"/>
              </w:rPr>
            </w:pPr>
            <w:r>
              <w:rPr>
                <w:rFonts w:ascii="Arial" w:cs="Arial" w:eastAsia="Arial" w:hAnsi="Arial"/>
                <w:sz w:val="16"/>
                <w:szCs w:val="16"/>
                <w:b w:val="1"/>
                <w:bCs w:val="1"/>
                <w:color w:val="auto"/>
              </w:rPr>
              <w:t>Q2 2019</w:t>
            </w:r>
          </w:p>
        </w:tc>
      </w:tr>
      <w:tr>
        <w:trPr>
          <w:trHeight w:val="33"/>
        </w:trPr>
        <w:tc>
          <w:tcPr>
            <w:tcW w:w="7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0.36</w:t>
            </w:r>
          </w:p>
        </w:tc>
      </w:tr>
      <w:tr>
        <w:trPr>
          <w:trHeight w:val="263"/>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Q2 2020 distribution percentage change from prior periods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1"/>
        </w:trPr>
        <w:tc>
          <w:tcPr>
            <w:tcW w:w="7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PAA and PAGP will hold a joint conference call at 4:30 p.m. CT on Tuesday, August 4, 2020 to discuss the following items:</w:t>
      </w:r>
    </w:p>
    <w:p>
      <w:pPr>
        <w:spacing w:after="0" w:line="252" w:lineRule="exact"/>
        <w:rPr>
          <w:sz w:val="20"/>
          <w:szCs w:val="20"/>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PAA’s second-quarter 2020 performance;</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and operating guidance.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access the internet webcast, please go to https://event.webcasts.com/starthere.jsp?ei=1339500&amp;tp_key=5263eed914.</w:t>
      </w:r>
    </w:p>
    <w:p>
      <w:pPr>
        <w:spacing w:after="0" w:line="252" w:lineRule="exact"/>
        <w:rPr>
          <w:sz w:val="20"/>
          <w:szCs w:val="20"/>
          <w:color w:val="auto"/>
        </w:rPr>
      </w:pPr>
    </w:p>
    <w:p>
      <w:pPr>
        <w:ind w:right="260" w:firstLine="350"/>
        <w:spacing w:after="0" w:line="259" w:lineRule="auto"/>
        <w:rPr>
          <w:sz w:val="20"/>
          <w:szCs w:val="20"/>
          <w:color w:val="auto"/>
        </w:rPr>
      </w:pPr>
      <w:r>
        <w:rPr>
          <w:rFonts w:ascii="Arial" w:cs="Arial" w:eastAsia="Arial" w:hAnsi="Arial"/>
          <w:sz w:val="18"/>
          <w:szCs w:val="18"/>
          <w:color w:val="auto"/>
        </w:rPr>
        <w:t>Alternatively, the webcast can be accessed on our website (www.plainsallamerican.com) under Investor Relations (Navigate to: Investor Relations / either “PAA” or “PAGP” / News &amp; Events / Quarterly Earnings). Following the live webcast, an audio replay in MP3 format will be available on our website within two hours after the end of the call and will be accessible for a period of 365 days. A transcript will also be available after the call at the above referenced website.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52" w:lineRule="exact"/>
        <w:rPr>
          <w:sz w:val="20"/>
          <w:szCs w:val="20"/>
          <w:color w:val="auto"/>
        </w:rPr>
      </w:pPr>
    </w:p>
    <w:p>
      <w:pPr>
        <w:ind w:right="120" w:firstLine="357"/>
        <w:spacing w:after="0" w:line="263"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and other general partnership purposes.</w:t>
      </w:r>
    </w:p>
    <w:p>
      <w:pPr>
        <w:spacing w:after="0" w:line="211" w:lineRule="exact"/>
        <w:rPr>
          <w:sz w:val="20"/>
          <w:szCs w:val="20"/>
          <w:color w:val="auto"/>
        </w:rPr>
      </w:pPr>
    </w:p>
    <w:p>
      <w:pPr>
        <w:ind w:right="400" w:firstLine="648"/>
        <w:spacing w:after="0" w:line="279" w:lineRule="auto"/>
        <w:rPr>
          <w:sz w:val="20"/>
          <w:szCs w:val="20"/>
          <w:color w:val="auto"/>
        </w:rPr>
      </w:pPr>
      <w:r>
        <w:rPr>
          <w:rFonts w:ascii="Arial" w:cs="Arial" w:eastAsia="Arial" w:hAnsi="Arial"/>
          <w:sz w:val="17"/>
          <w:szCs w:val="17"/>
          <w:color w:val="auto"/>
        </w:rPr>
        <w:t>The primary additional measures used by management are earnings before interest, taxes, depreciation and amortization (including our proportionate share of depreciation and amortization of unconsolidated entities), gains and losses on asset sales and asset impairments, goodwill impairment losses and gains on and impairments of investments in unconsolidated entities, adjusted for certain selected items impacting comparability (“Adjusted EBITDA”), Implied distributable cash flow (“DCF”), Free Cash Flow and Free Cash Flow After Distributions.</w:t>
      </w:r>
    </w:p>
    <w:p>
      <w:pPr>
        <w:spacing w:after="0" w:line="19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Implied DCF and certain other non-GAAP financial performance measures are reconciled to Net Income/(Loss), and Free Cash Flow and Free Cash Flow After Distributions are reconciled to Net Cash Provided by Operating Activities, (the most directly comparable measures as reported in accordance with GAAP) for the historical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Measures</w:t>
      </w:r>
    </w:p>
    <w:p>
      <w:pPr>
        <w:spacing w:after="0" w:line="256"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Management believes that the presentation of Adjusted EBTIDA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on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15" w:lineRule="exact"/>
        <w:rPr>
          <w:sz w:val="20"/>
          <w:szCs w:val="20"/>
          <w:color w:val="auto"/>
        </w:rPr>
      </w:pPr>
    </w:p>
    <w:p>
      <w:pPr>
        <w:ind w:firstLine="350"/>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expansion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7</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Liquidity Measures</w:t>
      </w:r>
    </w:p>
    <w:p>
      <w:pPr>
        <w:spacing w:after="0" w:line="256" w:lineRule="exact"/>
        <w:rPr>
          <w:sz w:val="20"/>
          <w:szCs w:val="20"/>
          <w:color w:val="auto"/>
        </w:rPr>
      </w:pPr>
    </w:p>
    <w:p>
      <w:pPr>
        <w:jc w:val="both"/>
        <w:ind w:right="120" w:firstLine="648"/>
        <w:spacing w:after="0" w:line="273" w:lineRule="auto"/>
        <w:rPr>
          <w:sz w:val="20"/>
          <w:szCs w:val="20"/>
          <w:color w:val="auto"/>
        </w:rPr>
      </w:pPr>
      <w:r>
        <w:rPr>
          <w:rFonts w:ascii="Arial" w:cs="Arial" w:eastAsia="Arial" w:hAnsi="Arial"/>
          <w:sz w:val="17"/>
          <w:szCs w:val="17"/>
          <w:color w:val="auto"/>
        </w:rPr>
        <w:t>Management also uses the non-GAAP financial measures Free Cash Flow and Free Cash Flow After Distributions to assess the amount of cash that is available for distributions, debt repayments and other general partnership purposes. Free Cash Flow is defined as Net Cash Provided by Operating Activities, less Net Cash Used in Investing Activities, which primarily includes acquisition, expansion and maintenance capital expenditures, investments in unconsolidated entities and the impact from the purchase and sale of linefill and base gas, net of proceeds from the sales of assets and further impacted by distributions to, contributions from and proceeds from the sale of noncontrolling interests. Free Cash Flow is further reduced by cash distributions paid to preferred and common unitholders to arrive at Free Cash Flow After Distributions.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52" w:lineRule="exact"/>
        <w:rPr>
          <w:sz w:val="20"/>
          <w:szCs w:val="20"/>
          <w:color w:val="auto"/>
        </w:rPr>
      </w:pPr>
    </w:p>
    <w:p>
      <w:pPr>
        <w:ind w:right="120" w:firstLine="360"/>
        <w:spacing w:after="0" w:line="263" w:lineRule="auto"/>
        <w:rPr>
          <w:sz w:val="20"/>
          <w:szCs w:val="20"/>
          <w:color w:val="auto"/>
        </w:rPr>
      </w:pPr>
      <w:r>
        <w:rPr>
          <w:rFonts w:ascii="Arial" w:cs="Arial" w:eastAsia="Arial" w:hAnsi="Arial"/>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Related Primarily to the COVID-19 Pandemic and Excess Supply Situation:</w:t>
      </w:r>
    </w:p>
    <w:p>
      <w:pPr>
        <w:spacing w:after="0" w:line="293" w:lineRule="exact"/>
        <w:rPr>
          <w:sz w:val="20"/>
          <w:szCs w:val="20"/>
          <w:color w:val="auto"/>
        </w:rPr>
      </w:pPr>
    </w:p>
    <w:p>
      <w:pPr>
        <w:ind w:left="660" w:right="40" w:hanging="328"/>
        <w:spacing w:after="0" w:line="244"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further declines in global crude oil demand and crude oil prices that correspondingly lead to a significant reduction of domestic crude oil, natural gas liquids (“NGL”) and natural gas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135" w:lineRule="exact"/>
        <w:rPr>
          <w:rFonts w:ascii="Arial" w:cs="Arial" w:eastAsia="Arial" w:hAnsi="Arial"/>
          <w:sz w:val="22"/>
          <w:szCs w:val="22"/>
          <w:color w:val="auto"/>
        </w:rPr>
      </w:pPr>
    </w:p>
    <w:p>
      <w:pPr>
        <w:ind w:left="660" w:right="180" w:hanging="328"/>
        <w:spacing w:after="0" w:line="241"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uncertainty regarding the length of time it will take for the United States, Canada, and the rest of the world to slow the spread of the COVID-19 virus to the point where applicable authorities are comfortable easing current restrictions on various commercial and economic activities and the extent to which consumer demand and demand for crude oil rebound once such restrictions are lifted; such restrictions are designed to protect public health but also have the effect of significantly reducing demand for crude oil;</w:t>
      </w:r>
    </w:p>
    <w:p>
      <w:pPr>
        <w:spacing w:after="0" w:line="134" w:lineRule="exact"/>
        <w:rPr>
          <w:rFonts w:ascii="Arial" w:cs="Arial" w:eastAsia="Arial" w:hAnsi="Arial"/>
          <w:sz w:val="22"/>
          <w:szCs w:val="22"/>
          <w:color w:val="auto"/>
        </w:rPr>
      </w:pPr>
    </w:p>
    <w:p>
      <w:pPr>
        <w:ind w:left="660" w:right="500" w:hanging="328"/>
        <w:spacing w:after="0" w:line="232"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uncertainty regarding the future actions of foreign oil producers such as Saudi Arabia and Russia and the risk that they take actions that will prolong or exacerbate the current over-supply of crude oil;</w:t>
      </w:r>
    </w:p>
    <w:p>
      <w:pPr>
        <w:spacing w:after="0" w:line="135" w:lineRule="exact"/>
        <w:rPr>
          <w:rFonts w:ascii="Arial" w:cs="Arial" w:eastAsia="Arial" w:hAnsi="Arial"/>
          <w:sz w:val="22"/>
          <w:szCs w:val="22"/>
          <w:color w:val="auto"/>
        </w:rPr>
      </w:pPr>
    </w:p>
    <w:p>
      <w:pPr>
        <w:ind w:left="660" w:right="400" w:hanging="328"/>
        <w:spacing w:after="0" w:line="297" w:lineRule="auto"/>
        <w:tabs>
          <w:tab w:leader="none" w:pos="655" w:val="left"/>
        </w:tabs>
        <w:numPr>
          <w:ilvl w:val="0"/>
          <w:numId w:val="8"/>
        </w:numPr>
        <w:rPr>
          <w:rFonts w:ascii="Arial" w:cs="Arial" w:eastAsia="Arial" w:hAnsi="Arial"/>
          <w:sz w:val="19"/>
          <w:szCs w:val="19"/>
          <w:color w:val="auto"/>
        </w:rPr>
      </w:pPr>
      <w:r>
        <w:rPr>
          <w:rFonts w:ascii="Arial" w:cs="Arial" w:eastAsia="Arial" w:hAnsi="Arial"/>
          <w:sz w:val="16"/>
          <w:szCs w:val="16"/>
          <w:color w:val="auto"/>
        </w:rPr>
        <w:t>uncertainty regarding the timing, pace and extent of an economic recovery in the United States and elsewhere, which in turn will likely affect demand for crude oil and therefore the demand for the midstream services we provide and the commercial opportunities available to us;</w:t>
      </w:r>
    </w:p>
    <w:p>
      <w:pPr>
        <w:spacing w:after="0" w:line="82" w:lineRule="exact"/>
        <w:rPr>
          <w:rFonts w:ascii="Arial" w:cs="Arial" w:eastAsia="Arial" w:hAnsi="Arial"/>
          <w:sz w:val="19"/>
          <w:szCs w:val="19"/>
          <w:color w:val="auto"/>
        </w:rPr>
      </w:pPr>
    </w:p>
    <w:p>
      <w:pPr>
        <w:ind w:left="660" w:right="80" w:hanging="328"/>
        <w:spacing w:after="0" w:line="238"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effect of an overhang of significant amounts of crude oil inventory stored in the United States and elsewhere and the impact that such inventory overhang ultimately has on the timing of a return to market conditions that are more conducive to an increase in drilling and production activities in the United States and a resulting increase in demand for the midstream services we provide;</w:t>
      </w:r>
    </w:p>
    <w:p>
      <w:pPr>
        <w:spacing w:after="0" w:line="135" w:lineRule="exact"/>
        <w:rPr>
          <w:rFonts w:ascii="Arial" w:cs="Arial" w:eastAsia="Arial" w:hAnsi="Arial"/>
          <w:sz w:val="22"/>
          <w:szCs w:val="22"/>
          <w:color w:val="auto"/>
        </w:rPr>
      </w:pPr>
    </w:p>
    <w:p>
      <w:pPr>
        <w:ind w:left="660" w:hanging="328"/>
        <w:spacing w:after="0" w:line="284" w:lineRule="auto"/>
        <w:tabs>
          <w:tab w:leader="none" w:pos="655" w:val="left"/>
        </w:tabs>
        <w:numPr>
          <w:ilvl w:val="0"/>
          <w:numId w:val="8"/>
        </w:numPr>
        <w:rPr>
          <w:rFonts w:ascii="Arial" w:cs="Arial" w:eastAsia="Arial" w:hAnsi="Arial"/>
          <w:sz w:val="19"/>
          <w:szCs w:val="19"/>
          <w:color w:val="auto"/>
        </w:rPr>
      </w:pPr>
      <w:r>
        <w:rPr>
          <w:rFonts w:ascii="Arial" w:cs="Arial" w:eastAsia="Arial" w:hAnsi="Arial"/>
          <w:sz w:val="16"/>
          <w:szCs w:val="16"/>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00" w:lineRule="exact"/>
        <w:rPr>
          <w:rFonts w:ascii="Arial" w:cs="Arial" w:eastAsia="Arial" w:hAnsi="Arial"/>
          <w:sz w:val="19"/>
          <w:szCs w:val="19"/>
          <w:color w:val="auto"/>
        </w:rPr>
      </w:pPr>
    </w:p>
    <w:p>
      <w:pPr>
        <w:jc w:val="both"/>
        <w:ind w:left="660" w:right="680" w:hanging="328"/>
        <w:spacing w:after="0" w:line="297" w:lineRule="auto"/>
        <w:tabs>
          <w:tab w:leader="none" w:pos="655" w:val="left"/>
        </w:tabs>
        <w:numPr>
          <w:ilvl w:val="0"/>
          <w:numId w:val="8"/>
        </w:numPr>
        <w:rPr>
          <w:rFonts w:ascii="Arial" w:cs="Arial" w:eastAsia="Arial" w:hAnsi="Arial"/>
          <w:sz w:val="19"/>
          <w:szCs w:val="19"/>
          <w:color w:val="auto"/>
        </w:rPr>
      </w:pPr>
      <w:r>
        <w:rPr>
          <w:rFonts w:ascii="Arial" w:cs="Arial" w:eastAsia="Arial" w:hAnsi="Arial"/>
          <w:sz w:val="16"/>
          <w:szCs w:val="16"/>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w:t>
      </w:r>
    </w:p>
    <w:p>
      <w:pPr>
        <w:spacing w:after="0" w:line="95" w:lineRule="exact"/>
        <w:rPr>
          <w:rFonts w:ascii="Arial" w:cs="Arial" w:eastAsia="Arial" w:hAnsi="Arial"/>
          <w:sz w:val="19"/>
          <w:szCs w:val="19"/>
          <w:color w:val="auto"/>
        </w:rPr>
      </w:pPr>
    </w:p>
    <w:p>
      <w:pPr>
        <w:ind w:left="5440" w:hanging="106"/>
        <w:spacing w:after="0"/>
        <w:tabs>
          <w:tab w:leader="none" w:pos="5440" w:val="left"/>
        </w:tabs>
        <w:numPr>
          <w:ilvl w:val="1"/>
          <w:numId w:val="8"/>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8</w:t>
      </w:r>
    </w:p>
    <w:p>
      <w:pPr>
        <w:spacing w:after="0" w:line="200" w:lineRule="exact"/>
        <w:rPr>
          <w:sz w:val="20"/>
          <w:szCs w:val="20"/>
          <w:color w:val="auto"/>
        </w:rPr>
      </w:pPr>
    </w:p>
    <w:p>
      <w:pPr>
        <w:spacing w:after="0" w:line="25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1"/>
          <w:szCs w:val="21"/>
          <w:color w:val="auto"/>
        </w:rPr>
      </w:pPr>
      <w:r>
        <w:rPr>
          <w:rFonts w:ascii="Arial" w:cs="Arial" w:eastAsia="Arial" w:hAnsi="Arial"/>
          <w:sz w:val="17"/>
          <w:szCs w:val="17"/>
          <w:color w:val="auto"/>
        </w:rPr>
        <w:t>operational difficulties due to physical distancing restrictions and the additional demands such restrictions may place on our employees;</w:t>
      </w:r>
    </w:p>
    <w:p>
      <w:pPr>
        <w:spacing w:after="0" w:line="242" w:lineRule="exact"/>
        <w:rPr>
          <w:rFonts w:ascii="Arial" w:cs="Arial" w:eastAsia="Arial" w:hAnsi="Arial"/>
          <w:sz w:val="21"/>
          <w:szCs w:val="21"/>
          <w:color w:val="auto"/>
        </w:rPr>
      </w:pPr>
    </w:p>
    <w:p>
      <w:pPr>
        <w:ind w:left="660" w:right="380" w:hanging="328"/>
        <w:spacing w:after="0" w:line="218"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disruptions to futures markets for crude oil, NGL and other petroleum products, which may impair our ability to execute our commercial and hedging strategies;</w:t>
      </w:r>
    </w:p>
    <w:p>
      <w:pPr>
        <w:spacing w:after="0" w:line="25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our inability to reduce capital expenditures to the extent forecasted, whether due to the incurrence of unexpected or unplanned expenditures, third-party claims or other factors;</w:t>
      </w:r>
    </w:p>
    <w:p>
      <w:pPr>
        <w:spacing w:after="0" w:line="135"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19"/>
          <w:szCs w:val="19"/>
          <w:color w:val="auto"/>
        </w:rPr>
      </w:pPr>
      <w:r>
        <w:rPr>
          <w:rFonts w:ascii="Arial" w:cs="Arial" w:eastAsia="Arial" w:hAnsi="Arial"/>
          <w:sz w:val="16"/>
          <w:szCs w:val="16"/>
          <w:color w:val="auto"/>
        </w:rPr>
        <w:t>the inability to complete forecasted asset sale transactions due to governmental action, litigation, counterparty non-performance or other factors;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Factors:</w:t>
      </w:r>
    </w:p>
    <w:p>
      <w:pPr>
        <w:spacing w:after="0" w:line="27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effects of competition, including the effects of capacity overbuild in areas where we operate;</w:t>
      </w:r>
    </w:p>
    <w:p>
      <w:pPr>
        <w:spacing w:after="0" w:line="134" w:lineRule="exact"/>
        <w:rPr>
          <w:rFonts w:ascii="Arial" w:cs="Arial" w:eastAsia="Arial" w:hAnsi="Arial"/>
          <w:sz w:val="22"/>
          <w:szCs w:val="22"/>
          <w:color w:val="auto"/>
        </w:rPr>
      </w:pPr>
    </w:p>
    <w:p>
      <w:pPr>
        <w:ind w:left="660" w:right="120" w:hanging="328"/>
        <w:spacing w:after="0" w:line="251" w:lineRule="auto"/>
        <w:tabs>
          <w:tab w:leader="none" w:pos="655" w:val="left"/>
        </w:tabs>
        <w:numPr>
          <w:ilvl w:val="0"/>
          <w:numId w:val="10"/>
        </w:numPr>
        <w:rPr>
          <w:rFonts w:ascii="Arial" w:cs="Arial" w:eastAsia="Arial" w:hAnsi="Arial"/>
          <w:sz w:val="21"/>
          <w:szCs w:val="21"/>
          <w:color w:val="auto"/>
        </w:rPr>
      </w:pPr>
      <w:r>
        <w:rPr>
          <w:rFonts w:ascii="Arial" w:cs="Arial" w:eastAsia="Arial" w:hAnsi="Arial"/>
          <w:sz w:val="17"/>
          <w:szCs w:val="17"/>
          <w:color w:val="auto"/>
        </w:rPr>
        <w:t>negative societal sentiment regarding the hydrocarbon energy industry and the continued development and consumption of hydrocarbons, which could influence consumer preferences and governmental or regulatory actions in ways that adversely impact our business;</w:t>
      </w:r>
    </w:p>
    <w:p>
      <w:pPr>
        <w:spacing w:after="0" w:line="100" w:lineRule="exact"/>
        <w:rPr>
          <w:rFonts w:ascii="Arial" w:cs="Arial" w:eastAsia="Arial" w:hAnsi="Arial"/>
          <w:sz w:val="21"/>
          <w:szCs w:val="21"/>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34" w:lineRule="exact"/>
        <w:rPr>
          <w:rFonts w:ascii="Arial" w:cs="Arial" w:eastAsia="Arial" w:hAnsi="Arial"/>
          <w:sz w:val="22"/>
          <w:szCs w:val="22"/>
          <w:color w:val="auto"/>
        </w:rPr>
      </w:pPr>
    </w:p>
    <w:p>
      <w:pPr>
        <w:ind w:left="660" w:right="200" w:hanging="328"/>
        <w:spacing w:after="0" w:line="232"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34" w:lineRule="exact"/>
        <w:rPr>
          <w:rFonts w:ascii="Arial" w:cs="Arial" w:eastAsia="Arial" w:hAnsi="Arial"/>
          <w:sz w:val="22"/>
          <w:szCs w:val="22"/>
          <w:color w:val="auto"/>
        </w:rPr>
      </w:pPr>
    </w:p>
    <w:p>
      <w:pPr>
        <w:ind w:left="660" w:right="40" w:hanging="328"/>
        <w:spacing w:after="0" w:line="232"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occurrence of a natural disaster, catastrophe, terrorist attack (including eco-terrorist attacks) or other event, including cyber or other attacks on our electronic and computer systems;</w:t>
      </w:r>
    </w:p>
    <w:p>
      <w:pPr>
        <w:spacing w:after="0" w:line="135" w:lineRule="exact"/>
        <w:rPr>
          <w:rFonts w:ascii="Arial" w:cs="Arial" w:eastAsia="Arial" w:hAnsi="Arial"/>
          <w:sz w:val="22"/>
          <w:szCs w:val="22"/>
          <w:color w:val="auto"/>
        </w:rPr>
      </w:pPr>
    </w:p>
    <w:p>
      <w:pPr>
        <w:ind w:left="660" w:right="660" w:hanging="328"/>
        <w:spacing w:after="0" w:line="251" w:lineRule="auto"/>
        <w:tabs>
          <w:tab w:leader="none" w:pos="655" w:val="left"/>
        </w:tabs>
        <w:numPr>
          <w:ilvl w:val="0"/>
          <w:numId w:val="10"/>
        </w:numPr>
        <w:rPr>
          <w:rFonts w:ascii="Arial" w:cs="Arial" w:eastAsia="Arial" w:hAnsi="Arial"/>
          <w:sz w:val="21"/>
          <w:szCs w:val="21"/>
          <w:color w:val="auto"/>
        </w:rPr>
      </w:pPr>
      <w:r>
        <w:rPr>
          <w:rFonts w:ascii="Arial" w:cs="Arial" w:eastAsia="Arial" w:hAnsi="Arial"/>
          <w:sz w:val="17"/>
          <w:szCs w:val="17"/>
          <w:color w:val="auto"/>
        </w:rPr>
        <w:t>the successful integration and future performance of acquired assets or businesses and the successful operation of joint ventures and joint operating arrangements we enter into from time to time, whether relating to assets operated by us or by third parties;</w:t>
      </w:r>
    </w:p>
    <w:p>
      <w:pPr>
        <w:spacing w:after="0" w:line="123" w:lineRule="exact"/>
        <w:rPr>
          <w:rFonts w:ascii="Arial" w:cs="Arial" w:eastAsia="Arial" w:hAnsi="Arial"/>
          <w:sz w:val="21"/>
          <w:szCs w:val="21"/>
          <w:color w:val="auto"/>
        </w:rPr>
      </w:pPr>
    </w:p>
    <w:p>
      <w:pPr>
        <w:ind w:left="660" w:right="120" w:hanging="328"/>
        <w:spacing w:after="0" w:line="232"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shortages or cost increases of supplies, materials or labor;</w:t>
      </w:r>
    </w:p>
    <w:p>
      <w:pPr>
        <w:spacing w:after="0" w:line="134" w:lineRule="exact"/>
        <w:rPr>
          <w:rFonts w:ascii="Arial" w:cs="Arial" w:eastAsia="Arial" w:hAnsi="Arial"/>
          <w:sz w:val="22"/>
          <w:szCs w:val="22"/>
          <w:color w:val="auto"/>
        </w:rPr>
      </w:pPr>
    </w:p>
    <w:p>
      <w:pPr>
        <w:ind w:left="660" w:right="640" w:hanging="328"/>
        <w:spacing w:after="0" w:line="271"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impact of current and future laws, rulings, governmental regulations, accounting standards and statements, and related interpretations, including legislation or regulatory initiatives that prohibit, restrict or regulate hydraulic fracturing;</w:t>
      </w:r>
    </w:p>
    <w:p>
      <w:pPr>
        <w:spacing w:after="0" w:line="101" w:lineRule="exact"/>
        <w:rPr>
          <w:rFonts w:ascii="Arial" w:cs="Arial" w:eastAsia="Arial" w:hAnsi="Arial"/>
          <w:sz w:val="22"/>
          <w:szCs w:val="22"/>
          <w:color w:val="auto"/>
        </w:rPr>
      </w:pPr>
    </w:p>
    <w:p>
      <w:pPr>
        <w:ind w:left="660" w:right="380" w:hanging="328"/>
        <w:spacing w:after="0" w:line="297" w:lineRule="auto"/>
        <w:tabs>
          <w:tab w:leader="none" w:pos="655" w:val="left"/>
        </w:tabs>
        <w:numPr>
          <w:ilvl w:val="0"/>
          <w:numId w:val="10"/>
        </w:numPr>
        <w:rPr>
          <w:rFonts w:ascii="Arial" w:cs="Arial" w:eastAsia="Arial" w:hAnsi="Arial"/>
          <w:sz w:val="19"/>
          <w:szCs w:val="19"/>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82" w:lineRule="exact"/>
        <w:rPr>
          <w:rFonts w:ascii="Arial" w:cs="Arial" w:eastAsia="Arial" w:hAnsi="Arial"/>
          <w:sz w:val="19"/>
          <w:szCs w:val="19"/>
          <w:color w:val="auto"/>
        </w:rPr>
      </w:pPr>
    </w:p>
    <w:p>
      <w:pPr>
        <w:ind w:left="660" w:right="40" w:hanging="328"/>
        <w:spacing w:after="0" w:line="238"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general economic, market or business conditions (both within the United States and globally and including the potential for a recession or significant slowdown in economic activity levels) and the amplification of other risks caused by volatile financial markets, capital constraints and liquidity concerns;</w:t>
      </w:r>
    </w:p>
    <w:p>
      <w:pPr>
        <w:spacing w:after="0" w:line="112"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147" w:lineRule="exact"/>
        <w:rPr>
          <w:rFonts w:ascii="Arial" w:cs="Arial" w:eastAsia="Arial" w:hAnsi="Arial"/>
          <w:sz w:val="22"/>
          <w:szCs w:val="22"/>
          <w:color w:val="auto"/>
        </w:rPr>
      </w:pPr>
    </w:p>
    <w:p>
      <w:pPr>
        <w:ind w:left="5440" w:hanging="106"/>
        <w:spacing w:after="0"/>
        <w:tabs>
          <w:tab w:leader="none" w:pos="5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180"/>
          </w:cols>
          <w:pgMar w:left="320" w:top="368" w:right="3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9</w:t>
      </w:r>
    </w:p>
    <w:p>
      <w:pPr>
        <w:spacing w:after="0" w:line="200" w:lineRule="exact"/>
        <w:rPr>
          <w:sz w:val="20"/>
          <w:szCs w:val="20"/>
          <w:color w:val="auto"/>
        </w:rPr>
      </w:pPr>
    </w:p>
    <w:p>
      <w:pPr>
        <w:spacing w:after="0" w:line="25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currency exchange rate of the Canadian dollar;</w:t>
      </w:r>
    </w:p>
    <w:p>
      <w:pPr>
        <w:spacing w:after="0" w:line="134" w:lineRule="exact"/>
        <w:rPr>
          <w:rFonts w:ascii="Arial" w:cs="Arial" w:eastAsia="Arial" w:hAnsi="Arial"/>
          <w:sz w:val="22"/>
          <w:szCs w:val="22"/>
          <w:color w:val="auto"/>
        </w:rPr>
      </w:pPr>
    </w:p>
    <w:p>
      <w:pPr>
        <w:ind w:left="660" w:right="8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35"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non-utilization of our assets and facilities;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increased costs, or lack of availability, of insurance;</w:t>
      </w:r>
    </w:p>
    <w:p>
      <w:pPr>
        <w:spacing w:after="0" w:line="123"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1"/>
          <w:szCs w:val="21"/>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111" w:lineRule="exact"/>
        <w:rPr>
          <w:rFonts w:ascii="Arial" w:cs="Arial" w:eastAsia="Arial" w:hAnsi="Arial"/>
          <w:sz w:val="21"/>
          <w:szCs w:val="21"/>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effectiveness of our risk management activities;</w:t>
      </w:r>
    </w:p>
    <w:p>
      <w:pPr>
        <w:spacing w:after="0" w:line="123"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1"/>
          <w:szCs w:val="21"/>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134" w:lineRule="exact"/>
        <w:rPr>
          <w:rFonts w:ascii="Arial" w:cs="Arial" w:eastAsia="Arial" w:hAnsi="Arial"/>
          <w:sz w:val="21"/>
          <w:szCs w:val="21"/>
          <w:color w:val="auto"/>
        </w:rPr>
      </w:pPr>
    </w:p>
    <w:p>
      <w:pPr>
        <w:ind w:left="660" w:hanging="328"/>
        <w:spacing w:after="0"/>
        <w:tabs>
          <w:tab w:leader="none" w:pos="660" w:val="left"/>
        </w:tabs>
        <w:numPr>
          <w:ilvl w:val="0"/>
          <w:numId w:val="11"/>
        </w:numPr>
        <w:rPr>
          <w:rFonts w:ascii="Arial" w:cs="Arial" w:eastAsia="Arial" w:hAnsi="Arial"/>
          <w:sz w:val="19"/>
          <w:szCs w:val="19"/>
          <w:color w:val="auto"/>
        </w:rPr>
      </w:pPr>
      <w:r>
        <w:rPr>
          <w:rFonts w:ascii="Arial" w:cs="Arial" w:eastAsia="Arial" w:hAnsi="Arial"/>
          <w:sz w:val="16"/>
          <w:szCs w:val="16"/>
          <w:color w:val="auto"/>
        </w:rPr>
        <w:t>risks related to the development and operation of our assets, including our ability to satisfy our contractual obligations to our customers; and</w:t>
      </w:r>
    </w:p>
    <w:p>
      <w:pPr>
        <w:spacing w:after="0" w:line="146" w:lineRule="exact"/>
        <w:rPr>
          <w:rFonts w:ascii="Arial" w:cs="Arial" w:eastAsia="Arial" w:hAnsi="Arial"/>
          <w:sz w:val="19"/>
          <w:szCs w:val="19"/>
          <w:color w:val="auto"/>
        </w:rPr>
      </w:pPr>
    </w:p>
    <w:p>
      <w:pPr>
        <w:ind w:left="660" w:right="60" w:hanging="328"/>
        <w:spacing w:after="0" w:line="238"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NGL as discussed in the Partnerships’ filings with the Securities and Exchange Commission.</w:t>
      </w:r>
    </w:p>
    <w:p>
      <w:pPr>
        <w:spacing w:after="0" w:line="20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for crude oil, NGL and natural gas. PAA owns an extensive network of pipeline transportation, terminalling, storage and gathering assets in key crude oil and NGL producing basins and transportation corridors and at major market hubs in the United States and Canada. On average, PAA handles more than 6 million barrels per day of crude oil and NGL in its Transportation segment. PAA is headquartered in Houston, Texas. More information is available at www.plainsallamerican.com.</w:t>
      </w:r>
    </w:p>
    <w:p>
      <w:pPr>
        <w:spacing w:after="0" w:line="215" w:lineRule="exact"/>
        <w:rPr>
          <w:sz w:val="20"/>
          <w:szCs w:val="20"/>
          <w:color w:val="auto"/>
        </w:rPr>
      </w:pPr>
    </w:p>
    <w:p>
      <w:pPr>
        <w:jc w:val="both"/>
        <w:ind w:right="400" w:firstLine="360"/>
        <w:spacing w:after="0" w:line="263" w:lineRule="auto"/>
        <w:rPr>
          <w:sz w:val="20"/>
          <w:szCs w:val="20"/>
          <w:color w:val="auto"/>
        </w:rPr>
      </w:pPr>
      <w:r>
        <w:rPr>
          <w:rFonts w:ascii="Arial" w:cs="Arial" w:eastAsia="Arial" w:hAnsi="Arial"/>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2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080"/>
          </w:cols>
          <w:pgMar w:left="320" w:top="368" w:right="4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Page 10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21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433"/>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473"/>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1900" w:type="dxa"/>
            <w:vAlign w:val="bottom"/>
            <w:tcBorders>
              <w:bottom w:val="single" w:sz="8" w:color="CCEEFF"/>
            </w:tcBorders>
          </w:tcPr>
          <w:p>
            <w:pPr>
              <w:spacing w:after="0"/>
              <w:rPr>
                <w:sz w:val="17"/>
                <w:szCs w:val="17"/>
                <w:color w:val="auto"/>
              </w:rPr>
            </w:pPr>
          </w:p>
        </w:tc>
        <w:tc>
          <w:tcPr>
            <w:tcW w:w="15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3,225</w:t>
            </w:r>
          </w:p>
        </w:tc>
        <w:tc>
          <w:tcPr>
            <w:tcW w:w="4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8,253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11,494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16,628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Purchases and related costs</w:t>
            </w: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2,525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7,244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9,893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14,362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667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(Gains)/losses on asset sales and asset impairments, net</w:t>
            </w: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15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15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7,802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14,057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15,463</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INCOME/(LOSS)</w:t>
            </w: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(2,563)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1,165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OTHER INCOME/(EXPENSE)</w:t>
            </w: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Gain on/(impairment of) investments in unconsolidated entities, net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Other income/(expense), net</w:t>
            </w: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INCOME/(LOSS) BEFORE TAX</w:t>
            </w: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(2,691)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1,419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1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Deferred income tax benefit</w:t>
            </w: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NET INCOME/(LOSS)</w:t>
            </w: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(2,701)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1,418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56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NET INCOME/(LOSS) ATTRIBUTABLE TO PAA</w:t>
            </w:r>
          </w:p>
        </w:tc>
        <w:tc>
          <w:tcPr>
            <w:tcW w:w="18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142</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(2,705)</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1,416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NET INCOME/(LOSS) PER COMMON UNIT:</w:t>
            </w: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Net income/(loss) allocated to common unitholders — Basic</w:t>
            </w:r>
          </w:p>
        </w:tc>
        <w:tc>
          <w:tcPr>
            <w:tcW w:w="1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92</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(2,805)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1,311</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00" w:type="dxa"/>
            <w:vAlign w:val="bottom"/>
            <w:gridSpan w:val="2"/>
          </w:tcPr>
          <w:p>
            <w:pPr>
              <w:ind w:left="120"/>
              <w:spacing w:after="0"/>
              <w:rPr>
                <w:sz w:val="20"/>
                <w:szCs w:val="20"/>
                <w:color w:val="auto"/>
              </w:rPr>
            </w:pPr>
            <w:r>
              <w:rPr>
                <w:rFonts w:ascii="Arial" w:cs="Arial" w:eastAsia="Arial" w:hAnsi="Arial"/>
                <w:sz w:val="18"/>
                <w:szCs w:val="18"/>
                <w:color w:val="auto"/>
              </w:rPr>
              <w:t>Basic weighted average common units outstanding</w:t>
            </w:r>
          </w:p>
        </w:tc>
        <w:tc>
          <w:tcPr>
            <w:tcW w:w="1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727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Basic net income/(loss) per common unit</w:t>
            </w:r>
          </w:p>
        </w:tc>
        <w:tc>
          <w:tcPr>
            <w:tcW w:w="1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0.13</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1.80</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Net income/(loss) allocated to common unitholders — Diluted</w:t>
            </w:r>
          </w:p>
        </w:tc>
        <w:tc>
          <w:tcPr>
            <w:tcW w:w="1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92</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(2,805)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1,389</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00" w:type="dxa"/>
            <w:vAlign w:val="bottom"/>
            <w:gridSpan w:val="2"/>
          </w:tcPr>
          <w:p>
            <w:pPr>
              <w:ind w:left="120"/>
              <w:spacing w:after="0"/>
              <w:rPr>
                <w:sz w:val="20"/>
                <w:szCs w:val="20"/>
                <w:color w:val="auto"/>
              </w:rPr>
            </w:pPr>
            <w:r>
              <w:rPr>
                <w:rFonts w:ascii="Arial" w:cs="Arial" w:eastAsia="Arial" w:hAnsi="Arial"/>
                <w:sz w:val="18"/>
                <w:szCs w:val="18"/>
                <w:color w:val="auto"/>
              </w:rPr>
              <w:t>Diluted weighted average common units outstanding</w:t>
            </w:r>
          </w:p>
        </w:tc>
        <w:tc>
          <w:tcPr>
            <w:tcW w:w="1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Diluted net income/(loss) per common unit</w:t>
            </w:r>
          </w:p>
        </w:tc>
        <w:tc>
          <w:tcPr>
            <w:tcW w:w="1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0.13</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1.74</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NON-GAAP ADJUSTED RESULTS</w:t>
            </w:r>
          </w:p>
        </w:tc>
        <w:tc>
          <w:tcPr>
            <w:tcW w:w="1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720" w:type="dxa"/>
            <w:vAlign w:val="bottom"/>
            <w:gridSpan w:val="3"/>
            <w:vMerge w:val="continue"/>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 except per unit data)</w:t>
            </w:r>
          </w:p>
        </w:tc>
        <w:tc>
          <w:tcPr>
            <w:tcW w:w="1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5"/>
                <w:szCs w:val="15"/>
                <w:color w:val="auto"/>
              </w:rPr>
            </w:pPr>
          </w:p>
        </w:tc>
        <w:tc>
          <w:tcPr>
            <w:tcW w:w="21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433"/>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473"/>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1900" w:type="dxa"/>
            <w:vAlign w:val="bottom"/>
            <w:tcBorders>
              <w:bottom w:val="single" w:sz="8" w:color="CCEEFF"/>
            </w:tcBorders>
          </w:tcPr>
          <w:p>
            <w:pPr>
              <w:spacing w:after="0"/>
              <w:rPr>
                <w:sz w:val="17"/>
                <w:szCs w:val="17"/>
                <w:color w:val="auto"/>
              </w:rPr>
            </w:pPr>
          </w:p>
        </w:tc>
        <w:tc>
          <w:tcPr>
            <w:tcW w:w="15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15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1,116</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tcBorders>
              <w:bottom w:val="single" w:sz="8" w:color="CCEEFF"/>
            </w:tcBorders>
            <w:shd w:val="clear" w:color="auto" w:fill="CCEEFF"/>
          </w:tcPr>
          <w:p>
            <w:pPr>
              <w:spacing w:after="0"/>
              <w:rPr>
                <w:sz w:val="24"/>
                <w:szCs w:val="24"/>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15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1.36</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tcBorders>
              <w:bottom w:val="single" w:sz="8" w:color="CCEEFF"/>
            </w:tcBorders>
            <w:shd w:val="clear" w:color="auto" w:fill="CCEEFF"/>
          </w:tcPr>
          <w:p>
            <w:pPr>
              <w:spacing w:after="0"/>
              <w:rPr>
                <w:sz w:val="24"/>
                <w:szCs w:val="24"/>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5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1,646</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80" w:type="dxa"/>
            <w:vAlign w:val="bottom"/>
            <w:gridSpan w:val="2"/>
          </w:tcPr>
          <w:p>
            <w:pPr>
              <w:jc w:val="right"/>
              <w:ind w:right="590"/>
              <w:spacing w:after="0"/>
              <w:rPr>
                <w:sz w:val="20"/>
                <w:szCs w:val="20"/>
                <w:color w:val="auto"/>
              </w:rPr>
            </w:pPr>
            <w:r>
              <w:rPr>
                <w:rFonts w:ascii="Arial" w:cs="Arial" w:eastAsia="Arial" w:hAnsi="Arial"/>
                <w:sz w:val="18"/>
                <w:szCs w:val="18"/>
                <w:color w:val="auto"/>
              </w:rPr>
              <w:t>- more -</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auto"/>
            </w:tcBorders>
            <w:gridSpan w:val="2"/>
          </w:tcPr>
          <w:p>
            <w:pPr>
              <w:spacing w:after="0"/>
              <w:rPr>
                <w:sz w:val="11"/>
                <w:szCs w:val="11"/>
                <w:color w:val="auto"/>
              </w:rPr>
            </w:pPr>
          </w:p>
        </w:tc>
        <w:tc>
          <w:tcPr>
            <w:tcW w:w="1880" w:type="dxa"/>
            <w:vAlign w:val="bottom"/>
            <w:tcBorders>
              <w:bottom w:val="single" w:sz="8" w:color="auto"/>
            </w:tcBorders>
            <w:gridSpan w:val="2"/>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gridSpan w:val="6"/>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00" w:type="dxa"/>
            <w:vAlign w:val="bottom"/>
            <w:gridSpan w:val="2"/>
          </w:tcPr>
          <w:p>
            <w:pPr>
              <w:ind w:left="1680"/>
              <w:spacing w:after="0"/>
              <w:rPr>
                <w:sz w:val="20"/>
                <w:szCs w:val="20"/>
                <w:color w:val="auto"/>
              </w:rPr>
            </w:pPr>
            <w:r>
              <w:rPr>
                <w:rFonts w:ascii="Arial" w:cs="Arial" w:eastAsia="Arial" w:hAnsi="Arial"/>
                <w:sz w:val="18"/>
                <w:szCs w:val="18"/>
                <w:b w:val="1"/>
                <w:bCs w:val="1"/>
                <w:color w:val="auto"/>
              </w:rPr>
              <w:t>333 Clay Street, Suite 1600</w:t>
            </w:r>
          </w:p>
        </w:tc>
        <w:tc>
          <w:tcPr>
            <w:tcW w:w="18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2"/>
              </w:rPr>
              <w:t>Houston, Texas 77002</w:t>
            </w:r>
          </w:p>
        </w:tc>
        <w:tc>
          <w:tcPr>
            <w:tcW w:w="840" w:type="dxa"/>
            <w:vAlign w:val="bottom"/>
          </w:tcPr>
          <w:p>
            <w:pPr>
              <w:spacing w:after="0"/>
              <w:rPr>
                <w:sz w:val="24"/>
                <w:szCs w:val="24"/>
                <w:color w:val="auto"/>
              </w:rPr>
            </w:pPr>
          </w:p>
        </w:tc>
        <w:tc>
          <w:tcPr>
            <w:tcW w:w="2540" w:type="dxa"/>
            <w:vAlign w:val="bottom"/>
            <w:gridSpan w:val="6"/>
          </w:tcPr>
          <w:p>
            <w:pPr>
              <w:jc w:val="right"/>
              <w:ind w:right="193"/>
              <w:spacing w:after="0"/>
              <w:rPr>
                <w:sz w:val="20"/>
                <w:szCs w:val="20"/>
                <w:color w:val="auto"/>
              </w:rPr>
            </w:pPr>
            <w:r>
              <w:rPr>
                <w:rFonts w:ascii="Arial" w:cs="Arial" w:eastAsia="Arial" w:hAnsi="Arial"/>
                <w:sz w:val="18"/>
                <w:szCs w:val="18"/>
                <w:b w:val="1"/>
                <w:bCs w:val="1"/>
                <w:color w:val="auto"/>
                <w:w w:val="93"/>
              </w:rPr>
              <w:t>713-646-4100 / 866-809-1291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8" w:right="339" w:bottom="514"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Page 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17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2820" w:type="dxa"/>
            <w:vAlign w:val="bottom"/>
            <w:tcBorders>
              <w:bottom w:val="single" w:sz="8" w:color="CCEEFF"/>
            </w:tcBorders>
          </w:tcPr>
          <w:p>
            <w:pPr>
              <w:spacing w:after="0"/>
              <w:rPr>
                <w:sz w:val="16"/>
                <w:szCs w:val="16"/>
                <w:color w:val="auto"/>
              </w:rPr>
            </w:pPr>
          </w:p>
        </w:tc>
        <w:tc>
          <w:tcPr>
            <w:tcW w:w="54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3,161</w:t>
            </w:r>
          </w:p>
        </w:tc>
        <w:tc>
          <w:tcPr>
            <w:tcW w:w="80" w:type="dxa"/>
            <w:vAlign w:val="bottom"/>
          </w:tcPr>
          <w:p>
            <w:pPr>
              <w:spacing w:after="0"/>
              <w:rPr>
                <w:sz w:val="21"/>
                <w:szCs w:val="21"/>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4,612</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15,355</w:t>
            </w: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Investments in unconsolidated entities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3,781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Linefill and base gas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operating lease right-of-use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Long-term inventory</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63"/>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24,037</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28,677</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820" w:type="dxa"/>
            <w:vAlign w:val="bottom"/>
            <w:shd w:val="clear" w:color="auto" w:fill="CCEEFF"/>
          </w:tcPr>
          <w:p>
            <w:pPr>
              <w:spacing w:after="0"/>
              <w:rPr>
                <w:sz w:val="14"/>
                <w:szCs w:val="14"/>
                <w:color w:val="auto"/>
              </w:rPr>
            </w:pPr>
          </w:p>
        </w:tc>
        <w:tc>
          <w:tcPr>
            <w:tcW w:w="5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PARTNERS’ CAPITAL</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Senior notes, net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9,067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8,939</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debt, net</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Long-term operating lease liabilities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 and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64"/>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14,235</w:t>
            </w:r>
          </w:p>
        </w:tc>
        <w:tc>
          <w:tcPr>
            <w:tcW w:w="8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15,482</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Partners’ capital excluding noncontrolling interests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9,659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13,062</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7"/>
        </w:trPr>
        <w:tc>
          <w:tcPr>
            <w:tcW w:w="8240" w:type="dxa"/>
            <w:vAlign w:val="bottom"/>
            <w:gridSpan w:val="2"/>
          </w:tcPr>
          <w:p>
            <w:pPr>
              <w:ind w:left="120"/>
              <w:spacing w:after="0"/>
              <w:rPr>
                <w:sz w:val="20"/>
                <w:szCs w:val="20"/>
                <w:color w:val="auto"/>
              </w:rPr>
            </w:pPr>
            <w:r>
              <w:rPr>
                <w:rFonts w:ascii="Arial" w:cs="Arial" w:eastAsia="Arial" w:hAnsi="Arial"/>
                <w:sz w:val="18"/>
                <w:szCs w:val="18"/>
                <w:color w:val="auto"/>
              </w:rPr>
              <w:t>Total partners’ capital</w:t>
            </w:r>
          </w:p>
        </w:tc>
        <w:tc>
          <w:tcPr>
            <w:tcW w:w="1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9,802</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13,195</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 and partners’ capital</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24,037</w:t>
            </w:r>
          </w:p>
        </w:tc>
        <w:tc>
          <w:tcPr>
            <w:tcW w:w="80" w:type="dxa"/>
            <w:vAlign w:val="bottom"/>
            <w:shd w:val="clear" w:color="auto" w:fill="CCEEFF"/>
          </w:tcPr>
          <w:p>
            <w:pPr>
              <w:spacing w:after="0"/>
              <w:rPr>
                <w:sz w:val="24"/>
                <w:szCs w:val="24"/>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28,677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82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 millions)</w:t>
            </w:r>
          </w:p>
        </w:tc>
        <w:tc>
          <w:tcPr>
            <w:tcW w:w="5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8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212"/>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2820" w:type="dxa"/>
            <w:vAlign w:val="bottom"/>
            <w:tcBorders>
              <w:bottom w:val="single" w:sz="8" w:color="CCEEFF"/>
            </w:tcBorders>
          </w:tcPr>
          <w:p>
            <w:pPr>
              <w:spacing w:after="0"/>
              <w:rPr>
                <w:sz w:val="16"/>
                <w:szCs w:val="16"/>
                <w:color w:val="auto"/>
              </w:rPr>
            </w:pPr>
          </w:p>
        </w:tc>
        <w:tc>
          <w:tcPr>
            <w:tcW w:w="54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729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9,393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9,187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10,122</w:t>
            </w:r>
          </w:p>
        </w:tc>
        <w:tc>
          <w:tcPr>
            <w:tcW w:w="80" w:type="dxa"/>
            <w:vAlign w:val="bottom"/>
            <w:shd w:val="clear" w:color="auto" w:fill="CCEEFF"/>
          </w:tcPr>
          <w:p>
            <w:pPr>
              <w:spacing w:after="0"/>
              <w:rPr>
                <w:sz w:val="24"/>
                <w:szCs w:val="24"/>
                <w:color w:val="auto"/>
              </w:rPr>
            </w:pPr>
          </w:p>
        </w:tc>
        <w:tc>
          <w:tcPr>
            <w:tcW w:w="2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9,691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8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9,393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9,187</w:t>
            </w: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Partners’ capital</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9,802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13,195</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book capitalization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19,195</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22,382</w:t>
            </w:r>
          </w:p>
        </w:tc>
        <w:tc>
          <w:tcPr>
            <w:tcW w:w="0" w:type="dxa"/>
            <w:vAlign w:val="bottom"/>
          </w:tcPr>
          <w:p>
            <w:pPr>
              <w:spacing w:after="0"/>
              <w:rPr>
                <w:sz w:val="1"/>
                <w:szCs w:val="1"/>
                <w:color w:val="auto"/>
              </w:rPr>
            </w:pPr>
          </w:p>
        </w:tc>
      </w:tr>
      <w:tr>
        <w:trPr>
          <w:trHeight w:val="20"/>
        </w:trPr>
        <w:tc>
          <w:tcPr>
            <w:tcW w:w="824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240" w:type="dxa"/>
            <w:vAlign w:val="bottom"/>
            <w:gridSpan w:val="2"/>
          </w:tcPr>
          <w:p>
            <w:pPr>
              <w:ind w:left="360"/>
              <w:spacing w:after="0"/>
              <w:rPr>
                <w:sz w:val="20"/>
                <w:szCs w:val="20"/>
                <w:color w:val="auto"/>
              </w:rPr>
            </w:pPr>
            <w:r>
              <w:rPr>
                <w:rFonts w:ascii="Arial" w:cs="Arial" w:eastAsia="Arial" w:hAnsi="Arial"/>
                <w:sz w:val="18"/>
                <w:szCs w:val="18"/>
                <w:color w:val="auto"/>
              </w:rPr>
              <w:t>Total book capitalization, including short-term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19,924</w:t>
            </w:r>
          </w:p>
        </w:tc>
        <w:tc>
          <w:tcPr>
            <w:tcW w:w="80" w:type="dxa"/>
            <w:vAlign w:val="bottom"/>
          </w:tcPr>
          <w:p>
            <w:pPr>
              <w:spacing w:after="0"/>
              <w:rPr>
                <w:sz w:val="21"/>
                <w:szCs w:val="21"/>
                <w:color w:val="auto"/>
              </w:rPr>
            </w:pPr>
          </w:p>
        </w:tc>
        <w:tc>
          <w:tcPr>
            <w:tcW w:w="2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22,886</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shd w:val="clear" w:color="auto" w:fill="CCEEFF"/>
          </w:tcPr>
          <w:p>
            <w:pPr>
              <w:spacing w:after="0"/>
              <w:rPr>
                <w:sz w:val="15"/>
                <w:szCs w:val="15"/>
                <w:color w:val="auto"/>
              </w:rPr>
            </w:pPr>
          </w:p>
        </w:tc>
        <w:tc>
          <w:tcPr>
            <w:tcW w:w="5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Long-term debt-to-total book capitalization</w:t>
            </w:r>
          </w:p>
        </w:tc>
        <w:tc>
          <w:tcPr>
            <w:tcW w:w="2260" w:type="dxa"/>
            <w:vAlign w:val="bottom"/>
          </w:tcPr>
          <w:p>
            <w:pPr>
              <w:spacing w:after="0"/>
              <w:rPr>
                <w:sz w:val="20"/>
                <w:szCs w:val="20"/>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49</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Total debt-to-total book capitalization, including short-term debt</w:t>
            </w:r>
          </w:p>
        </w:tc>
        <w:tc>
          <w:tcPr>
            <w:tcW w:w="226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1"/>
                <w:szCs w:val="21"/>
                <w:color w:val="auto"/>
              </w:rPr>
            </w:pPr>
          </w:p>
        </w:tc>
      </w:tr>
      <w:tr>
        <w:trPr>
          <w:trHeight w:val="621"/>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260" w:type="dxa"/>
            <w:vAlign w:val="bottom"/>
          </w:tcPr>
          <w:p>
            <w:pPr>
              <w:jc w:val="center"/>
              <w:ind w:right="390"/>
              <w:spacing w:after="0"/>
              <w:rPr>
                <w:sz w:val="20"/>
                <w:szCs w:val="20"/>
                <w:color w:val="auto"/>
              </w:rPr>
            </w:pPr>
            <w:r>
              <w:rPr>
                <w:rFonts w:ascii="Arial" w:cs="Arial" w:eastAsia="Arial" w:hAnsi="Arial"/>
                <w:sz w:val="18"/>
                <w:szCs w:val="18"/>
                <w:color w:val="auto"/>
                <w:w w:val="91"/>
              </w:rPr>
              <w:t>- more -</w:t>
            </w: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472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3260" w:type="dxa"/>
            <w:vAlign w:val="bottom"/>
            <w:tcBorders>
              <w:bottom w:val="single" w:sz="8" w:color="auto"/>
            </w:tcBorders>
            <w:gridSpan w:val="2"/>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331"/>
        </w:trPr>
        <w:tc>
          <w:tcPr>
            <w:tcW w:w="20" w:type="dxa"/>
            <w:vAlign w:val="bottom"/>
          </w:tcPr>
          <w:p>
            <w:pPr>
              <w:spacing w:after="0"/>
              <w:rPr>
                <w:sz w:val="24"/>
                <w:szCs w:val="24"/>
                <w:color w:val="auto"/>
              </w:rPr>
            </w:pPr>
          </w:p>
        </w:tc>
        <w:tc>
          <w:tcPr>
            <w:tcW w:w="4720" w:type="dxa"/>
            <w:vAlign w:val="bottom"/>
          </w:tcPr>
          <w:p>
            <w:pPr>
              <w:ind w:left="1680"/>
              <w:spacing w:after="0"/>
              <w:rPr>
                <w:sz w:val="20"/>
                <w:szCs w:val="20"/>
                <w:color w:val="auto"/>
              </w:rPr>
            </w:pPr>
            <w:r>
              <w:rPr>
                <w:rFonts w:ascii="Arial" w:cs="Arial" w:eastAsia="Arial" w:hAnsi="Arial"/>
                <w:sz w:val="18"/>
                <w:szCs w:val="18"/>
                <w:b w:val="1"/>
                <w:bCs w:val="1"/>
                <w:color w:val="auto"/>
              </w:rPr>
              <w:t>333 Clay Street, Suite 1600</w:t>
            </w:r>
          </w:p>
        </w:tc>
        <w:tc>
          <w:tcPr>
            <w:tcW w:w="2260" w:type="dxa"/>
            <w:vAlign w:val="bottom"/>
          </w:tcPr>
          <w:p>
            <w:pPr>
              <w:jc w:val="center"/>
              <w:ind w:right="370"/>
              <w:spacing w:after="0"/>
              <w:rPr>
                <w:sz w:val="20"/>
                <w:szCs w:val="20"/>
                <w:color w:val="auto"/>
              </w:rPr>
            </w:pPr>
            <w:r>
              <w:rPr>
                <w:rFonts w:ascii="Arial" w:cs="Arial" w:eastAsia="Arial" w:hAnsi="Arial"/>
                <w:sz w:val="18"/>
                <w:szCs w:val="18"/>
                <w:b w:val="1"/>
                <w:bCs w:val="1"/>
                <w:color w:val="auto"/>
                <w:w w:val="88"/>
              </w:rPr>
              <w:t>Houston, Texas 77002</w:t>
            </w:r>
          </w:p>
        </w:tc>
        <w:tc>
          <w:tcPr>
            <w:tcW w:w="326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713-646-4100 / 866-809-1291</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Page 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INCOME/(LOSS)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6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96"/>
        </w:trPr>
        <w:tc>
          <w:tcPr>
            <w:tcW w:w="62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r>
      <w:tr>
        <w:trPr>
          <w:trHeight w:val="236"/>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Income/(Loss) per Common Unit</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Net income/(loss) attributable to PAA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(2,705)</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1,416</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r>
      <w:tr>
        <w:trPr>
          <w:trHeight w:val="270"/>
        </w:trPr>
        <w:tc>
          <w:tcPr>
            <w:tcW w:w="6280" w:type="dxa"/>
            <w:vAlign w:val="bottom"/>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26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(25)</w:t>
            </w: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63"/>
        </w:trPr>
        <w:tc>
          <w:tcPr>
            <w:tcW w:w="6280" w:type="dxa"/>
            <w:vAlign w:val="bottom"/>
          </w:tcPr>
          <w:p>
            <w:pPr>
              <w:ind w:left="20"/>
              <w:spacing w:after="0"/>
              <w:rPr>
                <w:sz w:val="20"/>
                <w:szCs w:val="20"/>
                <w:color w:val="auto"/>
              </w:rPr>
            </w:pPr>
            <w:r>
              <w:rPr>
                <w:rFonts w:ascii="Arial" w:cs="Arial" w:eastAsia="Arial" w:hAnsi="Arial"/>
                <w:sz w:val="18"/>
                <w:szCs w:val="18"/>
                <w:color w:val="auto"/>
              </w:rPr>
              <w:t>Net income/(loss) allocated to common unitholders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(2,805)</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1,311</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6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26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727</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6"/>
        </w:trPr>
        <w:tc>
          <w:tcPr>
            <w:tcW w:w="6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70"/>
        </w:trPr>
        <w:tc>
          <w:tcPr>
            <w:tcW w:w="6280" w:type="dxa"/>
            <w:vAlign w:val="bottom"/>
          </w:tcPr>
          <w:p>
            <w:pPr>
              <w:ind w:left="20"/>
              <w:spacing w:after="0"/>
              <w:rPr>
                <w:sz w:val="20"/>
                <w:szCs w:val="20"/>
                <w:color w:val="auto"/>
              </w:rPr>
            </w:pPr>
            <w:r>
              <w:rPr>
                <w:rFonts w:ascii="Arial" w:cs="Arial" w:eastAsia="Arial" w:hAnsi="Arial"/>
                <w:sz w:val="18"/>
                <w:szCs w:val="18"/>
                <w:color w:val="auto"/>
              </w:rPr>
              <w:t>Basic net income/(loss) per common unit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1.80</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6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Diluted Net Income/(Loss) per Common Unit</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PAA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1,416</w:t>
            </w:r>
          </w:p>
        </w:tc>
      </w:tr>
      <w:tr>
        <w:trPr>
          <w:trHeight w:val="270"/>
        </w:trPr>
        <w:tc>
          <w:tcPr>
            <w:tcW w:w="6280" w:type="dxa"/>
            <w:vAlign w:val="bottom"/>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26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70"/>
        </w:trPr>
        <w:tc>
          <w:tcPr>
            <w:tcW w:w="6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r>
      <w:tr>
        <w:trPr>
          <w:trHeight w:val="28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 allocated to common unitholders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(2,805)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1,389</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727</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71</w:t>
            </w:r>
          </w:p>
        </w:tc>
      </w:tr>
      <w:tr>
        <w:trPr>
          <w:trHeight w:val="270"/>
        </w:trPr>
        <w:tc>
          <w:tcPr>
            <w:tcW w:w="6280" w:type="dxa"/>
            <w:vAlign w:val="bottom"/>
          </w:tcPr>
          <w:p>
            <w:pPr>
              <w:ind w:left="180"/>
              <w:spacing w:after="0"/>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(3)</w:t>
            </w:r>
          </w:p>
        </w:tc>
        <w:tc>
          <w:tcPr>
            <w:tcW w:w="260" w:type="dxa"/>
            <w:vAlign w:val="bottom"/>
          </w:tcPr>
          <w:p>
            <w:pPr>
              <w:spacing w:after="0"/>
              <w:rPr>
                <w:sz w:val="23"/>
                <w:szCs w:val="2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2</w:t>
            </w:r>
          </w:p>
        </w:tc>
      </w:tr>
      <w:tr>
        <w:trPr>
          <w:trHeight w:val="288"/>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units outstanding</w:t>
            </w:r>
          </w:p>
        </w:tc>
        <w:tc>
          <w:tcPr>
            <w:tcW w:w="260" w:type="dxa"/>
            <w:vAlign w:val="bottom"/>
            <w:tcBorders>
              <w:top w:val="single" w:sz="8" w:color="auto"/>
              <w:bottom w:val="single" w:sz="8" w:color="auto"/>
            </w:tcBorders>
            <w:shd w:val="clear" w:color="auto" w:fill="CCEEFF"/>
          </w:tcPr>
          <w:p>
            <w:pPr>
              <w:spacing w:after="0"/>
              <w:rPr>
                <w:sz w:val="24"/>
                <w:szCs w:val="24"/>
                <w:color w:val="auto"/>
              </w:rPr>
            </w:pPr>
          </w:p>
        </w:tc>
        <w:tc>
          <w:tcPr>
            <w:tcW w:w="90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728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spacing w:after="0"/>
              <w:rPr>
                <w:sz w:val="24"/>
                <w:szCs w:val="24"/>
                <w:color w:val="auto"/>
              </w:rPr>
            </w:pPr>
          </w:p>
        </w:tc>
        <w:tc>
          <w:tcPr>
            <w:tcW w:w="8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800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spacing w:after="0"/>
              <w:rPr>
                <w:sz w:val="24"/>
                <w:szCs w:val="24"/>
                <w:color w:val="auto"/>
              </w:rPr>
            </w:pPr>
          </w:p>
        </w:tc>
        <w:tc>
          <w:tcPr>
            <w:tcW w:w="90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728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spacing w:after="0"/>
              <w:rPr>
                <w:sz w:val="24"/>
                <w:szCs w:val="24"/>
                <w:color w:val="auto"/>
              </w:rPr>
            </w:pPr>
          </w:p>
        </w:tc>
        <w:tc>
          <w:tcPr>
            <w:tcW w:w="8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800</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95"/>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income/(loss) per common unit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1.74</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340" w:right="60" w:hanging="332"/>
        <w:spacing w:after="0" w:line="226" w:lineRule="auto"/>
        <w:tabs>
          <w:tab w:leader="none" w:pos="34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income/(loss)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0" w:lineRule="exact"/>
        <w:rPr>
          <w:rFonts w:ascii="Arial" w:cs="Arial" w:eastAsia="Arial" w:hAnsi="Arial"/>
          <w:sz w:val="23"/>
          <w:szCs w:val="23"/>
          <w:color w:val="auto"/>
          <w:vertAlign w:val="superscript"/>
        </w:rPr>
      </w:pPr>
    </w:p>
    <w:p>
      <w:pPr>
        <w:ind w:left="340" w:right="140" w:hanging="332"/>
        <w:spacing w:after="0" w:line="229" w:lineRule="auto"/>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The possible conversion of our Series A preferred units and the impact of equity-indexed compensation plan awards was excluded from the calculation of diluted net income/(loss) per common unit for the three and six months ended June 30, 2020 as the effect was antidilutive.</w:t>
      </w:r>
    </w:p>
    <w:p>
      <w:pPr>
        <w:spacing w:after="0" w:line="31" w:lineRule="exact"/>
        <w:rPr>
          <w:rFonts w:ascii="Arial" w:cs="Arial" w:eastAsia="Arial" w:hAnsi="Arial"/>
          <w:sz w:val="22"/>
          <w:szCs w:val="22"/>
          <w:color w:val="auto"/>
          <w:vertAlign w:val="superscript"/>
        </w:rPr>
      </w:pPr>
    </w:p>
    <w:p>
      <w:pPr>
        <w:ind w:left="340" w:right="20" w:hanging="332"/>
        <w:spacing w:after="0" w:line="228" w:lineRule="auto"/>
        <w:tabs>
          <w:tab w:leader="none" w:pos="34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months ended June 30, 2020, such LTIP awards did not change the presentation of diluted weighted average common units outstanding or diluted net income/(loss) per common unit, and for the six months ended June 30, 2020, the effect of such LTIP awards was antidilutive.</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Page 13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000" w:type="dxa"/>
            <w:vAlign w:val="bottom"/>
            <w:gridSpan w:val="4"/>
          </w:tcPr>
          <w:p>
            <w:pPr>
              <w:jc w:val="right"/>
              <w:ind w:right="475"/>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r>
      <w:tr>
        <w:trPr>
          <w:trHeight w:val="196"/>
        </w:trPr>
        <w:tc>
          <w:tcPr>
            <w:tcW w:w="66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r>
      <w:tr>
        <w:trPr>
          <w:trHeight w:val="202"/>
        </w:trPr>
        <w:tc>
          <w:tcPr>
            <w:tcW w:w="6640" w:type="dxa"/>
            <w:vAlign w:val="bottom"/>
            <w:shd w:val="clear" w:color="auto" w:fill="CCEEFF"/>
          </w:tcPr>
          <w:p>
            <w:pPr>
              <w:ind w:left="20"/>
              <w:spacing w:after="0" w:line="202"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56"/>
        </w:trPr>
        <w:tc>
          <w:tcPr>
            <w:tcW w:w="6640" w:type="dxa"/>
            <w:vAlign w:val="bottom"/>
          </w:tcPr>
          <w:p>
            <w:pPr>
              <w:ind w:left="20"/>
              <w:spacing w:after="0"/>
              <w:rPr>
                <w:sz w:val="20"/>
                <w:szCs w:val="20"/>
                <w:color w:val="auto"/>
              </w:rPr>
            </w:pPr>
            <w:r>
              <w:rPr>
                <w:rFonts w:ascii="Arial" w:cs="Arial" w:eastAsia="Arial" w:hAnsi="Arial"/>
                <w:sz w:val="17"/>
                <w:szCs w:val="17"/>
                <w:color w:val="auto"/>
              </w:rPr>
              <w:t xml:space="preserve">Gains/(losses) from derivative activities, net of inventory valuation adjustments </w:t>
            </w:r>
            <w:r>
              <w:rPr>
                <w:rFonts w:ascii="Arial" w:cs="Arial" w:eastAsia="Arial" w:hAnsi="Arial"/>
                <w:sz w:val="22"/>
                <w:szCs w:val="22"/>
                <w:color w:val="auto"/>
                <w:vertAlign w:val="superscript"/>
              </w:rPr>
              <w:t>(2)</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22"/>
                <w:szCs w:val="22"/>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22"/>
                <w:szCs w:val="22"/>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22"/>
                <w:szCs w:val="22"/>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75"/>
              <w:spacing w:after="0"/>
              <w:rPr>
                <w:sz w:val="20"/>
                <w:szCs w:val="20"/>
                <w:color w:val="auto"/>
              </w:rPr>
            </w:pPr>
            <w:r>
              <w:rPr>
                <w:rFonts w:ascii="Arial" w:cs="Arial" w:eastAsia="Arial" w:hAnsi="Arial"/>
                <w:sz w:val="17"/>
                <w:szCs w:val="17"/>
                <w:color w:val="auto"/>
              </w:rPr>
              <w:t>45</w:t>
            </w:r>
          </w:p>
        </w:tc>
      </w:tr>
      <w:tr>
        <w:trPr>
          <w:trHeight w:val="257"/>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Long-term inventory costing adjustments </w:t>
            </w:r>
            <w:r>
              <w:rPr>
                <w:rFonts w:ascii="Arial" w:cs="Arial" w:eastAsia="Arial" w:hAnsi="Arial"/>
                <w:sz w:val="22"/>
                <w:szCs w:val="22"/>
                <w:color w:val="auto"/>
                <w:vertAlign w:val="superscript"/>
              </w:rPr>
              <w:t>(3)</w:t>
            </w: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w:t>
            </w:r>
          </w:p>
        </w:tc>
      </w:tr>
      <w:tr>
        <w:trPr>
          <w:trHeight w:val="257"/>
        </w:trPr>
        <w:tc>
          <w:tcPr>
            <w:tcW w:w="6640" w:type="dxa"/>
            <w:vAlign w:val="bottom"/>
          </w:tcPr>
          <w:p>
            <w:pPr>
              <w:ind w:left="20"/>
              <w:spacing w:after="0"/>
              <w:rPr>
                <w:sz w:val="20"/>
                <w:szCs w:val="20"/>
                <w:color w:val="auto"/>
              </w:rPr>
            </w:pPr>
            <w:r>
              <w:rPr>
                <w:rFonts w:ascii="Arial" w:cs="Arial" w:eastAsia="Arial" w:hAnsi="Arial"/>
                <w:sz w:val="17"/>
                <w:szCs w:val="17"/>
                <w:color w:val="auto"/>
              </w:rPr>
              <w:t xml:space="preserve">Deficiencies under minimum volume commitments, net </w:t>
            </w:r>
            <w:r>
              <w:rPr>
                <w:rFonts w:ascii="Arial" w:cs="Arial" w:eastAsia="Arial" w:hAnsi="Arial"/>
                <w:sz w:val="22"/>
                <w:szCs w:val="22"/>
                <w:color w:val="auto"/>
                <w:vertAlign w:val="superscript"/>
              </w:rPr>
              <w:t>(4)</w:t>
            </w:r>
          </w:p>
        </w:tc>
        <w:tc>
          <w:tcPr>
            <w:tcW w:w="260" w:type="dxa"/>
            <w:vAlign w:val="bottom"/>
          </w:tcPr>
          <w:p>
            <w:pPr>
              <w:spacing w:after="0"/>
              <w:rPr>
                <w:sz w:val="22"/>
                <w:szCs w:val="22"/>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75"/>
              <w:spacing w:after="0"/>
              <w:rPr>
                <w:sz w:val="20"/>
                <w:szCs w:val="20"/>
                <w:color w:val="auto"/>
              </w:rPr>
            </w:pPr>
            <w:r>
              <w:rPr>
                <w:rFonts w:ascii="Arial" w:cs="Arial" w:eastAsia="Arial" w:hAnsi="Arial"/>
                <w:sz w:val="17"/>
                <w:szCs w:val="17"/>
                <w:color w:val="auto"/>
              </w:rPr>
              <w:t>7</w:t>
            </w:r>
          </w:p>
        </w:tc>
      </w:tr>
      <w:tr>
        <w:trPr>
          <w:trHeight w:val="257"/>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Equity-indexed compensation expense </w:t>
            </w:r>
            <w:r>
              <w:rPr>
                <w:rFonts w:ascii="Arial" w:cs="Arial" w:eastAsia="Arial" w:hAnsi="Arial"/>
                <w:sz w:val="22"/>
                <w:szCs w:val="22"/>
                <w:color w:val="auto"/>
                <w:vertAlign w:val="superscript"/>
              </w:rPr>
              <w:t>(5)</w:t>
            </w: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w:t>
            </w:r>
          </w:p>
        </w:tc>
      </w:tr>
      <w:tr>
        <w:trPr>
          <w:trHeight w:val="257"/>
        </w:trPr>
        <w:tc>
          <w:tcPr>
            <w:tcW w:w="6640" w:type="dxa"/>
            <w:vAlign w:val="bottom"/>
          </w:tcPr>
          <w:p>
            <w:pPr>
              <w:ind w:left="20"/>
              <w:spacing w:after="0"/>
              <w:rPr>
                <w:sz w:val="20"/>
                <w:szCs w:val="20"/>
                <w:color w:val="auto"/>
              </w:rPr>
            </w:pPr>
            <w:r>
              <w:rPr>
                <w:rFonts w:ascii="Arial" w:cs="Arial" w:eastAsia="Arial" w:hAnsi="Arial"/>
                <w:sz w:val="17"/>
                <w:szCs w:val="17"/>
                <w:color w:val="auto"/>
              </w:rPr>
              <w:t xml:space="preserve">Net gain/(loss) on foreign currency revaluation </w:t>
            </w:r>
            <w:r>
              <w:rPr>
                <w:rFonts w:ascii="Arial" w:cs="Arial" w:eastAsia="Arial" w:hAnsi="Arial"/>
                <w:sz w:val="22"/>
                <w:szCs w:val="22"/>
                <w:color w:val="auto"/>
                <w:vertAlign w:val="superscript"/>
              </w:rPr>
              <w:t>(6)</w:t>
            </w:r>
          </w:p>
        </w:tc>
        <w:tc>
          <w:tcPr>
            <w:tcW w:w="260" w:type="dxa"/>
            <w:vAlign w:val="bottom"/>
          </w:tcPr>
          <w:p>
            <w:pPr>
              <w:spacing w:after="0"/>
              <w:rPr>
                <w:sz w:val="22"/>
                <w:szCs w:val="22"/>
                <w:color w:val="auto"/>
              </w:rPr>
            </w:pPr>
          </w:p>
        </w:tc>
        <w:tc>
          <w:tcPr>
            <w:tcW w:w="820" w:type="dxa"/>
            <w:vAlign w:val="bottom"/>
          </w:tcPr>
          <w:p>
            <w:pPr>
              <w:jc w:val="right"/>
              <w:ind w:right="77"/>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(12)</w:t>
            </w:r>
          </w:p>
        </w:tc>
      </w:tr>
      <w:tr>
        <w:trPr>
          <w:trHeight w:val="256"/>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Line 901 incident </w:t>
            </w:r>
            <w:r>
              <w:rPr>
                <w:rFonts w:ascii="Arial" w:cs="Arial" w:eastAsia="Arial" w:hAnsi="Arial"/>
                <w:sz w:val="22"/>
                <w:szCs w:val="22"/>
                <w:color w:val="auto"/>
                <w:vertAlign w:val="superscript"/>
              </w:rPr>
              <w:t>(7)</w:t>
            </w:r>
          </w:p>
        </w:tc>
        <w:tc>
          <w:tcPr>
            <w:tcW w:w="2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w:t>
            </w:r>
          </w:p>
        </w:tc>
      </w:tr>
      <w:tr>
        <w:trPr>
          <w:trHeight w:val="270"/>
        </w:trPr>
        <w:tc>
          <w:tcPr>
            <w:tcW w:w="6640" w:type="dxa"/>
            <w:vAlign w:val="bottom"/>
          </w:tcPr>
          <w:p>
            <w:pPr>
              <w:ind w:left="20"/>
              <w:spacing w:after="0"/>
              <w:rPr>
                <w:sz w:val="20"/>
                <w:szCs w:val="20"/>
                <w:color w:val="auto"/>
              </w:rPr>
            </w:pPr>
            <w:r>
              <w:rPr>
                <w:rFonts w:ascii="Arial" w:cs="Arial" w:eastAsia="Arial" w:hAnsi="Arial"/>
                <w:sz w:val="17"/>
                <w:szCs w:val="17"/>
                <w:color w:val="auto"/>
              </w:rPr>
              <w:t xml:space="preserve">Significant acquisition-related expenses </w:t>
            </w:r>
            <w:r>
              <w:rPr>
                <w:rFonts w:ascii="Arial" w:cs="Arial" w:eastAsia="Arial" w:hAnsi="Arial"/>
                <w:sz w:val="22"/>
                <w:szCs w:val="22"/>
                <w:color w:val="auto"/>
                <w:vertAlign w:val="superscript"/>
              </w:rPr>
              <w:t>(8)</w:t>
            </w:r>
          </w:p>
        </w:tc>
        <w:tc>
          <w:tcPr>
            <w:tcW w:w="26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3"/>
                <w:szCs w:val="23"/>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w:t>
            </w:r>
          </w:p>
        </w:tc>
      </w:tr>
      <w:tr>
        <w:trPr>
          <w:trHeight w:val="270"/>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Net gain on early repayment of senior notes </w:t>
            </w:r>
            <w:r>
              <w:rPr>
                <w:rFonts w:ascii="Arial" w:cs="Arial" w:eastAsia="Arial" w:hAnsi="Arial"/>
                <w:sz w:val="22"/>
                <w:szCs w:val="22"/>
                <w:color w:val="auto"/>
                <w:vertAlign w:val="superscript"/>
              </w:rPr>
              <w:t>(9)</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r>
      <w:tr>
        <w:trPr>
          <w:trHeight w:val="248"/>
        </w:trPr>
        <w:tc>
          <w:tcPr>
            <w:tcW w:w="6640" w:type="dxa"/>
            <w:vAlign w:val="bottom"/>
          </w:tcPr>
          <w:p>
            <w:pPr>
              <w:ind w:left="180"/>
              <w:spacing w:after="0"/>
              <w:rPr>
                <w:sz w:val="20"/>
                <w:szCs w:val="20"/>
                <w:color w:val="auto"/>
              </w:rPr>
            </w:pPr>
            <w:r>
              <w:rPr>
                <w:rFonts w:ascii="Arial" w:cs="Arial" w:eastAsia="Arial" w:hAnsi="Arial"/>
                <w:sz w:val="17"/>
                <w:szCs w:val="17"/>
                <w:color w:val="auto"/>
              </w:rPr>
              <w:t>Selected items impacting comparability - Adjusted EBITDA</w:t>
            </w:r>
          </w:p>
        </w:tc>
        <w:tc>
          <w:tcPr>
            <w:tcW w:w="2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(205)</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19</w:t>
            </w:r>
          </w:p>
        </w:tc>
      </w:tr>
      <w:tr>
        <w:trPr>
          <w:trHeight w:val="258"/>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Gains/(losses) from derivative activities </w:t>
            </w:r>
            <w:r>
              <w:rPr>
                <w:rFonts w:ascii="Arial" w:cs="Arial" w:eastAsia="Arial" w:hAnsi="Arial"/>
                <w:sz w:val="22"/>
                <w:szCs w:val="22"/>
                <w:color w:val="auto"/>
                <w:vertAlign w:val="superscript"/>
              </w:rPr>
              <w:t>(2)</w:t>
            </w:r>
          </w:p>
        </w:tc>
        <w:tc>
          <w:tcPr>
            <w:tcW w:w="2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w:t>
            </w:r>
          </w:p>
        </w:tc>
      </w:tr>
      <w:tr>
        <w:trPr>
          <w:trHeight w:val="226"/>
        </w:trPr>
        <w:tc>
          <w:tcPr>
            <w:tcW w:w="6640" w:type="dxa"/>
            <w:vAlign w:val="bottom"/>
          </w:tcPr>
          <w:p>
            <w:pPr>
              <w:ind w:left="20"/>
              <w:spacing w:after="0"/>
              <w:rPr>
                <w:sz w:val="20"/>
                <w:szCs w:val="20"/>
                <w:color w:val="auto"/>
              </w:rPr>
            </w:pPr>
            <w:r>
              <w:rPr>
                <w:rFonts w:ascii="Arial" w:cs="Arial" w:eastAsia="Arial" w:hAnsi="Arial"/>
                <w:sz w:val="17"/>
                <w:szCs w:val="17"/>
                <w:color w:val="auto"/>
              </w:rPr>
              <w:t>Gain on/(impairment of) investments in unconsolidated entities, net</w:t>
            </w:r>
          </w:p>
        </w:tc>
        <w:tc>
          <w:tcPr>
            <w:tcW w:w="260" w:type="dxa"/>
            <w:vAlign w:val="bottom"/>
          </w:tcPr>
          <w:p>
            <w:pPr>
              <w:spacing w:after="0"/>
              <w:rPr>
                <w:sz w:val="19"/>
                <w:szCs w:val="19"/>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75"/>
              <w:spacing w:after="0"/>
              <w:rPr>
                <w:sz w:val="20"/>
                <w:szCs w:val="20"/>
                <w:color w:val="auto"/>
              </w:rPr>
            </w:pPr>
            <w:r>
              <w:rPr>
                <w:rFonts w:ascii="Arial" w:cs="Arial" w:eastAsia="Arial" w:hAnsi="Arial"/>
                <w:sz w:val="17"/>
                <w:szCs w:val="17"/>
                <w:color w:val="auto"/>
              </w:rPr>
              <w:t>267</w:t>
            </w:r>
          </w:p>
        </w:tc>
      </w:tr>
      <w:tr>
        <w:trPr>
          <w:trHeight w:val="31"/>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Gains/(losses) on asset sales and asset impairments, net</w:t>
            </w: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(618)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r>
      <w:tr>
        <w:trPr>
          <w:trHeight w:val="243"/>
        </w:trPr>
        <w:tc>
          <w:tcPr>
            <w:tcW w:w="6640" w:type="dxa"/>
            <w:vAlign w:val="bottom"/>
          </w:tcPr>
          <w:p>
            <w:pPr>
              <w:ind w:left="20"/>
              <w:spacing w:after="0"/>
              <w:rPr>
                <w:sz w:val="20"/>
                <w:szCs w:val="20"/>
                <w:color w:val="auto"/>
              </w:rPr>
            </w:pPr>
            <w:r>
              <w:rPr>
                <w:rFonts w:ascii="Arial" w:cs="Arial" w:eastAsia="Arial" w:hAnsi="Arial"/>
                <w:sz w:val="17"/>
                <w:szCs w:val="17"/>
                <w:color w:val="auto"/>
              </w:rPr>
              <w:t>Goodwill impairment losses</w:t>
            </w:r>
          </w:p>
        </w:tc>
        <w:tc>
          <w:tcPr>
            <w:tcW w:w="26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(2,515)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6"/>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Tax effect on selected items impacting comparability</w:t>
            </w: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15</w:t>
            </w:r>
          </w:p>
        </w:tc>
      </w:tr>
      <w:tr>
        <w:trPr>
          <w:trHeight w:val="250"/>
        </w:trPr>
        <w:tc>
          <w:tcPr>
            <w:tcW w:w="6640" w:type="dxa"/>
            <w:vAlign w:val="bottom"/>
          </w:tcPr>
          <w:p>
            <w:pPr>
              <w:ind w:left="180"/>
              <w:spacing w:after="0"/>
              <w:rPr>
                <w:sz w:val="20"/>
                <w:szCs w:val="20"/>
                <w:color w:val="auto"/>
              </w:rPr>
            </w:pPr>
            <w:r>
              <w:rPr>
                <w:rFonts w:ascii="Arial" w:cs="Arial" w:eastAsia="Arial" w:hAnsi="Arial"/>
                <w:sz w:val="17"/>
                <w:szCs w:val="17"/>
                <w:color w:val="auto"/>
              </w:rPr>
              <w:t>Selected items impacting comparability - Adjusted net income attributable to PAA</w:t>
            </w: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(3,393)</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300</w:t>
            </w: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Certain of our non-GAAP financial measures may not be impacted by each of the selected items impacting comparability.</w:t>
      </w:r>
    </w:p>
    <w:p>
      <w:pPr>
        <w:spacing w:after="0" w:line="52" w:lineRule="exact"/>
        <w:rPr>
          <w:rFonts w:ascii="Arial" w:cs="Arial" w:eastAsia="Arial" w:hAnsi="Arial"/>
          <w:sz w:val="16"/>
          <w:szCs w:val="16"/>
          <w:color w:val="auto"/>
          <w:vertAlign w:val="superscript"/>
        </w:rPr>
      </w:pPr>
    </w:p>
    <w:p>
      <w:pPr>
        <w:ind w:left="340" w:right="60" w:hanging="332"/>
        <w:spacing w:after="0" w:line="248" w:lineRule="auto"/>
        <w:tabs>
          <w:tab w:leader="none" w:pos="327" w:val="left"/>
        </w:tabs>
        <w:numPr>
          <w:ilvl w:val="0"/>
          <w:numId w:val="13"/>
        </w:numPr>
        <w:rPr>
          <w:rFonts w:ascii="Arial" w:cs="Arial" w:eastAsia="Arial" w:hAnsi="Arial"/>
          <w:sz w:val="15"/>
          <w:szCs w:val="15"/>
          <w:color w:val="auto"/>
          <w:vertAlign w:val="superscript"/>
        </w:rPr>
      </w:pPr>
      <w:r>
        <w:rPr>
          <w:rFonts w:ascii="Arial" w:cs="Arial" w:eastAsia="Arial" w:hAnsi="Arial"/>
          <w:sz w:val="12"/>
          <w:szCs w:val="12"/>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37" w:lineRule="exact"/>
        <w:rPr>
          <w:rFonts w:ascii="Arial" w:cs="Arial" w:eastAsia="Arial" w:hAnsi="Arial"/>
          <w:sz w:val="15"/>
          <w:szCs w:val="15"/>
          <w:color w:val="auto"/>
          <w:vertAlign w:val="superscript"/>
        </w:rPr>
      </w:pPr>
    </w:p>
    <w:p>
      <w:pPr>
        <w:ind w:left="340" w:right="80" w:hanging="332"/>
        <w:spacing w:after="0" w:line="229" w:lineRule="auto"/>
        <w:tabs>
          <w:tab w:leader="none" w:pos="327"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44" w:lineRule="exact"/>
        <w:rPr>
          <w:rFonts w:ascii="Arial" w:cs="Arial" w:eastAsia="Arial" w:hAnsi="Arial"/>
          <w:sz w:val="16"/>
          <w:szCs w:val="16"/>
          <w:color w:val="auto"/>
          <w:vertAlign w:val="superscript"/>
        </w:rPr>
      </w:pPr>
    </w:p>
    <w:p>
      <w:pPr>
        <w:ind w:left="340" w:right="60" w:hanging="332"/>
        <w:spacing w:after="0" w:line="234" w:lineRule="auto"/>
        <w:tabs>
          <w:tab w:leader="none" w:pos="327"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42" w:lineRule="exact"/>
        <w:rPr>
          <w:rFonts w:ascii="Arial" w:cs="Arial" w:eastAsia="Arial" w:hAnsi="Arial"/>
          <w:sz w:val="16"/>
          <w:szCs w:val="16"/>
          <w:color w:val="auto"/>
          <w:vertAlign w:val="superscript"/>
        </w:rPr>
      </w:pPr>
    </w:p>
    <w:p>
      <w:pPr>
        <w:ind w:left="340" w:right="240" w:hanging="332"/>
        <w:spacing w:after="0" w:line="250" w:lineRule="auto"/>
        <w:tabs>
          <w:tab w:leader="none" w:pos="327" w:val="left"/>
        </w:tabs>
        <w:numPr>
          <w:ilvl w:val="0"/>
          <w:numId w:val="13"/>
        </w:numPr>
        <w:rPr>
          <w:rFonts w:ascii="Arial" w:cs="Arial" w:eastAsia="Arial" w:hAnsi="Arial"/>
          <w:sz w:val="15"/>
          <w:szCs w:val="15"/>
          <w:color w:val="auto"/>
          <w:vertAlign w:val="superscript"/>
        </w:rPr>
      </w:pPr>
      <w:r>
        <w:rPr>
          <w:rFonts w:ascii="Arial" w:cs="Arial" w:eastAsia="Arial" w:hAnsi="Arial"/>
          <w:sz w:val="12"/>
          <w:szCs w:val="12"/>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37" w:lineRule="exact"/>
        <w:rPr>
          <w:rFonts w:ascii="Arial" w:cs="Arial" w:eastAsia="Arial" w:hAnsi="Arial"/>
          <w:sz w:val="15"/>
          <w:szCs w:val="15"/>
          <w:color w:val="auto"/>
          <w:vertAlign w:val="superscript"/>
        </w:rPr>
      </w:pPr>
    </w:p>
    <w:p>
      <w:pPr>
        <w:ind w:left="340" w:right="160" w:hanging="332"/>
        <w:spacing w:after="0" w:line="222" w:lineRule="auto"/>
        <w:tabs>
          <w:tab w:leader="none" w:pos="327"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spacing w:after="0" w:line="18" w:lineRule="exact"/>
        <w:rPr>
          <w:rFonts w:ascii="Arial" w:cs="Arial" w:eastAsia="Arial" w:hAnsi="Arial"/>
          <w:sz w:val="16"/>
          <w:szCs w:val="16"/>
          <w:color w:val="auto"/>
          <w:vertAlign w:val="superscript"/>
        </w:rPr>
      </w:pPr>
    </w:p>
    <w:p>
      <w:pPr>
        <w:ind w:left="320" w:hanging="312"/>
        <w:spacing w:after="0"/>
        <w:tabs>
          <w:tab w:leader="none" w:pos="320"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Includes costs recognized during the period related to the Line 901 incident that occurred in May 2015, net of amounts we believe are probable of recovery from insurance.</w:t>
      </w:r>
    </w:p>
    <w:p>
      <w:pPr>
        <w:spacing w:after="0" w:line="52" w:lineRule="exact"/>
        <w:rPr>
          <w:rFonts w:ascii="Arial" w:cs="Arial" w:eastAsia="Arial" w:hAnsi="Arial"/>
          <w:sz w:val="16"/>
          <w:szCs w:val="16"/>
          <w:color w:val="auto"/>
          <w:vertAlign w:val="superscript"/>
        </w:rPr>
      </w:pPr>
    </w:p>
    <w:p>
      <w:pPr>
        <w:ind w:left="320" w:hanging="312"/>
        <w:spacing w:after="0" w:line="195" w:lineRule="auto"/>
        <w:tabs>
          <w:tab w:leader="none" w:pos="320"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Includes acquisition-related expenses associated with the Felix Midstream LLC acquisition in February 2020.</w:t>
      </w:r>
    </w:p>
    <w:p>
      <w:pPr>
        <w:spacing w:after="0" w:line="53" w:lineRule="exact"/>
        <w:rPr>
          <w:rFonts w:ascii="Arial" w:cs="Arial" w:eastAsia="Arial" w:hAnsi="Arial"/>
          <w:sz w:val="16"/>
          <w:szCs w:val="16"/>
          <w:color w:val="auto"/>
          <w:vertAlign w:val="superscript"/>
        </w:rPr>
      </w:pPr>
    </w:p>
    <w:p>
      <w:pPr>
        <w:ind w:left="320" w:hanging="312"/>
        <w:spacing w:after="0" w:line="195" w:lineRule="auto"/>
        <w:tabs>
          <w:tab w:leader="none" w:pos="320"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Includes net gains recognized in connection with the repurchase of our outstanding senior notes on the open market.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Page 14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Gains/(losses) from derivative activities, net of inventory valuation adjustments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 xml:space="preserve">Long-term inventory costing adjustments </w:t>
      </w:r>
      <w:r>
        <w:rPr>
          <w:rFonts w:ascii="Arial" w:cs="Arial" w:eastAsia="Arial" w:hAnsi="Arial"/>
          <w:sz w:val="22"/>
          <w:szCs w:val="22"/>
          <w:color w:val="auto"/>
          <w:vertAlign w:val="superscript"/>
        </w:rPr>
        <w:t>(3)</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Deficiencies under minimum volume commitments, net </w:t>
      </w:r>
      <w:r>
        <w:rPr>
          <w:rFonts w:ascii="Arial" w:cs="Arial" w:eastAsia="Arial" w:hAnsi="Arial"/>
          <w:sz w:val="22"/>
          <w:szCs w:val="22"/>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 xml:space="preserve">Equity-indexed compensation expense </w:t>
      </w:r>
      <w:r>
        <w:rPr>
          <w:rFonts w:ascii="Arial" w:cs="Arial" w:eastAsia="Arial" w:hAnsi="Arial"/>
          <w:sz w:val="22"/>
          <w:szCs w:val="22"/>
          <w:color w:val="auto"/>
          <w:vertAlign w:val="superscript"/>
        </w:rPr>
        <w:t>(5)</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Net gain/(loss) on foreign currency revaluation </w:t>
      </w:r>
      <w:r>
        <w:rPr>
          <w:rFonts w:ascii="Arial" w:cs="Arial" w:eastAsia="Arial" w:hAnsi="Arial"/>
          <w:sz w:val="22"/>
          <w:szCs w:val="22"/>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 xml:space="preserve">Line 901 incident </w:t>
      </w:r>
      <w:r>
        <w:rPr>
          <w:rFonts w:ascii="Arial" w:cs="Arial" w:eastAsia="Arial" w:hAnsi="Arial"/>
          <w:sz w:val="22"/>
          <w:szCs w:val="22"/>
          <w:color w:val="auto"/>
          <w:vertAlign w:val="superscript"/>
        </w:rPr>
        <w:t>(7)</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Selected items impacting comparability -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Gains/(losses) from derivative activities </w:t>
      </w:r>
      <w:r>
        <w:rPr>
          <w:rFonts w:ascii="Arial" w:cs="Arial" w:eastAsia="Arial" w:hAnsi="Arial"/>
          <w:sz w:val="22"/>
          <w:szCs w:val="22"/>
          <w:color w:val="auto"/>
          <w:vertAlign w:val="superscript"/>
        </w:rPr>
        <w:t>(2)</w:t>
      </w:r>
    </w:p>
    <w:p>
      <w:pPr>
        <w:ind w:left="20"/>
        <w:spacing w:after="0"/>
        <w:rPr>
          <w:sz w:val="20"/>
          <w:szCs w:val="20"/>
          <w:color w:val="auto"/>
        </w:rPr>
      </w:pPr>
      <w:r>
        <w:rPr>
          <w:rFonts w:ascii="Arial" w:cs="Arial" w:eastAsia="Arial" w:hAnsi="Arial"/>
          <w:sz w:val="17"/>
          <w:szCs w:val="17"/>
          <w:color w:val="auto"/>
        </w:rPr>
        <w:t>Gain on investment in unconsolidated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Gains/(losses) on asset sales and asset impairments, net</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Tax effect on selected items impacting comparability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Selected items impacting comparability - Adjusted net income attributable to 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24599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Twelve Months Ended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14230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r>
      <w:tr>
        <w:trPr>
          <w:trHeight w:val="428"/>
        </w:trPr>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(158)</w:t>
            </w:r>
          </w:p>
        </w:tc>
        <w:tc>
          <w:tcPr>
            <w:tcW w:w="120" w:type="dxa"/>
            <w:vAlign w:val="bottom"/>
          </w:tcPr>
          <w:p>
            <w:pPr>
              <w:spacing w:after="0"/>
              <w:rPr>
                <w:sz w:val="24"/>
                <w:szCs w:val="24"/>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76"/>
              <w:spacing w:after="0"/>
              <w:rPr>
                <w:sz w:val="20"/>
                <w:szCs w:val="20"/>
                <w:color w:val="auto"/>
              </w:rPr>
            </w:pPr>
            <w:r>
              <w:rPr>
                <w:rFonts w:ascii="Arial" w:cs="Arial" w:eastAsia="Arial" w:hAnsi="Arial"/>
                <w:sz w:val="17"/>
                <w:szCs w:val="17"/>
                <w:color w:val="auto"/>
              </w:rPr>
              <w:t>505</w:t>
            </w:r>
          </w:p>
        </w:tc>
      </w:tr>
      <w:tr>
        <w:trPr>
          <w:trHeight w:val="257"/>
        </w:trPr>
        <w:tc>
          <w:tcPr>
            <w:tcW w:w="240" w:type="dxa"/>
            <w:vAlign w:val="bottom"/>
          </w:tcPr>
          <w:p>
            <w:pPr>
              <w:spacing w:after="0"/>
              <w:rPr>
                <w:sz w:val="22"/>
                <w:szCs w:val="22"/>
                <w:color w:val="auto"/>
              </w:rPr>
            </w:pPr>
          </w:p>
        </w:tc>
        <w:tc>
          <w:tcPr>
            <w:tcW w:w="820" w:type="dxa"/>
            <w:vAlign w:val="bottom"/>
          </w:tcPr>
          <w:p>
            <w:pPr>
              <w:jc w:val="right"/>
              <w:ind w:right="56"/>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(21)</w:t>
            </w:r>
          </w:p>
        </w:tc>
      </w:tr>
      <w:tr>
        <w:trPr>
          <w:trHeight w:val="257"/>
        </w:trPr>
        <w:tc>
          <w:tcPr>
            <w:tcW w:w="240" w:type="dxa"/>
            <w:vAlign w:val="bottom"/>
          </w:tcPr>
          <w:p>
            <w:pPr>
              <w:spacing w:after="0"/>
              <w:rPr>
                <w:sz w:val="22"/>
                <w:szCs w:val="22"/>
                <w:color w:val="auto"/>
              </w:rPr>
            </w:pPr>
          </w:p>
        </w:tc>
        <w:tc>
          <w:tcPr>
            <w:tcW w:w="820" w:type="dxa"/>
            <w:vAlign w:val="bottom"/>
          </w:tcPr>
          <w:p>
            <w:pPr>
              <w:jc w:val="right"/>
              <w:ind w:right="56"/>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(7)</w:t>
            </w:r>
          </w:p>
        </w:tc>
      </w:tr>
      <w:tr>
        <w:trPr>
          <w:trHeight w:val="257"/>
        </w:trPr>
        <w:tc>
          <w:tcPr>
            <w:tcW w:w="24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(55)</w:t>
            </w:r>
          </w:p>
        </w:tc>
      </w:tr>
      <w:tr>
        <w:trPr>
          <w:trHeight w:val="256"/>
        </w:trPr>
        <w:tc>
          <w:tcPr>
            <w:tcW w:w="240" w:type="dxa"/>
            <w:vAlign w:val="bottom"/>
          </w:tcPr>
          <w:p>
            <w:pPr>
              <w:spacing w:after="0"/>
              <w:rPr>
                <w:sz w:val="22"/>
                <w:szCs w:val="22"/>
                <w:color w:val="auto"/>
              </w:rPr>
            </w:pPr>
          </w:p>
        </w:tc>
        <w:tc>
          <w:tcPr>
            <w:tcW w:w="820" w:type="dxa"/>
            <w:vAlign w:val="bottom"/>
          </w:tcPr>
          <w:p>
            <w:pPr>
              <w:jc w:val="right"/>
              <w:ind w:right="56"/>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76"/>
              <w:spacing w:after="0"/>
              <w:rPr>
                <w:sz w:val="20"/>
                <w:szCs w:val="20"/>
                <w:color w:val="auto"/>
              </w:rPr>
            </w:pPr>
            <w:r>
              <w:rPr>
                <w:rFonts w:ascii="Arial" w:cs="Arial" w:eastAsia="Arial" w:hAnsi="Arial"/>
                <w:sz w:val="17"/>
                <w:szCs w:val="17"/>
                <w:color w:val="auto"/>
              </w:rPr>
              <w:t>1</w:t>
            </w:r>
          </w:p>
        </w:tc>
      </w:tr>
      <w:tr>
        <w:trPr>
          <w:trHeight w:val="257"/>
        </w:trPr>
        <w:tc>
          <w:tcPr>
            <w:tcW w:w="24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76"/>
              <w:spacing w:after="0"/>
              <w:rPr>
                <w:sz w:val="20"/>
                <w:szCs w:val="20"/>
                <w:color w:val="auto"/>
              </w:rPr>
            </w:pPr>
            <w:r>
              <w:rPr>
                <w:rFonts w:ascii="Arial" w:cs="Arial" w:eastAsia="Arial" w:hAnsi="Arial"/>
                <w:sz w:val="17"/>
                <w:szCs w:val="17"/>
                <w:color w:val="auto"/>
              </w:rPr>
              <w:t>—</w:t>
            </w:r>
          </w:p>
        </w:tc>
      </w:tr>
      <w:tr>
        <w:trPr>
          <w:trHeight w:val="31"/>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9"/>
        </w:trPr>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(146)</w:t>
            </w:r>
          </w:p>
        </w:tc>
        <w:tc>
          <w:tcPr>
            <w:tcW w:w="12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76"/>
              <w:spacing w:after="0"/>
              <w:rPr>
                <w:sz w:val="20"/>
                <w:szCs w:val="20"/>
                <w:color w:val="auto"/>
              </w:rPr>
            </w:pPr>
            <w:r>
              <w:rPr>
                <w:rFonts w:ascii="Arial" w:cs="Arial" w:eastAsia="Arial" w:hAnsi="Arial"/>
                <w:sz w:val="17"/>
                <w:szCs w:val="17"/>
                <w:color w:val="auto"/>
              </w:rPr>
              <w:t>423</w:t>
            </w:r>
          </w:p>
        </w:tc>
      </w:tr>
      <w:tr>
        <w:trPr>
          <w:trHeight w:val="257"/>
        </w:trPr>
        <w:tc>
          <w:tcPr>
            <w:tcW w:w="24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76"/>
              <w:spacing w:after="0"/>
              <w:rPr>
                <w:sz w:val="20"/>
                <w:szCs w:val="20"/>
                <w:color w:val="auto"/>
              </w:rPr>
            </w:pPr>
            <w:r>
              <w:rPr>
                <w:rFonts w:ascii="Arial" w:cs="Arial" w:eastAsia="Arial" w:hAnsi="Arial"/>
                <w:sz w:val="17"/>
                <w:szCs w:val="17"/>
                <w:color w:val="auto"/>
              </w:rPr>
              <w:t>4</w:t>
            </w:r>
          </w:p>
        </w:tc>
      </w:tr>
      <w:tr>
        <w:trPr>
          <w:trHeight w:val="257"/>
        </w:trPr>
        <w:tc>
          <w:tcPr>
            <w:tcW w:w="240" w:type="dxa"/>
            <w:vAlign w:val="bottom"/>
          </w:tcPr>
          <w:p>
            <w:pPr>
              <w:spacing w:after="0"/>
              <w:rPr>
                <w:sz w:val="22"/>
                <w:szCs w:val="22"/>
                <w:color w:val="auto"/>
              </w:rPr>
            </w:pPr>
          </w:p>
        </w:tc>
        <w:tc>
          <w:tcPr>
            <w:tcW w:w="820" w:type="dxa"/>
            <w:vAlign w:val="bottom"/>
          </w:tcPr>
          <w:p>
            <w:pPr>
              <w:jc w:val="right"/>
              <w:ind w:right="56"/>
              <w:spacing w:after="0"/>
              <w:rPr>
                <w:sz w:val="20"/>
                <w:szCs w:val="20"/>
                <w:color w:val="auto"/>
              </w:rPr>
            </w:pPr>
            <w:r>
              <w:rPr>
                <w:rFonts w:ascii="Arial" w:cs="Arial" w:eastAsia="Arial" w:hAnsi="Arial"/>
                <w:sz w:val="17"/>
                <w:szCs w:val="17"/>
                <w:color w:val="auto"/>
              </w:rPr>
              <w:t>271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76"/>
              <w:spacing w:after="0"/>
              <w:rPr>
                <w:sz w:val="20"/>
                <w:szCs w:val="20"/>
                <w:color w:val="auto"/>
              </w:rPr>
            </w:pPr>
            <w:r>
              <w:rPr>
                <w:rFonts w:ascii="Arial" w:cs="Arial" w:eastAsia="Arial" w:hAnsi="Arial"/>
                <w:sz w:val="17"/>
                <w:szCs w:val="17"/>
                <w:color w:val="auto"/>
              </w:rPr>
              <w:t>200</w:t>
            </w:r>
          </w:p>
        </w:tc>
      </w:tr>
      <w:tr>
        <w:trPr>
          <w:trHeight w:val="256"/>
        </w:trPr>
        <w:tc>
          <w:tcPr>
            <w:tcW w:w="24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76"/>
              <w:spacing w:after="0"/>
              <w:rPr>
                <w:sz w:val="20"/>
                <w:szCs w:val="20"/>
                <w:color w:val="auto"/>
              </w:rPr>
            </w:pPr>
            <w:r>
              <w:rPr>
                <w:rFonts w:ascii="Arial" w:cs="Arial" w:eastAsia="Arial" w:hAnsi="Arial"/>
                <w:sz w:val="17"/>
                <w:szCs w:val="17"/>
                <w:color w:val="auto"/>
              </w:rPr>
              <w:t>114</w:t>
            </w:r>
          </w:p>
        </w:tc>
      </w:tr>
      <w:tr>
        <w:trPr>
          <w:trHeight w:val="257"/>
        </w:trPr>
        <w:tc>
          <w:tcPr>
            <w:tcW w:w="240" w:type="dxa"/>
            <w:vAlign w:val="bottom"/>
          </w:tcPr>
          <w:p>
            <w:pPr>
              <w:spacing w:after="0"/>
              <w:rPr>
                <w:sz w:val="22"/>
                <w:szCs w:val="22"/>
                <w:color w:val="auto"/>
              </w:rPr>
            </w:pPr>
          </w:p>
        </w:tc>
        <w:tc>
          <w:tcPr>
            <w:tcW w:w="820" w:type="dxa"/>
            <w:vAlign w:val="bottom"/>
          </w:tcPr>
          <w:p>
            <w:pPr>
              <w:jc w:val="right"/>
              <w:ind w:right="56"/>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(95)</w:t>
            </w:r>
          </w:p>
        </w:tc>
      </w:tr>
      <w:tr>
        <w:trPr>
          <w:trHeight w:val="31"/>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9"/>
        </w:trPr>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56"/>
              <w:spacing w:after="0"/>
              <w:rPr>
                <w:sz w:val="20"/>
                <w:szCs w:val="20"/>
                <w:color w:val="auto"/>
              </w:rPr>
            </w:pPr>
            <w:r>
              <w:rPr>
                <w:rFonts w:ascii="Arial" w:cs="Arial" w:eastAsia="Arial" w:hAnsi="Arial"/>
                <w:sz w:val="17"/>
                <w:szCs w:val="17"/>
                <w:color w:val="auto"/>
              </w:rPr>
              <w:t>108</w:t>
            </w:r>
          </w:p>
        </w:tc>
        <w:tc>
          <w:tcPr>
            <w:tcW w:w="12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76"/>
              <w:spacing w:after="0"/>
              <w:rPr>
                <w:sz w:val="20"/>
                <w:szCs w:val="20"/>
                <w:color w:val="auto"/>
              </w:rPr>
            </w:pPr>
            <w:r>
              <w:rPr>
                <w:rFonts w:ascii="Arial" w:cs="Arial" w:eastAsia="Arial" w:hAnsi="Arial"/>
                <w:sz w:val="17"/>
                <w:szCs w:val="17"/>
                <w:color w:val="auto"/>
              </w:rPr>
              <w:t>646</w:t>
            </w:r>
          </w:p>
        </w:tc>
      </w:tr>
      <w:tr>
        <w:trPr>
          <w:trHeight w:val="31"/>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80" w:space="720"/>
            <w:col w:w="2240"/>
          </w:cols>
          <w:pgMar w:left="320" w:top="368" w:right="339" w:bottom="1440" w:gutter="0" w:footer="0" w:header="0"/>
          <w:type w:val="continuous"/>
        </w:sectPr>
      </w:pPr>
    </w:p>
    <w:p>
      <w:pPr>
        <w:spacing w:after="0" w:line="335"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9"/>
          <w:szCs w:val="9"/>
          <w:color w:val="auto"/>
        </w:rPr>
      </w:pPr>
      <w:r>
        <w:rPr>
          <w:rFonts w:ascii="Arial" w:cs="Arial" w:eastAsia="Arial" w:hAnsi="Arial"/>
          <w:sz w:val="14"/>
          <w:szCs w:val="14"/>
          <w:color w:val="auto"/>
        </w:rPr>
        <w:t>Certain of our non-GAAP financial measures may not be impacted by each of the selected items impacting comparability.</w:t>
      </w:r>
    </w:p>
    <w:p>
      <w:pPr>
        <w:spacing w:after="0" w:line="55" w:lineRule="exact"/>
        <w:rPr>
          <w:rFonts w:ascii="Arial" w:cs="Arial" w:eastAsia="Arial" w:hAnsi="Arial"/>
          <w:sz w:val="9"/>
          <w:szCs w:val="9"/>
          <w:color w:val="auto"/>
        </w:rPr>
      </w:pPr>
    </w:p>
    <w:p>
      <w:pPr>
        <w:ind w:left="340" w:right="40" w:hanging="332"/>
        <w:spacing w:after="0" w:line="247" w:lineRule="auto"/>
        <w:tabs>
          <w:tab w:leader="none" w:pos="327" w:val="left"/>
        </w:tabs>
        <w:numPr>
          <w:ilvl w:val="0"/>
          <w:numId w:val="14"/>
        </w:numPr>
        <w:rPr>
          <w:rFonts w:ascii="Arial" w:cs="Arial" w:eastAsia="Arial" w:hAnsi="Arial"/>
          <w:sz w:val="9"/>
          <w:szCs w:val="9"/>
          <w:color w:val="auto"/>
        </w:rPr>
      </w:pPr>
      <w:r>
        <w:rPr>
          <w:rFonts w:ascii="Arial" w:cs="Arial" w:eastAsia="Arial" w:hAnsi="Arial"/>
          <w:sz w:val="14"/>
          <w:szCs w:val="14"/>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31" w:lineRule="exact"/>
        <w:rPr>
          <w:rFonts w:ascii="Arial" w:cs="Arial" w:eastAsia="Arial" w:hAnsi="Arial"/>
          <w:sz w:val="9"/>
          <w:szCs w:val="9"/>
          <w:color w:val="auto"/>
        </w:rPr>
      </w:pPr>
    </w:p>
    <w:p>
      <w:pPr>
        <w:ind w:left="340" w:right="20" w:hanging="332"/>
        <w:spacing w:after="0" w:line="277" w:lineRule="auto"/>
        <w:tabs>
          <w:tab w:leader="none" w:pos="327" w:val="left"/>
        </w:tabs>
        <w:numPr>
          <w:ilvl w:val="0"/>
          <w:numId w:val="14"/>
        </w:numPr>
        <w:rPr>
          <w:rFonts w:ascii="Arial" w:cs="Arial" w:eastAsia="Arial" w:hAnsi="Arial"/>
          <w:sz w:val="9"/>
          <w:szCs w:val="9"/>
          <w:color w:val="auto"/>
        </w:rPr>
      </w:pPr>
      <w:r>
        <w:rPr>
          <w:rFonts w:ascii="Arial" w:cs="Arial" w:eastAsia="Arial" w:hAnsi="Arial"/>
          <w:sz w:val="13"/>
          <w:szCs w:val="13"/>
          <w:color w:val="auto"/>
        </w:rPr>
        <w:t>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11" w:lineRule="exact"/>
        <w:rPr>
          <w:rFonts w:ascii="Arial" w:cs="Arial" w:eastAsia="Arial" w:hAnsi="Arial"/>
          <w:sz w:val="9"/>
          <w:szCs w:val="9"/>
          <w:color w:val="auto"/>
        </w:rPr>
      </w:pPr>
    </w:p>
    <w:p>
      <w:pPr>
        <w:ind w:left="340" w:right="80" w:hanging="332"/>
        <w:spacing w:after="0" w:line="292" w:lineRule="auto"/>
        <w:tabs>
          <w:tab w:leader="none" w:pos="327" w:val="left"/>
        </w:tabs>
        <w:numPr>
          <w:ilvl w:val="0"/>
          <w:numId w:val="14"/>
        </w:numPr>
        <w:rPr>
          <w:rFonts w:ascii="Arial" w:cs="Arial" w:eastAsia="Arial" w:hAnsi="Arial"/>
          <w:sz w:val="8"/>
          <w:szCs w:val="8"/>
          <w:color w:val="auto"/>
        </w:rPr>
      </w:pPr>
      <w:r>
        <w:rPr>
          <w:rFonts w:ascii="Arial" w:cs="Arial" w:eastAsia="Arial" w:hAnsi="Arial"/>
          <w:sz w:val="12"/>
          <w:szCs w:val="12"/>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6" w:lineRule="exact"/>
        <w:rPr>
          <w:rFonts w:ascii="Arial" w:cs="Arial" w:eastAsia="Arial" w:hAnsi="Arial"/>
          <w:sz w:val="8"/>
          <w:szCs w:val="8"/>
          <w:color w:val="auto"/>
        </w:rPr>
      </w:pPr>
    </w:p>
    <w:p>
      <w:pPr>
        <w:ind w:left="340" w:right="100" w:hanging="332"/>
        <w:spacing w:after="0" w:line="249" w:lineRule="auto"/>
        <w:tabs>
          <w:tab w:leader="none" w:pos="327" w:val="left"/>
        </w:tabs>
        <w:numPr>
          <w:ilvl w:val="0"/>
          <w:numId w:val="14"/>
        </w:numPr>
        <w:rPr>
          <w:rFonts w:ascii="Arial" w:cs="Arial" w:eastAsia="Arial" w:hAnsi="Arial"/>
          <w:sz w:val="9"/>
          <w:szCs w:val="9"/>
          <w:color w:val="auto"/>
        </w:rPr>
      </w:pPr>
      <w:r>
        <w:rPr>
          <w:rFonts w:ascii="Arial" w:cs="Arial" w:eastAsia="Arial" w:hAnsi="Arial"/>
          <w:sz w:val="14"/>
          <w:szCs w:val="14"/>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28" w:lineRule="exact"/>
        <w:rPr>
          <w:rFonts w:ascii="Arial" w:cs="Arial" w:eastAsia="Arial" w:hAnsi="Arial"/>
          <w:sz w:val="9"/>
          <w:szCs w:val="9"/>
          <w:color w:val="auto"/>
        </w:rPr>
      </w:pPr>
    </w:p>
    <w:p>
      <w:pPr>
        <w:ind w:left="340" w:right="60" w:hanging="332"/>
        <w:spacing w:after="0" w:line="273" w:lineRule="auto"/>
        <w:tabs>
          <w:tab w:leader="none" w:pos="327" w:val="left"/>
        </w:tabs>
        <w:numPr>
          <w:ilvl w:val="0"/>
          <w:numId w:val="14"/>
        </w:numPr>
        <w:rPr>
          <w:rFonts w:ascii="Arial" w:cs="Arial" w:eastAsia="Arial" w:hAnsi="Arial"/>
          <w:sz w:val="9"/>
          <w:szCs w:val="9"/>
          <w:color w:val="auto"/>
        </w:rPr>
      </w:pPr>
      <w:r>
        <w:rPr>
          <w:rFonts w:ascii="Arial" w:cs="Arial" w:eastAsia="Arial" w:hAnsi="Arial"/>
          <w:sz w:val="14"/>
          <w:szCs w:val="14"/>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spacing w:after="0" w:line="11" w:lineRule="exact"/>
        <w:rPr>
          <w:rFonts w:ascii="Arial" w:cs="Arial" w:eastAsia="Arial" w:hAnsi="Arial"/>
          <w:sz w:val="9"/>
          <w:szCs w:val="9"/>
          <w:color w:val="auto"/>
        </w:rPr>
      </w:pPr>
    </w:p>
    <w:p>
      <w:pPr>
        <w:ind w:left="320" w:hanging="312"/>
        <w:spacing w:after="0"/>
        <w:tabs>
          <w:tab w:leader="none" w:pos="320" w:val="left"/>
        </w:tabs>
        <w:numPr>
          <w:ilvl w:val="0"/>
          <w:numId w:val="14"/>
        </w:numPr>
        <w:rPr>
          <w:rFonts w:ascii="Arial" w:cs="Arial" w:eastAsia="Arial" w:hAnsi="Arial"/>
          <w:sz w:val="9"/>
          <w:szCs w:val="9"/>
          <w:color w:val="auto"/>
        </w:rPr>
      </w:pPr>
      <w:r>
        <w:rPr>
          <w:rFonts w:ascii="Arial" w:cs="Arial" w:eastAsia="Arial" w:hAnsi="Arial"/>
          <w:sz w:val="14"/>
          <w:szCs w:val="14"/>
          <w:color w:val="auto"/>
        </w:rPr>
        <w:t>Includes costs recognized during the period related to the Line 901 incident that occurred in May 2015, net of amounts we believe are probable of recovery from insurance.</w:t>
      </w:r>
    </w:p>
    <w:p>
      <w:pPr>
        <w:spacing w:after="0" w:line="59" w:lineRule="exact"/>
        <w:rPr>
          <w:rFonts w:ascii="Arial" w:cs="Arial" w:eastAsia="Arial" w:hAnsi="Arial"/>
          <w:sz w:val="9"/>
          <w:szCs w:val="9"/>
          <w:color w:val="auto"/>
        </w:rPr>
      </w:pPr>
    </w:p>
    <w:p>
      <w:pPr>
        <w:ind w:left="5440" w:hanging="106"/>
        <w:spacing w:after="0"/>
        <w:tabs>
          <w:tab w:leader="none" w:pos="54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Page 15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6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Adjusted Net Income per Common Unit</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Net income/(loss) attributable to PAA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(2,705)</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shd w:val="clear" w:color="auto" w:fill="CCEEFF"/>
          </w:tcPr>
          <w:p>
            <w:pPr>
              <w:ind w:left="180"/>
              <w:spacing w:after="0" w:line="182" w:lineRule="exact"/>
              <w:rPr>
                <w:sz w:val="20"/>
                <w:szCs w:val="20"/>
                <w:color w:val="auto"/>
              </w:rPr>
            </w:pPr>
            <w:r>
              <w:rPr>
                <w:rFonts w:ascii="Arial" w:cs="Arial" w:eastAsia="Arial" w:hAnsi="Arial"/>
                <w:sz w:val="18"/>
                <w:szCs w:val="18"/>
                <w:color w:val="auto"/>
                <w:w w:val="94"/>
              </w:rPr>
              <w:t>Selected items impacting comparability - Adjusted net income attributable to PAA</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3,393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51"/>
        </w:trPr>
        <w:tc>
          <w:tcPr>
            <w:tcW w:w="62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(2)</w:t>
            </w:r>
          </w:p>
        </w:tc>
        <w:tc>
          <w:tcPr>
            <w:tcW w:w="2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6280" w:type="dxa"/>
            <w:vAlign w:val="bottom"/>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0"/>
        </w:trPr>
        <w:tc>
          <w:tcPr>
            <w:tcW w:w="6280" w:type="dxa"/>
            <w:vAlign w:val="bottom"/>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26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6280" w:type="dxa"/>
            <w:vAlign w:val="bottom"/>
          </w:tcPr>
          <w:p>
            <w:pPr>
              <w:ind w:left="20"/>
              <w:spacing w:after="0"/>
              <w:rPr>
                <w:sz w:val="20"/>
                <w:szCs w:val="20"/>
                <w:color w:val="auto"/>
              </w:rPr>
            </w:pPr>
            <w:r>
              <w:rPr>
                <w:rFonts w:ascii="Arial" w:cs="Arial" w:eastAsia="Arial" w:hAnsi="Arial"/>
                <w:sz w:val="18"/>
                <w:szCs w:val="18"/>
                <w:color w:val="auto"/>
              </w:rPr>
              <w:t>Adjusted net income allocated to common unitholders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26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2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0"/>
              <w:spacing w:after="0"/>
              <w:rPr>
                <w:sz w:val="20"/>
                <w:szCs w:val="20"/>
                <w:color w:val="auto"/>
              </w:rPr>
            </w:pPr>
            <w:r>
              <w:rPr>
                <w:rFonts w:ascii="Arial" w:cs="Arial" w:eastAsia="Arial" w:hAnsi="Arial"/>
                <w:sz w:val="18"/>
                <w:szCs w:val="18"/>
                <w:color w:val="auto"/>
              </w:rPr>
              <w:t>Basic adjusted net income per common unit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Diluted Adjusted Net Income per Common Unit</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PAA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183"/>
        </w:trPr>
        <w:tc>
          <w:tcPr>
            <w:tcW w:w="6280" w:type="dxa"/>
            <w:vAlign w:val="bottom"/>
          </w:tcPr>
          <w:p>
            <w:pPr>
              <w:ind w:left="180"/>
              <w:spacing w:after="0" w:line="182" w:lineRule="exact"/>
              <w:rPr>
                <w:sz w:val="20"/>
                <w:szCs w:val="20"/>
                <w:color w:val="auto"/>
              </w:rPr>
            </w:pPr>
            <w:r>
              <w:rPr>
                <w:rFonts w:ascii="Arial" w:cs="Arial" w:eastAsia="Arial" w:hAnsi="Arial"/>
                <w:sz w:val="18"/>
                <w:szCs w:val="18"/>
                <w:color w:val="auto"/>
                <w:w w:val="94"/>
              </w:rPr>
              <w:t>Selected items impacting comparability - Adjusted net income attributable to PAA</w:t>
            </w:r>
          </w:p>
        </w:tc>
        <w:tc>
          <w:tcPr>
            <w:tcW w:w="260" w:type="dxa"/>
            <w:vAlign w:val="bottom"/>
          </w:tcPr>
          <w:p>
            <w:pPr>
              <w:spacing w:after="0"/>
              <w:rPr>
                <w:sz w:val="15"/>
                <w:szCs w:val="15"/>
                <w:color w:val="auto"/>
              </w:rPr>
            </w:pPr>
          </w:p>
        </w:tc>
        <w:tc>
          <w:tcPr>
            <w:tcW w:w="900" w:type="dxa"/>
            <w:vAlign w:val="bottom"/>
            <w:vMerge w:val="restart"/>
          </w:tcPr>
          <w:p>
            <w:pPr>
              <w:jc w:val="right"/>
              <w:ind w:right="7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vMerge w:val="restart"/>
          </w:tcPr>
          <w:p>
            <w:pPr>
              <w:jc w:val="right"/>
              <w:ind w:right="7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restart"/>
          </w:tcPr>
          <w:p>
            <w:pPr>
              <w:jc w:val="right"/>
              <w:ind w:right="72"/>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51"/>
        </w:trPr>
        <w:tc>
          <w:tcPr>
            <w:tcW w:w="6280" w:type="dxa"/>
            <w:vAlign w:val="bottom"/>
            <w:tcBorders>
              <w:bottom w:val="single" w:sz="8" w:color="CCEEFF"/>
            </w:tcBorders>
          </w:tcPr>
          <w:p>
            <w:pPr>
              <w:ind w:left="360"/>
              <w:spacing w:after="0"/>
              <w:rPr>
                <w:sz w:val="20"/>
                <w:szCs w:val="20"/>
                <w:color w:val="auto"/>
              </w:rPr>
            </w:pPr>
            <w:r>
              <w:rPr>
                <w:rFonts w:ascii="Arial" w:cs="Arial" w:eastAsia="Arial" w:hAnsi="Arial"/>
                <w:sz w:val="12"/>
                <w:szCs w:val="12"/>
                <w:color w:val="auto"/>
              </w:rPr>
              <w:t>(2)</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70"/>
        </w:trPr>
        <w:tc>
          <w:tcPr>
            <w:tcW w:w="6280" w:type="dxa"/>
            <w:vAlign w:val="bottom"/>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26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0"/>
        </w:trPr>
        <w:tc>
          <w:tcPr>
            <w:tcW w:w="6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8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allocated to common unitholders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0"/>
        </w:trPr>
        <w:tc>
          <w:tcPr>
            <w:tcW w:w="6280" w:type="dxa"/>
            <w:vAlign w:val="bottom"/>
          </w:tcPr>
          <w:p>
            <w:pPr>
              <w:ind w:left="180"/>
              <w:spacing w:after="0"/>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(4)</w:t>
            </w:r>
          </w:p>
        </w:tc>
        <w:tc>
          <w:tcPr>
            <w:tcW w:w="260" w:type="dxa"/>
            <w:vAlign w:val="bottom"/>
          </w:tcPr>
          <w:p>
            <w:pPr>
              <w:spacing w:after="0"/>
              <w:rPr>
                <w:sz w:val="23"/>
                <w:szCs w:val="2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88"/>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units outstanding</w:t>
            </w:r>
          </w:p>
        </w:tc>
        <w:tc>
          <w:tcPr>
            <w:tcW w:w="260" w:type="dxa"/>
            <w:vAlign w:val="bottom"/>
            <w:tcBorders>
              <w:top w:val="single" w:sz="8" w:color="auto"/>
              <w:bottom w:val="single" w:sz="8" w:color="auto"/>
            </w:tcBorders>
            <w:shd w:val="clear" w:color="auto" w:fill="CCEEFF"/>
          </w:tcPr>
          <w:p>
            <w:pPr>
              <w:spacing w:after="0"/>
              <w:rPr>
                <w:sz w:val="24"/>
                <w:szCs w:val="24"/>
                <w:color w:val="auto"/>
              </w:rPr>
            </w:pPr>
          </w:p>
        </w:tc>
        <w:tc>
          <w:tcPr>
            <w:tcW w:w="90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728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spacing w:after="0"/>
              <w:rPr>
                <w:sz w:val="24"/>
                <w:szCs w:val="24"/>
                <w:color w:val="auto"/>
              </w:rPr>
            </w:pPr>
          </w:p>
        </w:tc>
        <w:tc>
          <w:tcPr>
            <w:tcW w:w="8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800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spacing w:after="0"/>
              <w:rPr>
                <w:sz w:val="24"/>
                <w:szCs w:val="24"/>
                <w:color w:val="auto"/>
              </w:rPr>
            </w:pPr>
          </w:p>
        </w:tc>
        <w:tc>
          <w:tcPr>
            <w:tcW w:w="90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729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spacing w:after="0"/>
              <w:rPr>
                <w:sz w:val="24"/>
                <w:szCs w:val="24"/>
                <w:color w:val="auto"/>
              </w:rPr>
            </w:pPr>
          </w:p>
        </w:tc>
        <w:tc>
          <w:tcPr>
            <w:tcW w:w="8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0" w:right="40" w:hanging="332"/>
        <w:spacing w:after="0" w:line="227" w:lineRule="auto"/>
        <w:tabs>
          <w:tab w:leader="none" w:pos="327"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We calculate adjusted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18" w:lineRule="exact"/>
        <w:rPr>
          <w:rFonts w:ascii="Arial" w:cs="Arial" w:eastAsia="Arial" w:hAnsi="Arial"/>
          <w:sz w:val="16"/>
          <w:szCs w:val="16"/>
          <w:color w:val="auto"/>
          <w:vertAlign w:val="superscript"/>
        </w:rPr>
      </w:pPr>
    </w:p>
    <w:p>
      <w:pPr>
        <w:ind w:left="320" w:hanging="312"/>
        <w:spacing w:after="0"/>
        <w:tabs>
          <w:tab w:leader="none" w:pos="320"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Certain of our non-GAAP financial measures may not be impacted by each of the selected items impacting comparability.</w:t>
      </w:r>
    </w:p>
    <w:p>
      <w:pPr>
        <w:spacing w:after="0" w:line="52" w:lineRule="exact"/>
        <w:rPr>
          <w:rFonts w:ascii="Arial" w:cs="Arial" w:eastAsia="Arial" w:hAnsi="Arial"/>
          <w:sz w:val="16"/>
          <w:szCs w:val="16"/>
          <w:color w:val="auto"/>
          <w:vertAlign w:val="superscript"/>
        </w:rPr>
      </w:pPr>
    </w:p>
    <w:p>
      <w:pPr>
        <w:ind w:left="320" w:hanging="312"/>
        <w:spacing w:after="0" w:line="223" w:lineRule="auto"/>
        <w:tabs>
          <w:tab w:leader="none" w:pos="320" w:val="left"/>
        </w:tabs>
        <w:numPr>
          <w:ilvl w:val="0"/>
          <w:numId w:val="15"/>
        </w:numPr>
        <w:rPr>
          <w:rFonts w:ascii="Arial" w:cs="Arial" w:eastAsia="Arial" w:hAnsi="Arial"/>
          <w:sz w:val="14"/>
          <w:szCs w:val="14"/>
          <w:color w:val="auto"/>
          <w:vertAlign w:val="superscript"/>
        </w:rPr>
      </w:pPr>
      <w:r>
        <w:rPr>
          <w:rFonts w:ascii="Arial" w:cs="Arial" w:eastAsia="Arial" w:hAnsi="Arial"/>
          <w:sz w:val="11"/>
          <w:szCs w:val="11"/>
          <w:color w:val="auto"/>
        </w:rPr>
        <w:t>The possible conversion of our Series A preferred units were excluded from the calculation of diluted net income per common unit for the three and six months ended June 30, 2020 as the effect was antidilutive.</w:t>
      </w:r>
    </w:p>
    <w:p>
      <w:pPr>
        <w:spacing w:after="0" w:line="52" w:lineRule="exact"/>
        <w:rPr>
          <w:rFonts w:ascii="Arial" w:cs="Arial" w:eastAsia="Arial" w:hAnsi="Arial"/>
          <w:sz w:val="14"/>
          <w:szCs w:val="14"/>
          <w:color w:val="auto"/>
          <w:vertAlign w:val="superscript"/>
        </w:rPr>
      </w:pPr>
    </w:p>
    <w:p>
      <w:pPr>
        <w:ind w:left="340" w:right="60" w:hanging="332"/>
        <w:spacing w:after="0" w:line="226" w:lineRule="auto"/>
        <w:tabs>
          <w:tab w:leader="none" w:pos="327"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months ended June 30, 2020, such LTIP awards did not change the presentation of diluted weighted average common units outstanding or diluted adjusted net income per common unit.</w:t>
      </w:r>
    </w:p>
    <w:p>
      <w:pPr>
        <w:spacing w:after="0" w:line="42" w:lineRule="exact"/>
        <w:rPr>
          <w:rFonts w:ascii="Arial" w:cs="Arial" w:eastAsia="Arial" w:hAnsi="Arial"/>
          <w:sz w:val="16"/>
          <w:szCs w:val="16"/>
          <w:color w:val="auto"/>
          <w:vertAlign w:val="superscript"/>
        </w:rPr>
      </w:pPr>
    </w:p>
    <w:p>
      <w:pPr>
        <w:ind w:left="5440" w:hanging="106"/>
        <w:spacing w:after="0"/>
        <w:tabs>
          <w:tab w:leader="none" w:pos="5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Page 16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Income/(Loss) Per Common Unit to Adjusted Net Income Per Common Unit Reconciliations: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6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96"/>
        </w:trPr>
        <w:tc>
          <w:tcPr>
            <w:tcW w:w="62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unit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ind w:left="136"/>
              <w:spacing w:after="0"/>
              <w:rPr>
                <w:sz w:val="20"/>
                <w:szCs w:val="20"/>
                <w:color w:val="auto"/>
              </w:rPr>
            </w:pPr>
            <w:r>
              <w:rPr>
                <w:rFonts w:ascii="Arial" w:cs="Arial" w:eastAsia="Arial" w:hAnsi="Arial"/>
                <w:sz w:val="18"/>
                <w:szCs w:val="18"/>
                <w:color w:val="auto"/>
                <w:w w:val="93"/>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center"/>
              <w:ind w:left="133"/>
              <w:spacing w:after="0"/>
              <w:rPr>
                <w:sz w:val="20"/>
                <w:szCs w:val="20"/>
                <w:color w:val="auto"/>
              </w:rPr>
            </w:pPr>
            <w:r>
              <w:rPr>
                <w:rFonts w:ascii="Arial" w:cs="Arial" w:eastAsia="Arial" w:hAnsi="Arial"/>
                <w:sz w:val="18"/>
                <w:szCs w:val="18"/>
                <w:color w:val="auto"/>
                <w:w w:val="85"/>
              </w:rPr>
              <w:t>1.80</w:t>
            </w:r>
          </w:p>
        </w:tc>
      </w:tr>
      <w:tr>
        <w:trPr>
          <w:trHeight w:val="27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left="176"/>
              <w:spacing w:after="0"/>
              <w:rPr>
                <w:sz w:val="20"/>
                <w:szCs w:val="20"/>
                <w:color w:val="auto"/>
              </w:rPr>
            </w:pPr>
            <w:r>
              <w:rPr>
                <w:rFonts w:ascii="Arial" w:cs="Arial" w:eastAsia="Arial" w:hAnsi="Arial"/>
                <w:sz w:val="18"/>
                <w:szCs w:val="18"/>
                <w:color w:val="auto"/>
                <w:w w:val="91"/>
              </w:rPr>
              <w:t>4.66</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center"/>
              <w:ind w:left="113"/>
              <w:spacing w:after="0"/>
              <w:rPr>
                <w:sz w:val="20"/>
                <w:szCs w:val="20"/>
                <w:color w:val="auto"/>
              </w:rPr>
            </w:pPr>
            <w:r>
              <w:rPr>
                <w:rFonts w:ascii="Arial" w:cs="Arial" w:eastAsia="Arial" w:hAnsi="Arial"/>
                <w:sz w:val="18"/>
                <w:szCs w:val="18"/>
                <w:color w:val="auto"/>
                <w:w w:val="93"/>
              </w:rPr>
              <w:t>(0.41)</w:t>
            </w:r>
          </w:p>
        </w:tc>
      </w:tr>
      <w:tr>
        <w:trPr>
          <w:trHeight w:val="28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adjusted net income per common unit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176"/>
              <w:spacing w:after="0"/>
              <w:rPr>
                <w:sz w:val="20"/>
                <w:szCs w:val="20"/>
                <w:color w:val="auto"/>
              </w:rPr>
            </w:pPr>
            <w:r>
              <w:rPr>
                <w:rFonts w:ascii="Arial" w:cs="Arial" w:eastAsia="Arial" w:hAnsi="Arial"/>
                <w:sz w:val="18"/>
                <w:szCs w:val="18"/>
                <w:color w:val="auto"/>
                <w:w w:val="91"/>
              </w:rPr>
              <w:t>0.81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center"/>
              <w:ind w:left="133"/>
              <w:spacing w:after="0"/>
              <w:rPr>
                <w:sz w:val="20"/>
                <w:szCs w:val="20"/>
                <w:color w:val="auto"/>
              </w:rPr>
            </w:pPr>
            <w:r>
              <w:rPr>
                <w:rFonts w:ascii="Arial" w:cs="Arial" w:eastAsia="Arial" w:hAnsi="Arial"/>
                <w:sz w:val="18"/>
                <w:szCs w:val="18"/>
                <w:color w:val="auto"/>
                <w:w w:val="85"/>
              </w:rPr>
              <w:t>1.39</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income/(loss) per common unit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ind w:left="136"/>
              <w:spacing w:after="0"/>
              <w:rPr>
                <w:sz w:val="20"/>
                <w:szCs w:val="20"/>
                <w:color w:val="auto"/>
              </w:rPr>
            </w:pPr>
            <w:r>
              <w:rPr>
                <w:rFonts w:ascii="Arial" w:cs="Arial" w:eastAsia="Arial" w:hAnsi="Arial"/>
                <w:sz w:val="18"/>
                <w:szCs w:val="18"/>
                <w:color w:val="auto"/>
                <w:w w:val="93"/>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center"/>
              <w:ind w:left="133"/>
              <w:spacing w:after="0"/>
              <w:rPr>
                <w:sz w:val="20"/>
                <w:szCs w:val="20"/>
                <w:color w:val="auto"/>
              </w:rPr>
            </w:pPr>
            <w:r>
              <w:rPr>
                <w:rFonts w:ascii="Arial" w:cs="Arial" w:eastAsia="Arial" w:hAnsi="Arial"/>
                <w:sz w:val="18"/>
                <w:szCs w:val="18"/>
                <w:color w:val="auto"/>
                <w:w w:val="85"/>
              </w:rPr>
              <w:t>1.74</w:t>
            </w:r>
          </w:p>
        </w:tc>
      </w:tr>
      <w:tr>
        <w:trPr>
          <w:trHeight w:val="27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left="176"/>
              <w:spacing w:after="0"/>
              <w:rPr>
                <w:sz w:val="20"/>
                <w:szCs w:val="20"/>
                <w:color w:val="auto"/>
              </w:rPr>
            </w:pPr>
            <w:r>
              <w:rPr>
                <w:rFonts w:ascii="Arial" w:cs="Arial" w:eastAsia="Arial" w:hAnsi="Arial"/>
                <w:sz w:val="18"/>
                <w:szCs w:val="18"/>
                <w:color w:val="auto"/>
                <w:w w:val="91"/>
              </w:rPr>
              <w:t>4.66</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center"/>
              <w:ind w:left="113"/>
              <w:spacing w:after="0"/>
              <w:rPr>
                <w:sz w:val="20"/>
                <w:szCs w:val="20"/>
                <w:color w:val="auto"/>
              </w:rPr>
            </w:pPr>
            <w:r>
              <w:rPr>
                <w:rFonts w:ascii="Arial" w:cs="Arial" w:eastAsia="Arial" w:hAnsi="Arial"/>
                <w:sz w:val="18"/>
                <w:szCs w:val="18"/>
                <w:color w:val="auto"/>
                <w:w w:val="93"/>
              </w:rPr>
              <w:t>(0.38)</w:t>
            </w:r>
          </w:p>
        </w:tc>
      </w:tr>
      <w:tr>
        <w:trPr>
          <w:trHeight w:val="28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176"/>
              <w:spacing w:after="0"/>
              <w:rPr>
                <w:sz w:val="20"/>
                <w:szCs w:val="20"/>
                <w:color w:val="auto"/>
              </w:rPr>
            </w:pPr>
            <w:r>
              <w:rPr>
                <w:rFonts w:ascii="Arial" w:cs="Arial" w:eastAsia="Arial" w:hAnsi="Arial"/>
                <w:sz w:val="18"/>
                <w:szCs w:val="18"/>
                <w:color w:val="auto"/>
                <w:w w:val="91"/>
              </w:rPr>
              <w:t>0.81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center"/>
              <w:ind w:left="133"/>
              <w:spacing w:after="0"/>
              <w:rPr>
                <w:sz w:val="20"/>
                <w:szCs w:val="20"/>
                <w:color w:val="auto"/>
              </w:rPr>
            </w:pPr>
            <w:r>
              <w:rPr>
                <w:rFonts w:ascii="Arial" w:cs="Arial" w:eastAsia="Arial" w:hAnsi="Arial"/>
                <w:sz w:val="18"/>
                <w:szCs w:val="18"/>
                <w:color w:val="auto"/>
                <w:w w:val="85"/>
              </w:rPr>
              <w:t>1.36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0" w:right="120" w:hanging="332"/>
        <w:spacing w:after="0" w:line="227" w:lineRule="auto"/>
        <w:tabs>
          <w:tab w:leader="none" w:pos="3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See the “Selected Items Impacting Comparability” and the “Computation of Basic and Diluted Adjusted Net Income/(Loss) Per Common Unit” tables for additional information.</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Diluted net income per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-147320</wp:posOffset>
            </wp:positionV>
            <wp:extent cx="7089140"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89140" cy="179705"/>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-20955</wp:posOffset>
            </wp:positionV>
            <wp:extent cx="7089140" cy="1968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89140" cy="196850"/>
                    </a:xfrm>
                    <a:prstGeom prst="rect">
                      <a:avLst/>
                    </a:prstGeom>
                    <a:noFill/>
                  </pic:spPr>
                </pic:pic>
              </a:graphicData>
            </a:graphic>
          </wp:anchor>
        </w:drawing>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Diluted adjusted net income per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24599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See the “Selected Items Impacting Comparability” table for additional information.</w:t>
      </w:r>
    </w:p>
    <w:p>
      <w:pPr>
        <w:spacing w:after="0" w:line="55" w:lineRule="exact"/>
        <w:rPr>
          <w:rFonts w:ascii="Arial" w:cs="Arial" w:eastAsia="Arial" w:hAnsi="Arial"/>
          <w:sz w:val="21"/>
          <w:szCs w:val="21"/>
          <w:color w:val="auto"/>
          <w:vertAlign w:val="superscript"/>
        </w:rPr>
      </w:pPr>
    </w:p>
    <w:p>
      <w:pPr>
        <w:ind w:left="5440" w:hanging="106"/>
        <w:spacing w:after="0"/>
        <w:tabs>
          <w:tab w:leader="none" w:pos="54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Twelve Months Ended</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15430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r>
      <w:tr>
        <w:trPr>
          <w:trHeight w:val="243"/>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center"/>
              <w:ind w:left="175"/>
              <w:spacing w:after="0"/>
              <w:rPr>
                <w:sz w:val="20"/>
                <w:szCs w:val="20"/>
                <w:color w:val="auto"/>
              </w:rPr>
            </w:pPr>
            <w:r>
              <w:rPr>
                <w:rFonts w:ascii="Arial" w:cs="Arial" w:eastAsia="Arial" w:hAnsi="Arial"/>
                <w:sz w:val="18"/>
                <w:szCs w:val="18"/>
                <w:color w:val="auto"/>
                <w:w w:val="91"/>
              </w:rPr>
              <w:t>2.65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center"/>
              <w:ind w:left="175"/>
              <w:spacing w:after="0"/>
              <w:rPr>
                <w:sz w:val="20"/>
                <w:szCs w:val="20"/>
                <w:color w:val="auto"/>
              </w:rPr>
            </w:pPr>
            <w:r>
              <w:rPr>
                <w:rFonts w:ascii="Arial" w:cs="Arial" w:eastAsia="Arial" w:hAnsi="Arial"/>
                <w:sz w:val="18"/>
                <w:szCs w:val="18"/>
                <w:color w:val="auto"/>
                <w:w w:val="91"/>
              </w:rPr>
              <w:t>2.71</w:t>
            </w:r>
          </w:p>
        </w:tc>
      </w:tr>
      <w:tr>
        <w:trPr>
          <w:trHeight w:val="270"/>
        </w:trPr>
        <w:tc>
          <w:tcPr>
            <w:tcW w:w="260" w:type="dxa"/>
            <w:vAlign w:val="bottom"/>
          </w:tcPr>
          <w:p>
            <w:pPr>
              <w:spacing w:after="0"/>
              <w:rPr>
                <w:sz w:val="23"/>
                <w:szCs w:val="23"/>
                <w:color w:val="auto"/>
              </w:rPr>
            </w:pPr>
          </w:p>
        </w:tc>
        <w:tc>
          <w:tcPr>
            <w:tcW w:w="900" w:type="dxa"/>
            <w:vAlign w:val="bottom"/>
          </w:tcPr>
          <w:p>
            <w:pPr>
              <w:jc w:val="center"/>
              <w:ind w:left="155"/>
              <w:spacing w:after="0"/>
              <w:rPr>
                <w:sz w:val="20"/>
                <w:szCs w:val="20"/>
                <w:color w:val="auto"/>
              </w:rPr>
            </w:pPr>
            <w:r>
              <w:rPr>
                <w:rFonts w:ascii="Arial" w:cs="Arial" w:eastAsia="Arial" w:hAnsi="Arial"/>
                <w:sz w:val="18"/>
                <w:szCs w:val="18"/>
                <w:color w:val="auto"/>
                <w:w w:val="89"/>
              </w:rPr>
              <w:t>(0.14)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center"/>
              <w:ind w:left="135"/>
              <w:spacing w:after="0"/>
              <w:rPr>
                <w:sz w:val="20"/>
                <w:szCs w:val="20"/>
                <w:color w:val="auto"/>
              </w:rPr>
            </w:pPr>
            <w:r>
              <w:rPr>
                <w:rFonts w:ascii="Arial" w:cs="Arial" w:eastAsia="Arial" w:hAnsi="Arial"/>
                <w:sz w:val="18"/>
                <w:szCs w:val="18"/>
                <w:color w:val="auto"/>
                <w:w w:val="93"/>
              </w:rPr>
              <w:t>(0.83)</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center"/>
              <w:ind w:left="175"/>
              <w:spacing w:after="0"/>
              <w:rPr>
                <w:sz w:val="20"/>
                <w:szCs w:val="20"/>
                <w:color w:val="auto"/>
              </w:rPr>
            </w:pPr>
            <w:r>
              <w:rPr>
                <w:rFonts w:ascii="Arial" w:cs="Arial" w:eastAsia="Arial" w:hAnsi="Arial"/>
                <w:sz w:val="18"/>
                <w:szCs w:val="18"/>
                <w:color w:val="auto"/>
                <w:w w:val="91"/>
              </w:rPr>
              <w:t>2.51</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center"/>
              <w:ind w:left="175"/>
              <w:spacing w:after="0"/>
              <w:rPr>
                <w:sz w:val="20"/>
                <w:szCs w:val="20"/>
                <w:color w:val="auto"/>
              </w:rPr>
            </w:pPr>
            <w:r>
              <w:rPr>
                <w:rFonts w:ascii="Arial" w:cs="Arial" w:eastAsia="Arial" w:hAnsi="Arial"/>
                <w:sz w:val="18"/>
                <w:szCs w:val="18"/>
                <w:color w:val="auto"/>
                <w:w w:val="91"/>
              </w:rPr>
              <w:t>1.88</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340" w:lineRule="exact"/>
        <w:rPr>
          <w:sz w:val="20"/>
          <w:szCs w:val="20"/>
          <w:color w:val="auto"/>
        </w:rPr>
      </w:pPr>
    </w:p>
    <w:p>
      <w:pPr>
        <w:sectPr>
          <w:pgSz w:w="11900" w:h="16838" w:orient="portrait"/>
          <w:cols w:equalWidth="0" w:num="2">
            <w:col w:w="8060" w:space="720"/>
            <w:col w:w="2460"/>
          </w:cols>
          <w:pgMar w:left="320" w:top="368" w:right="339" w:bottom="1440" w:gutter="0" w:footer="0" w:header="0"/>
          <w:type w:val="continuous"/>
        </w:sectPr>
      </w:pPr>
    </w:p>
    <w:p>
      <w:pPr>
        <w:spacing w:after="0" w:line="59"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Page 17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6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 to Adjusted EBITDA and Implied DCF Reconciliation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0"/>
              <w:spacing w:after="0"/>
              <w:rPr>
                <w:sz w:val="20"/>
                <w:szCs w:val="20"/>
                <w:color w:val="auto"/>
              </w:rPr>
            </w:pPr>
            <w:r>
              <w:rPr>
                <w:rFonts w:ascii="Arial" w:cs="Arial" w:eastAsia="Arial" w:hAnsi="Arial"/>
                <w:sz w:val="18"/>
                <w:szCs w:val="18"/>
                <w:color w:val="auto"/>
              </w:rPr>
              <w:t>Net Income/(Loss)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(2,701)</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0"/>
        </w:trPr>
        <w:tc>
          <w:tcPr>
            <w:tcW w:w="6280" w:type="dxa"/>
            <w:vAlign w:val="bottom"/>
          </w:tcPr>
          <w:p>
            <w:pPr>
              <w:ind w:left="180"/>
              <w:spacing w:after="0"/>
              <w:rPr>
                <w:sz w:val="20"/>
                <w:szCs w:val="20"/>
                <w:color w:val="auto"/>
              </w:rPr>
            </w:pPr>
            <w:r>
              <w:rPr>
                <w:rFonts w:ascii="Arial" w:cs="Arial" w:eastAsia="Arial" w:hAnsi="Arial"/>
                <w:sz w:val="18"/>
                <w:szCs w:val="18"/>
                <w:color w:val="auto"/>
              </w:rPr>
              <w:t>Income tax expense/(benefit)</w:t>
            </w:r>
          </w:p>
        </w:tc>
        <w:tc>
          <w:tcPr>
            <w:tcW w:w="26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0"/>
        </w:trPr>
        <w:tc>
          <w:tcPr>
            <w:tcW w:w="6280" w:type="dxa"/>
            <w:vAlign w:val="bottom"/>
          </w:tcPr>
          <w:p>
            <w:pPr>
              <w:ind w:left="180"/>
              <w:spacing w:after="0"/>
              <w:rPr>
                <w:sz w:val="20"/>
                <w:szCs w:val="20"/>
                <w:color w:val="auto"/>
              </w:rPr>
            </w:pPr>
            <w:r>
              <w:rPr>
                <w:rFonts w:ascii="Arial" w:cs="Arial" w:eastAsia="Arial" w:hAnsi="Arial"/>
                <w:sz w:val="18"/>
                <w:szCs w:val="18"/>
                <w:color w:val="auto"/>
              </w:rPr>
              <w:t>(Gains)/losses on asset sales and asset impairments, net</w:t>
            </w:r>
          </w:p>
        </w:tc>
        <w:tc>
          <w:tcPr>
            <w:tcW w:w="26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impairment losses</w:t>
            </w:r>
          </w:p>
        </w:tc>
        <w:tc>
          <w:tcPr>
            <w:tcW w:w="2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280" w:type="dxa"/>
            <w:vAlign w:val="bottom"/>
          </w:tcPr>
          <w:p>
            <w:pPr>
              <w:ind w:left="180"/>
              <w:spacing w:after="0"/>
              <w:rPr>
                <w:sz w:val="20"/>
                <w:szCs w:val="20"/>
                <w:color w:val="auto"/>
              </w:rPr>
            </w:pPr>
            <w:r>
              <w:rPr>
                <w:rFonts w:ascii="Arial" w:cs="Arial" w:eastAsia="Arial" w:hAnsi="Arial"/>
                <w:sz w:val="18"/>
                <w:szCs w:val="18"/>
                <w:color w:val="auto"/>
              </w:rPr>
              <w:t>(Gain on)/impairment of investments in unconsolidated entities, net</w:t>
            </w:r>
          </w:p>
        </w:tc>
        <w:tc>
          <w:tcPr>
            <w:tcW w:w="26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6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70"/>
        </w:trPr>
        <w:tc>
          <w:tcPr>
            <w:tcW w:w="6280" w:type="dxa"/>
            <w:vAlign w:val="bottom"/>
          </w:tcPr>
          <w:p>
            <w:pPr>
              <w:ind w:left="180"/>
              <w:spacing w:after="0"/>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(3)</w:t>
            </w:r>
          </w:p>
        </w:tc>
        <w:tc>
          <w:tcPr>
            <w:tcW w:w="26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Maintenance capital</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0"/>
        </w:trPr>
        <w:tc>
          <w:tcPr>
            <w:tcW w:w="6280" w:type="dxa"/>
            <w:vAlign w:val="bottom"/>
          </w:tcPr>
          <w:p>
            <w:pPr>
              <w:ind w:left="180"/>
              <w:spacing w:after="0"/>
              <w:rPr>
                <w:sz w:val="20"/>
                <w:szCs w:val="20"/>
                <w:color w:val="auto"/>
              </w:rPr>
            </w:pPr>
            <w:r>
              <w:rPr>
                <w:rFonts w:ascii="Arial" w:cs="Arial" w:eastAsia="Arial" w:hAnsi="Arial"/>
                <w:sz w:val="18"/>
                <w:szCs w:val="18"/>
                <w:color w:val="auto"/>
              </w:rPr>
              <w:t>Current income tax expense</w:t>
            </w:r>
          </w:p>
        </w:tc>
        <w:tc>
          <w:tcPr>
            <w:tcW w:w="26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75"/>
        </w:trPr>
        <w:tc>
          <w:tcPr>
            <w:tcW w:w="62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4"/>
              </w:rPr>
              <w:t>Distributions from unconsolidated entities in excess of/(less than) adjusted equity</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earnings </w:t>
            </w:r>
            <w:r>
              <w:rPr>
                <w:rFonts w:ascii="Arial" w:cs="Arial" w:eastAsia="Arial" w:hAnsi="Arial"/>
                <w:sz w:val="23"/>
                <w:szCs w:val="23"/>
                <w:color w:val="auto"/>
                <w:vertAlign w:val="superscript"/>
              </w:rPr>
              <w:t>(4)</w:t>
            </w: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180"/>
              <w:spacing w:after="0"/>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(5)</w:t>
            </w:r>
          </w:p>
        </w:tc>
        <w:tc>
          <w:tcPr>
            <w:tcW w:w="26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DCF</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70"/>
        </w:trPr>
        <w:tc>
          <w:tcPr>
            <w:tcW w:w="6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(6)</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89"/>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DCF Available to Common Unitholders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Units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Weighted Average Common Units and Common Equivalent Units</w:t>
            </w:r>
          </w:p>
        </w:tc>
        <w:tc>
          <w:tcPr>
            <w:tcW w:w="26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0"/>
              <w:spacing w:after="0"/>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23"/>
                <w:szCs w:val="23"/>
                <w:color w:val="auto"/>
                <w:vertAlign w:val="superscript"/>
              </w:rPr>
              <w:t>(8)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Distribution Paid per Common Unit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70"/>
        </w:trPr>
        <w:tc>
          <w:tcPr>
            <w:tcW w:w="6280" w:type="dxa"/>
            <w:vAlign w:val="bottom"/>
          </w:tcPr>
          <w:p>
            <w:pPr>
              <w:ind w:left="20"/>
              <w:spacing w:after="0"/>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Unit Distribution Coverage Ratio</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2.27x</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2.02x</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2.27x</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2.46x</w:t>
            </w: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Implied DCF Excess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7"/>
        </w:trPr>
        <w:tc>
          <w:tcPr>
            <w:tcW w:w="6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5"/>
          <w:szCs w:val="15"/>
          <w:color w:val="auto"/>
          <w:vertAlign w:val="superscript"/>
        </w:rPr>
      </w:pPr>
      <w:r>
        <w:rPr>
          <w:rFonts w:ascii="Arial" w:cs="Arial" w:eastAsia="Arial" w:hAnsi="Arial"/>
          <w:sz w:val="12"/>
          <w:szCs w:val="12"/>
          <w:color w:val="auto"/>
        </w:rPr>
        <w:t>Adjustment to add back our proportionate share of depreciation and amortization expense of unconsolidated entities.</w:t>
      </w:r>
    </w:p>
    <w:p>
      <w:pPr>
        <w:spacing w:after="0" w:line="48"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18"/>
        </w:numPr>
        <w:rPr>
          <w:rFonts w:ascii="Arial" w:cs="Arial" w:eastAsia="Arial" w:hAnsi="Arial"/>
          <w:sz w:val="15"/>
          <w:szCs w:val="15"/>
          <w:color w:val="auto"/>
          <w:vertAlign w:val="superscript"/>
        </w:rPr>
      </w:pPr>
      <w:r>
        <w:rPr>
          <w:rFonts w:ascii="Arial" w:cs="Arial" w:eastAsia="Arial" w:hAnsi="Arial"/>
          <w:sz w:val="12"/>
          <w:szCs w:val="12"/>
          <w:color w:val="auto"/>
        </w:rPr>
        <w:t>Certain of our non-GAAP financial measures may not be impacted by each of the selected items impacting comparability.</w:t>
      </w:r>
    </w:p>
    <w:p>
      <w:pPr>
        <w:spacing w:after="0" w:line="49"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18"/>
        </w:numPr>
        <w:rPr>
          <w:rFonts w:ascii="Arial" w:cs="Arial" w:eastAsia="Arial" w:hAnsi="Arial"/>
          <w:sz w:val="15"/>
          <w:szCs w:val="15"/>
          <w:color w:val="auto"/>
          <w:vertAlign w:val="superscript"/>
        </w:rPr>
      </w:pPr>
      <w:r>
        <w:rPr>
          <w:rFonts w:ascii="Arial" w:cs="Arial" w:eastAsia="Arial" w:hAnsi="Arial"/>
          <w:sz w:val="12"/>
          <w:szCs w:val="12"/>
          <w:color w:val="auto"/>
        </w:rPr>
        <w:t>Excludes certain non-cash items impacting interest expense such as amortization of debt issuance costs and terminated interest rate swaps.</w:t>
      </w:r>
    </w:p>
    <w:p>
      <w:pPr>
        <w:spacing w:after="0" w:line="49"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18"/>
        </w:numPr>
        <w:rPr>
          <w:rFonts w:ascii="Arial" w:cs="Arial" w:eastAsia="Arial" w:hAnsi="Arial"/>
          <w:sz w:val="15"/>
          <w:szCs w:val="15"/>
          <w:color w:val="auto"/>
          <w:vertAlign w:val="superscript"/>
        </w:rPr>
      </w:pPr>
      <w:r>
        <w:rPr>
          <w:rFonts w:ascii="Arial" w:cs="Arial" w:eastAsia="Arial" w:hAnsi="Arial"/>
          <w:sz w:val="12"/>
          <w:szCs w:val="12"/>
          <w:color w:val="auto"/>
        </w:rPr>
        <w:t>Comprised of cash distributions received from unconsolidated entities less equity earnings in unconsolidated entities (adjusted for our proportionate share of depreciation and amortization).</w:t>
      </w:r>
    </w:p>
    <w:p>
      <w:pPr>
        <w:spacing w:after="0" w:line="49"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18"/>
        </w:numPr>
        <w:rPr>
          <w:rFonts w:ascii="Arial" w:cs="Arial" w:eastAsia="Arial" w:hAnsi="Arial"/>
          <w:sz w:val="15"/>
          <w:szCs w:val="15"/>
          <w:color w:val="auto"/>
          <w:vertAlign w:val="superscript"/>
        </w:rPr>
      </w:pPr>
      <w:r>
        <w:rPr>
          <w:rFonts w:ascii="Arial" w:cs="Arial" w:eastAsia="Arial" w:hAnsi="Arial"/>
          <w:sz w:val="12"/>
          <w:szCs w:val="12"/>
          <w:color w:val="auto"/>
        </w:rPr>
        <w:t>Cash distributions paid during the period presented.</w:t>
      </w:r>
    </w:p>
    <w:p>
      <w:pPr>
        <w:spacing w:after="0" w:line="49" w:lineRule="exact"/>
        <w:rPr>
          <w:rFonts w:ascii="Arial" w:cs="Arial" w:eastAsia="Arial" w:hAnsi="Arial"/>
          <w:sz w:val="15"/>
          <w:szCs w:val="15"/>
          <w:color w:val="auto"/>
          <w:vertAlign w:val="superscript"/>
        </w:rPr>
      </w:pPr>
    </w:p>
    <w:p>
      <w:pPr>
        <w:jc w:val="both"/>
        <w:ind w:left="340" w:right="160" w:hanging="332"/>
        <w:spacing w:after="0" w:line="219" w:lineRule="auto"/>
        <w:tabs>
          <w:tab w:leader="none" w:pos="334" w:val="left"/>
        </w:tabs>
        <w:numPr>
          <w:ilvl w:val="0"/>
          <w:numId w:val="18"/>
        </w:numPr>
        <w:rPr>
          <w:rFonts w:ascii="Arial" w:cs="Arial" w:eastAsia="Arial" w:hAnsi="Arial"/>
          <w:sz w:val="15"/>
          <w:szCs w:val="15"/>
          <w:color w:val="auto"/>
          <w:vertAlign w:val="superscript"/>
        </w:rPr>
      </w:pPr>
      <w:r>
        <w:rPr>
          <w:rFonts w:ascii="Arial" w:cs="Arial" w:eastAsia="Arial" w:hAnsi="Arial"/>
          <w:sz w:val="12"/>
          <w:szCs w:val="12"/>
          <w:color w:val="auto"/>
        </w:rPr>
        <w:t>Cash distributions paid to our preferred unitholders during the period presented. The current $0.5250 quarterly ($2.10 annualized) per unit distribution requirement of our Series A preferred units was paid-in-kind for each quarterly distribution from their issuance through February 2018. Distributions on our Series A preferred units have been paid in cash since the May 2018 quarterly distribution. The current $61.25 per unit annual distribution requirement of our Series B preferred units, is payable in cash semi-annually in arrears on May 15 and November 15.</w:t>
      </w:r>
    </w:p>
    <w:p>
      <w:pPr>
        <w:spacing w:after="0" w:line="17" w:lineRule="exact"/>
        <w:rPr>
          <w:rFonts w:ascii="Arial" w:cs="Arial" w:eastAsia="Arial" w:hAnsi="Arial"/>
          <w:sz w:val="15"/>
          <w:szCs w:val="15"/>
          <w:color w:val="auto"/>
          <w:vertAlign w:val="superscript"/>
        </w:rPr>
      </w:pPr>
    </w:p>
    <w:p>
      <w:pPr>
        <w:ind w:left="320" w:hanging="312"/>
        <w:spacing w:after="0"/>
        <w:tabs>
          <w:tab w:leader="none" w:pos="320" w:val="left"/>
        </w:tabs>
        <w:numPr>
          <w:ilvl w:val="0"/>
          <w:numId w:val="18"/>
        </w:numPr>
        <w:rPr>
          <w:rFonts w:ascii="Arial" w:cs="Arial" w:eastAsia="Arial" w:hAnsi="Arial"/>
          <w:sz w:val="15"/>
          <w:szCs w:val="15"/>
          <w:color w:val="auto"/>
          <w:vertAlign w:val="superscript"/>
        </w:rPr>
      </w:pPr>
      <w:r>
        <w:rPr>
          <w:rFonts w:ascii="Arial" w:cs="Arial" w:eastAsia="Arial" w:hAnsi="Arial"/>
          <w:sz w:val="12"/>
          <w:szCs w:val="12"/>
          <w:color w:val="auto"/>
        </w:rPr>
        <w:t>Implied DCF Available to Common Unitholders for the period divided by the weighted average common units outstanding for the period.</w:t>
      </w:r>
    </w:p>
    <w:p>
      <w:pPr>
        <w:spacing w:after="0" w:line="48" w:lineRule="exact"/>
        <w:rPr>
          <w:rFonts w:ascii="Arial" w:cs="Arial" w:eastAsia="Arial" w:hAnsi="Arial"/>
          <w:sz w:val="15"/>
          <w:szCs w:val="15"/>
          <w:color w:val="auto"/>
          <w:vertAlign w:val="superscript"/>
        </w:rPr>
      </w:pPr>
    </w:p>
    <w:p>
      <w:pPr>
        <w:ind w:left="340" w:right="40" w:hanging="332"/>
        <w:spacing w:after="0" w:line="262" w:lineRule="auto"/>
        <w:tabs>
          <w:tab w:leader="none" w:pos="334" w:val="left"/>
        </w:tabs>
        <w:numPr>
          <w:ilvl w:val="0"/>
          <w:numId w:val="18"/>
        </w:numPr>
        <w:rPr>
          <w:rFonts w:ascii="Arial" w:cs="Arial" w:eastAsia="Arial" w:hAnsi="Arial"/>
          <w:sz w:val="13"/>
          <w:szCs w:val="13"/>
          <w:color w:val="auto"/>
          <w:vertAlign w:val="superscript"/>
        </w:rPr>
      </w:pPr>
      <w:r>
        <w:rPr>
          <w:rFonts w:ascii="Arial" w:cs="Arial" w:eastAsia="Arial" w:hAnsi="Arial"/>
          <w:sz w:val="10"/>
          <w:szCs w:val="10"/>
          <w:color w:val="auto"/>
        </w:rPr>
        <w:t>Implied DCF Available to Common Unitholders for the period, adjusted for Series A preferred unit cash distributions paid, divided by the weighted average common units and common equivalent units outstanding for the period. Our Series A preferred units are convertible into common units, generally on a one-for-one basis and subject to customary anti-dilution adjustments, in whole or in part, subject to certain minimum conversion amounts.</w:t>
      </w:r>
    </w:p>
    <w:p>
      <w:pPr>
        <w:spacing w:after="0" w:line="19" w:lineRule="exact"/>
        <w:rPr>
          <w:rFonts w:ascii="Arial" w:cs="Arial" w:eastAsia="Arial" w:hAnsi="Arial"/>
          <w:sz w:val="13"/>
          <w:szCs w:val="13"/>
          <w:color w:val="auto"/>
          <w:vertAlign w:val="superscript"/>
        </w:rPr>
      </w:pPr>
    </w:p>
    <w:p>
      <w:pPr>
        <w:ind w:left="5440" w:hanging="106"/>
        <w:spacing w:after="0"/>
        <w:tabs>
          <w:tab w:leader="none" w:pos="54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Page 18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40"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Twelve Months Ended</w:t>
      </w:r>
    </w:p>
    <w:p>
      <w:pPr>
        <w:spacing w:after="0" w:line="4"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13335</wp:posOffset>
            </wp:positionV>
            <wp:extent cx="15430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r>
      <w:tr>
        <w:trPr>
          <w:trHeight w:val="236"/>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to Adjusted EBITDA and Implied DCF Reconciliation</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2,216</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431</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198</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520</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(Gains)/losses on asset sales and asset impairments, net</w:t>
            </w:r>
          </w:p>
        </w:tc>
        <w:tc>
          <w:tcPr>
            <w:tcW w:w="28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(114)</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investment in unconsolidated entities</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28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56</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(2)</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(423)</w:t>
            </w:r>
          </w:p>
        </w:tc>
      </w:tr>
      <w:tr>
        <w:trPr>
          <w:trHeight w:val="263"/>
        </w:trPr>
        <w:tc>
          <w:tcPr>
            <w:tcW w:w="88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2,684</w:t>
            </w: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64"/>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(419)</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Maintenance capital</w:t>
            </w:r>
          </w:p>
        </w:tc>
        <w:tc>
          <w:tcPr>
            <w:tcW w:w="2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(252)</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 xml:space="preserve">Distributions from unconsolidated entities in excess of/(less than) adjusted equity earnings </w:t>
            </w:r>
            <w:r>
              <w:rPr>
                <w:rFonts w:ascii="Arial" w:cs="Arial" w:eastAsia="Arial" w:hAnsi="Arial"/>
                <w:sz w:val="23"/>
                <w:szCs w:val="23"/>
                <w:color w:val="auto"/>
                <w:vertAlign w:val="superscript"/>
              </w:rPr>
              <w:t>(4)</w:t>
            </w:r>
          </w:p>
        </w:tc>
        <w:tc>
          <w:tcPr>
            <w:tcW w:w="2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(5)</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37"/>
        </w:trPr>
        <w:tc>
          <w:tcPr>
            <w:tcW w:w="8800" w:type="dxa"/>
            <w:vAlign w:val="bottom"/>
          </w:tcPr>
          <w:p>
            <w:pPr>
              <w:ind w:left="20"/>
              <w:spacing w:after="0"/>
              <w:rPr>
                <w:sz w:val="20"/>
                <w:szCs w:val="20"/>
                <w:color w:val="auto"/>
              </w:rPr>
            </w:pPr>
            <w:r>
              <w:rPr>
                <w:rFonts w:ascii="Arial" w:cs="Arial" w:eastAsia="Arial" w:hAnsi="Arial"/>
                <w:sz w:val="18"/>
                <w:szCs w:val="18"/>
                <w:color w:val="auto"/>
              </w:rPr>
              <w:t>Implied DCF</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1,948</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(6)</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r>
      <w:tr>
        <w:trPr>
          <w:trHeight w:val="264"/>
        </w:trPr>
        <w:tc>
          <w:tcPr>
            <w:tcW w:w="8800" w:type="dxa"/>
            <w:vAlign w:val="bottom"/>
          </w:tcPr>
          <w:p>
            <w:pPr>
              <w:ind w:left="20"/>
              <w:spacing w:after="0"/>
              <w:rPr>
                <w:sz w:val="20"/>
                <w:szCs w:val="20"/>
                <w:color w:val="auto"/>
              </w:rPr>
            </w:pPr>
            <w:r>
              <w:rPr>
                <w:rFonts w:ascii="Arial" w:cs="Arial" w:eastAsia="Arial" w:hAnsi="Arial"/>
                <w:sz w:val="18"/>
                <w:szCs w:val="18"/>
                <w:color w:val="auto"/>
              </w:rPr>
              <w:t>Implied DCF Available to Common Unitholders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1,787</w:t>
            </w: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9"/>
        </w:trPr>
        <w:tc>
          <w:tcPr>
            <w:tcW w:w="8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Weighted Average Common Units Outstanding</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Units and Common Equivalent Units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r>
      <w:tr>
        <w:trPr>
          <w:trHeight w:val="162"/>
        </w:trPr>
        <w:tc>
          <w:tcPr>
            <w:tcW w:w="8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7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(7)</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2.46</w:t>
            </w:r>
          </w:p>
        </w:tc>
      </w:tr>
      <w:tr>
        <w:trPr>
          <w:trHeight w:val="270"/>
        </w:trPr>
        <w:tc>
          <w:tcPr>
            <w:tcW w:w="8800" w:type="dxa"/>
            <w:vAlign w:val="bottom"/>
          </w:tcPr>
          <w:p>
            <w:pPr>
              <w:ind w:left="20"/>
              <w:spacing w:after="0"/>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23"/>
                <w:szCs w:val="23"/>
                <w:color w:val="auto"/>
                <w:vertAlign w:val="superscript"/>
              </w:rPr>
              <w:t>(8)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2.38</w:t>
            </w:r>
          </w:p>
        </w:tc>
      </w:tr>
      <w:tr>
        <w:trPr>
          <w:trHeight w:val="162"/>
        </w:trPr>
        <w:tc>
          <w:tcPr>
            <w:tcW w:w="8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Cash Distribution Paid per Common Unit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1.20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871</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Common Unit Distribution Coverage Ratio</w:t>
            </w:r>
          </w:p>
        </w:tc>
        <w:tc>
          <w:tcPr>
            <w:tcW w:w="28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2.17x</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2.05x</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62"/>
        </w:trPr>
        <w:tc>
          <w:tcPr>
            <w:tcW w:w="8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Implied DCF Excess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916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4599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5"/>
          <w:szCs w:val="15"/>
          <w:color w:val="auto"/>
          <w:vertAlign w:val="superscript"/>
        </w:rPr>
      </w:pPr>
      <w:r>
        <w:rPr>
          <w:rFonts w:ascii="Arial" w:cs="Arial" w:eastAsia="Arial" w:hAnsi="Arial"/>
          <w:sz w:val="12"/>
          <w:szCs w:val="12"/>
          <w:color w:val="auto"/>
        </w:rPr>
        <w:t>Adjustment to add back our proportionate share of depreciation and amortization expense of unconsolidated entities.</w:t>
      </w:r>
    </w:p>
    <w:p>
      <w:pPr>
        <w:spacing w:after="0" w:line="48"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19"/>
        </w:numPr>
        <w:rPr>
          <w:rFonts w:ascii="Arial" w:cs="Arial" w:eastAsia="Arial" w:hAnsi="Arial"/>
          <w:sz w:val="15"/>
          <w:szCs w:val="15"/>
          <w:color w:val="auto"/>
          <w:vertAlign w:val="superscript"/>
        </w:rPr>
      </w:pPr>
      <w:r>
        <w:rPr>
          <w:rFonts w:ascii="Arial" w:cs="Arial" w:eastAsia="Arial" w:hAnsi="Arial"/>
          <w:sz w:val="12"/>
          <w:szCs w:val="12"/>
          <w:color w:val="auto"/>
        </w:rPr>
        <w:t>Certain of our non-GAAP financial measures may not be impacted by each of the selected items impacting comparability.</w:t>
      </w:r>
    </w:p>
    <w:p>
      <w:pPr>
        <w:spacing w:after="0" w:line="49"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19"/>
        </w:numPr>
        <w:rPr>
          <w:rFonts w:ascii="Arial" w:cs="Arial" w:eastAsia="Arial" w:hAnsi="Arial"/>
          <w:sz w:val="15"/>
          <w:szCs w:val="15"/>
          <w:color w:val="auto"/>
          <w:vertAlign w:val="superscript"/>
        </w:rPr>
      </w:pPr>
      <w:r>
        <w:rPr>
          <w:rFonts w:ascii="Arial" w:cs="Arial" w:eastAsia="Arial" w:hAnsi="Arial"/>
          <w:sz w:val="12"/>
          <w:szCs w:val="12"/>
          <w:color w:val="auto"/>
        </w:rPr>
        <w:t>Excludes certain non-cash items impacting interest expense such as amortization of debt issuance costs and terminated interest rate swaps.</w:t>
      </w:r>
    </w:p>
    <w:p>
      <w:pPr>
        <w:spacing w:after="0" w:line="49"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19"/>
        </w:numPr>
        <w:rPr>
          <w:rFonts w:ascii="Arial" w:cs="Arial" w:eastAsia="Arial" w:hAnsi="Arial"/>
          <w:sz w:val="15"/>
          <w:szCs w:val="15"/>
          <w:color w:val="auto"/>
          <w:vertAlign w:val="superscript"/>
        </w:rPr>
      </w:pPr>
      <w:r>
        <w:rPr>
          <w:rFonts w:ascii="Arial" w:cs="Arial" w:eastAsia="Arial" w:hAnsi="Arial"/>
          <w:sz w:val="12"/>
          <w:szCs w:val="12"/>
          <w:color w:val="auto"/>
        </w:rPr>
        <w:t>Comprised of cash distributions received from unconsolidated entities less equity earnings in unconsolidated entities (adjusted for our proportionate share of depreciation and amortization).</w:t>
      </w:r>
    </w:p>
    <w:p>
      <w:pPr>
        <w:spacing w:after="0" w:line="49"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19"/>
        </w:numPr>
        <w:rPr>
          <w:rFonts w:ascii="Arial" w:cs="Arial" w:eastAsia="Arial" w:hAnsi="Arial"/>
          <w:sz w:val="15"/>
          <w:szCs w:val="15"/>
          <w:color w:val="auto"/>
          <w:vertAlign w:val="superscript"/>
        </w:rPr>
      </w:pPr>
      <w:r>
        <w:rPr>
          <w:rFonts w:ascii="Arial" w:cs="Arial" w:eastAsia="Arial" w:hAnsi="Arial"/>
          <w:sz w:val="12"/>
          <w:szCs w:val="12"/>
          <w:color w:val="auto"/>
        </w:rPr>
        <w:t>Cash distributions paid during the period presented.</w:t>
      </w:r>
    </w:p>
    <w:p>
      <w:pPr>
        <w:spacing w:after="0" w:line="49" w:lineRule="exact"/>
        <w:rPr>
          <w:rFonts w:ascii="Arial" w:cs="Arial" w:eastAsia="Arial" w:hAnsi="Arial"/>
          <w:sz w:val="15"/>
          <w:szCs w:val="15"/>
          <w:color w:val="auto"/>
          <w:vertAlign w:val="superscript"/>
        </w:rPr>
      </w:pPr>
    </w:p>
    <w:p>
      <w:pPr>
        <w:ind w:left="340" w:right="40" w:hanging="332"/>
        <w:spacing w:after="0" w:line="219" w:lineRule="auto"/>
        <w:tabs>
          <w:tab w:leader="none" w:pos="334" w:val="left"/>
        </w:tabs>
        <w:numPr>
          <w:ilvl w:val="0"/>
          <w:numId w:val="19"/>
        </w:numPr>
        <w:rPr>
          <w:rFonts w:ascii="Arial" w:cs="Arial" w:eastAsia="Arial" w:hAnsi="Arial"/>
          <w:sz w:val="15"/>
          <w:szCs w:val="15"/>
          <w:color w:val="auto"/>
          <w:vertAlign w:val="superscript"/>
        </w:rPr>
      </w:pPr>
      <w:r>
        <w:rPr>
          <w:rFonts w:ascii="Arial" w:cs="Arial" w:eastAsia="Arial" w:hAnsi="Arial"/>
          <w:sz w:val="12"/>
          <w:szCs w:val="12"/>
          <w:color w:val="auto"/>
        </w:rPr>
        <w:t>Cash distributions paid to our preferred unitholders during the period presented. The $0.5250 quarterly ($2.10 annualized) per unit distribution requirement of our Series A preferred units was paid-in-kind for each quarterly distribution from their issuance through February 2018. Distributions on our Series A preferred units have been paid in cash since the May 2018 quarterly distribution. The $61.25 per unit annual distribution requirement of our Series B preferred units, is payable in cash semi-annually in arrears on May 15 and November 15.</w:t>
      </w:r>
    </w:p>
    <w:p>
      <w:pPr>
        <w:spacing w:after="0" w:line="17" w:lineRule="exact"/>
        <w:rPr>
          <w:rFonts w:ascii="Arial" w:cs="Arial" w:eastAsia="Arial" w:hAnsi="Arial"/>
          <w:sz w:val="15"/>
          <w:szCs w:val="15"/>
          <w:color w:val="auto"/>
          <w:vertAlign w:val="superscript"/>
        </w:rPr>
      </w:pPr>
    </w:p>
    <w:p>
      <w:pPr>
        <w:ind w:left="320" w:hanging="312"/>
        <w:spacing w:after="0"/>
        <w:tabs>
          <w:tab w:leader="none" w:pos="320" w:val="left"/>
        </w:tabs>
        <w:numPr>
          <w:ilvl w:val="0"/>
          <w:numId w:val="19"/>
        </w:numPr>
        <w:rPr>
          <w:rFonts w:ascii="Arial" w:cs="Arial" w:eastAsia="Arial" w:hAnsi="Arial"/>
          <w:sz w:val="15"/>
          <w:szCs w:val="15"/>
          <w:color w:val="auto"/>
          <w:vertAlign w:val="superscript"/>
        </w:rPr>
      </w:pPr>
      <w:r>
        <w:rPr>
          <w:rFonts w:ascii="Arial" w:cs="Arial" w:eastAsia="Arial" w:hAnsi="Arial"/>
          <w:sz w:val="12"/>
          <w:szCs w:val="12"/>
          <w:color w:val="auto"/>
        </w:rPr>
        <w:t>Implied DCF Available to Common Unitholders for the period divided by the weighted average common units outstanding for the period.</w:t>
      </w:r>
    </w:p>
    <w:p>
      <w:pPr>
        <w:spacing w:after="0" w:line="48" w:lineRule="exact"/>
        <w:rPr>
          <w:rFonts w:ascii="Arial" w:cs="Arial" w:eastAsia="Arial" w:hAnsi="Arial"/>
          <w:sz w:val="15"/>
          <w:szCs w:val="15"/>
          <w:color w:val="auto"/>
          <w:vertAlign w:val="superscript"/>
        </w:rPr>
      </w:pPr>
    </w:p>
    <w:p>
      <w:pPr>
        <w:ind w:left="340" w:right="40" w:hanging="332"/>
        <w:spacing w:after="0" w:line="262" w:lineRule="auto"/>
        <w:tabs>
          <w:tab w:leader="none" w:pos="334" w:val="left"/>
        </w:tabs>
        <w:numPr>
          <w:ilvl w:val="0"/>
          <w:numId w:val="19"/>
        </w:numPr>
        <w:rPr>
          <w:rFonts w:ascii="Arial" w:cs="Arial" w:eastAsia="Arial" w:hAnsi="Arial"/>
          <w:sz w:val="13"/>
          <w:szCs w:val="13"/>
          <w:color w:val="auto"/>
          <w:vertAlign w:val="superscript"/>
        </w:rPr>
      </w:pPr>
      <w:r>
        <w:rPr>
          <w:rFonts w:ascii="Arial" w:cs="Arial" w:eastAsia="Arial" w:hAnsi="Arial"/>
          <w:sz w:val="10"/>
          <w:szCs w:val="10"/>
          <w:color w:val="auto"/>
        </w:rPr>
        <w:t>Implied DCF Available to Common Unitholders for the period, adjusted for Series A preferred unit cash distributions paid, divided by the weighted average common units and common equivalent units outstanding for the period. Our Series A preferred units are convertible into common units, generally on a one-for-one basis and subject to customary anti-dilution adjustments, in whole or in part, subject to certain minimum conversion amounts.</w:t>
      </w:r>
    </w:p>
    <w:p>
      <w:pPr>
        <w:spacing w:after="0" w:line="262" w:lineRule="exact"/>
        <w:rPr>
          <w:rFonts w:ascii="Arial" w:cs="Arial" w:eastAsia="Arial" w:hAnsi="Arial"/>
          <w:sz w:val="13"/>
          <w:szCs w:val="13"/>
          <w:color w:val="auto"/>
          <w:vertAlign w:val="superscript"/>
        </w:rPr>
      </w:pPr>
    </w:p>
    <w:p>
      <w:pPr>
        <w:ind w:left="5440" w:hanging="106"/>
        <w:spacing w:after="0"/>
        <w:tabs>
          <w:tab w:leader="none" w:pos="54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Page 19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Income/(Loss) Per Common Unit to Implied DCF Per Common Unit and Common Equivalent Unit Reconciliations: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6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6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396"/>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6"/>
                <w:szCs w:val="16"/>
                <w:color w:val="auto"/>
              </w:rPr>
            </w:pPr>
          </w:p>
        </w:tc>
      </w:tr>
      <w:tr>
        <w:trPr>
          <w:trHeight w:val="196"/>
        </w:trPr>
        <w:tc>
          <w:tcPr>
            <w:tcW w:w="62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2019</w:t>
            </w:r>
          </w:p>
        </w:tc>
      </w:tr>
      <w:tr>
        <w:trPr>
          <w:trHeight w:val="249"/>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unit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ind w:left="136"/>
              <w:spacing w:after="0"/>
              <w:rPr>
                <w:sz w:val="20"/>
                <w:szCs w:val="20"/>
                <w:color w:val="auto"/>
              </w:rPr>
            </w:pPr>
            <w:r>
              <w:rPr>
                <w:rFonts w:ascii="Arial" w:cs="Arial" w:eastAsia="Arial" w:hAnsi="Arial"/>
                <w:sz w:val="18"/>
                <w:szCs w:val="18"/>
                <w:color w:val="auto"/>
                <w:w w:val="93"/>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center"/>
              <w:ind w:left="53"/>
              <w:spacing w:after="0"/>
              <w:rPr>
                <w:sz w:val="20"/>
                <w:szCs w:val="20"/>
                <w:color w:val="auto"/>
              </w:rPr>
            </w:pPr>
            <w:r>
              <w:rPr>
                <w:rFonts w:ascii="Arial" w:cs="Arial" w:eastAsia="Arial" w:hAnsi="Arial"/>
                <w:sz w:val="18"/>
                <w:szCs w:val="18"/>
                <w:color w:val="auto"/>
                <w:w w:val="85"/>
              </w:rPr>
              <w:t>1.80</w:t>
            </w:r>
          </w:p>
        </w:tc>
      </w:tr>
      <w:tr>
        <w:trPr>
          <w:trHeight w:val="27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(2)</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left="176"/>
              <w:spacing w:after="0"/>
              <w:rPr>
                <w:sz w:val="20"/>
                <w:szCs w:val="20"/>
                <w:color w:val="auto"/>
              </w:rPr>
            </w:pPr>
            <w:r>
              <w:rPr>
                <w:rFonts w:ascii="Arial" w:cs="Arial" w:eastAsia="Arial" w:hAnsi="Arial"/>
                <w:sz w:val="18"/>
                <w:szCs w:val="18"/>
                <w:color w:val="auto"/>
                <w:w w:val="91"/>
              </w:rPr>
              <w:t>5.08</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center"/>
              <w:ind w:left="33"/>
              <w:spacing w:after="0"/>
              <w:rPr>
                <w:sz w:val="20"/>
                <w:szCs w:val="20"/>
                <w:color w:val="auto"/>
              </w:rPr>
            </w:pPr>
            <w:r>
              <w:rPr>
                <w:rFonts w:ascii="Arial" w:cs="Arial" w:eastAsia="Arial" w:hAnsi="Arial"/>
                <w:sz w:val="18"/>
                <w:szCs w:val="18"/>
                <w:color w:val="auto"/>
                <w:w w:val="93"/>
              </w:rPr>
              <w:t>(0.17)</w:t>
            </w:r>
          </w:p>
        </w:tc>
      </w:tr>
      <w:tr>
        <w:trPr>
          <w:trHeight w:val="28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DCF per common unit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176"/>
              <w:spacing w:after="0"/>
              <w:rPr>
                <w:sz w:val="20"/>
                <w:szCs w:val="20"/>
                <w:color w:val="auto"/>
              </w:rPr>
            </w:pPr>
            <w:r>
              <w:rPr>
                <w:rFonts w:ascii="Arial" w:cs="Arial" w:eastAsia="Arial" w:hAnsi="Arial"/>
                <w:sz w:val="18"/>
                <w:szCs w:val="18"/>
                <w:color w:val="auto"/>
                <w:w w:val="91"/>
              </w:rPr>
              <w:t>1.23</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center"/>
              <w:ind w:left="53"/>
              <w:spacing w:after="0"/>
              <w:rPr>
                <w:sz w:val="20"/>
                <w:szCs w:val="20"/>
                <w:color w:val="auto"/>
              </w:rPr>
            </w:pPr>
            <w:r>
              <w:rPr>
                <w:rFonts w:ascii="Arial" w:cs="Arial" w:eastAsia="Arial" w:hAnsi="Arial"/>
                <w:sz w:val="18"/>
                <w:szCs w:val="18"/>
                <w:color w:val="auto"/>
                <w:w w:val="85"/>
              </w:rPr>
              <w:t>1.63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unit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ind w:left="136"/>
              <w:spacing w:after="0"/>
              <w:rPr>
                <w:sz w:val="20"/>
                <w:szCs w:val="20"/>
                <w:color w:val="auto"/>
              </w:rPr>
            </w:pPr>
            <w:r>
              <w:rPr>
                <w:rFonts w:ascii="Arial" w:cs="Arial" w:eastAsia="Arial" w:hAnsi="Arial"/>
                <w:sz w:val="18"/>
                <w:szCs w:val="18"/>
                <w:color w:val="auto"/>
                <w:w w:val="93"/>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center"/>
              <w:ind w:left="53"/>
              <w:spacing w:after="0"/>
              <w:rPr>
                <w:sz w:val="20"/>
                <w:szCs w:val="20"/>
                <w:color w:val="auto"/>
              </w:rPr>
            </w:pPr>
            <w:r>
              <w:rPr>
                <w:rFonts w:ascii="Arial" w:cs="Arial" w:eastAsia="Arial" w:hAnsi="Arial"/>
                <w:sz w:val="18"/>
                <w:szCs w:val="18"/>
                <w:color w:val="auto"/>
                <w:w w:val="85"/>
              </w:rPr>
              <w:t>1.80</w:t>
            </w:r>
          </w:p>
        </w:tc>
      </w:tr>
      <w:tr>
        <w:trPr>
          <w:trHeight w:val="27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Reconciling items per common unit and common equivalent unit </w:t>
            </w:r>
            <w:r>
              <w:rPr>
                <w:rFonts w:ascii="Arial" w:cs="Arial" w:eastAsia="Arial" w:hAnsi="Arial"/>
                <w:sz w:val="23"/>
                <w:szCs w:val="23"/>
                <w:color w:val="auto"/>
                <w:vertAlign w:val="superscript"/>
              </w:rPr>
              <w:t>(1) (3)</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left="176"/>
              <w:spacing w:after="0"/>
              <w:rPr>
                <w:sz w:val="20"/>
                <w:szCs w:val="20"/>
                <w:color w:val="auto"/>
              </w:rPr>
            </w:pPr>
            <w:r>
              <w:rPr>
                <w:rFonts w:ascii="Arial" w:cs="Arial" w:eastAsia="Arial" w:hAnsi="Arial"/>
                <w:sz w:val="18"/>
                <w:szCs w:val="18"/>
                <w:color w:val="auto"/>
                <w:w w:val="91"/>
              </w:rPr>
              <w:t>5.06</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center"/>
              <w:ind w:left="33"/>
              <w:spacing w:after="0"/>
              <w:rPr>
                <w:sz w:val="20"/>
                <w:szCs w:val="20"/>
                <w:color w:val="auto"/>
              </w:rPr>
            </w:pPr>
            <w:r>
              <w:rPr>
                <w:rFonts w:ascii="Arial" w:cs="Arial" w:eastAsia="Arial" w:hAnsi="Arial"/>
                <w:sz w:val="18"/>
                <w:szCs w:val="18"/>
                <w:color w:val="auto"/>
                <w:w w:val="93"/>
              </w:rPr>
              <w:t>(0.22)</w:t>
            </w:r>
          </w:p>
        </w:tc>
      </w:tr>
      <w:tr>
        <w:trPr>
          <w:trHeight w:val="289"/>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DCF per common unit and common equivalent unit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176"/>
              <w:spacing w:after="0"/>
              <w:rPr>
                <w:sz w:val="20"/>
                <w:szCs w:val="20"/>
                <w:color w:val="auto"/>
              </w:rPr>
            </w:pPr>
            <w:r>
              <w:rPr>
                <w:rFonts w:ascii="Arial" w:cs="Arial" w:eastAsia="Arial" w:hAnsi="Arial"/>
                <w:sz w:val="18"/>
                <w:szCs w:val="18"/>
                <w:color w:val="auto"/>
                <w:w w:val="91"/>
              </w:rPr>
              <w:t>1.21</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center"/>
              <w:ind w:left="53"/>
              <w:spacing w:after="0"/>
              <w:rPr>
                <w:sz w:val="20"/>
                <w:szCs w:val="20"/>
                <w:color w:val="auto"/>
              </w:rPr>
            </w:pPr>
            <w:r>
              <w:rPr>
                <w:rFonts w:ascii="Arial" w:cs="Arial" w:eastAsia="Arial" w:hAnsi="Arial"/>
                <w:sz w:val="18"/>
                <w:szCs w:val="18"/>
                <w:color w:val="auto"/>
                <w:w w:val="85"/>
              </w:rPr>
              <w:t>1.58</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59"/>
        </w:trPr>
        <w:tc>
          <w:tcPr>
            <w:tcW w:w="6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3"/>
              </w:rPr>
              <w:t>Twelve Months Ended</w:t>
            </w:r>
          </w:p>
        </w:tc>
      </w:tr>
      <w:tr>
        <w:trPr>
          <w:trHeight w:val="192"/>
        </w:trPr>
        <w:tc>
          <w:tcPr>
            <w:tcW w:w="6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396"/>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16"/>
                <w:szCs w:val="16"/>
                <w:color w:val="auto"/>
              </w:rPr>
            </w:pPr>
          </w:p>
        </w:tc>
      </w:tr>
      <w:tr>
        <w:trPr>
          <w:trHeight w:val="196"/>
        </w:trPr>
        <w:tc>
          <w:tcPr>
            <w:tcW w:w="62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per common unit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ind w:left="176"/>
              <w:spacing w:after="0"/>
              <w:rPr>
                <w:sz w:val="20"/>
                <w:szCs w:val="20"/>
                <w:color w:val="auto"/>
              </w:rPr>
            </w:pPr>
            <w:r>
              <w:rPr>
                <w:rFonts w:ascii="Arial" w:cs="Arial" w:eastAsia="Arial" w:hAnsi="Arial"/>
                <w:sz w:val="18"/>
                <w:szCs w:val="18"/>
                <w:color w:val="auto"/>
                <w:w w:val="91"/>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center"/>
              <w:ind w:left="53"/>
              <w:spacing w:after="0"/>
              <w:rPr>
                <w:sz w:val="20"/>
                <w:szCs w:val="20"/>
                <w:color w:val="auto"/>
              </w:rPr>
            </w:pPr>
            <w:r>
              <w:rPr>
                <w:rFonts w:ascii="Arial" w:cs="Arial" w:eastAsia="Arial" w:hAnsi="Arial"/>
                <w:sz w:val="18"/>
                <w:szCs w:val="18"/>
                <w:color w:val="auto"/>
                <w:w w:val="85"/>
              </w:rPr>
              <w:t>2.77</w:t>
            </w:r>
          </w:p>
        </w:tc>
      </w:tr>
      <w:tr>
        <w:trPr>
          <w:trHeight w:val="27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(4)</w:t>
            </w:r>
          </w:p>
        </w:tc>
        <w:tc>
          <w:tcPr>
            <w:tcW w:w="26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left="176"/>
              <w:spacing w:after="0"/>
              <w:rPr>
                <w:sz w:val="20"/>
                <w:szCs w:val="20"/>
                <w:color w:val="auto"/>
              </w:rPr>
            </w:pPr>
            <w:r>
              <w:rPr>
                <w:rFonts w:ascii="Arial" w:cs="Arial" w:eastAsia="Arial" w:hAnsi="Arial"/>
                <w:sz w:val="18"/>
                <w:szCs w:val="18"/>
                <w:color w:val="auto"/>
                <w:w w:val="91"/>
              </w:rPr>
              <w:t>0.29</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center"/>
              <w:ind w:left="33"/>
              <w:spacing w:after="0"/>
              <w:rPr>
                <w:sz w:val="20"/>
                <w:szCs w:val="20"/>
                <w:color w:val="auto"/>
              </w:rPr>
            </w:pPr>
            <w:r>
              <w:rPr>
                <w:rFonts w:ascii="Arial" w:cs="Arial" w:eastAsia="Arial" w:hAnsi="Arial"/>
                <w:sz w:val="18"/>
                <w:szCs w:val="18"/>
                <w:color w:val="auto"/>
                <w:w w:val="93"/>
              </w:rPr>
              <w:t>(0.31)</w:t>
            </w:r>
          </w:p>
        </w:tc>
      </w:tr>
      <w:tr>
        <w:trPr>
          <w:trHeight w:val="28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DCF per common unit</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176"/>
              <w:spacing w:after="0"/>
              <w:rPr>
                <w:sz w:val="20"/>
                <w:szCs w:val="20"/>
                <w:color w:val="auto"/>
              </w:rPr>
            </w:pPr>
            <w:r>
              <w:rPr>
                <w:rFonts w:ascii="Arial" w:cs="Arial" w:eastAsia="Arial" w:hAnsi="Arial"/>
                <w:sz w:val="18"/>
                <w:szCs w:val="18"/>
                <w:color w:val="auto"/>
                <w:w w:val="91"/>
              </w:rPr>
              <w:t>2.99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center"/>
              <w:ind w:left="53"/>
              <w:spacing w:after="0"/>
              <w:rPr>
                <w:sz w:val="20"/>
                <w:szCs w:val="20"/>
                <w:color w:val="auto"/>
              </w:rPr>
            </w:pPr>
            <w:r>
              <w:rPr>
                <w:rFonts w:ascii="Arial" w:cs="Arial" w:eastAsia="Arial" w:hAnsi="Arial"/>
                <w:sz w:val="18"/>
                <w:szCs w:val="18"/>
                <w:color w:val="auto"/>
                <w:w w:val="85"/>
              </w:rPr>
              <w:t>2.46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per common unit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ind w:left="176"/>
              <w:spacing w:after="0"/>
              <w:rPr>
                <w:sz w:val="20"/>
                <w:szCs w:val="20"/>
                <w:color w:val="auto"/>
              </w:rPr>
            </w:pPr>
            <w:r>
              <w:rPr>
                <w:rFonts w:ascii="Arial" w:cs="Arial" w:eastAsia="Arial" w:hAnsi="Arial"/>
                <w:sz w:val="18"/>
                <w:szCs w:val="18"/>
                <w:color w:val="auto"/>
                <w:w w:val="91"/>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center"/>
              <w:ind w:left="53"/>
              <w:spacing w:after="0"/>
              <w:rPr>
                <w:sz w:val="20"/>
                <w:szCs w:val="20"/>
                <w:color w:val="auto"/>
              </w:rPr>
            </w:pPr>
            <w:r>
              <w:rPr>
                <w:rFonts w:ascii="Arial" w:cs="Arial" w:eastAsia="Arial" w:hAnsi="Arial"/>
                <w:sz w:val="18"/>
                <w:szCs w:val="18"/>
                <w:color w:val="auto"/>
                <w:w w:val="85"/>
              </w:rPr>
              <w:t>2.77</w:t>
            </w:r>
          </w:p>
        </w:tc>
      </w:tr>
      <w:tr>
        <w:trPr>
          <w:trHeight w:val="27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Reconciling items per common unit and common equivalent unit </w:t>
            </w:r>
            <w:r>
              <w:rPr>
                <w:rFonts w:ascii="Arial" w:cs="Arial" w:eastAsia="Arial" w:hAnsi="Arial"/>
                <w:sz w:val="23"/>
                <w:szCs w:val="23"/>
                <w:color w:val="auto"/>
                <w:vertAlign w:val="superscript"/>
              </w:rPr>
              <w:t>(1) (5)</w:t>
            </w:r>
          </w:p>
        </w:tc>
        <w:tc>
          <w:tcPr>
            <w:tcW w:w="26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left="176"/>
              <w:spacing w:after="0"/>
              <w:rPr>
                <w:sz w:val="20"/>
                <w:szCs w:val="20"/>
                <w:color w:val="auto"/>
              </w:rPr>
            </w:pPr>
            <w:r>
              <w:rPr>
                <w:rFonts w:ascii="Arial" w:cs="Arial" w:eastAsia="Arial" w:hAnsi="Arial"/>
                <w:sz w:val="18"/>
                <w:szCs w:val="18"/>
                <w:color w:val="auto"/>
                <w:w w:val="91"/>
              </w:rPr>
              <w:t>0.21</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center"/>
              <w:ind w:left="33"/>
              <w:spacing w:after="0"/>
              <w:rPr>
                <w:sz w:val="20"/>
                <w:szCs w:val="20"/>
                <w:color w:val="auto"/>
              </w:rPr>
            </w:pPr>
            <w:r>
              <w:rPr>
                <w:rFonts w:ascii="Arial" w:cs="Arial" w:eastAsia="Arial" w:hAnsi="Arial"/>
                <w:sz w:val="18"/>
                <w:szCs w:val="18"/>
                <w:color w:val="auto"/>
                <w:w w:val="93"/>
              </w:rPr>
              <w:t>(0.39)</w:t>
            </w:r>
          </w:p>
        </w:tc>
      </w:tr>
      <w:tr>
        <w:trPr>
          <w:trHeight w:val="28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DCF per common unit and common equivalent unit</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176"/>
              <w:spacing w:after="0"/>
              <w:rPr>
                <w:sz w:val="20"/>
                <w:szCs w:val="20"/>
                <w:color w:val="auto"/>
              </w:rPr>
            </w:pPr>
            <w:r>
              <w:rPr>
                <w:rFonts w:ascii="Arial" w:cs="Arial" w:eastAsia="Arial" w:hAnsi="Arial"/>
                <w:sz w:val="18"/>
                <w:szCs w:val="18"/>
                <w:color w:val="auto"/>
                <w:w w:val="91"/>
              </w:rPr>
              <w:t>2.91</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center"/>
              <w:ind w:left="53"/>
              <w:spacing w:after="0"/>
              <w:rPr>
                <w:sz w:val="20"/>
                <w:szCs w:val="20"/>
                <w:color w:val="auto"/>
              </w:rPr>
            </w:pPr>
            <w:r>
              <w:rPr>
                <w:rFonts w:ascii="Arial" w:cs="Arial" w:eastAsia="Arial" w:hAnsi="Arial"/>
                <w:sz w:val="18"/>
                <w:szCs w:val="18"/>
                <w:color w:val="auto"/>
                <w:w w:val="85"/>
              </w:rPr>
              <w:t>2.38</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0" w:right="80" w:hanging="332"/>
        <w:spacing w:after="0" w:line="227" w:lineRule="auto"/>
        <w:tabs>
          <w:tab w:leader="none" w:pos="32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to Net Income to calculate Implied DCF Available to Common Unitholders. See the “Net Income/(Loss) to Adjusted EBITDA and Implied DCF Reconciliation” table for additional information.</w:t>
      </w:r>
    </w:p>
    <w:p>
      <w:pPr>
        <w:spacing w:after="0" w:line="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728 million, 727 million, 728 million and 727 million, respectively.</w:t>
      </w:r>
    </w:p>
    <w:p>
      <w:pPr>
        <w:spacing w:after="0" w:line="55" w:lineRule="exact"/>
        <w:rPr>
          <w:rFonts w:ascii="Arial" w:cs="Arial" w:eastAsia="Arial" w:hAnsi="Arial"/>
          <w:sz w:val="23"/>
          <w:szCs w:val="23"/>
          <w:color w:val="auto"/>
          <w:vertAlign w:val="superscript"/>
        </w:rPr>
      </w:pPr>
    </w:p>
    <w:p>
      <w:pPr>
        <w:ind w:left="340" w:right="240" w:hanging="332"/>
        <w:spacing w:after="0" w:line="219" w:lineRule="auto"/>
        <w:tabs>
          <w:tab w:leader="none" w:pos="32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of 71 million for each of the periods presented.</w:t>
      </w:r>
    </w:p>
    <w:p>
      <w:pPr>
        <w:spacing w:after="0" w:line="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727 million and 726 million, respectively.</w:t>
      </w:r>
    </w:p>
    <w:p>
      <w:pPr>
        <w:spacing w:after="0" w:line="55" w:lineRule="exact"/>
        <w:rPr>
          <w:rFonts w:ascii="Arial" w:cs="Arial" w:eastAsia="Arial" w:hAnsi="Arial"/>
          <w:sz w:val="23"/>
          <w:szCs w:val="23"/>
          <w:color w:val="auto"/>
          <w:vertAlign w:val="superscript"/>
        </w:rPr>
      </w:pPr>
    </w:p>
    <w:p>
      <w:pPr>
        <w:ind w:left="340" w:right="240" w:hanging="332"/>
        <w:spacing w:after="0" w:line="219" w:lineRule="auto"/>
        <w:tabs>
          <w:tab w:leader="none" w:pos="32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of 71 million for each of the periods presented.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Page 20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6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96"/>
        </w:trPr>
        <w:tc>
          <w:tcPr>
            <w:tcW w:w="62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r>
      <w:tr>
        <w:trPr>
          <w:trHeight w:val="216"/>
        </w:trPr>
        <w:tc>
          <w:tcPr>
            <w:tcW w:w="6280" w:type="dxa"/>
            <w:vAlign w:val="bottom"/>
            <w:shd w:val="clear" w:color="auto" w:fill="CCEEFF"/>
          </w:tcPr>
          <w:p>
            <w:pPr>
              <w:ind w:left="20"/>
              <w:spacing w:after="0" w:line="215" w:lineRule="exact"/>
              <w:rPr>
                <w:sz w:val="20"/>
                <w:szCs w:val="20"/>
                <w:color w:val="auto"/>
              </w:rPr>
            </w:pPr>
            <w:r>
              <w:rPr>
                <w:rFonts w:ascii="Arial" w:cs="Arial" w:eastAsia="Arial" w:hAnsi="Arial"/>
                <w:sz w:val="18"/>
                <w:szCs w:val="18"/>
                <w:b w:val="1"/>
                <w:bCs w:val="1"/>
                <w:color w:val="auto"/>
                <w:w w:val="99"/>
              </w:rPr>
              <w:t xml:space="preserve">Free Cash Flow and Free Cash Flow After Distributions Reconciliation </w:t>
            </w:r>
            <w:r>
              <w:rPr>
                <w:rFonts w:ascii="Arial" w:cs="Arial" w:eastAsia="Arial" w:hAnsi="Arial"/>
                <w:sz w:val="23"/>
                <w:szCs w:val="23"/>
                <w:b w:val="1"/>
                <w:bCs w:val="1"/>
                <w:color w:val="auto"/>
                <w:w w:val="99"/>
                <w:vertAlign w:val="superscript"/>
              </w:rPr>
              <w:t>(1)</w:t>
            </w:r>
            <w:r>
              <w:rPr>
                <w:rFonts w:ascii="Arial" w:cs="Arial" w:eastAsia="Arial" w:hAnsi="Arial"/>
                <w:sz w:val="18"/>
                <w:szCs w:val="18"/>
                <w:b w:val="1"/>
                <w:bCs w:val="1"/>
                <w:color w:val="auto"/>
                <w:w w:val="99"/>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1,464</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Adjustments to reconcile net cash provided by operating activities to free cash flow:</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(978)</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contributions from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70"/>
        </w:trPr>
        <w:tc>
          <w:tcPr>
            <w:tcW w:w="6280" w:type="dxa"/>
            <w:vAlign w:val="bottom"/>
          </w:tcPr>
          <w:p>
            <w:pPr>
              <w:ind w:left="140"/>
              <w:spacing w:after="0"/>
              <w:rPr>
                <w:sz w:val="20"/>
                <w:szCs w:val="20"/>
                <w:color w:val="auto"/>
              </w:rPr>
            </w:pPr>
            <w:r>
              <w:rPr>
                <w:rFonts w:ascii="Arial" w:cs="Arial" w:eastAsia="Arial" w:hAnsi="Arial"/>
                <w:sz w:val="18"/>
                <w:szCs w:val="18"/>
                <w:color w:val="auto"/>
              </w:rPr>
              <w:t xml:space="preserve">Cash distributions paid to noncontrolling interests </w:t>
            </w:r>
            <w:r>
              <w:rPr>
                <w:rFonts w:ascii="Arial" w:cs="Arial" w:eastAsia="Arial" w:hAnsi="Arial"/>
                <w:sz w:val="23"/>
                <w:szCs w:val="23"/>
                <w:color w:val="auto"/>
                <w:vertAlign w:val="superscript"/>
              </w:rPr>
              <w:t>(2)</w:t>
            </w:r>
          </w:p>
        </w:tc>
        <w:tc>
          <w:tcPr>
            <w:tcW w:w="26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Sale of noncontrolling interest in a subsidiary</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128</w:t>
            </w:r>
          </w:p>
        </w:tc>
      </w:tr>
      <w:tr>
        <w:trPr>
          <w:trHeight w:val="237"/>
        </w:trPr>
        <w:tc>
          <w:tcPr>
            <w:tcW w:w="628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614</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Cash distributions </w:t>
            </w:r>
            <w:r>
              <w:rPr>
                <w:rFonts w:ascii="Arial" w:cs="Arial" w:eastAsia="Arial" w:hAnsi="Arial"/>
                <w:sz w:val="23"/>
                <w:szCs w:val="23"/>
                <w:color w:val="auto"/>
                <w:vertAlign w:val="superscript"/>
              </w:rPr>
              <w:t>(3)</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(579)</w:t>
            </w:r>
          </w:p>
        </w:tc>
      </w:tr>
      <w:tr>
        <w:trPr>
          <w:trHeight w:val="263"/>
        </w:trPr>
        <w:tc>
          <w:tcPr>
            <w:tcW w:w="6280" w:type="dxa"/>
            <w:vAlign w:val="bottom"/>
          </w:tcPr>
          <w:p>
            <w:pPr>
              <w:ind w:left="20"/>
              <w:spacing w:after="0"/>
              <w:rPr>
                <w:sz w:val="20"/>
                <w:szCs w:val="20"/>
                <w:color w:val="auto"/>
              </w:rPr>
            </w:pPr>
            <w:r>
              <w:rPr>
                <w:rFonts w:ascii="Arial" w:cs="Arial" w:eastAsia="Arial" w:hAnsi="Arial"/>
                <w:sz w:val="18"/>
                <w:szCs w:val="18"/>
                <w:color w:val="auto"/>
              </w:rPr>
              <w:t>Free cash flow after distributions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35</w:t>
            </w:r>
          </w:p>
        </w:tc>
      </w:tr>
      <w:tr>
        <w:trPr>
          <w:trHeight w:val="21"/>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0" w:right="420" w:hanging="332"/>
        <w:spacing w:after="0" w:line="227" w:lineRule="auto"/>
        <w:tabs>
          <w:tab w:leader="none" w:pos="32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Management uses the Non-GAAP financial measures Free Cash Flow and Free Cash Flow After Distributions to assess the amount of cash that is available for distributions, debt repayments and other general partnership purposes.</w:t>
      </w:r>
    </w:p>
    <w:p>
      <w:pPr>
        <w:spacing w:after="0" w:line="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55"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to preferred and common unitholders during the period.</w:t>
      </w:r>
    </w:p>
    <w:p>
      <w:pPr>
        <w:spacing w:after="0" w:line="56" w:lineRule="exact"/>
        <w:rPr>
          <w:rFonts w:ascii="Arial" w:cs="Arial" w:eastAsia="Arial" w:hAnsi="Arial"/>
          <w:sz w:val="23"/>
          <w:szCs w:val="23"/>
          <w:color w:val="auto"/>
          <w:vertAlign w:val="superscript"/>
        </w:rPr>
      </w:pPr>
    </w:p>
    <w:p>
      <w:pPr>
        <w:ind w:left="5440" w:hanging="106"/>
        <w:spacing w:after="0"/>
        <w:tabs>
          <w:tab w:leader="none" w:pos="54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9"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Page 21</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June 30, 2020</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June 30, 2019</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5"/>
              </w:rPr>
              <w:t>Transportation</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w w:val="93"/>
              </w:rPr>
              <w:t>Facilities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Supply and</w:t>
            </w:r>
          </w:p>
        </w:tc>
        <w:tc>
          <w:tcPr>
            <w:tcW w:w="120" w:type="dxa"/>
            <w:vAlign w:val="bottom"/>
          </w:tcPr>
          <w:p>
            <w:pPr>
              <w:spacing w:after="0"/>
              <w:rPr>
                <w:sz w:val="13"/>
                <w:szCs w:val="13"/>
                <w:color w:val="auto"/>
              </w:rPr>
            </w:pPr>
          </w:p>
        </w:tc>
        <w:tc>
          <w:tcPr>
            <w:tcW w:w="11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7"/>
              </w:rPr>
              <w:t>Transportation</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93"/>
              </w:rPr>
              <w:t>Facilities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12"/>
              <w:spacing w:after="0" w:line="153" w:lineRule="exact"/>
              <w:rPr>
                <w:sz w:val="20"/>
                <w:szCs w:val="20"/>
                <w:color w:val="auto"/>
              </w:rPr>
            </w:pPr>
            <w:r>
              <w:rPr>
                <w:rFonts w:ascii="Arial" w:cs="Arial" w:eastAsia="Arial" w:hAnsi="Arial"/>
                <w:sz w:val="14"/>
                <w:szCs w:val="14"/>
                <w:b w:val="1"/>
                <w:bCs w:val="1"/>
                <w:color w:val="auto"/>
              </w:rPr>
              <w:t>Supply and</w:t>
            </w:r>
          </w:p>
        </w:tc>
        <w:tc>
          <w:tcPr>
            <w:tcW w:w="0" w:type="dxa"/>
            <w:vAlign w:val="bottom"/>
          </w:tcPr>
          <w:p>
            <w:pPr>
              <w:spacing w:after="0"/>
              <w:rPr>
                <w:sz w:val="1"/>
                <w:szCs w:val="1"/>
                <w:color w:val="auto"/>
              </w:rPr>
            </w:pPr>
          </w:p>
        </w:tc>
      </w:tr>
      <w:tr>
        <w:trPr>
          <w:trHeight w:val="192"/>
        </w:trPr>
        <w:tc>
          <w:tcPr>
            <w:tcW w:w="30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Logistics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7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457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2,925</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559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7,915</w:t>
            </w:r>
          </w:p>
        </w:tc>
        <w:tc>
          <w:tcPr>
            <w:tcW w:w="0" w:type="dxa"/>
            <w:vAlign w:val="bottom"/>
          </w:tcPr>
          <w:p>
            <w:pPr>
              <w:spacing w:after="0"/>
              <w:rPr>
                <w:sz w:val="1"/>
                <w:szCs w:val="1"/>
                <w:color w:val="auto"/>
              </w:rPr>
            </w:pPr>
          </w:p>
        </w:tc>
      </w:tr>
      <w:tr>
        <w:trPr>
          <w:trHeight w:val="270"/>
        </w:trPr>
        <w:tc>
          <w:tcPr>
            <w:tcW w:w="3000" w:type="dxa"/>
            <w:vAlign w:val="bottom"/>
          </w:tcPr>
          <w:p>
            <w:pPr>
              <w:ind w:left="20"/>
              <w:spacing w:after="0"/>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2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(2,903)</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7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76"/>
        </w:trPr>
        <w:tc>
          <w:tcPr>
            <w:tcW w:w="3000" w:type="dxa"/>
            <w:vAlign w:val="bottom"/>
          </w:tcPr>
          <w:p>
            <w:pPr>
              <w:ind w:left="20"/>
              <w:spacing w:after="0" w:line="176" w:lineRule="exact"/>
              <w:rPr>
                <w:sz w:val="20"/>
                <w:szCs w:val="20"/>
                <w:color w:val="auto"/>
              </w:rPr>
            </w:pPr>
            <w:r>
              <w:rPr>
                <w:rFonts w:ascii="Arial" w:cs="Arial" w:eastAsia="Arial" w:hAnsi="Arial"/>
                <w:sz w:val="18"/>
                <w:szCs w:val="18"/>
                <w:color w:val="auto"/>
              </w:rPr>
              <w:t>Segment general and administrative</w:t>
            </w:r>
          </w:p>
        </w:tc>
        <w:tc>
          <w:tcPr>
            <w:tcW w:w="120" w:type="dxa"/>
            <w:vAlign w:val="bottom"/>
          </w:tcPr>
          <w:p>
            <w:pPr>
              <w:spacing w:after="0"/>
              <w:rPr>
                <w:sz w:val="15"/>
                <w:szCs w:val="15"/>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ind w:right="32"/>
              <w:spacing w:after="0"/>
              <w:rPr>
                <w:sz w:val="20"/>
                <w:szCs w:val="20"/>
                <w:color w:val="auto"/>
              </w:rPr>
            </w:pPr>
            <w:r>
              <w:rPr>
                <w:rFonts w:ascii="Arial" w:cs="Arial" w:eastAsia="Arial" w:hAnsi="Arial"/>
                <w:sz w:val="18"/>
                <w:szCs w:val="18"/>
                <w:color w:val="auto"/>
              </w:rPr>
              <w:t>(21)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ind w:right="3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 earnings in unconsolidated</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entities</w:t>
            </w: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Depreciation and amortization of</w:t>
            </w:r>
          </w:p>
        </w:tc>
        <w:tc>
          <w:tcPr>
            <w:tcW w:w="120" w:type="dxa"/>
            <w:vAlign w:val="bottom"/>
          </w:tcPr>
          <w:p>
            <w:pPr>
              <w:spacing w:after="0"/>
              <w:rPr>
                <w:sz w:val="15"/>
                <w:szCs w:val="15"/>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right w:val="single" w:sz="8" w:color="auto"/>
            </w:tcBorders>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ind w:right="7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tcPr>
          <w:p>
            <w:pPr>
              <w:ind w:left="340"/>
              <w:spacing w:after="0"/>
              <w:rPr>
                <w:sz w:val="20"/>
                <w:szCs w:val="20"/>
                <w:color w:val="auto"/>
              </w:rPr>
            </w:pPr>
            <w:r>
              <w:rPr>
                <w:rFonts w:ascii="Arial" w:cs="Arial" w:eastAsia="Arial" w:hAnsi="Arial"/>
                <w:sz w:val="18"/>
                <w:szCs w:val="18"/>
                <w:color w:val="auto"/>
              </w:rPr>
              <w:t>unconsolidated entities</w:t>
            </w: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Borders>
              <w:right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(Gains)/losses from derivative</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4"/>
              </w:rPr>
              <w:t>activities, net of inventory valuation</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97</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Long-term inventory costing</w:t>
            </w:r>
          </w:p>
        </w:tc>
        <w:tc>
          <w:tcPr>
            <w:tcW w:w="120" w:type="dxa"/>
            <w:vAlign w:val="bottom"/>
          </w:tcPr>
          <w:p>
            <w:pPr>
              <w:spacing w:after="0"/>
              <w:rPr>
                <w:sz w:val="15"/>
                <w:szCs w:val="15"/>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60" w:type="dxa"/>
            <w:vAlign w:val="bottom"/>
            <w:vMerge w:val="restart"/>
          </w:tcPr>
          <w:p>
            <w:pPr>
              <w:jc w:val="right"/>
              <w:ind w:right="32"/>
              <w:spacing w:after="0"/>
              <w:rPr>
                <w:sz w:val="20"/>
                <w:szCs w:val="20"/>
                <w:color w:val="auto"/>
              </w:rPr>
            </w:pPr>
            <w:r>
              <w:rPr>
                <w:rFonts w:ascii="Arial" w:cs="Arial" w:eastAsia="Arial" w:hAnsi="Arial"/>
                <w:sz w:val="18"/>
                <w:szCs w:val="18"/>
                <w:color w:val="auto"/>
              </w:rPr>
              <w:t>(51)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ind w:right="7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000" w:type="dxa"/>
            <w:vAlign w:val="bottom"/>
          </w:tcPr>
          <w:p>
            <w:pPr>
              <w:ind w:left="340"/>
              <w:spacing w:after="0"/>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6"/>
              </w:rPr>
              <w:t>Deficiencies under minimum volume</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net</w:t>
            </w: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00" w:type="dxa"/>
            <w:vAlign w:val="bottom"/>
          </w:tcPr>
          <w:p>
            <w:pPr>
              <w:ind w:left="180"/>
              <w:spacing w:after="0"/>
              <w:rPr>
                <w:sz w:val="20"/>
                <w:szCs w:val="20"/>
                <w:color w:val="auto"/>
              </w:rPr>
            </w:pPr>
            <w:r>
              <w:rPr>
                <w:rFonts w:ascii="Arial" w:cs="Arial" w:eastAsia="Arial" w:hAnsi="Arial"/>
                <w:sz w:val="18"/>
                <w:szCs w:val="18"/>
                <w:color w:val="auto"/>
                <w:w w:val="90"/>
              </w:rPr>
              <w:t>Equity-indexed compensation expense</w:t>
            </w:r>
          </w:p>
        </w:tc>
        <w:tc>
          <w:tcPr>
            <w:tcW w:w="120" w:type="dxa"/>
            <w:vAlign w:val="bottom"/>
          </w:tcPr>
          <w:p>
            <w:pPr>
              <w:spacing w:after="0"/>
              <w:rPr>
                <w:sz w:val="23"/>
                <w:szCs w:val="23"/>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loss on foreign currency</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revaluation</w:t>
            </w: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Line 901 incident</w:t>
            </w: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410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55"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Field operating costs and Segment general and administrative expenses include equity-indexed compensation expense.</w:t>
      </w:r>
    </w:p>
    <w:p>
      <w:pPr>
        <w:spacing w:after="0" w:line="56" w:lineRule="exact"/>
        <w:rPr>
          <w:rFonts w:ascii="Arial" w:cs="Arial" w:eastAsia="Arial" w:hAnsi="Arial"/>
          <w:sz w:val="23"/>
          <w:szCs w:val="23"/>
          <w:color w:val="auto"/>
          <w:vertAlign w:val="superscript"/>
        </w:rPr>
      </w:pPr>
    </w:p>
    <w:p>
      <w:pPr>
        <w:ind w:left="340" w:right="80" w:hanging="332"/>
        <w:spacing w:after="0" w:line="246" w:lineRule="auto"/>
        <w:tabs>
          <w:tab w:leader="none" w:pos="328"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3" w:lineRule="exact"/>
        <w:rPr>
          <w:rFonts w:ascii="Arial" w:cs="Arial" w:eastAsia="Arial" w:hAnsi="Arial"/>
          <w:sz w:val="21"/>
          <w:szCs w:val="21"/>
          <w:color w:val="auto"/>
          <w:vertAlign w:val="superscript"/>
        </w:rPr>
      </w:pPr>
    </w:p>
    <w:p>
      <w:pPr>
        <w:ind w:left="340" w:right="120" w:hanging="332"/>
        <w:spacing w:after="0" w:line="234" w:lineRule="auto"/>
        <w:tabs>
          <w:tab w:leader="none" w:pos="328"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Page 22</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2020</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June 30, 2019</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Transportation</w:t>
            </w:r>
          </w:p>
        </w:tc>
        <w:tc>
          <w:tcPr>
            <w:tcW w:w="14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Facilities</w:t>
            </w:r>
          </w:p>
        </w:tc>
        <w:tc>
          <w:tcPr>
            <w:tcW w:w="200" w:type="dxa"/>
            <w:vAlign w:val="bottom"/>
          </w:tcPr>
          <w:p>
            <w:pPr>
              <w:spacing w:after="0"/>
              <w:rPr>
                <w:sz w:val="13"/>
                <w:szCs w:val="13"/>
                <w:color w:val="auto"/>
              </w:rPr>
            </w:pPr>
          </w:p>
        </w:tc>
        <w:tc>
          <w:tcPr>
            <w:tcW w:w="128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92"/>
              </w:rPr>
              <w:t>Supply and</w:t>
            </w:r>
          </w:p>
        </w:tc>
        <w:tc>
          <w:tcPr>
            <w:tcW w:w="12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Facilities</w:t>
            </w:r>
          </w:p>
        </w:tc>
        <w:tc>
          <w:tcPr>
            <w:tcW w:w="180" w:type="dxa"/>
            <w:vAlign w:val="bottom"/>
          </w:tcPr>
          <w:p>
            <w:pPr>
              <w:spacing w:after="0"/>
              <w:rPr>
                <w:sz w:val="13"/>
                <w:szCs w:val="13"/>
                <w:color w:val="auto"/>
              </w:rPr>
            </w:pPr>
          </w:p>
        </w:tc>
        <w:tc>
          <w:tcPr>
            <w:tcW w:w="1080" w:type="dxa"/>
            <w:vAlign w:val="bottom"/>
          </w:tcPr>
          <w:p>
            <w:pPr>
              <w:jc w:val="right"/>
              <w:ind w:right="212"/>
              <w:spacing w:after="0" w:line="153" w:lineRule="exact"/>
              <w:rPr>
                <w:sz w:val="20"/>
                <w:szCs w:val="20"/>
                <w:color w:val="auto"/>
              </w:rPr>
            </w:pPr>
            <w:r>
              <w:rPr>
                <w:rFonts w:ascii="Arial" w:cs="Arial" w:eastAsia="Arial" w:hAnsi="Arial"/>
                <w:sz w:val="14"/>
                <w:szCs w:val="14"/>
                <w:b w:val="1"/>
                <w:bCs w:val="1"/>
                <w:color w:val="auto"/>
              </w:rPr>
              <w:t>Supply and</w:t>
            </w:r>
          </w:p>
        </w:tc>
        <w:tc>
          <w:tcPr>
            <w:tcW w:w="0" w:type="dxa"/>
            <w:vAlign w:val="bottom"/>
          </w:tcPr>
          <w:p>
            <w:pPr>
              <w:spacing w:after="0"/>
              <w:rPr>
                <w:sz w:val="1"/>
                <w:szCs w:val="1"/>
                <w:color w:val="auto"/>
              </w:rPr>
            </w:pPr>
          </w:p>
        </w:tc>
      </w:tr>
      <w:tr>
        <w:trPr>
          <w:trHeight w:val="192"/>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Logistics</w:t>
            </w: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272"/>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70"/>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1,036</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589</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10,834</w:t>
            </w:r>
          </w:p>
        </w:tc>
        <w:tc>
          <w:tcPr>
            <w:tcW w:w="120" w:type="dxa"/>
            <w:vAlign w:val="bottom"/>
            <w:tcBorders>
              <w:top w:val="single" w:sz="8" w:color="CCEEFF"/>
              <w:right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1,115</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589</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15,938</w:t>
            </w:r>
          </w:p>
        </w:tc>
        <w:tc>
          <w:tcPr>
            <w:tcW w:w="0" w:type="dxa"/>
            <w:vAlign w:val="bottom"/>
          </w:tcPr>
          <w:p>
            <w:pPr>
              <w:spacing w:after="0"/>
              <w:rPr>
                <w:sz w:val="1"/>
                <w:szCs w:val="1"/>
                <w:color w:val="auto"/>
              </w:rPr>
            </w:pPr>
          </w:p>
        </w:tc>
      </w:tr>
      <w:tr>
        <w:trPr>
          <w:trHeight w:val="270"/>
        </w:trPr>
        <w:tc>
          <w:tcPr>
            <w:tcW w:w="3000" w:type="dxa"/>
            <w:vAlign w:val="bottom"/>
          </w:tcPr>
          <w:p>
            <w:pPr>
              <w:ind w:left="20"/>
              <w:spacing w:after="0"/>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2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(10,717)</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(15,262)</w:t>
            </w:r>
          </w:p>
        </w:tc>
        <w:tc>
          <w:tcPr>
            <w:tcW w:w="0" w:type="dxa"/>
            <w:vAlign w:val="bottom"/>
          </w:tcPr>
          <w:p>
            <w:pPr>
              <w:spacing w:after="0"/>
              <w:rPr>
                <w:sz w:val="1"/>
                <w:szCs w:val="1"/>
                <w:color w:val="auto"/>
              </w:rPr>
            </w:pPr>
          </w:p>
        </w:tc>
      </w:tr>
      <w:tr>
        <w:trPr>
          <w:trHeight w:val="27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(103)</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75"/>
        </w:trPr>
        <w:tc>
          <w:tcPr>
            <w:tcW w:w="3000" w:type="dxa"/>
            <w:vAlign w:val="bottom"/>
          </w:tcPr>
          <w:p>
            <w:pPr>
              <w:ind w:left="20"/>
              <w:spacing w:after="0" w:line="176" w:lineRule="exact"/>
              <w:rPr>
                <w:sz w:val="20"/>
                <w:szCs w:val="20"/>
                <w:color w:val="auto"/>
              </w:rPr>
            </w:pPr>
            <w:r>
              <w:rPr>
                <w:rFonts w:ascii="Arial" w:cs="Arial" w:eastAsia="Arial" w:hAnsi="Arial"/>
                <w:sz w:val="18"/>
                <w:szCs w:val="18"/>
                <w:color w:val="auto"/>
              </w:rPr>
              <w:t>Segment general and administrative</w:t>
            </w:r>
          </w:p>
        </w:tc>
        <w:tc>
          <w:tcPr>
            <w:tcW w:w="120" w:type="dxa"/>
            <w:vAlign w:val="bottom"/>
          </w:tcPr>
          <w:p>
            <w:pPr>
              <w:spacing w:after="0"/>
              <w:rPr>
                <w:sz w:val="15"/>
                <w:szCs w:val="15"/>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vMerge w:val="restart"/>
          </w:tcPr>
          <w:p>
            <w:pPr>
              <w:jc w:val="right"/>
              <w:ind w:right="32"/>
              <w:spacing w:after="0"/>
              <w:rPr>
                <w:sz w:val="20"/>
                <w:szCs w:val="20"/>
                <w:color w:val="auto"/>
              </w:rPr>
            </w:pPr>
            <w:r>
              <w:rPr>
                <w:rFonts w:ascii="Arial" w:cs="Arial" w:eastAsia="Arial" w:hAnsi="Arial"/>
                <w:sz w:val="18"/>
                <w:szCs w:val="18"/>
                <w:color w:val="auto"/>
              </w:rPr>
              <w:t>(44)</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ind w:right="3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 earnings in unconsolidated</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entities</w:t>
            </w: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Depreciation and amortization of</w:t>
            </w:r>
          </w:p>
        </w:tc>
        <w:tc>
          <w:tcPr>
            <w:tcW w:w="120" w:type="dxa"/>
            <w:vAlign w:val="bottom"/>
          </w:tcPr>
          <w:p>
            <w:pPr>
              <w:spacing w:after="0"/>
              <w:rPr>
                <w:sz w:val="15"/>
                <w:szCs w:val="15"/>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Borders>
              <w:right w:val="single" w:sz="8" w:color="auto"/>
            </w:tcBorders>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ind w:right="7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tcPr>
          <w:p>
            <w:pPr>
              <w:ind w:left="340"/>
              <w:spacing w:after="0"/>
              <w:rPr>
                <w:sz w:val="20"/>
                <w:szCs w:val="20"/>
                <w:color w:val="auto"/>
              </w:rPr>
            </w:pPr>
            <w:r>
              <w:rPr>
                <w:rFonts w:ascii="Arial" w:cs="Arial" w:eastAsia="Arial" w:hAnsi="Arial"/>
                <w:sz w:val="18"/>
                <w:szCs w:val="18"/>
                <w:color w:val="auto"/>
              </w:rPr>
              <w:t>unconsolidated entities</w:t>
            </w: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Borders>
              <w:right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(Gains)/losses from derivative</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4"/>
              </w:rPr>
              <w:t>activities, net of inventory valuation</w:t>
            </w:r>
          </w:p>
        </w:tc>
        <w:tc>
          <w:tcPr>
            <w:tcW w:w="12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121</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Long-term inventory costing</w:t>
            </w:r>
          </w:p>
        </w:tc>
        <w:tc>
          <w:tcPr>
            <w:tcW w:w="120" w:type="dxa"/>
            <w:vAlign w:val="bottom"/>
          </w:tcPr>
          <w:p>
            <w:pPr>
              <w:spacing w:after="0"/>
              <w:rPr>
                <w:sz w:val="15"/>
                <w:szCs w:val="15"/>
                <w:color w:val="auto"/>
              </w:rPr>
            </w:pPr>
          </w:p>
        </w:tc>
        <w:tc>
          <w:tcPr>
            <w:tcW w:w="12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60" w:type="dxa"/>
            <w:vAlign w:val="bottom"/>
            <w:vMerge w:val="restart"/>
          </w:tcPr>
          <w:p>
            <w:pPr>
              <w:jc w:val="right"/>
              <w:ind w:right="72"/>
              <w:spacing w:after="0"/>
              <w:rPr>
                <w:sz w:val="20"/>
                <w:szCs w:val="20"/>
                <w:color w:val="auto"/>
              </w:rPr>
            </w:pPr>
            <w:r>
              <w:rPr>
                <w:rFonts w:ascii="Arial" w:cs="Arial" w:eastAsia="Arial" w:hAnsi="Arial"/>
                <w:sz w:val="18"/>
                <w:szCs w:val="18"/>
                <w:color w:val="auto"/>
              </w:rPr>
              <w:t>64</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ind w:right="7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000" w:type="dxa"/>
            <w:vAlign w:val="bottom"/>
          </w:tcPr>
          <w:p>
            <w:pPr>
              <w:ind w:left="340"/>
              <w:spacing w:after="0"/>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6"/>
              </w:rPr>
              <w:t>Deficiencies under minimum volume</w:t>
            </w:r>
          </w:p>
        </w:tc>
        <w:tc>
          <w:tcPr>
            <w:tcW w:w="12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net</w:t>
            </w: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00" w:type="dxa"/>
            <w:vAlign w:val="bottom"/>
          </w:tcPr>
          <w:p>
            <w:pPr>
              <w:ind w:left="180"/>
              <w:spacing w:after="0"/>
              <w:rPr>
                <w:sz w:val="20"/>
                <w:szCs w:val="20"/>
                <w:color w:val="auto"/>
              </w:rPr>
            </w:pPr>
            <w:r>
              <w:rPr>
                <w:rFonts w:ascii="Arial" w:cs="Arial" w:eastAsia="Arial" w:hAnsi="Arial"/>
                <w:sz w:val="18"/>
                <w:szCs w:val="18"/>
                <w:color w:val="auto"/>
                <w:w w:val="90"/>
              </w:rPr>
              <w:t>Equity-indexed compensation expense</w:t>
            </w:r>
          </w:p>
        </w:tc>
        <w:tc>
          <w:tcPr>
            <w:tcW w:w="120" w:type="dxa"/>
            <w:vAlign w:val="bottom"/>
          </w:tcPr>
          <w:p>
            <w:pPr>
              <w:spacing w:after="0"/>
              <w:rPr>
                <w:sz w:val="23"/>
                <w:szCs w:val="23"/>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(gain)/loss on foreign currency</w:t>
            </w:r>
          </w:p>
        </w:tc>
        <w:tc>
          <w:tcPr>
            <w:tcW w:w="12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revaluation</w:t>
            </w: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00" w:type="dxa"/>
            <w:vAlign w:val="bottom"/>
          </w:tcPr>
          <w:p>
            <w:pPr>
              <w:ind w:left="180"/>
              <w:spacing w:after="0"/>
              <w:rPr>
                <w:sz w:val="20"/>
                <w:szCs w:val="20"/>
                <w:color w:val="auto"/>
              </w:rPr>
            </w:pPr>
            <w:r>
              <w:rPr>
                <w:rFonts w:ascii="Arial" w:cs="Arial" w:eastAsia="Arial" w:hAnsi="Arial"/>
                <w:sz w:val="18"/>
                <w:szCs w:val="18"/>
                <w:color w:val="auto"/>
              </w:rPr>
              <w:t>Line 901 incident</w:t>
            </w:r>
          </w:p>
        </w:tc>
        <w:tc>
          <w:tcPr>
            <w:tcW w:w="120" w:type="dxa"/>
            <w:vAlign w:val="bottom"/>
          </w:tcPr>
          <w:p>
            <w:pPr>
              <w:spacing w:after="0"/>
              <w:rPr>
                <w:sz w:val="23"/>
                <w:szCs w:val="23"/>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Significant acquisition-related</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expenses</w:t>
            </w: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000" w:type="dxa"/>
            <w:vAlign w:val="bottom"/>
          </w:tcPr>
          <w:p>
            <w:pPr>
              <w:ind w:left="20"/>
              <w:spacing w:after="0"/>
              <w:rPr>
                <w:sz w:val="20"/>
                <w:szCs w:val="20"/>
                <w:color w:val="auto"/>
              </w:rPr>
            </w:pPr>
            <w:r>
              <w:rPr>
                <w:rFonts w:ascii="Arial" w:cs="Arial" w:eastAsia="Arial" w:hAnsi="Arial"/>
                <w:sz w:val="18"/>
                <w:szCs w:val="18"/>
                <w:color w:val="auto"/>
              </w:rPr>
              <w:t>Segment 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144</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000" w:type="dxa"/>
            <w:vAlign w:val="bottom"/>
          </w:tcPr>
          <w:p>
            <w:pPr>
              <w:ind w:left="20"/>
              <w:spacing w:after="0"/>
              <w:rPr>
                <w:sz w:val="20"/>
                <w:szCs w:val="20"/>
                <w:color w:val="auto"/>
              </w:rPr>
            </w:pPr>
            <w:r>
              <w:rPr>
                <w:rFonts w:ascii="Arial" w:cs="Arial" w:eastAsia="Arial" w:hAnsi="Arial"/>
                <w:sz w:val="18"/>
                <w:szCs w:val="18"/>
                <w:color w:val="auto"/>
              </w:rPr>
              <w:t>Maintenance capital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55"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Field operating costs and Segment general and administrative expenses include equity-indexed compensation expense.</w:t>
      </w:r>
    </w:p>
    <w:p>
      <w:pPr>
        <w:spacing w:after="0" w:line="56" w:lineRule="exact"/>
        <w:rPr>
          <w:rFonts w:ascii="Arial" w:cs="Arial" w:eastAsia="Arial" w:hAnsi="Arial"/>
          <w:sz w:val="23"/>
          <w:szCs w:val="23"/>
          <w:color w:val="auto"/>
          <w:vertAlign w:val="superscript"/>
        </w:rPr>
      </w:pPr>
    </w:p>
    <w:p>
      <w:pPr>
        <w:ind w:left="340" w:right="80" w:hanging="332"/>
        <w:spacing w:after="0" w:line="246" w:lineRule="auto"/>
        <w:tabs>
          <w:tab w:leader="none" w:pos="328"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3" w:lineRule="exact"/>
        <w:rPr>
          <w:rFonts w:ascii="Arial" w:cs="Arial" w:eastAsia="Arial" w:hAnsi="Arial"/>
          <w:sz w:val="21"/>
          <w:szCs w:val="21"/>
          <w:color w:val="auto"/>
          <w:vertAlign w:val="superscript"/>
        </w:rPr>
      </w:pPr>
    </w:p>
    <w:p>
      <w:pPr>
        <w:ind w:left="340" w:right="120" w:hanging="332"/>
        <w:spacing w:after="0" w:line="234" w:lineRule="auto"/>
        <w:tabs>
          <w:tab w:leader="none" w:pos="328"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Page 23</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tbl>
      <w:tblPr>
        <w:tblLayout w:type="fixed"/>
        <w:tblInd w:w="0" w:type="dxa"/>
        <w:tblCellMar>
          <w:top w:w="0" w:type="dxa"/>
          <w:left w:w="0" w:type="dxa"/>
          <w:bottom w:w="0" w:type="dxa"/>
          <w:right w:w="0" w:type="dxa"/>
        </w:tblCellMar>
      </w:tblPr>
      <w:tr>
        <w:trPr>
          <w:trHeight w:val="150"/>
        </w:trPr>
        <w:tc>
          <w:tcPr>
            <w:tcW w:w="6320" w:type="dxa"/>
            <w:vAlign w:val="bottom"/>
          </w:tcPr>
          <w:p>
            <w:pPr>
              <w:spacing w:after="0"/>
              <w:rPr>
                <w:sz w:val="13"/>
                <w:szCs w:val="13"/>
                <w:color w:val="auto"/>
              </w:rPr>
            </w:pPr>
          </w:p>
        </w:tc>
        <w:tc>
          <w:tcPr>
            <w:tcW w:w="2500" w:type="dxa"/>
            <w:vAlign w:val="bottom"/>
            <w:gridSpan w:val="5"/>
          </w:tcPr>
          <w:p>
            <w:pPr>
              <w:jc w:val="center"/>
              <w:ind w:right="120"/>
              <w:spacing w:after="0" w:line="150" w:lineRule="exact"/>
              <w:rPr>
                <w:sz w:val="20"/>
                <w:szCs w:val="20"/>
                <w:color w:val="auto"/>
              </w:rPr>
            </w:pPr>
            <w:r>
              <w:rPr>
                <w:rFonts w:ascii="Arial" w:cs="Arial" w:eastAsia="Arial" w:hAnsi="Arial"/>
                <w:sz w:val="14"/>
                <w:szCs w:val="14"/>
                <w:b w:val="1"/>
                <w:bCs w:val="1"/>
                <w:color w:val="auto"/>
                <w:w w:val="93"/>
              </w:rPr>
              <w:t>Three Months Ended</w:t>
            </w:r>
          </w:p>
        </w:tc>
        <w:tc>
          <w:tcPr>
            <w:tcW w:w="2420" w:type="dxa"/>
            <w:vAlign w:val="bottom"/>
            <w:gridSpan w:val="4"/>
          </w:tcPr>
          <w:p>
            <w:pPr>
              <w:jc w:val="center"/>
              <w:spacing w:after="0" w:line="150" w:lineRule="exact"/>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6320" w:type="dxa"/>
            <w:vAlign w:val="bottom"/>
          </w:tcPr>
          <w:p>
            <w:pPr>
              <w:spacing w:after="0"/>
              <w:rPr>
                <w:sz w:val="16"/>
                <w:szCs w:val="16"/>
                <w:color w:val="auto"/>
              </w:rPr>
            </w:pPr>
          </w:p>
        </w:tc>
        <w:tc>
          <w:tcPr>
            <w:tcW w:w="1560" w:type="dxa"/>
            <w:vAlign w:val="bottom"/>
            <w:tcBorders>
              <w:bottom w:val="single" w:sz="8" w:color="auto"/>
            </w:tcBorders>
            <w:gridSpan w:val="3"/>
          </w:tcPr>
          <w:p>
            <w:pPr>
              <w:jc w:val="center"/>
              <w:ind w:left="732"/>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bottom w:val="single" w:sz="8" w:color="auto"/>
            </w:tcBorders>
            <w:gridSpan w:val="3"/>
          </w:tcPr>
          <w:p>
            <w:pPr>
              <w:jc w:val="center"/>
              <w:ind w:left="752"/>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Borders>
              <w:bottom w:val="single" w:sz="8" w:color="auto"/>
            </w:tcBorders>
          </w:tcPr>
          <w:p>
            <w:pPr>
              <w:spacing w:after="0"/>
              <w:rPr>
                <w:sz w:val="16"/>
                <w:szCs w:val="16"/>
                <w:color w:val="auto"/>
              </w:rPr>
            </w:pPr>
          </w:p>
        </w:tc>
      </w:tr>
      <w:tr>
        <w:trPr>
          <w:trHeight w:val="196"/>
        </w:trPr>
        <w:tc>
          <w:tcPr>
            <w:tcW w:w="63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0"/>
              </w:rPr>
              <w:t>Transportation segment (average daily volumes in thousands of barrels per day):</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Tariff activities volumes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oil pipelines (by region):</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70"/>
        </w:trPr>
        <w:tc>
          <w:tcPr>
            <w:tcW w:w="6320" w:type="dxa"/>
            <w:vAlign w:val="bottom"/>
          </w:tcPr>
          <w:p>
            <w:pPr>
              <w:ind w:left="360"/>
              <w:spacing w:after="0"/>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4,161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4,575</w:t>
            </w:r>
          </w:p>
        </w:tc>
        <w:tc>
          <w:tcPr>
            <w:tcW w:w="100" w:type="dxa"/>
            <w:vAlign w:val="bottom"/>
          </w:tcPr>
          <w:p>
            <w:pPr>
              <w:spacing w:after="0"/>
              <w:rPr>
                <w:sz w:val="23"/>
                <w:szCs w:val="23"/>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4,663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4,423</w:t>
            </w:r>
          </w:p>
        </w:tc>
      </w:tr>
      <w:tr>
        <w:trPr>
          <w:trHeight w:val="270"/>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454</w:t>
            </w:r>
          </w:p>
        </w:tc>
      </w:tr>
      <w:tr>
        <w:trPr>
          <w:trHeight w:val="270"/>
        </w:trPr>
        <w:tc>
          <w:tcPr>
            <w:tcW w:w="6320" w:type="dxa"/>
            <w:vAlign w:val="bottom"/>
          </w:tcPr>
          <w:p>
            <w:pPr>
              <w:ind w:left="360"/>
              <w:spacing w:after="0"/>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(2)</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3"/>
                <w:szCs w:val="23"/>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517</w:t>
            </w:r>
          </w:p>
        </w:tc>
      </w:tr>
      <w:tr>
        <w:trPr>
          <w:trHeight w:val="270"/>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Gulf Coast</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152</w:t>
            </w:r>
          </w:p>
        </w:tc>
      </w:tr>
      <w:tr>
        <w:trPr>
          <w:trHeight w:val="270"/>
        </w:trPr>
        <w:tc>
          <w:tcPr>
            <w:tcW w:w="6320" w:type="dxa"/>
            <w:vAlign w:val="bottom"/>
          </w:tcPr>
          <w:p>
            <w:pPr>
              <w:ind w:left="360"/>
              <w:spacing w:after="0"/>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3"/>
                <w:szCs w:val="23"/>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307</w:t>
            </w:r>
          </w:p>
        </w:tc>
      </w:tr>
      <w:tr>
        <w:trPr>
          <w:trHeight w:val="270"/>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Western</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188</w:t>
            </w:r>
          </w:p>
        </w:tc>
      </w:tr>
      <w:tr>
        <w:trPr>
          <w:trHeight w:val="270"/>
        </w:trPr>
        <w:tc>
          <w:tcPr>
            <w:tcW w:w="6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Canada</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321</w:t>
            </w:r>
          </w:p>
        </w:tc>
      </w:tr>
      <w:tr>
        <w:trPr>
          <w:trHeight w:val="263"/>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oil pipelines</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5,656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6,522</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6,315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6,362</w:t>
            </w:r>
          </w:p>
        </w:tc>
      </w:tr>
      <w:tr>
        <w:trPr>
          <w:trHeight w:val="270"/>
        </w:trPr>
        <w:tc>
          <w:tcPr>
            <w:tcW w:w="6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NGL pipelines</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196</w:t>
            </w:r>
          </w:p>
        </w:tc>
      </w:tr>
      <w:tr>
        <w:trPr>
          <w:trHeight w:val="24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Tariff activities total volumes</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6,704</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6,505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6,558</w:t>
            </w:r>
          </w:p>
        </w:tc>
      </w:tr>
      <w:tr>
        <w:trPr>
          <w:trHeight w:val="270"/>
        </w:trPr>
        <w:tc>
          <w:tcPr>
            <w:tcW w:w="6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Trucking volumes</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88</w:t>
            </w:r>
          </w:p>
        </w:tc>
      </w:tr>
      <w:tr>
        <w:trPr>
          <w:trHeight w:val="289"/>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 segment total volumes</w:t>
            </w: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5,914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6,787</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6,585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6,646</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Facilities segment (average monthly volumes):</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70"/>
        </w:trPr>
        <w:tc>
          <w:tcPr>
            <w:tcW w:w="6320" w:type="dxa"/>
            <w:vAlign w:val="bottom"/>
          </w:tcPr>
          <w:p>
            <w:pPr>
              <w:ind w:left="180"/>
              <w:spacing w:after="0"/>
              <w:rPr>
                <w:sz w:val="20"/>
                <w:szCs w:val="20"/>
                <w:color w:val="auto"/>
              </w:rPr>
            </w:pPr>
            <w:r>
              <w:rPr>
                <w:rFonts w:ascii="Arial" w:cs="Arial" w:eastAsia="Arial" w:hAnsi="Arial"/>
                <w:sz w:val="18"/>
                <w:szCs w:val="18"/>
                <w:color w:val="auto"/>
              </w:rPr>
              <w:t xml:space="preserve">Liquids storage (average monthly capacity in millions of barrels) </w:t>
            </w:r>
            <w:r>
              <w:rPr>
                <w:rFonts w:ascii="Arial" w:cs="Arial" w:eastAsia="Arial" w:hAnsi="Arial"/>
                <w:sz w:val="23"/>
                <w:szCs w:val="23"/>
                <w:color w:val="auto"/>
                <w:vertAlign w:val="superscript"/>
              </w:rPr>
              <w:t>(3)</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3"/>
                <w:szCs w:val="23"/>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109</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89"/>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Natural gas storage (average monthly working capacity in billions of cubic feet)</w:t>
            </w: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63</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6320" w:type="dxa"/>
            <w:vAlign w:val="bottom"/>
          </w:tcPr>
          <w:p>
            <w:pPr>
              <w:ind w:left="180"/>
              <w:spacing w:after="0"/>
              <w:rPr>
                <w:sz w:val="20"/>
                <w:szCs w:val="20"/>
                <w:color w:val="auto"/>
              </w:rPr>
            </w:pPr>
            <w:r>
              <w:rPr>
                <w:rFonts w:ascii="Arial" w:cs="Arial" w:eastAsia="Arial" w:hAnsi="Arial"/>
                <w:sz w:val="18"/>
                <w:szCs w:val="18"/>
                <w:color w:val="auto"/>
              </w:rPr>
              <w:t>NGL fractionation (average volumes in thousands of barrels per day)</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147</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89"/>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 xml:space="preserve">Facilities segment total volumes (average monthly volumes in millions of barrels) </w:t>
            </w:r>
            <w:r>
              <w:rPr>
                <w:rFonts w:ascii="Arial" w:cs="Arial" w:eastAsia="Arial" w:hAnsi="Arial"/>
                <w:sz w:val="23"/>
                <w:szCs w:val="23"/>
                <w:color w:val="auto"/>
                <w:w w:val="94"/>
                <w:vertAlign w:val="superscript"/>
              </w:rPr>
              <w:t>(4)</w:t>
            </w: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124</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5"/>
        </w:trPr>
        <w:tc>
          <w:tcPr>
            <w:tcW w:w="6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89"/>
              </w:rPr>
              <w:t>Supply and Logistics segment (average daily volumes in thousands of barrels per</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3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day):</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70"/>
        </w:trPr>
        <w:tc>
          <w:tcPr>
            <w:tcW w:w="6320" w:type="dxa"/>
            <w:vAlign w:val="bottom"/>
          </w:tcPr>
          <w:p>
            <w:pPr>
              <w:ind w:left="180"/>
              <w:spacing w:after="0"/>
              <w:rPr>
                <w:sz w:val="20"/>
                <w:szCs w:val="20"/>
                <w:color w:val="auto"/>
              </w:rPr>
            </w:pPr>
            <w:r>
              <w:rPr>
                <w:rFonts w:ascii="Arial" w:cs="Arial" w:eastAsia="Arial" w:hAnsi="Arial"/>
                <w:sz w:val="18"/>
                <w:szCs w:val="18"/>
                <w:color w:val="auto"/>
              </w:rPr>
              <w:t>Crude oil lease gathering purchases</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23"/>
                <w:szCs w:val="23"/>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1,115</w:t>
            </w:r>
          </w:p>
        </w:tc>
      </w:tr>
      <w:tr>
        <w:trPr>
          <w:trHeight w:val="27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242</w:t>
            </w:r>
          </w:p>
        </w:tc>
      </w:tr>
      <w:tr>
        <w:trPr>
          <w:trHeight w:val="263"/>
        </w:trPr>
        <w:tc>
          <w:tcPr>
            <w:tcW w:w="6320" w:type="dxa"/>
            <w:vAlign w:val="bottom"/>
          </w:tcPr>
          <w:p>
            <w:pPr>
              <w:ind w:left="20"/>
              <w:spacing w:after="0"/>
              <w:rPr>
                <w:sz w:val="20"/>
                <w:szCs w:val="20"/>
                <w:color w:val="auto"/>
              </w:rPr>
            </w:pPr>
            <w:r>
              <w:rPr>
                <w:rFonts w:ascii="Arial" w:cs="Arial" w:eastAsia="Arial" w:hAnsi="Arial"/>
                <w:sz w:val="18"/>
                <w:szCs w:val="18"/>
                <w:color w:val="auto"/>
              </w:rPr>
              <w:t>Supply and Logistics segment total volumes</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22"/>
                <w:szCs w:val="22"/>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1,357</w:t>
            </w:r>
          </w:p>
        </w:tc>
      </w:tr>
      <w:tr>
        <w:trPr>
          <w:trHeight w:val="21"/>
        </w:trPr>
        <w:tc>
          <w:tcPr>
            <w:tcW w:w="6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Average volumes are calculated as the total volumes (attributable to our interest) for the period divided by the number of days or months in the period.</w:t>
      </w:r>
    </w:p>
    <w:p>
      <w:pPr>
        <w:spacing w:after="0" w:line="55" w:lineRule="exact"/>
        <w:rPr>
          <w:rFonts w:ascii="Arial" w:cs="Arial" w:eastAsia="Arial" w:hAnsi="Arial"/>
          <w:sz w:val="21"/>
          <w:szCs w:val="21"/>
          <w:color w:val="auto"/>
          <w:vertAlign w:val="superscript"/>
        </w:rPr>
      </w:pPr>
    </w:p>
    <w:p>
      <w:pPr>
        <w:ind w:left="320" w:hanging="312"/>
        <w:spacing w:after="0" w:line="194" w:lineRule="auto"/>
        <w:tabs>
          <w:tab w:leader="none" w:pos="32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56"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Includes volumes (attributable to our interest) from facilities owned by unconsolidated entities.</w:t>
      </w:r>
    </w:p>
    <w:p>
      <w:pPr>
        <w:spacing w:after="0" w:line="56" w:lineRule="exact"/>
        <w:rPr>
          <w:rFonts w:ascii="Arial" w:cs="Arial" w:eastAsia="Arial" w:hAnsi="Arial"/>
          <w:sz w:val="23"/>
          <w:szCs w:val="23"/>
          <w:color w:val="auto"/>
          <w:vertAlign w:val="superscript"/>
        </w:rPr>
      </w:pPr>
    </w:p>
    <w:p>
      <w:pPr>
        <w:ind w:left="340" w:right="260" w:hanging="332"/>
        <w:spacing w:after="0" w:line="241" w:lineRule="auto"/>
        <w:tabs>
          <w:tab w:leader="none" w:pos="328" w:val="left"/>
        </w:tabs>
        <w:numPr>
          <w:ilvl w:val="0"/>
          <w:numId w:val="24"/>
        </w:numPr>
        <w:rPr>
          <w:rFonts w:ascii="Arial" w:cs="Arial" w:eastAsia="Arial" w:hAnsi="Arial"/>
          <w:sz w:val="22"/>
          <w:szCs w:val="22"/>
          <w:color w:val="auto"/>
          <w:vertAlign w:val="superscript"/>
        </w:rPr>
      </w:pPr>
      <w:r>
        <w:rPr>
          <w:rFonts w:ascii="Arial" w:cs="Arial" w:eastAsia="Arial" w:hAnsi="Arial"/>
          <w:sz w:val="17"/>
          <w:szCs w:val="17"/>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Page 24</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SEGMENT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Fee-based Segment Adjusted EBITDA to Adjusted EBITDA Reconciliations: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000" w:type="dxa"/>
            <w:vAlign w:val="bottom"/>
            <w:gridSpan w:val="4"/>
          </w:tcPr>
          <w:p>
            <w:pPr>
              <w:jc w:val="right"/>
              <w:ind w:right="55"/>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62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455"/>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396"/>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6"/>
                <w:szCs w:val="16"/>
                <w:color w:val="auto"/>
              </w:rPr>
            </w:pPr>
          </w:p>
        </w:tc>
      </w:tr>
      <w:tr>
        <w:trPr>
          <w:trHeight w:val="196"/>
        </w:trPr>
        <w:tc>
          <w:tcPr>
            <w:tcW w:w="62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2019</w:t>
            </w:r>
          </w:p>
        </w:tc>
      </w:tr>
      <w:tr>
        <w:trPr>
          <w:trHeight w:val="249"/>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 Segment Adjusted EBITDA</w:t>
            </w:r>
          </w:p>
        </w:tc>
        <w:tc>
          <w:tcPr>
            <w:tcW w:w="72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86"/>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809</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Facilities Segment Adjusted EBITDA</w:t>
            </w:r>
          </w:p>
        </w:tc>
        <w:tc>
          <w:tcPr>
            <w:tcW w:w="720" w:type="dxa"/>
            <w:vAlign w:val="bottom"/>
          </w:tcPr>
          <w:p>
            <w:pPr>
              <w:spacing w:after="0"/>
              <w:rPr>
                <w:sz w:val="21"/>
                <w:szCs w:val="21"/>
                <w:color w:val="auto"/>
              </w:rPr>
            </w:pPr>
          </w:p>
        </w:tc>
        <w:tc>
          <w:tcPr>
            <w:tcW w:w="440" w:type="dxa"/>
            <w:vAlign w:val="bottom"/>
          </w:tcPr>
          <w:p>
            <w:pPr>
              <w:jc w:val="right"/>
              <w:ind w:right="73"/>
              <w:spacing w:after="0"/>
              <w:rPr>
                <w:sz w:val="20"/>
                <w:szCs w:val="20"/>
                <w:color w:val="auto"/>
              </w:rPr>
            </w:pPr>
            <w:r>
              <w:rPr>
                <w:rFonts w:ascii="Arial" w:cs="Arial" w:eastAsia="Arial" w:hAnsi="Arial"/>
                <w:sz w:val="18"/>
                <w:szCs w:val="18"/>
                <w:color w:val="auto"/>
                <w:w w:val="86"/>
              </w:rPr>
              <w:t>174</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w w:val="79"/>
              </w:rPr>
              <w:t>172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6"/>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356</w:t>
            </w:r>
          </w:p>
        </w:tc>
      </w:tr>
      <w:tr>
        <w:trPr>
          <w:trHeight w:val="27"/>
        </w:trPr>
        <w:tc>
          <w:tcPr>
            <w:tcW w:w="62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Fee-based Segment Adjusted EBITDA</w:t>
            </w:r>
          </w:p>
        </w:tc>
        <w:tc>
          <w:tcPr>
            <w:tcW w:w="72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86"/>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1,172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1,165</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Supply and Logistics Segment Adjusted EBITDA</w:t>
            </w:r>
          </w:p>
        </w:tc>
        <w:tc>
          <w:tcPr>
            <w:tcW w:w="720" w:type="dxa"/>
            <w:vAlign w:val="bottom"/>
          </w:tcPr>
          <w:p>
            <w:pPr>
              <w:spacing w:after="0"/>
              <w:rPr>
                <w:sz w:val="21"/>
                <w:szCs w:val="21"/>
                <w:color w:val="auto"/>
              </w:rPr>
            </w:pPr>
          </w:p>
        </w:tc>
        <w:tc>
          <w:tcPr>
            <w:tcW w:w="440" w:type="dxa"/>
            <w:vAlign w:val="bottom"/>
          </w:tcPr>
          <w:p>
            <w:pPr>
              <w:jc w:val="right"/>
              <w:ind w:right="7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w w:val="79"/>
              </w:rPr>
              <w:t>200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6"/>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478</w:t>
            </w:r>
          </w:p>
        </w:tc>
      </w:tr>
      <w:tr>
        <w:trPr>
          <w:trHeight w:val="27"/>
        </w:trPr>
        <w:tc>
          <w:tcPr>
            <w:tcW w:w="6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23"/>
                <w:szCs w:val="23"/>
                <w:color w:val="auto"/>
                <w:vertAlign w:val="superscript"/>
              </w:rPr>
              <w:t>(1)</w:t>
            </w:r>
          </w:p>
        </w:tc>
        <w:tc>
          <w:tcPr>
            <w:tcW w:w="7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r>
      <w:tr>
        <w:trPr>
          <w:trHeight w:val="263"/>
        </w:trPr>
        <w:tc>
          <w:tcPr>
            <w:tcW w:w="6280" w:type="dxa"/>
            <w:vAlign w:val="bottom"/>
          </w:tcPr>
          <w:p>
            <w:pPr>
              <w:ind w:left="2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(2)</w:t>
            </w:r>
          </w:p>
        </w:tc>
        <w:tc>
          <w:tcPr>
            <w:tcW w:w="720" w:type="dxa"/>
            <w:vAlign w:val="bottom"/>
            <w:tcBorders>
              <w:bottom w:val="single" w:sz="8" w:color="auto"/>
            </w:tcBorders>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6"/>
              </w:rPr>
              <w:t>524</w:t>
            </w:r>
          </w:p>
        </w:tc>
        <w:tc>
          <w:tcPr>
            <w:tcW w:w="100" w:type="dxa"/>
            <w:vAlign w:val="bottom"/>
          </w:tcPr>
          <w:p>
            <w:pPr>
              <w:spacing w:after="0"/>
              <w:rPr>
                <w:sz w:val="22"/>
                <w:szCs w:val="22"/>
                <w:color w:val="auto"/>
              </w:rPr>
            </w:pPr>
          </w:p>
        </w:tc>
        <w:tc>
          <w:tcPr>
            <w:tcW w:w="74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784</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1,646</w:t>
            </w:r>
          </w:p>
        </w:tc>
      </w:tr>
      <w:tr>
        <w:trPr>
          <w:trHeight w:val="21"/>
        </w:trPr>
        <w:tc>
          <w:tcPr>
            <w:tcW w:w="6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r>
      <w:tr>
        <w:trPr>
          <w:trHeight w:val="578"/>
        </w:trPr>
        <w:tc>
          <w:tcPr>
            <w:tcW w:w="6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3"/>
              </w:rPr>
              <w:t>Twelve Months Ended</w:t>
            </w:r>
          </w:p>
        </w:tc>
      </w:tr>
      <w:tr>
        <w:trPr>
          <w:trHeight w:val="192"/>
        </w:trPr>
        <w:tc>
          <w:tcPr>
            <w:tcW w:w="6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396"/>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16"/>
                <w:szCs w:val="16"/>
                <w:color w:val="auto"/>
              </w:rPr>
            </w:pPr>
          </w:p>
        </w:tc>
      </w:tr>
      <w:tr>
        <w:trPr>
          <w:trHeight w:val="196"/>
        </w:trPr>
        <w:tc>
          <w:tcPr>
            <w:tcW w:w="628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 Segment Adjusted EBITDA</w:t>
            </w: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1,722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1,508</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Facilities Segment Adjusted EBITDA</w:t>
            </w: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6"/>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711</w:t>
            </w:r>
          </w:p>
        </w:tc>
      </w:tr>
      <w:tr>
        <w:trPr>
          <w:trHeight w:val="27"/>
        </w:trPr>
        <w:tc>
          <w:tcPr>
            <w:tcW w:w="62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Fee-based Segment Adjusted EBITDA</w:t>
            </w: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2,427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2,219</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Supply and Logistics Segment Adjusted EBITDA</w:t>
            </w: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6"/>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462</w:t>
            </w:r>
          </w:p>
        </w:tc>
      </w:tr>
      <w:tr>
        <w:trPr>
          <w:trHeight w:val="27"/>
        </w:trPr>
        <w:tc>
          <w:tcPr>
            <w:tcW w:w="6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23"/>
                <w:szCs w:val="23"/>
                <w:color w:val="auto"/>
                <w:vertAlign w:val="superscript"/>
              </w:rPr>
              <w:t>(3)</w:t>
            </w:r>
          </w:p>
        </w:tc>
        <w:tc>
          <w:tcPr>
            <w:tcW w:w="7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r>
      <w:tr>
        <w:trPr>
          <w:trHeight w:val="263"/>
        </w:trPr>
        <w:tc>
          <w:tcPr>
            <w:tcW w:w="6280" w:type="dxa"/>
            <w:vAlign w:val="bottom"/>
          </w:tcPr>
          <w:p>
            <w:pPr>
              <w:ind w:left="2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(2)</w:t>
            </w: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2,684</w:t>
            </w:r>
          </w:p>
        </w:tc>
      </w:tr>
      <w:tr>
        <w:trPr>
          <w:trHeight w:val="20"/>
        </w:trPr>
        <w:tc>
          <w:tcPr>
            <w:tcW w:w="6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left="340" w:right="60" w:hanging="332"/>
        <w:spacing w:after="0" w:line="234" w:lineRule="auto"/>
        <w:tabs>
          <w:tab w:leader="none" w:pos="328"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Represents “Other income/(expense), net” as reported on our Condensed Consolidated Statements of Operations, adjusted for selected items impacting comparability of $(17) million, $8 million, $16 million and $(15) million for the three and six months ended June 30, 2020 and 2019, respectively. See the “Selected Items Impacting Comparability” table for additional information.</w:t>
      </w:r>
    </w:p>
    <w:p>
      <w:pPr>
        <w:spacing w:after="0" w:line="6"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See the “Net Income/(Loss) to Adjusted EBITDA and Implied DCF Reconciliation” table for reconciliation to Net Income/(Loss).</w:t>
      </w:r>
    </w:p>
    <w:p>
      <w:pPr>
        <w:spacing w:after="0" w:line="55" w:lineRule="exact"/>
        <w:rPr>
          <w:rFonts w:ascii="Arial" w:cs="Arial" w:eastAsia="Arial" w:hAnsi="Arial"/>
          <w:sz w:val="23"/>
          <w:szCs w:val="23"/>
          <w:color w:val="auto"/>
          <w:vertAlign w:val="superscript"/>
        </w:rPr>
      </w:pPr>
    </w:p>
    <w:p>
      <w:pPr>
        <w:ind w:left="340" w:right="60" w:hanging="332"/>
        <w:spacing w:after="0" w:line="219" w:lineRule="auto"/>
        <w:tabs>
          <w:tab w:leader="none" w:pos="328"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Represents “Other income/(expense), net” as reported on our Condensed Consolidated Statements of Operations, adjusted for selected items impacting comparability of $(17) million and $10 million for the twelve months ended December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Page 25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2020</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2019</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PAA</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4"/>
              </w:rPr>
              <w:t xml:space="preserve">Adjustments </w:t>
            </w:r>
            <w:r>
              <w:rPr>
                <w:rFonts w:ascii="Arial" w:cs="Arial" w:eastAsia="Arial" w:hAnsi="Arial"/>
                <w:sz w:val="9"/>
                <w:szCs w:val="9"/>
                <w:b w:val="1"/>
                <w:bCs w:val="1"/>
                <w:color w:val="auto"/>
                <w:w w:val="94"/>
              </w:rPr>
              <w:t>(1)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PAGP</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PAA</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4"/>
              </w:rPr>
              <w:t xml:space="preserve">Adjustments </w:t>
            </w:r>
            <w:r>
              <w:rPr>
                <w:rFonts w:ascii="Arial" w:cs="Arial" w:eastAsia="Arial" w:hAnsi="Arial"/>
                <w:sz w:val="9"/>
                <w:szCs w:val="9"/>
                <w:b w:val="1"/>
                <w:bCs w:val="1"/>
                <w:color w:val="auto"/>
                <w:w w:val="94"/>
              </w:rPr>
              <w:t>(1)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3,225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3,225</w:t>
            </w:r>
          </w:p>
        </w:tc>
        <w:tc>
          <w:tcPr>
            <w:tcW w:w="120" w:type="dxa"/>
            <w:vAlign w:val="bottom"/>
            <w:tcBorders>
              <w:right w:val="single" w:sz="8" w:color="auto"/>
            </w:tcBorders>
            <w:shd w:val="clear" w:color="auto" w:fill="CCEEFF"/>
          </w:tcPr>
          <w:p>
            <w:pPr>
              <w:spacing w:after="0"/>
              <w:rPr>
                <w:sz w:val="23"/>
                <w:szCs w:val="23"/>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8,253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8,253</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2,525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2,525</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7,244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7,244</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253</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74</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166</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6"/>
              </w:rPr>
              <w:t>(Gains)/losses on asset sales and asset</w:t>
            </w:r>
          </w:p>
        </w:tc>
        <w:tc>
          <w:tcPr>
            <w:tcW w:w="260" w:type="dxa"/>
            <w:vAlign w:val="bottom"/>
          </w:tcPr>
          <w:p>
            <w:pPr>
              <w:spacing w:after="0"/>
              <w:rPr>
                <w:sz w:val="15"/>
                <w:szCs w:val="15"/>
                <w:color w:val="auto"/>
              </w:rPr>
            </w:pPr>
          </w:p>
        </w:tc>
        <w:tc>
          <w:tcPr>
            <w:tcW w:w="86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impairments, net</w:t>
            </w: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2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12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3,017</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7,802</w:t>
            </w: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7,804</w:t>
            </w: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208</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Equity earnings in unconsolidated entities</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81</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9"/>
              </w:rPr>
              <w:t>Gain on/(impairment of) investments in</w:t>
            </w:r>
          </w:p>
        </w:tc>
        <w:tc>
          <w:tcPr>
            <w:tcW w:w="260" w:type="dxa"/>
            <w:vAlign w:val="bottom"/>
          </w:tcPr>
          <w:p>
            <w:pPr>
              <w:spacing w:after="0"/>
              <w:rPr>
                <w:sz w:val="15"/>
                <w:szCs w:val="15"/>
                <w:color w:val="auto"/>
              </w:rPr>
            </w:pPr>
          </w:p>
        </w:tc>
        <w:tc>
          <w:tcPr>
            <w:tcW w:w="860" w:type="dxa"/>
            <w:vAlign w:val="bottom"/>
            <w:vMerge w:val="restart"/>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(69)</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3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unconsolidated entities, net</w:t>
            </w: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Other income/(expense), net</w:t>
            </w: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8"/>
        </w:trPr>
        <w:tc>
          <w:tcPr>
            <w:tcW w:w="3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INCOME BEFORE TAX</w:t>
            </w: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130</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benefit</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right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29"/>
        </w:trPr>
        <w:tc>
          <w:tcPr>
            <w:tcW w:w="3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137</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income attributable to</w:t>
            </w: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1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INCOME ATTRIBUTABLE TO</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ind w:right="71"/>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ind w:right="12"/>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ind w:right="71"/>
              <w:spacing w:after="0"/>
              <w:rPr>
                <w:sz w:val="20"/>
                <w:szCs w:val="20"/>
                <w:color w:val="auto"/>
              </w:rPr>
            </w:pPr>
            <w:r>
              <w:rPr>
                <w:rFonts w:ascii="Arial" w:cs="Arial" w:eastAsia="Arial" w:hAnsi="Arial"/>
                <w:sz w:val="18"/>
                <w:szCs w:val="18"/>
                <w:color w:val="auto"/>
              </w:rPr>
              <w:t>16</w:t>
            </w:r>
          </w:p>
        </w:tc>
        <w:tc>
          <w:tcPr>
            <w:tcW w:w="120" w:type="dxa"/>
            <w:vAlign w:val="bottom"/>
            <w:tcBorders>
              <w:right w:val="single" w:sz="8" w:color="auto"/>
            </w:tcBorders>
          </w:tcPr>
          <w:p>
            <w:pPr>
              <w:spacing w:after="0"/>
              <w:rPr>
                <w:sz w:val="13"/>
                <w:szCs w:val="13"/>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71"/>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ind w:right="32"/>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ind w:right="7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31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PAGP</w:t>
            </w:r>
          </w:p>
        </w:tc>
        <w:tc>
          <w:tcPr>
            <w:tcW w:w="2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4340" w:type="dxa"/>
            <w:vAlign w:val="bottom"/>
            <w:gridSpan w:val="4"/>
          </w:tcPr>
          <w:p>
            <w:pPr>
              <w:ind w:left="20"/>
              <w:spacing w:after="0"/>
              <w:rPr>
                <w:sz w:val="20"/>
                <w:szCs w:val="20"/>
                <w:color w:val="auto"/>
              </w:rPr>
            </w:pPr>
            <w:r>
              <w:rPr>
                <w:rFonts w:ascii="Arial" w:cs="Arial" w:eastAsia="Arial" w:hAnsi="Arial"/>
                <w:sz w:val="18"/>
                <w:szCs w:val="18"/>
                <w:b w:val="1"/>
                <w:bCs w:val="1"/>
                <w:color w:val="auto"/>
              </w:rPr>
              <w:t>BASIC NET INCOME PER CLASS A SHARE</w:t>
            </w: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0.09</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4340" w:type="dxa"/>
            <w:vAlign w:val="bottom"/>
            <w:gridSpan w:val="4"/>
          </w:tcPr>
          <w:p>
            <w:pPr>
              <w:ind w:left="20"/>
              <w:spacing w:after="0"/>
              <w:rPr>
                <w:sz w:val="20"/>
                <w:szCs w:val="20"/>
                <w:color w:val="auto"/>
              </w:rPr>
            </w:pPr>
            <w:r>
              <w:rPr>
                <w:rFonts w:ascii="Arial" w:cs="Arial" w:eastAsia="Arial" w:hAnsi="Arial"/>
                <w:sz w:val="18"/>
                <w:szCs w:val="18"/>
                <w:b w:val="1"/>
                <w:bCs w:val="1"/>
                <w:color w:val="auto"/>
              </w:rPr>
              <w:t>DILUTED NET INCOME PER CLASS A SHARE</w:t>
            </w: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0.09</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5880" w:type="dxa"/>
            <w:vAlign w:val="bottom"/>
            <w:gridSpan w:val="7"/>
          </w:tcPr>
          <w:p>
            <w:pPr>
              <w:ind w:left="20"/>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184</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520" w:type="dxa"/>
            <w:vAlign w:val="bottom"/>
            <w:gridSpan w:val="5"/>
          </w:tcPr>
          <w:p>
            <w:pPr>
              <w:ind w:left="20"/>
              <w:spacing w:after="0" w:line="176" w:lineRule="exact"/>
              <w:rPr>
                <w:sz w:val="20"/>
                <w:szCs w:val="20"/>
                <w:color w:val="auto"/>
              </w:rPr>
            </w:pPr>
            <w:r>
              <w:rPr>
                <w:rFonts w:ascii="Arial" w:cs="Arial" w:eastAsia="Arial" w:hAnsi="Arial"/>
                <w:sz w:val="18"/>
                <w:szCs w:val="18"/>
                <w:b w:val="1"/>
                <w:bCs w:val="1"/>
                <w:color w:val="auto"/>
              </w:rPr>
              <w:t>DILUTED WEIGHTED AVERAGE CLASS A SHARES</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8"/>
                <w:szCs w:val="18"/>
                <w:color w:val="auto"/>
              </w:rPr>
              <w:t>184</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31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OUTSTANDING</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59" w:lineRule="exact"/>
        <w:rPr>
          <w:rFonts w:ascii="Arial" w:cs="Arial" w:eastAsia="Arial" w:hAnsi="Arial"/>
          <w:sz w:val="22"/>
          <w:szCs w:val="22"/>
          <w:color w:val="auto"/>
          <w:vertAlign w:val="superscript"/>
        </w:rPr>
      </w:pPr>
    </w:p>
    <w:p>
      <w:pPr>
        <w:ind w:left="5440" w:hanging="106"/>
        <w:spacing w:after="0"/>
        <w:tabs>
          <w:tab w:leader="none" w:pos="54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9"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00"/>
          </w:cols>
          <w:pgMar w:left="320" w:top="368"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Page 26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Six Months Ended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Six Months Ended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2020</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2019</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PAA</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4"/>
              </w:rPr>
              <w:t xml:space="preserve">Adjustments </w:t>
            </w:r>
            <w:r>
              <w:rPr>
                <w:rFonts w:ascii="Arial" w:cs="Arial" w:eastAsia="Arial" w:hAnsi="Arial"/>
                <w:sz w:val="9"/>
                <w:szCs w:val="9"/>
                <w:b w:val="1"/>
                <w:bCs w:val="1"/>
                <w:color w:val="auto"/>
                <w:w w:val="94"/>
              </w:rPr>
              <w:t>(1)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PAGP</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PAA</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4"/>
              </w:rPr>
              <w:t xml:space="preserve">Adjustments </w:t>
            </w:r>
            <w:r>
              <w:rPr>
                <w:rFonts w:ascii="Arial" w:cs="Arial" w:eastAsia="Arial" w:hAnsi="Arial"/>
                <w:sz w:val="9"/>
                <w:szCs w:val="9"/>
                <w:b w:val="1"/>
                <w:bCs w:val="1"/>
                <w:color w:val="auto"/>
                <w:w w:val="94"/>
              </w:rPr>
              <w:t>(1)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6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11,494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11,494</w:t>
            </w:r>
          </w:p>
        </w:tc>
        <w:tc>
          <w:tcPr>
            <w:tcW w:w="120" w:type="dxa"/>
            <w:vAlign w:val="bottom"/>
            <w:tcBorders>
              <w:right w:val="single" w:sz="8" w:color="auto"/>
            </w:tcBorders>
            <w:shd w:val="clear" w:color="auto" w:fill="CCEEFF"/>
          </w:tcPr>
          <w:p>
            <w:pPr>
              <w:spacing w:after="0"/>
              <w:rPr>
                <w:sz w:val="23"/>
                <w:szCs w:val="23"/>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16,628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16,628</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9,893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9,893</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14,362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14,362</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557</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144</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335</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6"/>
              </w:rPr>
              <w:t>(Gains)/losses on asset sales and asset</w:t>
            </w:r>
          </w:p>
        </w:tc>
        <w:tc>
          <w:tcPr>
            <w:tcW w:w="260" w:type="dxa"/>
            <w:vAlign w:val="bottom"/>
          </w:tcPr>
          <w:p>
            <w:pPr>
              <w:spacing w:after="0"/>
              <w:rPr>
                <w:sz w:val="15"/>
                <w:szCs w:val="15"/>
                <w:color w:val="auto"/>
              </w:rPr>
            </w:pPr>
          </w:p>
        </w:tc>
        <w:tc>
          <w:tcPr>
            <w:tcW w:w="860" w:type="dxa"/>
            <w:vAlign w:val="bottom"/>
            <w:vMerge w:val="restart"/>
          </w:tcPr>
          <w:p>
            <w:pPr>
              <w:jc w:val="right"/>
              <w:ind w:right="71"/>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8"/>
                <w:szCs w:val="18"/>
                <w:color w:val="auto"/>
              </w:rPr>
              <w:t>618</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4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impairments, net</w:t>
            </w: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2,515</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12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14,057</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14,062</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15,463</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15,467</w:t>
            </w: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26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(2,563)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(2,568)</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Equity earnings in unconsolidated entities</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191</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9"/>
              </w:rPr>
              <w:t>Gain on/(impairment of) investments in</w:t>
            </w:r>
          </w:p>
        </w:tc>
        <w:tc>
          <w:tcPr>
            <w:tcW w:w="260" w:type="dxa"/>
            <w:vAlign w:val="bottom"/>
          </w:tcPr>
          <w:p>
            <w:pPr>
              <w:spacing w:after="0"/>
              <w:rPr>
                <w:sz w:val="15"/>
                <w:szCs w:val="15"/>
                <w:color w:val="auto"/>
              </w:rPr>
            </w:pPr>
          </w:p>
        </w:tc>
        <w:tc>
          <w:tcPr>
            <w:tcW w:w="860" w:type="dxa"/>
            <w:vAlign w:val="bottom"/>
            <w:vMerge w:val="restart"/>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(91)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ind w:right="71"/>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unconsolidated entities, net</w:t>
            </w: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(215)</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Other income/(expense), net</w:t>
            </w:r>
          </w:p>
        </w:tc>
        <w:tc>
          <w:tcPr>
            <w:tcW w:w="26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28"/>
        </w:trPr>
        <w:tc>
          <w:tcPr>
            <w:tcW w:w="3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26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(2,691)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(2,696)</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(expense)/benefit</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right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29"/>
        </w:trPr>
        <w:tc>
          <w:tcPr>
            <w:tcW w:w="3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NET INCOME/(LOSS)</w:t>
            </w:r>
          </w:p>
        </w:tc>
        <w:tc>
          <w:tcPr>
            <w:tcW w:w="26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(2,701)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(2,556)</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(income)/loss attributable to</w:t>
            </w: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1,995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1,991</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1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INCOME/(LOSS)</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ind w:right="31"/>
              <w:spacing w:after="0"/>
              <w:rPr>
                <w:sz w:val="20"/>
                <w:szCs w:val="20"/>
                <w:color w:val="auto"/>
              </w:rPr>
            </w:pPr>
            <w:r>
              <w:rPr>
                <w:rFonts w:ascii="Arial" w:cs="Arial" w:eastAsia="Arial" w:hAnsi="Arial"/>
                <w:sz w:val="18"/>
                <w:szCs w:val="18"/>
                <w:color w:val="auto"/>
              </w:rPr>
              <w:t>(2,705)</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ind w:right="73"/>
              <w:spacing w:after="0"/>
              <w:rPr>
                <w:sz w:val="20"/>
                <w:szCs w:val="20"/>
                <w:color w:val="auto"/>
              </w:rPr>
            </w:pPr>
            <w:r>
              <w:rPr>
                <w:rFonts w:ascii="Arial" w:cs="Arial" w:eastAsia="Arial" w:hAnsi="Arial"/>
                <w:sz w:val="18"/>
                <w:szCs w:val="18"/>
                <w:color w:val="auto"/>
              </w:rPr>
              <w:t>2,140</w:t>
            </w:r>
          </w:p>
        </w:tc>
        <w:tc>
          <w:tcPr>
            <w:tcW w:w="12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(565)</w:t>
            </w:r>
          </w:p>
        </w:tc>
        <w:tc>
          <w:tcPr>
            <w:tcW w:w="120" w:type="dxa"/>
            <w:vAlign w:val="bottom"/>
            <w:tcBorders>
              <w:right w:val="single" w:sz="8" w:color="auto"/>
            </w:tcBorders>
          </w:tcPr>
          <w:p>
            <w:pPr>
              <w:spacing w:after="0"/>
              <w:rPr>
                <w:sz w:val="13"/>
                <w:szCs w:val="13"/>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71"/>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ind w:right="33"/>
              <w:spacing w:after="0"/>
              <w:rPr>
                <w:sz w:val="20"/>
                <w:szCs w:val="20"/>
                <w:color w:val="auto"/>
              </w:rPr>
            </w:pPr>
            <w:r>
              <w:rPr>
                <w:rFonts w:ascii="Arial" w:cs="Arial" w:eastAsia="Arial" w:hAnsi="Arial"/>
                <w:sz w:val="18"/>
                <w:szCs w:val="18"/>
                <w:color w:val="auto"/>
              </w:rPr>
              <w:t>(1,203)</w:t>
            </w:r>
          </w:p>
        </w:tc>
        <w:tc>
          <w:tcPr>
            <w:tcW w:w="12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ind w:right="71"/>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3"/>
        </w:trPr>
        <w:tc>
          <w:tcPr>
            <w:tcW w:w="31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ATTRIBUTABLE TO PAGP</w:t>
            </w:r>
          </w:p>
        </w:tc>
        <w:tc>
          <w:tcPr>
            <w:tcW w:w="2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4340" w:type="dxa"/>
            <w:vAlign w:val="bottom"/>
            <w:gridSpan w:val="4"/>
          </w:tcPr>
          <w:p>
            <w:pPr>
              <w:ind w:left="20"/>
              <w:spacing w:after="0"/>
              <w:rPr>
                <w:sz w:val="20"/>
                <w:szCs w:val="20"/>
                <w:color w:val="auto"/>
              </w:rPr>
            </w:pPr>
            <w:r>
              <w:rPr>
                <w:rFonts w:ascii="Arial" w:cs="Arial" w:eastAsia="Arial" w:hAnsi="Arial"/>
                <w:sz w:val="18"/>
                <w:szCs w:val="18"/>
                <w:b w:val="1"/>
                <w:bCs w:val="1"/>
                <w:color w:val="auto"/>
                <w:w w:val="99"/>
              </w:rPr>
              <w:t>BASIC NET INCOME/(LOSS) PER CLASS A SHARE</w:t>
            </w: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(3.08)</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5880" w:type="dxa"/>
            <w:vAlign w:val="bottom"/>
            <w:gridSpan w:val="7"/>
          </w:tcPr>
          <w:p>
            <w:pPr>
              <w:ind w:left="20"/>
              <w:spacing w:after="0"/>
              <w:rPr>
                <w:sz w:val="20"/>
                <w:szCs w:val="20"/>
                <w:color w:val="auto"/>
              </w:rPr>
            </w:pPr>
            <w:r>
              <w:rPr>
                <w:rFonts w:ascii="Arial" w:cs="Arial" w:eastAsia="Arial" w:hAnsi="Arial"/>
                <w:sz w:val="18"/>
                <w:szCs w:val="18"/>
                <w:b w:val="1"/>
                <w:bCs w:val="1"/>
                <w:color w:val="auto"/>
              </w:rPr>
              <w:t>DILUTED NET INCOME/(LOSS) PER CLASS A SHARE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(3.08)</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5880" w:type="dxa"/>
            <w:vAlign w:val="bottom"/>
            <w:gridSpan w:val="7"/>
          </w:tcPr>
          <w:p>
            <w:pPr>
              <w:ind w:left="20"/>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183</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480" w:type="dxa"/>
            <w:vAlign w:val="bottom"/>
            <w:gridSpan w:val="5"/>
          </w:tcPr>
          <w:p>
            <w:pPr>
              <w:ind w:left="20"/>
              <w:spacing w:after="0" w:line="176" w:lineRule="exact"/>
              <w:rPr>
                <w:sz w:val="20"/>
                <w:szCs w:val="20"/>
                <w:color w:val="auto"/>
              </w:rPr>
            </w:pPr>
            <w:r>
              <w:rPr>
                <w:rFonts w:ascii="Arial" w:cs="Arial" w:eastAsia="Arial" w:hAnsi="Arial"/>
                <w:sz w:val="18"/>
                <w:szCs w:val="18"/>
                <w:b w:val="1"/>
                <w:bCs w:val="1"/>
                <w:color w:val="auto"/>
              </w:rPr>
              <w:t>DILUTED WEIGHTED AVERAGE CLASS A SHARES</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8"/>
                <w:szCs w:val="18"/>
                <w:color w:val="auto"/>
              </w:rPr>
              <w:t>183</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43"/>
        </w:trPr>
        <w:tc>
          <w:tcPr>
            <w:tcW w:w="31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OUTSTANDING</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59" w:lineRule="exact"/>
        <w:rPr>
          <w:rFonts w:ascii="Arial" w:cs="Arial" w:eastAsia="Arial" w:hAnsi="Arial"/>
          <w:sz w:val="22"/>
          <w:szCs w:val="22"/>
          <w:color w:val="auto"/>
          <w:vertAlign w:val="superscript"/>
        </w:rPr>
      </w:pPr>
    </w:p>
    <w:p>
      <w:pPr>
        <w:ind w:left="5440" w:hanging="106"/>
        <w:spacing w:after="0"/>
        <w:tabs>
          <w:tab w:leader="none" w:pos="54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9"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00"/>
          </w:cols>
          <w:pgMar w:left="320" w:top="368"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Page 27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June 30, 2020</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2019</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Consolidating</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PAA</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 xml:space="preserve">Adjustments </w:t>
            </w:r>
            <w:r>
              <w:rPr>
                <w:rFonts w:ascii="Arial" w:cs="Arial" w:eastAsia="Arial" w:hAnsi="Arial"/>
                <w:sz w:val="9"/>
                <w:szCs w:val="9"/>
                <w:b w:val="1"/>
                <w:bCs w:val="1"/>
                <w:color w:val="auto"/>
                <w:w w:val="94"/>
              </w:rPr>
              <w:t>(1)</w:t>
            </w:r>
          </w:p>
        </w:tc>
        <w:tc>
          <w:tcPr>
            <w:tcW w:w="260" w:type="dxa"/>
            <w:vAlign w:val="bottom"/>
          </w:tcPr>
          <w:p>
            <w:pPr>
              <w:spacing w:after="0"/>
              <w:rPr>
                <w:sz w:val="18"/>
                <w:szCs w:val="18"/>
                <w:color w:val="auto"/>
              </w:rPr>
            </w:pPr>
          </w:p>
        </w:tc>
        <w:tc>
          <w:tcPr>
            <w:tcW w:w="1120" w:type="dxa"/>
            <w:vAlign w:val="bottom"/>
            <w:gridSpan w:val="3"/>
          </w:tcPr>
          <w:p>
            <w:pPr>
              <w:ind w:left="140"/>
              <w:spacing w:after="0"/>
              <w:rPr>
                <w:sz w:val="20"/>
                <w:szCs w:val="20"/>
                <w:color w:val="auto"/>
              </w:rPr>
            </w:pPr>
            <w:r>
              <w:rPr>
                <w:rFonts w:ascii="Arial" w:cs="Arial" w:eastAsia="Arial" w:hAnsi="Arial"/>
                <w:sz w:val="14"/>
                <w:szCs w:val="14"/>
                <w:b w:val="1"/>
                <w:bCs w:val="1"/>
                <w:color w:val="auto"/>
              </w:rPr>
              <w:t>PAGP</w:t>
            </w:r>
          </w:p>
        </w:tc>
        <w:tc>
          <w:tcPr>
            <w:tcW w:w="26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 xml:space="preserve">Adjustments </w:t>
            </w:r>
            <w:r>
              <w:rPr>
                <w:rFonts w:ascii="Arial" w:cs="Arial" w:eastAsia="Arial" w:hAnsi="Arial"/>
                <w:sz w:val="9"/>
                <w:szCs w:val="9"/>
                <w:b w:val="1"/>
                <w:bCs w:val="1"/>
                <w:color w:val="auto"/>
                <w:w w:val="92"/>
              </w:rPr>
              <w:t>(1)</w:t>
            </w:r>
          </w:p>
        </w:tc>
        <w:tc>
          <w:tcPr>
            <w:tcW w:w="240" w:type="dxa"/>
            <w:vAlign w:val="bottom"/>
          </w:tcPr>
          <w:p>
            <w:pPr>
              <w:spacing w:after="0"/>
              <w:rPr>
                <w:sz w:val="18"/>
                <w:szCs w:val="18"/>
                <w:color w:val="auto"/>
              </w:rPr>
            </w:pPr>
          </w:p>
        </w:tc>
        <w:tc>
          <w:tcPr>
            <w:tcW w:w="920" w:type="dxa"/>
            <w:vAlign w:val="bottom"/>
          </w:tcPr>
          <w:p>
            <w:pPr>
              <w:jc w:val="right"/>
              <w:ind w:right="29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15"/>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3,161</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3,163</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4,612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4,614</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14,600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14,610</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15,355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15,367</w:t>
            </w: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Investments in unconsolidated entities</w:t>
            </w:r>
          </w:p>
        </w:tc>
        <w:tc>
          <w:tcPr>
            <w:tcW w:w="280" w:type="dxa"/>
            <w:vAlign w:val="bottom"/>
          </w:tcPr>
          <w:p>
            <w:pPr>
              <w:spacing w:after="0"/>
              <w:rPr>
                <w:sz w:val="23"/>
                <w:szCs w:val="23"/>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3,781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3,781</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3,683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0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2,540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280" w:type="dxa"/>
            <w:vAlign w:val="bottom"/>
          </w:tcPr>
          <w:p>
            <w:pPr>
              <w:spacing w:after="0"/>
              <w:rPr>
                <w:sz w:val="23"/>
                <w:szCs w:val="2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1,442</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Linefill and base gas</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962</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Long-term operating lease right-of-use</w:t>
            </w:r>
          </w:p>
        </w:tc>
        <w:tc>
          <w:tcPr>
            <w:tcW w:w="280" w:type="dxa"/>
            <w:vAlign w:val="bottom"/>
          </w:tcPr>
          <w:p>
            <w:pPr>
              <w:spacing w:after="0"/>
              <w:rPr>
                <w:sz w:val="15"/>
                <w:szCs w:val="15"/>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8"/>
                <w:szCs w:val="18"/>
                <w:color w:val="auto"/>
              </w:rPr>
              <w:t>416</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ind w:right="71"/>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Arial" w:cs="Arial" w:eastAsia="Arial" w:hAnsi="Arial"/>
                <w:sz w:val="18"/>
                <w:szCs w:val="18"/>
                <w:color w:val="auto"/>
              </w:rPr>
              <w:t>assets, net</w:t>
            </w: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inventory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assets, net</w:t>
            </w: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990</w:t>
            </w:r>
          </w:p>
        </w:tc>
        <w:tc>
          <w:tcPr>
            <w:tcW w:w="120" w:type="dxa"/>
            <w:vAlign w:val="bottom"/>
            <w:tcBorders>
              <w:bottom w:val="single" w:sz="8" w:color="CCEEFF"/>
              <w:right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88"/>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24,037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25,489</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28,677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29,969</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LIABILITIES AND PARTNERS’</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CAPITAL</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3,633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3,634</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5,017</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5,019</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net</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9,067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9,067</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8,939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8,939</w:t>
            </w: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Other long-term debt, net</w:t>
            </w:r>
          </w:p>
        </w:tc>
        <w:tc>
          <w:tcPr>
            <w:tcW w:w="280" w:type="dxa"/>
            <w:vAlign w:val="bottom"/>
          </w:tcPr>
          <w:p>
            <w:pPr>
              <w:spacing w:after="0"/>
              <w:rPr>
                <w:sz w:val="23"/>
                <w:szCs w:val="23"/>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326</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356</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Other long-term liabilities and deferred</w:t>
            </w:r>
          </w:p>
        </w:tc>
        <w:tc>
          <w:tcPr>
            <w:tcW w:w="280" w:type="dxa"/>
            <w:vAlign w:val="bottom"/>
          </w:tcPr>
          <w:p>
            <w:pPr>
              <w:spacing w:after="0"/>
              <w:rPr>
                <w:sz w:val="15"/>
                <w:szCs w:val="15"/>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8"/>
                <w:szCs w:val="18"/>
                <w:color w:val="auto"/>
              </w:rPr>
              <w:t>853</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ind w:right="71"/>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Arial" w:cs="Arial" w:eastAsia="Arial" w:hAnsi="Arial"/>
                <w:sz w:val="18"/>
                <w:szCs w:val="18"/>
                <w:color w:val="auto"/>
              </w:rPr>
              <w:t>credits</w:t>
            </w: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14,235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14,236</w:t>
            </w:r>
          </w:p>
        </w:tc>
        <w:tc>
          <w:tcPr>
            <w:tcW w:w="120" w:type="dxa"/>
            <w:vAlign w:val="bottom"/>
            <w:tcBorders>
              <w:top w:val="single" w:sz="8" w:color="CCEEFF"/>
              <w:right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15,482</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15,484</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Partners’ capital excluding noncontrolling</w:t>
            </w: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9,659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(8,194)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1,465</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13,062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(10,907)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9,645</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9,788</w:t>
            </w:r>
          </w:p>
        </w:tc>
        <w:tc>
          <w:tcPr>
            <w:tcW w:w="120" w:type="dxa"/>
            <w:vAlign w:val="bottom"/>
            <w:tcBorders>
              <w:bottom w:val="single" w:sz="8" w:color="CCEEFF"/>
              <w:right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12,197</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12,330</w:t>
            </w:r>
          </w:p>
        </w:tc>
        <w:tc>
          <w:tcPr>
            <w:tcW w:w="0" w:type="dxa"/>
            <w:vAlign w:val="bottom"/>
          </w:tcPr>
          <w:p>
            <w:pPr>
              <w:spacing w:after="0"/>
              <w:rPr>
                <w:sz w:val="1"/>
                <w:szCs w:val="1"/>
                <w:color w:val="auto"/>
              </w:rPr>
            </w:pPr>
          </w:p>
        </w:tc>
      </w:tr>
      <w:tr>
        <w:trPr>
          <w:trHeight w:val="263"/>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2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9,802</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11,253</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13,195</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14,485</w:t>
            </w:r>
          </w:p>
        </w:tc>
        <w:tc>
          <w:tcPr>
            <w:tcW w:w="0" w:type="dxa"/>
            <w:vAlign w:val="bottom"/>
          </w:tcPr>
          <w:p>
            <w:pPr>
              <w:spacing w:after="0"/>
              <w:rPr>
                <w:sz w:val="1"/>
                <w:szCs w:val="1"/>
                <w:color w:val="auto"/>
              </w:rPr>
            </w:pPr>
          </w:p>
        </w:tc>
      </w:tr>
      <w:tr>
        <w:trPr>
          <w:trHeight w:val="304"/>
        </w:trPr>
        <w:tc>
          <w:tcPr>
            <w:tcW w:w="3120" w:type="dxa"/>
            <w:vAlign w:val="bottom"/>
          </w:tcPr>
          <w:p>
            <w:pPr>
              <w:ind w:left="360"/>
              <w:spacing w:after="0"/>
              <w:rPr>
                <w:sz w:val="20"/>
                <w:szCs w:val="20"/>
                <w:color w:val="auto"/>
              </w:rPr>
            </w:pPr>
            <w:r>
              <w:rPr>
                <w:rFonts w:ascii="Arial" w:cs="Arial" w:eastAsia="Arial" w:hAnsi="Arial"/>
                <w:sz w:val="18"/>
                <w:szCs w:val="18"/>
                <w:color w:val="auto"/>
                <w:w w:val="97"/>
              </w:rPr>
              <w:t>Total liabilities and partners’ capital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24,037</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1,452</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25,489</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28,677</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29,969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Page 28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396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INCOME/(LOSS) PER CLASS A SHARE </w:t>
      </w:r>
      <w:r>
        <w:rPr>
          <w:rFonts w:ascii="Arial" w:cs="Arial" w:eastAsia="Arial" w:hAnsi="Arial"/>
          <w:sz w:val="18"/>
          <w:szCs w:val="18"/>
          <w:color w:val="auto"/>
        </w:rPr>
        <w:t>(in millions, except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16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8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493"/>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4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Income/(Loss) per Class A Share</w:t>
            </w:r>
          </w:p>
        </w:tc>
        <w:tc>
          <w:tcPr>
            <w:tcW w:w="7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80"/>
              <w:spacing w:after="0"/>
              <w:rPr>
                <w:sz w:val="20"/>
                <w:szCs w:val="20"/>
                <w:color w:val="auto"/>
              </w:rPr>
            </w:pPr>
            <w:r>
              <w:rPr>
                <w:rFonts w:ascii="Arial" w:cs="Arial" w:eastAsia="Arial" w:hAnsi="Arial"/>
                <w:sz w:val="18"/>
                <w:szCs w:val="18"/>
                <w:color w:val="auto"/>
              </w:rPr>
              <w:t>Net income/(loss) attributable to PAGP</w:t>
            </w:r>
          </w:p>
        </w:tc>
        <w:tc>
          <w:tcPr>
            <w:tcW w:w="780" w:type="dxa"/>
            <w:vAlign w:val="bottom"/>
          </w:tcPr>
          <w:p>
            <w:pPr>
              <w:jc w:val="right"/>
              <w:ind w:right="595"/>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780" w:type="dxa"/>
            <w:vAlign w:val="bottom"/>
          </w:tcPr>
          <w:p>
            <w:pPr>
              <w:jc w:val="right"/>
              <w:ind w:right="593"/>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Basic weighted average Class A shares outstanding</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56"/>
        </w:trPr>
        <w:tc>
          <w:tcPr>
            <w:tcW w:w="5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5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Basic net income/(loss) per Class A share</w:t>
            </w:r>
          </w:p>
        </w:tc>
        <w:tc>
          <w:tcPr>
            <w:tcW w:w="780" w:type="dxa"/>
            <w:vAlign w:val="bottom"/>
            <w:tcBorders>
              <w:bottom w:val="single" w:sz="8" w:color="CCEEFF"/>
            </w:tcBorders>
            <w:shd w:val="clear" w:color="auto" w:fill="CCEEFF"/>
          </w:tcPr>
          <w:p>
            <w:pPr>
              <w:jc w:val="right"/>
              <w:ind w:right="59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1"/>
              </w:rPr>
              <w:t>0.09</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1"/>
              </w:rPr>
              <w:t>0.41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Income/(Loss) per Class A Share</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80"/>
              <w:spacing w:after="0"/>
              <w:rPr>
                <w:sz w:val="20"/>
                <w:szCs w:val="20"/>
                <w:color w:val="auto"/>
              </w:rPr>
            </w:pPr>
            <w:r>
              <w:rPr>
                <w:rFonts w:ascii="Arial" w:cs="Arial" w:eastAsia="Arial" w:hAnsi="Arial"/>
                <w:sz w:val="18"/>
                <w:szCs w:val="18"/>
                <w:color w:val="auto"/>
              </w:rPr>
              <w:t>Net income/(loss) attributable to PAGP</w:t>
            </w:r>
          </w:p>
        </w:tc>
        <w:tc>
          <w:tcPr>
            <w:tcW w:w="780" w:type="dxa"/>
            <w:vAlign w:val="bottom"/>
          </w:tcPr>
          <w:p>
            <w:pPr>
              <w:jc w:val="right"/>
              <w:ind w:right="595"/>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780" w:type="dxa"/>
            <w:vAlign w:val="bottom"/>
          </w:tcPr>
          <w:p>
            <w:pPr>
              <w:jc w:val="right"/>
              <w:ind w:right="593"/>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Incremental net income attributable to PAGP resulting from assumed</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exchange of AAP Management Units</w:t>
            </w:r>
          </w:p>
        </w:tc>
        <w:tc>
          <w:tcPr>
            <w:tcW w:w="7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840" w:type="dxa"/>
            <w:vAlign w:val="bottom"/>
          </w:tcPr>
          <w:p>
            <w:pPr>
              <w:ind w:left="80"/>
              <w:spacing w:after="0"/>
              <w:rPr>
                <w:sz w:val="20"/>
                <w:szCs w:val="20"/>
                <w:color w:val="auto"/>
              </w:rPr>
            </w:pPr>
            <w:r>
              <w:rPr>
                <w:rFonts w:ascii="Arial" w:cs="Arial" w:eastAsia="Arial" w:hAnsi="Arial"/>
                <w:sz w:val="18"/>
                <w:szCs w:val="18"/>
                <w:color w:val="auto"/>
                <w:w w:val="92"/>
              </w:rPr>
              <w:t>Net income/(loss) attributable to PAGP including incremental net income from</w:t>
            </w:r>
          </w:p>
        </w:tc>
        <w:tc>
          <w:tcPr>
            <w:tcW w:w="780" w:type="dxa"/>
            <w:vAlign w:val="bottom"/>
            <w:tcBorders>
              <w:top w:val="single" w:sz="8" w:color="auto"/>
            </w:tcBorders>
            <w:vMerge w:val="restart"/>
          </w:tcPr>
          <w:p>
            <w:pPr>
              <w:jc w:val="right"/>
              <w:ind w:right="595"/>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780" w:type="dxa"/>
            <w:vAlign w:val="bottom"/>
            <w:tcBorders>
              <w:top w:val="single" w:sz="8" w:color="auto"/>
            </w:tcBorders>
            <w:vMerge w:val="restart"/>
          </w:tcPr>
          <w:p>
            <w:pPr>
              <w:jc w:val="right"/>
              <w:ind w:right="59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5"/>
        </w:trPr>
        <w:tc>
          <w:tcPr>
            <w:tcW w:w="5840" w:type="dxa"/>
            <w:vAlign w:val="bottom"/>
          </w:tcPr>
          <w:p>
            <w:pPr>
              <w:ind w:left="80"/>
              <w:spacing w:after="0"/>
              <w:rPr>
                <w:sz w:val="20"/>
                <w:szCs w:val="20"/>
                <w:color w:val="auto"/>
              </w:rPr>
            </w:pPr>
            <w:r>
              <w:rPr>
                <w:rFonts w:ascii="Arial" w:cs="Arial" w:eastAsia="Arial" w:hAnsi="Arial"/>
                <w:sz w:val="18"/>
                <w:szCs w:val="18"/>
                <w:color w:val="auto"/>
              </w:rPr>
              <w:t>assumed exchange of AAP Management Units</w:t>
            </w:r>
          </w:p>
        </w:tc>
        <w:tc>
          <w:tcPr>
            <w:tcW w:w="78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80"/>
              <w:spacing w:after="0"/>
              <w:rPr>
                <w:sz w:val="20"/>
                <w:szCs w:val="20"/>
                <w:color w:val="auto"/>
              </w:rPr>
            </w:pPr>
            <w:r>
              <w:rPr>
                <w:rFonts w:ascii="Arial" w:cs="Arial" w:eastAsia="Arial" w:hAnsi="Arial"/>
                <w:sz w:val="18"/>
                <w:szCs w:val="18"/>
                <w:color w:val="auto"/>
              </w:rPr>
              <w:t>Basic weighted average Class A shares outstanding</w:t>
            </w:r>
          </w:p>
        </w:tc>
        <w:tc>
          <w:tcPr>
            <w:tcW w:w="780" w:type="dxa"/>
            <w:vAlign w:val="bottom"/>
          </w:tcPr>
          <w:p>
            <w:pPr>
              <w:spacing w:after="0"/>
              <w:rPr>
                <w:sz w:val="21"/>
                <w:szCs w:val="21"/>
                <w:color w:val="auto"/>
              </w:rPr>
            </w:pP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2"/>
              </w:rPr>
              <w:t>Dilutive shares resulting from assumed exchange of AAP Management Units</w:t>
            </w:r>
          </w:p>
        </w:tc>
        <w:tc>
          <w:tcPr>
            <w:tcW w:w="7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840" w:type="dxa"/>
            <w:vAlign w:val="bottom"/>
          </w:tcPr>
          <w:p>
            <w:pPr>
              <w:ind w:left="80"/>
              <w:spacing w:after="0"/>
              <w:rPr>
                <w:sz w:val="20"/>
                <w:szCs w:val="20"/>
                <w:color w:val="auto"/>
              </w:rPr>
            </w:pPr>
            <w:r>
              <w:rPr>
                <w:rFonts w:ascii="Arial" w:cs="Arial" w:eastAsia="Arial" w:hAnsi="Arial"/>
                <w:sz w:val="18"/>
                <w:szCs w:val="18"/>
                <w:color w:val="auto"/>
              </w:rPr>
              <w:t>Diluted weighted average Class A shares outstanding</w:t>
            </w:r>
          </w:p>
        </w:tc>
        <w:tc>
          <w:tcPr>
            <w:tcW w:w="7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100"/>
              <w:spacing w:after="0"/>
              <w:rPr>
                <w:sz w:val="20"/>
                <w:szCs w:val="20"/>
                <w:color w:val="auto"/>
              </w:rPr>
            </w:pPr>
            <w:r>
              <w:rPr>
                <w:rFonts w:ascii="Arial" w:cs="Arial" w:eastAsia="Arial" w:hAnsi="Arial"/>
                <w:sz w:val="18"/>
                <w:szCs w:val="18"/>
                <w:color w:val="auto"/>
              </w:rPr>
              <w:t xml:space="preserve">Diluted net income/(loss) per Class A share </w:t>
            </w:r>
            <w:r>
              <w:rPr>
                <w:rFonts w:ascii="Arial" w:cs="Arial" w:eastAsia="Arial" w:hAnsi="Arial"/>
                <w:sz w:val="23"/>
                <w:szCs w:val="23"/>
                <w:color w:val="auto"/>
                <w:vertAlign w:val="superscript"/>
              </w:rPr>
              <w:t>(1)</w:t>
            </w:r>
          </w:p>
        </w:tc>
        <w:tc>
          <w:tcPr>
            <w:tcW w:w="780" w:type="dxa"/>
            <w:vAlign w:val="bottom"/>
            <w:tcBorders>
              <w:bottom w:val="single" w:sz="8" w:color="auto"/>
            </w:tcBorders>
          </w:tcPr>
          <w:p>
            <w:pPr>
              <w:jc w:val="right"/>
              <w:ind w:right="59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1"/>
              </w:rPr>
              <w:t>0.09</w:t>
            </w:r>
          </w:p>
        </w:tc>
        <w:tc>
          <w:tcPr>
            <w:tcW w:w="120" w:type="dxa"/>
            <w:vAlign w:val="bottom"/>
          </w:tcPr>
          <w:p>
            <w:pPr>
              <w:spacing w:after="0"/>
              <w:rPr>
                <w:sz w:val="23"/>
                <w:szCs w:val="23"/>
                <w:color w:val="auto"/>
              </w:rPr>
            </w:pPr>
          </w:p>
        </w:tc>
        <w:tc>
          <w:tcPr>
            <w:tcW w:w="780" w:type="dxa"/>
            <w:vAlign w:val="bottom"/>
            <w:tcBorders>
              <w:bottom w:val="single" w:sz="8" w:color="auto"/>
            </w:tcBorders>
          </w:tcPr>
          <w:p>
            <w:pPr>
              <w:jc w:val="right"/>
              <w:ind w:right="59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1"/>
              </w:rPr>
              <w:t>0.40</w:t>
            </w: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340" w:right="180" w:hanging="332"/>
        <w:spacing w:after="0" w:line="231" w:lineRule="auto"/>
        <w:tabs>
          <w:tab w:leader="none" w:pos="334" w:val="left"/>
        </w:tabs>
        <w:numPr>
          <w:ilvl w:val="0"/>
          <w:numId w:val="29"/>
        </w:numPr>
        <w:rPr>
          <w:rFonts w:ascii="Arial" w:cs="Arial" w:eastAsia="Arial" w:hAnsi="Arial"/>
          <w:sz w:val="22"/>
          <w:szCs w:val="22"/>
          <w:color w:val="auto"/>
          <w:vertAlign w:val="superscript"/>
        </w:rPr>
      </w:pPr>
      <w:r>
        <w:rPr>
          <w:rFonts w:ascii="Arial" w:cs="Arial" w:eastAsia="Arial" w:hAnsi="Arial"/>
          <w:sz w:val="17"/>
          <w:szCs w:val="17"/>
          <w:color w:val="auto"/>
        </w:rPr>
        <w:t>For the three and six months ended June 30, 2020 and 2019, the possible exchange of any AAP units would not have had a dilutive effect on basic net income/(loss) per Class A share. For the three months ended June 30, 2020 and the six months ended June 30, 2020 and 2019, the possible exchange of AAP Management units would not have had a dilutive effect on basic net income/(loss) per Class A share.</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Contacts</w:t>
      </w:r>
      <w:r>
        <w:rPr>
          <w:rFonts w:ascii="Arial" w:cs="Arial" w:eastAsia="Arial" w:hAnsi="Arial"/>
          <w:sz w:val="18"/>
          <w:szCs w:val="18"/>
          <w:color w:val="auto"/>
        </w:rPr>
        <w: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Roy Lamoreaux</w:t>
      </w:r>
    </w:p>
    <w:p>
      <w:pPr>
        <w:spacing w:after="0" w:line="63" w:lineRule="exact"/>
        <w:rPr>
          <w:sz w:val="20"/>
          <w:szCs w:val="20"/>
          <w:color w:val="auto"/>
        </w:rPr>
      </w:pPr>
    </w:p>
    <w:p>
      <w:pPr>
        <w:ind w:left="20" w:right="5480"/>
        <w:spacing w:after="0" w:line="340" w:lineRule="auto"/>
        <w:rPr>
          <w:sz w:val="20"/>
          <w:szCs w:val="20"/>
          <w:color w:val="auto"/>
        </w:rPr>
      </w:pPr>
      <w:r>
        <w:rPr>
          <w:rFonts w:ascii="Arial" w:cs="Arial" w:eastAsia="Arial" w:hAnsi="Arial"/>
          <w:sz w:val="18"/>
          <w:szCs w:val="18"/>
          <w:color w:val="auto"/>
        </w:rPr>
        <w:t>Vice President, Investor Relations, Communications and Government Relations (866) 809-1291</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Brett Magill</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 Investor Relations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(866) 809-1291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sectPr>
      <w:pgSz w:w="11900" w:h="16838" w:orient="portrait"/>
      <w:cols w:equalWidth="0" w:num="1">
        <w:col w:w="11240"/>
      </w:cols>
      <w:pgMar w:left="320" w:top="3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04"/>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lvl w:ilvl="1">
      <w:lvlJc w:val="left"/>
      <w:lvlText w:val="-"/>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lvl w:ilvl="1">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lvl w:ilvl="1">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lvl w:ilvl="1">
      <w:lvlJc w:val="left"/>
      <w:lvlText w:val="-"/>
      <w:numFmt w:val="bullet"/>
      <w:start w:val="1"/>
    </w:lvl>
  </w:abstractNum>
  <w:abstractNum w:abstractNumId="14">
    <w:nsid w:val="721DA317"/>
    <w:multiLevelType w:val="hybridMultilevel"/>
    <w:lvl w:ilvl="0">
      <w:lvlJc w:val="left"/>
      <w:lvlText w:val="(%1)"/>
      <w:numFmt w:val="decimal"/>
      <w:start w:val="1"/>
    </w:lvl>
    <w:lvl w:ilvl="1">
      <w:lvlJc w:val="left"/>
      <w:lvlText w:val="-"/>
      <w:numFmt w:val="bullet"/>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lvl w:ilvl="1">
      <w:lvlJc w:val="left"/>
      <w:lvlText w:val="-"/>
      <w:numFmt w:val="bullet"/>
      <w:start w:val="1"/>
    </w:lvl>
  </w:abstractNum>
  <w:abstractNum w:abstractNumId="17">
    <w:nsid w:val="6763845E"/>
    <w:multiLevelType w:val="hybridMultilevel"/>
    <w:lvl w:ilvl="0">
      <w:lvlJc w:val="left"/>
      <w:lvlText w:val="(%1)"/>
      <w:numFmt w:val="decimal"/>
      <w:start w:val="1"/>
    </w:lvl>
    <w:lvl w:ilvl="1">
      <w:lvlJc w:val="left"/>
      <w:lvlText w:val="-"/>
      <w:numFmt w:val="bullet"/>
      <w:start w:val="1"/>
    </w:lvl>
  </w:abstractNum>
  <w:abstractNum w:abstractNumId="18">
    <w:nsid w:val="75A2A8D4"/>
    <w:multiLevelType w:val="hybridMultilevel"/>
    <w:lvl w:ilvl="0">
      <w:lvlJc w:val="left"/>
      <w:lvlText w:val="(%1)"/>
      <w:numFmt w:val="decimal"/>
      <w:start w:val="1"/>
    </w:lvl>
    <w:lvl w:ilvl="1">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lvl w:ilvl="1">
      <w:lvlJc w:val="left"/>
      <w:lvlText w:val="-"/>
      <w:numFmt w:val="bullet"/>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
    </w:lvl>
    <w:lvl w:ilvl="1">
      <w:lvlJc w:val="left"/>
      <w:lvlText w:val="-"/>
      <w:numFmt w:val="bullet"/>
      <w:start w:val="1"/>
    </w:lvl>
  </w:abstractNum>
  <w:abstractNum w:abstractNumId="26">
    <w:nsid w:val="2CA88611"/>
    <w:multiLevelType w:val="hybridMultilevel"/>
    <w:lvl w:ilvl="0">
      <w:lvlJc w:val="left"/>
      <w:lvlText w:val="(%1)"/>
      <w:numFmt w:val="decimal"/>
      <w:start w:val="1"/>
    </w:lvl>
    <w:lvl w:ilvl="1">
      <w:lvlJc w:val="left"/>
      <w:lvlText w:val="-"/>
      <w:numFmt w:val="bullet"/>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2020-08-04T15:35:05Z</dcterms:created>
  <dcterms:modified xsi:type="dcterms:W3CDTF">2020-08-04T15:35:05Z</dcterms:modified>
</cp:coreProperties>
</file>