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May 4, 2022</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8"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incorporation)</w:t>
      </w:r>
    </w:p>
    <w:p>
      <w:pPr>
        <w:spacing w:after="0" w:line="304" w:lineRule="exact"/>
        <w:rPr>
          <w:sz w:val="24"/>
          <w:szCs w:val="24"/>
          <w:color w:val="auto"/>
        </w:rPr>
      </w:pPr>
    </w:p>
    <w:p>
      <w:pPr>
        <w:ind w:left="3800"/>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080"/>
          </w:cols>
          <w:pgMar w:left="320" w:top="1274" w:right="499" w:bottom="1440" w:gutter="0" w:footer="0" w:header="0"/>
          <w:type w:val="continuous"/>
        </w:sectPr>
      </w:pPr>
    </w:p>
    <w:p>
      <w:pPr>
        <w:spacing w:after="0" w:line="23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33"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right="60" w:firstLine="172"/>
        <w:spacing w:after="0" w:line="285" w:lineRule="auto"/>
        <w:rPr>
          <w:sz w:val="20"/>
          <w:szCs w:val="20"/>
          <w:color w:val="auto"/>
        </w:rPr>
      </w:pPr>
      <w:r>
        <w:rPr>
          <w:rFonts w:ascii="Arial" w:cs="Arial" w:eastAsia="Arial" w:hAnsi="Arial"/>
          <w:sz w:val="16"/>
          <w:szCs w:val="16"/>
          <w:color w:val="auto"/>
        </w:rPr>
        <w:t>On May 4, 2022, the Registrant issued a press release reporting its first-quarter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240" w:type="dxa"/>
            <w:vAlign w:val="bottom"/>
            <w:gridSpan w:val="2"/>
          </w:tcPr>
          <w:p>
            <w:pPr>
              <w:ind w:left="640"/>
              <w:spacing w:after="0"/>
              <w:rPr>
                <w:sz w:val="20"/>
                <w:szCs w:val="20"/>
                <w:color w:val="auto"/>
              </w:rPr>
            </w:pPr>
            <w:r>
              <w:rPr>
                <w:rFonts w:ascii="Arial" w:cs="Arial" w:eastAsia="Arial" w:hAnsi="Arial"/>
                <w:sz w:val="16"/>
                <w:szCs w:val="16"/>
                <w:b w:val="1"/>
                <w:bCs w:val="1"/>
                <w:color w:val="auto"/>
              </w:rPr>
              <w:t>Exhibit</w:t>
            </w:r>
          </w:p>
        </w:tc>
        <w:tc>
          <w:tcPr>
            <w:tcW w:w="6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500" w:type="dxa"/>
            <w:vAlign w:val="bottom"/>
            <w:vMerge w:val="restart"/>
          </w:tcPr>
          <w:p>
            <w:pPr>
              <w:jc w:val="right"/>
              <w:ind w:right="2922"/>
              <w:spacing w:after="0"/>
              <w:rPr>
                <w:sz w:val="20"/>
                <w:szCs w:val="20"/>
                <w:color w:val="auto"/>
              </w:rPr>
            </w:pPr>
            <w:r>
              <w:rPr>
                <w:rFonts w:ascii="Arial" w:cs="Arial" w:eastAsia="Arial" w:hAnsi="Arial"/>
                <w:sz w:val="16"/>
                <w:szCs w:val="16"/>
                <w:b w:val="1"/>
                <w:bCs w:val="1"/>
                <w:color w:val="auto"/>
              </w:rPr>
              <w:t>Description</w:t>
            </w:r>
          </w:p>
        </w:tc>
        <w:tc>
          <w:tcPr>
            <w:tcW w:w="19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gridSpan w:val="2"/>
          </w:tcPr>
          <w:p>
            <w:pPr>
              <w:jc w:val="right"/>
              <w:ind w:right="42"/>
              <w:spacing w:after="0" w:line="176"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760" w:type="dxa"/>
            <w:vAlign w:val="bottom"/>
            <w:gridSpan w:val="3"/>
          </w:tcPr>
          <w:p>
            <w:pPr>
              <w:spacing w:after="0" w:line="176" w:lineRule="exact"/>
              <w:rPr>
                <w:rFonts w:ascii="Arial" w:cs="Arial" w:eastAsia="Arial" w:hAnsi="Arial"/>
                <w:sz w:val="17"/>
                <w:szCs w:val="17"/>
                <w:color w:val="0000FF"/>
              </w:rPr>
            </w:pPr>
            <w:hyperlink w:anchor="page4">
              <w:r>
                <w:rPr>
                  <w:rFonts w:ascii="Arial" w:cs="Arial" w:eastAsia="Arial" w:hAnsi="Arial"/>
                  <w:sz w:val="17"/>
                  <w:szCs w:val="17"/>
                  <w:color w:val="0000FF"/>
                </w:rPr>
                <w:t>Press Release dated May 4, 2022</w:t>
              </w:r>
            </w:hyperlink>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780" w:type="dxa"/>
            <w:vAlign w:val="bottom"/>
            <w:gridSpan w:val="2"/>
          </w:tcPr>
          <w:p>
            <w:pPr>
              <w:jc w:val="right"/>
              <w:ind w:right="62"/>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c>
          <w:tcPr>
            <w:tcW w:w="0" w:type="dxa"/>
            <w:vAlign w:val="bottom"/>
          </w:tcPr>
          <w:p>
            <w:pPr>
              <w:spacing w:after="0"/>
              <w:rPr>
                <w:sz w:val="1"/>
                <w:szCs w:val="1"/>
                <w:color w:val="auto"/>
              </w:rPr>
            </w:pPr>
          </w:p>
        </w:tc>
      </w:tr>
      <w:tr>
        <w:trPr>
          <w:trHeight w:val="1292"/>
        </w:trPr>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0" w:type="dxa"/>
            <w:vAlign w:val="bottom"/>
            <w:gridSpan w:val="3"/>
          </w:tcPr>
          <w:p>
            <w:pPr>
              <w:jc w:val="right"/>
              <w:ind w:right="3522"/>
              <w:spacing w:after="0"/>
              <w:rPr>
                <w:sz w:val="20"/>
                <w:szCs w:val="20"/>
                <w:color w:val="auto"/>
              </w:rPr>
            </w:pPr>
            <w:r>
              <w:rPr>
                <w:rFonts w:ascii="Arial" w:cs="Arial" w:eastAsia="Arial" w:hAnsi="Arial"/>
                <w:sz w:val="17"/>
                <w:szCs w:val="17"/>
                <w:color w:val="auto"/>
              </w:rPr>
              <w:t>2</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19"/>
        </w:trPr>
        <w:tc>
          <w:tcPr>
            <w:tcW w:w="2720" w:type="dxa"/>
            <w:vAlign w:val="bottom"/>
          </w:tcPr>
          <w:p>
            <w:pPr>
              <w:spacing w:after="0"/>
              <w:rPr>
                <w:sz w:val="19"/>
                <w:szCs w:val="19"/>
                <w:color w:val="auto"/>
              </w:rPr>
            </w:pPr>
          </w:p>
        </w:tc>
        <w:tc>
          <w:tcPr>
            <w:tcW w:w="7360" w:type="dxa"/>
            <w:vAlign w:val="bottom"/>
            <w:gridSpan w:val="3"/>
          </w:tcPr>
          <w:p>
            <w:pPr>
              <w:ind w:left="1420"/>
              <w:spacing w:after="0"/>
              <w:rPr>
                <w:sz w:val="20"/>
                <w:szCs w:val="20"/>
                <w:color w:val="auto"/>
              </w:rPr>
            </w:pPr>
            <w:r>
              <w:rPr>
                <w:rFonts w:ascii="Arial" w:cs="Arial" w:eastAsia="Arial" w:hAnsi="Arial"/>
                <w:sz w:val="17"/>
                <w:szCs w:val="17"/>
                <w:color w:val="auto"/>
              </w:rPr>
              <w:t>PLAINS GP HOLDINGS, L.P.</w:t>
            </w:r>
          </w:p>
        </w:tc>
      </w:tr>
      <w:tr>
        <w:trPr>
          <w:trHeight w:val="478"/>
        </w:trPr>
        <w:tc>
          <w:tcPr>
            <w:tcW w:w="2720" w:type="dxa"/>
            <w:vAlign w:val="bottom"/>
          </w:tcPr>
          <w:p>
            <w:pPr>
              <w:spacing w:after="0"/>
              <w:rPr>
                <w:sz w:val="24"/>
                <w:szCs w:val="24"/>
                <w:color w:val="auto"/>
              </w:rPr>
            </w:pPr>
          </w:p>
        </w:tc>
        <w:tc>
          <w:tcPr>
            <w:tcW w:w="1700" w:type="dxa"/>
            <w:vAlign w:val="bottom"/>
          </w:tcPr>
          <w:p>
            <w:pPr>
              <w:ind w:left="1420"/>
              <w:spacing w:after="0"/>
              <w:rPr>
                <w:sz w:val="20"/>
                <w:szCs w:val="20"/>
                <w:color w:val="auto"/>
              </w:rPr>
            </w:pPr>
            <w:r>
              <w:rPr>
                <w:rFonts w:ascii="Arial" w:cs="Arial" w:eastAsia="Arial" w:hAnsi="Arial"/>
                <w:sz w:val="17"/>
                <w:szCs w:val="17"/>
                <w:color w:val="auto"/>
              </w:rPr>
              <w:t>By:</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2720" w:type="dxa"/>
            <w:vAlign w:val="bottom"/>
          </w:tcPr>
          <w:p>
            <w:pPr>
              <w:spacing w:after="0"/>
              <w:rPr>
                <w:sz w:val="20"/>
                <w:szCs w:val="20"/>
                <w:color w:val="auto"/>
              </w:rPr>
            </w:pPr>
            <w:r>
              <w:rPr>
                <w:rFonts w:ascii="Arial" w:cs="Arial" w:eastAsia="Arial" w:hAnsi="Arial"/>
                <w:sz w:val="17"/>
                <w:szCs w:val="17"/>
                <w:color w:val="auto"/>
              </w:rPr>
              <w:t>Date: May 4, 2022</w:t>
            </w:r>
          </w:p>
        </w:tc>
        <w:tc>
          <w:tcPr>
            <w:tcW w:w="1700" w:type="dxa"/>
            <w:vAlign w:val="bottom"/>
          </w:tcPr>
          <w:p>
            <w:pPr>
              <w:ind w:left="1420"/>
              <w:spacing w:after="0"/>
              <w:rPr>
                <w:sz w:val="20"/>
                <w:szCs w:val="20"/>
                <w:color w:val="auto"/>
              </w:rPr>
            </w:pPr>
            <w:r>
              <w:rPr>
                <w:rFonts w:ascii="Arial" w:cs="Arial" w:eastAsia="Arial" w:hAnsi="Arial"/>
                <w:sz w:val="17"/>
                <w:szCs w:val="17"/>
                <w:color w:val="auto"/>
              </w:rPr>
              <w:t>By:</w:t>
            </w: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94"/>
              </w:rPr>
              <w:t>/s/ Al Swanson</w:t>
            </w:r>
          </w:p>
        </w:tc>
        <w:tc>
          <w:tcPr>
            <w:tcW w:w="3940" w:type="dxa"/>
            <w:vAlign w:val="bottom"/>
            <w:tcBorders>
              <w:bottom w:val="single" w:sz="8" w:color="auto"/>
            </w:tcBorders>
          </w:tcPr>
          <w:p>
            <w:pPr>
              <w:spacing w:after="0"/>
              <w:rPr>
                <w:sz w:val="24"/>
                <w:szCs w:val="24"/>
                <w:color w:val="auto"/>
              </w:rPr>
            </w:pPr>
          </w:p>
        </w:tc>
      </w:tr>
      <w:tr>
        <w:trPr>
          <w:trHeight w:val="213"/>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Name:</w:t>
            </w:r>
          </w:p>
        </w:tc>
        <w:tc>
          <w:tcPr>
            <w:tcW w:w="3940" w:type="dxa"/>
            <w:vAlign w:val="bottom"/>
          </w:tcPr>
          <w:p>
            <w:pPr>
              <w:ind w:left="40"/>
              <w:spacing w:after="0"/>
              <w:rPr>
                <w:sz w:val="20"/>
                <w:szCs w:val="20"/>
                <w:color w:val="auto"/>
              </w:rPr>
            </w:pPr>
            <w:r>
              <w:rPr>
                <w:rFonts w:ascii="Arial" w:cs="Arial" w:eastAsia="Arial" w:hAnsi="Arial"/>
                <w:sz w:val="17"/>
                <w:szCs w:val="17"/>
                <w:color w:val="auto"/>
              </w:rPr>
              <w:t>Al Swanson</w:t>
            </w:r>
          </w:p>
        </w:tc>
      </w:tr>
      <w:tr>
        <w:trPr>
          <w:trHeight w:val="220"/>
        </w:trPr>
        <w:tc>
          <w:tcPr>
            <w:tcW w:w="2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Title:</w:t>
            </w:r>
          </w:p>
        </w:tc>
        <w:tc>
          <w:tcPr>
            <w:tcW w:w="3940" w:type="dxa"/>
            <w:vAlign w:val="bottom"/>
          </w:tcPr>
          <w:p>
            <w:pPr>
              <w:ind w:left="40"/>
              <w:spacing w:after="0"/>
              <w:rPr>
                <w:sz w:val="20"/>
                <w:szCs w:val="20"/>
                <w:color w:val="auto"/>
              </w:rPr>
            </w:pPr>
            <w:r>
              <w:rPr>
                <w:rFonts w:ascii="Arial" w:cs="Arial" w:eastAsia="Arial" w:hAnsi="Arial"/>
                <w:sz w:val="17"/>
                <w:szCs w:val="17"/>
                <w:i w:val="1"/>
                <w:iCs w:val="1"/>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First-Quarter 2022 Results</w:t>
      </w:r>
    </w:p>
    <w:p>
      <w:pPr>
        <w:spacing w:after="0" w:line="240" w:lineRule="exact"/>
        <w:rPr>
          <w:sz w:val="20"/>
          <w:szCs w:val="20"/>
          <w:color w:val="auto"/>
        </w:rPr>
      </w:pPr>
    </w:p>
    <w:p>
      <w:pPr>
        <w:ind w:right="420"/>
        <w:spacing w:after="0" w:line="265" w:lineRule="auto"/>
        <w:rPr>
          <w:sz w:val="20"/>
          <w:szCs w:val="20"/>
          <w:color w:val="auto"/>
        </w:rPr>
      </w:pPr>
      <w:r>
        <w:rPr>
          <w:rFonts w:ascii="Arial" w:cs="Arial" w:eastAsia="Arial" w:hAnsi="Arial"/>
          <w:sz w:val="19"/>
          <w:szCs w:val="19"/>
          <w:color w:val="auto"/>
        </w:rPr>
        <w:t>Houston, TX – May 4, 2022– Plains All American Pipeline, L.P. (Nasdaq: PAA) and Plains GP Holdings (Nasdaq: PAGP) today reported first-quarter 2022 results and provided the following updates:</w:t>
      </w:r>
    </w:p>
    <w:p>
      <w:pPr>
        <w:spacing w:after="0" w:line="215" w:lineRule="exact"/>
        <w:rPr>
          <w:sz w:val="20"/>
          <w:szCs w:val="20"/>
          <w:color w:val="auto"/>
        </w:rPr>
      </w:pPr>
    </w:p>
    <w:p>
      <w:pPr>
        <w:ind w:left="620" w:hanging="307"/>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18"/>
          <w:szCs w:val="18"/>
          <w:color w:val="auto"/>
        </w:rPr>
        <w:t>Reported first-quarter Net income attributable to PAA of $187 million and Net cash provided by operating activities of $340 million</w:t>
      </w:r>
    </w:p>
    <w:p>
      <w:pPr>
        <w:spacing w:after="0" w:line="248" w:lineRule="exact"/>
        <w:rPr>
          <w:rFonts w:ascii="Arial" w:cs="Arial" w:eastAsia="Arial" w:hAnsi="Arial"/>
          <w:sz w:val="20"/>
          <w:szCs w:val="20"/>
          <w:color w:val="auto"/>
        </w:rPr>
      </w:pPr>
    </w:p>
    <w:p>
      <w:pPr>
        <w:ind w:left="620" w:right="560" w:hanging="307"/>
        <w:spacing w:after="0"/>
        <w:tabs>
          <w:tab w:leader="none" w:pos="615" w:val="left"/>
        </w:tabs>
        <w:numPr>
          <w:ilvl w:val="0"/>
          <w:numId w:val="2"/>
        </w:numPr>
        <w:rPr>
          <w:rFonts w:ascii="Arial" w:cs="Arial" w:eastAsia="Arial" w:hAnsi="Arial"/>
          <w:sz w:val="21"/>
          <w:szCs w:val="21"/>
          <w:color w:val="auto"/>
        </w:rPr>
      </w:pPr>
      <w:r>
        <w:rPr>
          <w:rFonts w:ascii="Arial" w:cs="Arial" w:eastAsia="Arial" w:hAnsi="Arial"/>
          <w:sz w:val="19"/>
          <w:szCs w:val="19"/>
          <w:color w:val="auto"/>
        </w:rPr>
        <w:t>Reported strong first-quarter Adjusted EBITDA attributable to PAA of $614 million and increased full-year 2022 Adjusted EBITDA attributable to PAA guidance by $75 million to +/- $2.275 billion</w:t>
      </w:r>
    </w:p>
    <w:p>
      <w:pPr>
        <w:spacing w:after="0" w:line="237"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19"/>
          <w:szCs w:val="19"/>
          <w:color w:val="auto"/>
        </w:rPr>
        <w:t>Forecast Permian gathering volume growth of +/- 280 thousand barrels per day in 2022 (YE-21 to YE-22)</w:t>
      </w:r>
    </w:p>
    <w:p>
      <w:pPr>
        <w:spacing w:after="0" w:line="237"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18"/>
          <w:szCs w:val="18"/>
          <w:color w:val="auto"/>
        </w:rPr>
        <w:t>Increased annualized common distribution by $0.15 to $0.87 per unit and repurchased $25 million of common units in the first quarter</w:t>
      </w:r>
    </w:p>
    <w:p>
      <w:pPr>
        <w:spacing w:after="0" w:line="222" w:lineRule="exact"/>
        <w:rPr>
          <w:sz w:val="20"/>
          <w:szCs w:val="20"/>
          <w:color w:val="auto"/>
        </w:rPr>
      </w:pPr>
    </w:p>
    <w:p>
      <w:pPr>
        <w:ind w:right="220" w:firstLine="620"/>
        <w:spacing w:after="0" w:line="246" w:lineRule="auto"/>
        <w:rPr>
          <w:sz w:val="20"/>
          <w:szCs w:val="20"/>
          <w:color w:val="auto"/>
        </w:rPr>
      </w:pPr>
      <w:r>
        <w:rPr>
          <w:rFonts w:ascii="Arial" w:cs="Arial" w:eastAsia="Arial" w:hAnsi="Arial"/>
          <w:sz w:val="19"/>
          <w:szCs w:val="19"/>
          <w:color w:val="auto"/>
        </w:rPr>
        <w:t>“Our business is off to a positive start in 2022, supported by constructive, long-term fundamentals and a strong commodity price environment,” stated Willie Chiang, Chairman and CEO of Plains. “We delivered strong first-quarter results above our previous expectations and increased our 2022 Adjusted EBITDA guidance by $75 million to $2.275 billion, with a bias to the upside. Current global events have reaffirmed the importance of energy in everyday life and the need for reliable, secure and responsibly produced energy. Our integrated business model and asset base is critical to meeting global energy demand, and we are very well positioned to generate significant multi-year Free Cash Flow and maximize unitholder returns for years to come.”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4"/>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attributable to PAA</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8240" w:type="dxa"/>
            <w:vAlign w:val="bottom"/>
            <w:gridSpan w:val="2"/>
          </w:tcPr>
          <w:p>
            <w:pPr>
              <w:ind w:left="20"/>
              <w:spacing w:after="0"/>
              <w:rPr>
                <w:sz w:val="20"/>
                <w:szCs w:val="20"/>
                <w:color w:val="auto"/>
              </w:rPr>
            </w:pPr>
            <w:r>
              <w:rPr>
                <w:rFonts w:ascii="Arial" w:cs="Arial" w:eastAsia="Arial" w:hAnsi="Arial"/>
                <w:sz w:val="17"/>
                <w:szCs w:val="17"/>
                <w:color w:val="auto"/>
              </w:rPr>
              <w:t>Diluted net income per common unit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824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jc w:val="right"/>
              <w:ind w:right="35"/>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8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6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7"/>
                <w:szCs w:val="17"/>
                <w:b w:val="1"/>
                <w:bCs w:val="1"/>
                <w:i w:val="1"/>
                <w:iCs w:val="1"/>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0"/>
        </w:trPr>
        <w:tc>
          <w:tcPr>
            <w:tcW w:w="816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Free Cash Flow</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81" w:lineRule="exact"/>
        <w:rPr>
          <w:sz w:val="20"/>
          <w:szCs w:val="20"/>
          <w:color w:val="auto"/>
        </w:rPr>
      </w:pPr>
    </w:p>
    <w:p>
      <w:pPr>
        <w:ind w:left="320" w:right="160" w:hanging="317"/>
        <w:spacing w:after="0" w:line="253" w:lineRule="auto"/>
        <w:tabs>
          <w:tab w:leader="none" w:pos="30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9" w:lineRule="exact"/>
        <w:rPr>
          <w:rFonts w:ascii="Arial" w:cs="Arial" w:eastAsia="Arial" w:hAnsi="Arial"/>
          <w:sz w:val="21"/>
          <w:szCs w:val="21"/>
          <w:color w:val="auto"/>
          <w:vertAlign w:val="superscript"/>
        </w:rPr>
      </w:pPr>
    </w:p>
    <w:p>
      <w:pPr>
        <w:ind w:left="320" w:right="380" w:hanging="317"/>
        <w:spacing w:after="0" w:line="228" w:lineRule="auto"/>
        <w:tabs>
          <w:tab w:leader="none" w:pos="308"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0"/>
                <w:szCs w:val="20"/>
                <w:b w:val="1"/>
                <w:bCs w:val="1"/>
                <w:color w:val="auto"/>
                <w:vertAlign w:val="superscript"/>
              </w:rPr>
              <w:t>(1) (2)</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80" w:type="dxa"/>
            <w:vAlign w:val="bottom"/>
            <w:tcBorders>
              <w:bottom w:val="single" w:sz="8" w:color="CCEEFF"/>
            </w:tcBorders>
          </w:tcPr>
          <w:p>
            <w:pPr>
              <w:spacing w:after="0"/>
              <w:rPr>
                <w:sz w:val="17"/>
                <w:szCs w:val="17"/>
                <w:color w:val="auto"/>
              </w:rPr>
            </w:pPr>
          </w:p>
        </w:tc>
        <w:tc>
          <w:tcPr>
            <w:tcW w:w="39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Crude Oil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NGL</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Three Months Ended March 31, 2022</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6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Three Months Ended March 31, 2021</w:t>
            </w:r>
          </w:p>
        </w:tc>
        <w:tc>
          <w:tcPr>
            <w:tcW w:w="1160" w:type="dxa"/>
            <w:vAlign w:val="bottom"/>
            <w:tcBorders>
              <w:bottom w:val="single" w:sz="8" w:color="auto"/>
            </w:tcBorders>
          </w:tcPr>
          <w:p>
            <w:pPr>
              <w:jc w:val="right"/>
              <w:ind w:right="978"/>
              <w:spacing w:after="0" w:line="191"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474</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917"/>
              <w:spacing w:after="0" w:line="191" w:lineRule="exact"/>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133 %</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89"/>
              </w:rPr>
              <w:t>Percentage change in Segment Adjusted EBITDA versus 2021 period further adjusted for impact of divested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6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3 %</w:t>
            </w: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133 %</w:t>
            </w:r>
          </w:p>
        </w:tc>
        <w:tc>
          <w:tcPr>
            <w:tcW w:w="0" w:type="dxa"/>
            <w:vAlign w:val="bottom"/>
          </w:tcPr>
          <w:p>
            <w:pPr>
              <w:spacing w:after="0"/>
              <w:rPr>
                <w:sz w:val="1"/>
                <w:szCs w:val="1"/>
                <w:color w:val="auto"/>
              </w:rPr>
            </w:pPr>
          </w:p>
        </w:tc>
      </w:tr>
      <w:tr>
        <w:trPr>
          <w:trHeight w:val="194"/>
        </w:trPr>
        <w:tc>
          <w:tcPr>
            <w:tcW w:w="7860" w:type="dxa"/>
            <w:vAlign w:val="bottom"/>
            <w:gridSpan w:val="2"/>
          </w:tcPr>
          <w:p>
            <w:pPr>
              <w:ind w:left="180"/>
              <w:spacing w:after="0" w:line="193" w:lineRule="exact"/>
              <w:rPr>
                <w:sz w:val="20"/>
                <w:szCs w:val="20"/>
                <w:color w:val="auto"/>
              </w:rPr>
            </w:pPr>
            <w:r>
              <w:rPr>
                <w:rFonts w:ascii="Arial" w:cs="Arial" w:eastAsia="Arial" w:hAnsi="Arial"/>
                <w:sz w:val="17"/>
                <w:szCs w:val="17"/>
                <w:b w:val="1"/>
                <w:bCs w:val="1"/>
                <w:i w:val="1"/>
                <w:iCs w:val="1"/>
                <w:color w:val="auto"/>
              </w:rPr>
              <w:t xml:space="preserve">assets </w:t>
            </w:r>
            <w:r>
              <w:rPr>
                <w:rFonts w:ascii="Arial" w:cs="Arial" w:eastAsia="Arial" w:hAnsi="Arial"/>
                <w:sz w:val="22"/>
                <w:szCs w:val="22"/>
                <w:b w:val="1"/>
                <w:bCs w:val="1"/>
                <w:i w:val="1"/>
                <w:iCs w:val="1"/>
                <w:color w:val="auto"/>
                <w:vertAlign w:val="superscript"/>
              </w:rPr>
              <w:t>(3)</w:t>
            </w:r>
          </w:p>
        </w:tc>
        <w:tc>
          <w:tcPr>
            <w:tcW w:w="1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8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220" w:hanging="317"/>
        <w:spacing w:after="0" w:line="253" w:lineRule="auto"/>
        <w:tabs>
          <w:tab w:leader="none" w:pos="3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29" w:lineRule="exact"/>
        <w:rPr>
          <w:rFonts w:ascii="Arial" w:cs="Arial" w:eastAsia="Arial" w:hAnsi="Arial"/>
          <w:sz w:val="21"/>
          <w:szCs w:val="21"/>
          <w:color w:val="auto"/>
          <w:vertAlign w:val="superscript"/>
        </w:rPr>
      </w:pPr>
    </w:p>
    <w:p>
      <w:pPr>
        <w:ind w:left="320" w:right="40" w:hanging="317"/>
        <w:spacing w:after="0" w:line="285" w:lineRule="auto"/>
        <w:tabs>
          <w:tab w:leader="none" w:pos="308"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10" w:lineRule="exact"/>
        <w:rPr>
          <w:rFonts w:ascii="Arial" w:cs="Arial" w:eastAsia="Arial" w:hAnsi="Arial"/>
          <w:sz w:val="19"/>
          <w:szCs w:val="19"/>
          <w:color w:val="auto"/>
          <w:vertAlign w:val="superscript"/>
        </w:rPr>
      </w:pPr>
    </w:p>
    <w:p>
      <w:pPr>
        <w:ind w:left="320" w:right="60" w:hanging="317"/>
        <w:spacing w:after="0" w:line="228" w:lineRule="auto"/>
        <w:tabs>
          <w:tab w:leader="none" w:pos="30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certain natural gas storage facilities previously included in our Crude Oil segment.</w:t>
      </w:r>
    </w:p>
    <w:p>
      <w:pPr>
        <w:spacing w:after="0" w:line="323" w:lineRule="exact"/>
        <w:rPr>
          <w:sz w:val="20"/>
          <w:szCs w:val="20"/>
          <w:color w:val="auto"/>
        </w:rPr>
      </w:pPr>
    </w:p>
    <w:p>
      <w:pPr>
        <w:jc w:val="both"/>
        <w:ind w:right="280" w:firstLine="620"/>
        <w:spacing w:after="0" w:line="268" w:lineRule="auto"/>
        <w:rPr>
          <w:sz w:val="20"/>
          <w:szCs w:val="20"/>
          <w:color w:val="auto"/>
        </w:rPr>
      </w:pPr>
      <w:r>
        <w:rPr>
          <w:rFonts w:ascii="Arial" w:cs="Arial" w:eastAsia="Arial" w:hAnsi="Arial"/>
          <w:sz w:val="17"/>
          <w:szCs w:val="17"/>
          <w:color w:val="auto"/>
        </w:rPr>
        <w:t>First-quarter 2022 Crude Oil Segment Adjusted EBITDA decreased 4% versus comparable 2021 results primarily due to (i) the sale of our natural gas storage facilities in August of 2021 and (ii) gains related to hedged power costs resulting from Winter Storm Uri recognized in the first quarter of 2021. These items were partially offset by increased earnings in the first quarter of 2022 from higher tariff volumes on our pipelines.</w:t>
      </w:r>
    </w:p>
    <w:p>
      <w:pPr>
        <w:spacing w:after="0" w:line="198" w:lineRule="exact"/>
        <w:rPr>
          <w:sz w:val="20"/>
          <w:szCs w:val="20"/>
          <w:color w:val="auto"/>
        </w:rPr>
      </w:pPr>
    </w:p>
    <w:p>
      <w:pPr>
        <w:ind w:right="360" w:firstLine="620"/>
        <w:spacing w:after="0" w:line="283" w:lineRule="auto"/>
        <w:rPr>
          <w:sz w:val="20"/>
          <w:szCs w:val="20"/>
          <w:color w:val="auto"/>
        </w:rPr>
      </w:pPr>
      <w:r>
        <w:rPr>
          <w:rFonts w:ascii="Arial" w:cs="Arial" w:eastAsia="Arial" w:hAnsi="Arial"/>
          <w:sz w:val="17"/>
          <w:szCs w:val="17"/>
          <w:color w:val="auto"/>
        </w:rPr>
        <w:t>First-quarter 2022 NGL Segment Adjusted EBITDA increased 133% versus comparable 2021 results primarily due to the favorable impact of higher realized fractionation spreads and higher NGL sales prices, partially offset by lower NGL sales volumes.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Line 901 Update</w:t>
      </w:r>
    </w:p>
    <w:p>
      <w:pPr>
        <w:spacing w:after="0" w:line="237" w:lineRule="exact"/>
        <w:rPr>
          <w:sz w:val="20"/>
          <w:szCs w:val="20"/>
          <w:color w:val="auto"/>
        </w:rPr>
      </w:pPr>
    </w:p>
    <w:p>
      <w:pPr>
        <w:jc w:val="both"/>
        <w:ind w:firstLine="620"/>
        <w:spacing w:after="0" w:line="229" w:lineRule="auto"/>
        <w:rPr>
          <w:sz w:val="20"/>
          <w:szCs w:val="20"/>
          <w:color w:val="auto"/>
        </w:rPr>
      </w:pPr>
      <w:r>
        <w:rPr>
          <w:rFonts w:ascii="Arial" w:cs="Arial" w:eastAsia="Arial" w:hAnsi="Arial"/>
          <w:sz w:val="17"/>
          <w:szCs w:val="17"/>
          <w:color w:val="auto"/>
        </w:rPr>
        <w:t>Included in our results for the first quarter of 2022 is a net increase of $85 million in our estimate of aggregate total costs we have incurred or will incur with respect to the May 2015 Line 901 incident. Such net increase is included in the table attached to this release entitled “Selected Items Impacting Comparability” and is net of amounts we believe are probable of recovery from insurance. The increase in estimated costs includes, among other items, the combined impact of agreements in principle regarding the proposed settlement of two lawsuits that arose out of the Line 901 incident, a class action lawsuit pending in the United States District Court for the Central District of California (the “Class Action Lawsuit”) and a derivative lawsuit pending in the Delaware Chancery Court (the “Derivative Lawsuit”).</w:t>
      </w:r>
    </w:p>
    <w:p>
      <w:pPr>
        <w:spacing w:after="0" w:line="199" w:lineRule="exact"/>
        <w:rPr>
          <w:sz w:val="20"/>
          <w:szCs w:val="20"/>
          <w:color w:val="auto"/>
        </w:rPr>
      </w:pPr>
    </w:p>
    <w:p>
      <w:pPr>
        <w:ind w:right="120" w:firstLine="620"/>
        <w:spacing w:after="0" w:line="233" w:lineRule="auto"/>
        <w:rPr>
          <w:sz w:val="20"/>
          <w:szCs w:val="20"/>
          <w:color w:val="auto"/>
        </w:rPr>
      </w:pPr>
      <w:r>
        <w:rPr>
          <w:rFonts w:ascii="Arial" w:cs="Arial" w:eastAsia="Arial" w:hAnsi="Arial"/>
          <w:sz w:val="17"/>
          <w:szCs w:val="17"/>
          <w:color w:val="auto"/>
        </w:rPr>
        <w:t>With respect to the Class Action Lawsuit, which involves claims by (i) a class of commercial fishermen and processors and (ii) a class of beachfront and shoreline property owners, Plains has agreed to pay $230 million to fully and finally settle all of the plaintiff’s claims. We believe these claims are covered by insurance and, subject to our policy limits, we expect a significant portion of this settlement will be recoverable from our insurance carriers. The settlement is subject to negotiation of final documentation and approval of the trial court.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2" w:lineRule="exact"/>
        <w:rPr>
          <w:sz w:val="20"/>
          <w:szCs w:val="20"/>
          <w:color w:val="auto"/>
        </w:rPr>
      </w:pPr>
    </w:p>
    <w:p>
      <w:pPr>
        <w:ind w:right="60" w:firstLine="620"/>
        <w:spacing w:after="0" w:line="229" w:lineRule="auto"/>
        <w:rPr>
          <w:sz w:val="20"/>
          <w:szCs w:val="20"/>
          <w:color w:val="auto"/>
        </w:rPr>
      </w:pPr>
      <w:r>
        <w:rPr>
          <w:rFonts w:ascii="Arial" w:cs="Arial" w:eastAsia="Arial" w:hAnsi="Arial"/>
          <w:sz w:val="17"/>
          <w:szCs w:val="17"/>
          <w:color w:val="auto"/>
        </w:rPr>
        <w:t>With respect to the Derivative Lawsuit, wherein the plaintiff alleges that PAGP’s Board of Directors failed to exercise proper oversight over PAA’s pipeline integrity efforts, Plains has agreed to settle the lawsuit in exchange for (i) the payment by us of approximately $2 million of attorney’s fees to plaintiff’s counsel (which amount our director and officer insurance provider has agreed to pay) and (ii) non-monetary compensation in the form of the agreement of Plains to comply with various covenants regarding the implementation and/or continuation of certain Board oversight practices with respect to pipeline integrity. The settlement is subject to court approval and notice to all PAA unitholders, which will be effected following Chancery Court approval via the filing by PAA with the Securities and Exchange Commission of a Current Report on Form 8-K.</w:t>
      </w:r>
    </w:p>
    <w:p>
      <w:pPr>
        <w:spacing w:after="0" w:line="199" w:lineRule="exact"/>
        <w:rPr>
          <w:sz w:val="20"/>
          <w:szCs w:val="20"/>
          <w:color w:val="auto"/>
        </w:rPr>
      </w:pPr>
    </w:p>
    <w:p>
      <w:pPr>
        <w:jc w:val="both"/>
        <w:ind w:firstLine="620"/>
        <w:spacing w:after="0" w:line="228" w:lineRule="auto"/>
        <w:rPr>
          <w:sz w:val="20"/>
          <w:szCs w:val="20"/>
          <w:color w:val="auto"/>
        </w:rPr>
      </w:pPr>
      <w:r>
        <w:rPr>
          <w:rFonts w:ascii="Arial" w:cs="Arial" w:eastAsia="Arial" w:hAnsi="Arial"/>
          <w:sz w:val="17"/>
          <w:szCs w:val="17"/>
          <w:color w:val="auto"/>
        </w:rPr>
        <w:t>We have made adjustments to our total estimated Line 901 costs that incorporate the anticipated settlements described above and general refinements of previous cost estimates, and we have adjusted the receivable we recognized for costs related to the Line 901 incident that we believe are probable of recovery from insurance carriers, net of deductibles. Effective as of March 31, 2022, we estimate that the aggregate total costs we have incurred or will incur with respect to the Line 901 incident will increase by $230 million to $725 million, of which the remaining undiscounted net liability is approximately $95 million, consisting of approximately $335 million of gross remaining liability offset by approximately $240 million of remaining costs that we expect to recover from insurance. Full collection of the amounts we believe are recoverable from our insurance carriers will reach the limit of our $500 million 2015 insurance program applicable to the Line 901 incident</w:t>
      </w:r>
      <w:r>
        <w:rPr>
          <w:rFonts w:ascii="Arial" w:cs="Arial" w:eastAsia="Arial" w:hAnsi="Arial"/>
          <w:sz w:val="17"/>
          <w:szCs w:val="17"/>
          <w:i w:val="1"/>
          <w:iCs w:val="1"/>
          <w:color w:val="auto"/>
        </w:rPr>
        <w:t>.</w:t>
      </w:r>
    </w:p>
    <w:p>
      <w:pPr>
        <w:spacing w:after="0" w:line="199" w:lineRule="exact"/>
        <w:rPr>
          <w:sz w:val="20"/>
          <w:szCs w:val="20"/>
          <w:color w:val="auto"/>
        </w:rPr>
      </w:pPr>
    </w:p>
    <w:p>
      <w:pPr>
        <w:jc w:val="both"/>
        <w:ind w:firstLine="620"/>
        <w:spacing w:after="0" w:line="237" w:lineRule="auto"/>
        <w:rPr>
          <w:sz w:val="20"/>
          <w:szCs w:val="20"/>
          <w:color w:val="auto"/>
        </w:rPr>
      </w:pPr>
      <w:r>
        <w:rPr>
          <w:rFonts w:ascii="Arial" w:cs="Arial" w:eastAsia="Arial" w:hAnsi="Arial"/>
          <w:sz w:val="17"/>
          <w:szCs w:val="17"/>
          <w:color w:val="auto"/>
        </w:rPr>
        <w:t>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material adverse effect on our consolidated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right="40" w:firstLine="172"/>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PAA and PAGP will hold a joint conference call at 4:00 p.m. CT on Wednesday, May 4, 2022 to discuss the following items:</w:t>
      </w:r>
    </w:p>
    <w:p>
      <w:pPr>
        <w:spacing w:after="0" w:line="115" w:lineRule="exact"/>
        <w:rPr>
          <w:sz w:val="20"/>
          <w:szCs w:val="20"/>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PAA’s first-quarter 2022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and operating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https://edge.media-server.com/mmc/p/hq8d7unf.</w:t>
      </w:r>
    </w:p>
    <w:p>
      <w:pPr>
        <w:spacing w:after="0" w:line="244"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firstLine="620"/>
        <w:spacing w:after="0" w:line="290" w:lineRule="auto"/>
        <w:rPr>
          <w:sz w:val="20"/>
          <w:szCs w:val="20"/>
          <w:color w:val="auto"/>
        </w:rPr>
      </w:pPr>
      <w:r>
        <w:rPr>
          <w:rFonts w:ascii="Arial" w:cs="Arial" w:eastAsia="Arial" w:hAnsi="Arial"/>
          <w:sz w:val="15"/>
          <w:szCs w:val="15"/>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w:t>
      </w:r>
    </w:p>
    <w:p>
      <w:pPr>
        <w:spacing w:after="0" w:line="3" w:lineRule="exact"/>
        <w:rPr>
          <w:sz w:val="20"/>
          <w:szCs w:val="20"/>
          <w:color w:val="auto"/>
        </w:rPr>
      </w:pPr>
    </w:p>
    <w:p>
      <w:pPr>
        <w:ind w:right="40" w:firstLine="3"/>
        <w:spacing w:after="0" w:line="273" w:lineRule="auto"/>
        <w:tabs>
          <w:tab w:leader="none" w:pos="244"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40"/>
          </w:cols>
          <w:pgMar w:left="320" w:top="360" w:right="4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11"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CCEEFF"/>
            </w:tcBorders>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18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14"/>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1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Purchases and related costs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7,392</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Field operating costs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(Gains)/losses on asset sales and asset impairments, net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Total costs and expenses</w:t>
            </w: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7,857</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45"/>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color w:val="auto"/>
              </w:rPr>
              <w:t>Equity earnings in unconsolidated entities</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expense, net</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INCOME BEFORE TAX</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Current income tax expense</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 expense</w:t>
            </w:r>
          </w:p>
        </w:tc>
        <w:tc>
          <w:tcPr>
            <w:tcW w:w="21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25"/>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423</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 attributable to noncontrolling interests</w:t>
            </w:r>
          </w:p>
        </w:tc>
        <w:tc>
          <w:tcPr>
            <w:tcW w:w="2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 ATTRIBUTABLE TO PAA</w:t>
            </w:r>
          </w:p>
        </w:tc>
        <w:tc>
          <w:tcPr>
            <w:tcW w:w="218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7"/>
                <w:szCs w:val="17"/>
                <w:b w:val="1"/>
                <w:bCs w:val="1"/>
                <w:color w:val="auto"/>
              </w:rPr>
              <w:t>NET INCOME PER COMMON UNIT:</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Net income allocated to common unitholders — Basic and Diluted</w:t>
            </w:r>
          </w:p>
        </w:tc>
        <w:tc>
          <w:tcPr>
            <w:tcW w:w="2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20"/>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7"/>
                <w:szCs w:val="17"/>
                <w:color w:val="auto"/>
                <w:w w:val="97"/>
              </w:rPr>
              <w:t>Basic and diluted weighted average common units outstanding</w:t>
            </w:r>
          </w:p>
        </w:tc>
        <w:tc>
          <w:tcPr>
            <w:tcW w:w="2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722</w:t>
            </w:r>
          </w:p>
        </w:tc>
      </w:tr>
      <w:tr>
        <w:trPr>
          <w:trHeight w:val="220"/>
        </w:trPr>
        <w:tc>
          <w:tcPr>
            <w:tcW w:w="20" w:type="dxa"/>
            <w:vAlign w:val="bottom"/>
            <w:shd w:val="clear" w:color="auto" w:fill="CCEEFF"/>
          </w:tcPr>
          <w:p>
            <w:pPr>
              <w:spacing w:after="0"/>
              <w:rPr>
                <w:sz w:val="19"/>
                <w:szCs w:val="19"/>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Basic and diluted net income per common unit</w:t>
            </w:r>
          </w:p>
        </w:tc>
        <w:tc>
          <w:tcPr>
            <w:tcW w:w="2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r>
      <w:tr>
        <w:trPr>
          <w:trHeight w:val="69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80" w:type="dxa"/>
            <w:vAlign w:val="bottom"/>
          </w:tcPr>
          <w:p>
            <w:pPr>
              <w:jc w:val="center"/>
              <w:ind w:right="414"/>
              <w:spacing w:after="0"/>
              <w:rPr>
                <w:sz w:val="20"/>
                <w:szCs w:val="20"/>
                <w:color w:val="auto"/>
              </w:rPr>
            </w:pPr>
            <w:r>
              <w:rPr>
                <w:rFonts w:ascii="Arial" w:cs="Arial" w:eastAsia="Arial" w:hAnsi="Arial"/>
                <w:sz w:val="17"/>
                <w:szCs w:val="17"/>
                <w:color w:val="auto"/>
                <w:w w:val="94"/>
              </w:rPr>
              <w:t>- more -</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180" w:type="dxa"/>
            <w:vAlign w:val="bottom"/>
          </w:tcPr>
          <w:p>
            <w:pPr>
              <w:jc w:val="center"/>
              <w:ind w:right="434"/>
              <w:spacing w:after="0"/>
              <w:rPr>
                <w:sz w:val="20"/>
                <w:szCs w:val="20"/>
                <w:color w:val="auto"/>
              </w:rPr>
            </w:pPr>
            <w:r>
              <w:rPr>
                <w:rFonts w:ascii="Arial" w:cs="Arial" w:eastAsia="Arial" w:hAnsi="Arial"/>
                <w:sz w:val="17"/>
                <w:szCs w:val="17"/>
                <w:b w:val="1"/>
                <w:bCs w:val="1"/>
                <w:color w:val="auto"/>
                <w:w w:val="88"/>
              </w:rPr>
              <w:t>Houston, Texas 77002</w:t>
            </w:r>
          </w:p>
        </w:tc>
        <w:tc>
          <w:tcPr>
            <w:tcW w:w="3020" w:type="dxa"/>
            <w:vAlign w:val="bottom"/>
            <w:gridSpan w:val="3"/>
          </w:tcPr>
          <w:p>
            <w:pPr>
              <w:jc w:val="right"/>
              <w:ind w:right="315"/>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$114 and $449, respectively)</w:t>
            </w: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15,799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3"/>
                <w:szCs w:val="13"/>
                <w:color w:val="auto"/>
              </w:rPr>
            </w:pPr>
          </w:p>
        </w:tc>
        <w:tc>
          <w:tcPr>
            <w:tcW w:w="1020" w:type="dxa"/>
            <w:vAlign w:val="bottom"/>
          </w:tcPr>
          <w:p>
            <w:pPr>
              <w:jc w:val="center"/>
              <w:ind w:right="56"/>
              <w:spacing w:after="0" w:line="15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204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1" w:lineRule="exact"/>
              <w:rPr>
                <w:sz w:val="20"/>
                <w:szCs w:val="20"/>
                <w:color w:val="auto"/>
              </w:rPr>
            </w:pPr>
            <w:r>
              <w:rPr>
                <w:rFonts w:ascii="Arial" w:cs="Arial" w:eastAsia="Arial" w:hAnsi="Arial"/>
                <w:sz w:val="17"/>
                <w:szCs w:val="17"/>
                <w:color w:val="auto"/>
              </w:rPr>
              <w:t>18,929</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19,192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3020" w:type="dxa"/>
            <w:vAlign w:val="bottom"/>
            <w:gridSpan w:val="3"/>
          </w:tcPr>
          <w:p>
            <w:pPr>
              <w:jc w:val="right"/>
              <w:ind w:right="316"/>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A preferred unitholders</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55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15557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Basic and diluted weighted average common units outstanding </w:t>
      </w:r>
      <w:r>
        <w:rPr>
          <w:rFonts w:ascii="Arial" w:cs="Arial" w:eastAsia="Arial" w:hAnsi="Arial"/>
          <w:sz w:val="19"/>
          <w:szCs w:val="19"/>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7138035" cy="155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15557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 and diluted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2461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1542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ind w:left="440"/>
        <w:spacing w:after="0"/>
        <w:tabs>
          <w:tab w:leader="none" w:pos="16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20"/>
        </w:trPr>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31"/>
        </w:trPr>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722</w:t>
            </w:r>
          </w:p>
        </w:tc>
      </w:tr>
      <w:tr>
        <w:trPr>
          <w:trHeight w:val="465"/>
        </w:trPr>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420"/>
          </w:cols>
          <w:pgMar w:left="320" w:top="360" w:right="339" w:bottom="1440" w:gutter="0" w:footer="0" w:header="0"/>
          <w:type w:val="continuous"/>
        </w:sectPr>
      </w:pPr>
    </w:p>
    <w:p>
      <w:pPr>
        <w:spacing w:after="0" w:line="73" w:lineRule="exact"/>
        <w:rPr>
          <w:sz w:val="20"/>
          <w:szCs w:val="20"/>
          <w:color w:val="auto"/>
        </w:rPr>
      </w:pPr>
    </w:p>
    <w:p>
      <w:pPr>
        <w:ind w:left="320" w:right="220" w:hanging="317"/>
        <w:spacing w:after="0" w:line="227" w:lineRule="auto"/>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22"/>
          <w:szCs w:val="22"/>
          <w:color w:val="auto"/>
          <w:vertAlign w:val="superscript"/>
        </w:rPr>
      </w:pPr>
    </w:p>
    <w:p>
      <w:pPr>
        <w:ind w:left="320" w:right="200" w:hanging="317"/>
        <w:spacing w:after="0" w:line="219" w:lineRule="auto"/>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the three months ended March 31, 2022 and 2021 as the effect was antidilutive.</w:t>
      </w:r>
    </w:p>
    <w:p>
      <w:pPr>
        <w:spacing w:after="0" w:line="30" w:lineRule="exact"/>
        <w:rPr>
          <w:rFonts w:ascii="Arial" w:cs="Arial" w:eastAsia="Arial" w:hAnsi="Arial"/>
          <w:sz w:val="22"/>
          <w:szCs w:val="22"/>
          <w:color w:val="auto"/>
          <w:vertAlign w:val="superscript"/>
        </w:rPr>
      </w:pPr>
    </w:p>
    <w:p>
      <w:pPr>
        <w:ind w:left="320" w:right="20" w:hanging="317"/>
        <w:spacing w:after="0" w:line="267" w:lineRule="auto"/>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2022 and 2021, the effect of equity-indexed compensation plan awards was antidilutive, or did not change the presentation of diluted weighted average common units outstanding or diluted net income per common unit.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225" w:lineRule="auto"/>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10"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0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PAA</w:t>
            </w:r>
          </w:p>
        </w:tc>
        <w:tc>
          <w:tcPr>
            <w:tcW w:w="760" w:type="dxa"/>
            <w:vAlign w:val="bottom"/>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net income attributable to PAA </w:t>
            </w:r>
            <w:r>
              <w:rPr>
                <w:rFonts w:ascii="Arial" w:cs="Arial" w:eastAsia="Arial" w:hAnsi="Arial"/>
                <w:sz w:val="22"/>
                <w:szCs w:val="22"/>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882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722</w:t>
            </w:r>
          </w:p>
        </w:tc>
      </w:tr>
      <w:tr>
        <w:trPr>
          <w:trHeight w:val="258"/>
        </w:trPr>
        <w:tc>
          <w:tcPr>
            <w:tcW w:w="3880" w:type="dxa"/>
            <w:vAlign w:val="bottom"/>
            <w:shd w:val="clear" w:color="auto" w:fill="CCEEFF"/>
          </w:tcPr>
          <w:p>
            <w:pPr>
              <w:spacing w:after="0"/>
              <w:rPr>
                <w:sz w:val="22"/>
                <w:szCs w:val="22"/>
                <w:color w:val="auto"/>
              </w:rPr>
            </w:pPr>
          </w:p>
        </w:tc>
        <w:tc>
          <w:tcPr>
            <w:tcW w:w="49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0.25</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4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131" w:lineRule="exact"/>
        <w:rPr>
          <w:sz w:val="20"/>
          <w:szCs w:val="20"/>
          <w:color w:val="auto"/>
        </w:rPr>
      </w:pPr>
    </w:p>
    <w:p>
      <w:pPr>
        <w:ind w:left="320" w:hanging="317"/>
        <w:spacing w:after="0" w:line="227"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22"/>
          <w:szCs w:val="22"/>
          <w:color w:val="auto"/>
          <w:vertAlign w:val="superscript"/>
        </w:rPr>
      </w:pPr>
    </w:p>
    <w:p>
      <w:pPr>
        <w:ind w:left="320" w:right="240" w:hanging="317"/>
        <w:spacing w:after="0" w:line="219"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 See the “Selected Items Impacting Comparability” table for additional information.</w:t>
      </w:r>
    </w:p>
    <w:p>
      <w:pPr>
        <w:spacing w:after="0" w:line="30" w:lineRule="exact"/>
        <w:rPr>
          <w:rFonts w:ascii="Arial" w:cs="Arial" w:eastAsia="Arial" w:hAnsi="Arial"/>
          <w:sz w:val="22"/>
          <w:szCs w:val="22"/>
          <w:color w:val="auto"/>
          <w:vertAlign w:val="superscript"/>
        </w:rPr>
      </w:pPr>
    </w:p>
    <w:p>
      <w:pPr>
        <w:ind w:left="320" w:right="200" w:hanging="317"/>
        <w:spacing w:after="0" w:line="219" w:lineRule="auto"/>
        <w:tabs>
          <w:tab w:leader="none" w:pos="32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 per common unit for the three months ended March 31, 2022 and 2021 as the effect was antidilutive.</w:t>
      </w:r>
    </w:p>
    <w:p>
      <w:pPr>
        <w:spacing w:after="0" w:line="30" w:lineRule="exact"/>
        <w:rPr>
          <w:rFonts w:ascii="Arial" w:cs="Arial" w:eastAsia="Arial" w:hAnsi="Arial"/>
          <w:sz w:val="22"/>
          <w:szCs w:val="22"/>
          <w:color w:val="auto"/>
          <w:vertAlign w:val="superscript"/>
        </w:rPr>
      </w:pPr>
    </w:p>
    <w:p>
      <w:pPr>
        <w:ind w:left="320" w:right="20" w:hanging="317"/>
        <w:spacing w:after="0" w:line="267" w:lineRule="auto"/>
        <w:tabs>
          <w:tab w:leader="none" w:pos="32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2022 and 2021, the effect of equity-indexed compensation plan awards was antidilutive, or did not change the presentation of diluted weighted average common units outstanding or diluted adjusted net income per common unit.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Per Common Unit to Adjusted Net Income Per Common Unit Reconciliation:</w:t>
      </w:r>
    </w:p>
    <w:p>
      <w:pPr>
        <w:spacing w:after="0" w:line="316"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378"/>
              <w:spacing w:after="0"/>
              <w:rPr>
                <w:sz w:val="20"/>
                <w:szCs w:val="20"/>
                <w:color w:val="auto"/>
              </w:rPr>
            </w:pPr>
            <w:r>
              <w:rPr>
                <w:rFonts w:ascii="Arial" w:cs="Arial" w:eastAsia="Arial" w:hAnsi="Arial"/>
                <w:sz w:val="17"/>
                <w:szCs w:val="17"/>
                <w:color w:val="auto"/>
                <w:w w:val="90"/>
              </w:rPr>
              <w:t>0.51</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8"/>
              <w:spacing w:after="0"/>
              <w:rPr>
                <w:sz w:val="20"/>
                <w:szCs w:val="20"/>
                <w:color w:val="auto"/>
              </w:rPr>
            </w:pPr>
            <w:r>
              <w:rPr>
                <w:rFonts w:ascii="Arial" w:cs="Arial" w:eastAsia="Arial" w:hAnsi="Arial"/>
                <w:sz w:val="17"/>
                <w:szCs w:val="17"/>
                <w:color w:val="auto"/>
                <w:w w:val="94"/>
              </w:rPr>
              <w:t>(0.26)</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center"/>
              <w:ind w:left="378"/>
              <w:spacing w:after="0"/>
              <w:rPr>
                <w:sz w:val="20"/>
                <w:szCs w:val="20"/>
                <w:color w:val="auto"/>
              </w:rPr>
            </w:pPr>
            <w:r>
              <w:rPr>
                <w:rFonts w:ascii="Arial" w:cs="Arial" w:eastAsia="Arial" w:hAnsi="Arial"/>
                <w:sz w:val="17"/>
                <w:szCs w:val="17"/>
                <w:color w:val="auto"/>
                <w:w w:val="90"/>
              </w:rPr>
              <w:t>0.25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117" w:lineRule="exact"/>
        <w:rPr>
          <w:sz w:val="20"/>
          <w:szCs w:val="20"/>
          <w:color w:val="auto"/>
        </w:rPr>
      </w:pPr>
    </w:p>
    <w:p>
      <w:pPr>
        <w:ind w:left="320" w:right="100" w:hanging="317"/>
        <w:spacing w:after="0" w:line="228" w:lineRule="auto"/>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168"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to Adjusted EBITDA attributable to PAA and Implied DCF Reconciliation:</w:t>
      </w:r>
    </w:p>
    <w:p>
      <w:pPr>
        <w:spacing w:after="0" w:line="84"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220"/>
        </w:trPr>
        <w:tc>
          <w:tcPr>
            <w:tcW w:w="8820" w:type="dxa"/>
            <w:vAlign w:val="bottom"/>
            <w:gridSpan w:val="2"/>
          </w:tcPr>
          <w:p>
            <w:pPr>
              <w:ind w:left="120"/>
              <w:spacing w:after="0"/>
              <w:rPr>
                <w:sz w:val="20"/>
                <w:szCs w:val="20"/>
                <w:color w:val="auto"/>
              </w:rPr>
            </w:pPr>
            <w:r>
              <w:rPr>
                <w:rFonts w:ascii="Arial" w:cs="Arial" w:eastAsia="Arial" w:hAnsi="Arial"/>
                <w:sz w:val="16"/>
                <w:szCs w:val="16"/>
                <w:color w:val="auto"/>
              </w:rPr>
              <w:t>Interest expense, net</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0"/>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expense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882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20"/>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8820" w:type="dxa"/>
            <w:vAlign w:val="bottom"/>
            <w:gridSpan w:val="2"/>
          </w:tcPr>
          <w:p>
            <w:pPr>
              <w:ind w:left="120"/>
              <w:spacing w:after="0" w:line="220" w:lineRule="exact"/>
              <w:rPr>
                <w:sz w:val="20"/>
                <w:szCs w:val="20"/>
                <w:color w:val="auto"/>
              </w:rPr>
            </w:pPr>
            <w:r>
              <w:rPr>
                <w:rFonts w:ascii="Arial" w:cs="Arial" w:eastAsia="Arial" w:hAnsi="Arial"/>
                <w:sz w:val="16"/>
                <w:szCs w:val="16"/>
                <w:color w:val="auto"/>
              </w:rPr>
              <w:t xml:space="preserve">Depreciation and amortization of unconsolidated entities </w:t>
            </w:r>
            <w:r>
              <w:rPr>
                <w:rFonts w:ascii="Arial" w:cs="Arial" w:eastAsia="Arial" w:hAnsi="Arial"/>
                <w:sz w:val="21"/>
                <w:szCs w:val="21"/>
                <w:color w:val="auto"/>
                <w:vertAlign w:val="superscript"/>
              </w:rPr>
              <w:t>(1)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Selected items impacting comparability - Adjusted EBITDA </w:t>
            </w:r>
            <w:r>
              <w:rPr>
                <w:rFonts w:ascii="Arial" w:cs="Arial" w:eastAsia="Arial" w:hAnsi="Arial"/>
                <w:sz w:val="21"/>
                <w:szCs w:val="21"/>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546</w:t>
            </w:r>
          </w:p>
        </w:tc>
      </w:tr>
      <w:tr>
        <w:trPr>
          <w:trHeight w:val="220"/>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Adjusted EBITDA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8820" w:type="dxa"/>
            <w:vAlign w:val="bottom"/>
            <w:gridSpan w:val="2"/>
          </w:tcPr>
          <w:p>
            <w:pPr>
              <w:ind w:left="40"/>
              <w:spacing w:after="0"/>
              <w:rPr>
                <w:sz w:val="20"/>
                <w:szCs w:val="20"/>
                <w:color w:val="auto"/>
              </w:rPr>
            </w:pPr>
            <w:r>
              <w:rPr>
                <w:rFonts w:ascii="Arial" w:cs="Arial" w:eastAsia="Arial" w:hAnsi="Arial"/>
                <w:sz w:val="16"/>
                <w:szCs w:val="16"/>
                <w:color w:val="auto"/>
              </w:rPr>
              <w:t>Adjusted EBITDA attributable to PAA</w:t>
            </w: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4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740" w:type="dxa"/>
            <w:vAlign w:val="bottom"/>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546</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Interest expense, net of certain non-cash items </w:t>
            </w:r>
            <w:r>
              <w:rPr>
                <w:rFonts w:ascii="Arial" w:cs="Arial" w:eastAsia="Arial" w:hAnsi="Arial"/>
                <w:sz w:val="21"/>
                <w:szCs w:val="21"/>
                <w:color w:val="auto"/>
                <w:vertAlign w:val="superscript"/>
              </w:rPr>
              <w:t>(3)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20"/>
        </w:trPr>
        <w:tc>
          <w:tcPr>
            <w:tcW w:w="8820" w:type="dxa"/>
            <w:vAlign w:val="bottom"/>
            <w:gridSpan w:val="2"/>
          </w:tcPr>
          <w:p>
            <w:pPr>
              <w:ind w:left="120"/>
              <w:spacing w:after="0"/>
              <w:rPr>
                <w:sz w:val="20"/>
                <w:szCs w:val="20"/>
                <w:color w:val="auto"/>
              </w:rPr>
            </w:pPr>
            <w:r>
              <w:rPr>
                <w:rFonts w:ascii="Arial" w:cs="Arial" w:eastAsia="Arial" w:hAnsi="Arial"/>
                <w:sz w:val="16"/>
                <w:szCs w:val="16"/>
                <w:color w:val="auto"/>
              </w:rPr>
              <w:t>Maintenance capital</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Investment capital of noncontrolling interests </w:t>
            </w:r>
            <w:r>
              <w:rPr>
                <w:rFonts w:ascii="Arial" w:cs="Arial" w:eastAsia="Arial" w:hAnsi="Arial"/>
                <w:sz w:val="21"/>
                <w:szCs w:val="21"/>
                <w:color w:val="auto"/>
                <w:vertAlign w:val="superscript"/>
              </w:rPr>
              <w:t>(4)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820" w:type="dxa"/>
            <w:vAlign w:val="bottom"/>
            <w:gridSpan w:val="2"/>
          </w:tcPr>
          <w:p>
            <w:pPr>
              <w:ind w:left="120"/>
              <w:spacing w:after="0"/>
              <w:rPr>
                <w:sz w:val="20"/>
                <w:szCs w:val="20"/>
                <w:color w:val="auto"/>
              </w:rPr>
            </w:pPr>
            <w:r>
              <w:rPr>
                <w:rFonts w:ascii="Arial" w:cs="Arial" w:eastAsia="Arial" w:hAnsi="Arial"/>
                <w:sz w:val="16"/>
                <w:szCs w:val="16"/>
                <w:color w:val="auto"/>
              </w:rPr>
              <w:t>Current income tax expense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6"/>
                <w:szCs w:val="16"/>
                <w:color w:val="auto"/>
              </w:rPr>
              <w:t xml:space="preserve">Distributions from unconsolidated entities in excess of/(less than) adjusted equity earnings </w:t>
            </w:r>
            <w:r>
              <w:rPr>
                <w:rFonts w:ascii="Arial" w:cs="Arial" w:eastAsia="Arial" w:hAnsi="Arial"/>
                <w:sz w:val="21"/>
                <w:szCs w:val="21"/>
                <w:color w:val="auto"/>
                <w:vertAlign w:val="superscript"/>
              </w:rPr>
              <w:t>(5)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8820" w:type="dxa"/>
            <w:vAlign w:val="bottom"/>
            <w:tcBorders>
              <w:bottom w:val="single" w:sz="8" w:color="CCEEFF"/>
            </w:tcBorders>
            <w:gridSpan w:val="2"/>
          </w:tcPr>
          <w:p>
            <w:pPr>
              <w:ind w:left="120"/>
              <w:spacing w:after="0" w:line="220" w:lineRule="exact"/>
              <w:rPr>
                <w:sz w:val="20"/>
                <w:szCs w:val="20"/>
                <w:color w:val="auto"/>
              </w:rPr>
            </w:pPr>
            <w:r>
              <w:rPr>
                <w:rFonts w:ascii="Arial" w:cs="Arial" w:eastAsia="Arial" w:hAnsi="Arial"/>
                <w:sz w:val="16"/>
                <w:szCs w:val="16"/>
                <w:color w:val="auto"/>
              </w:rPr>
              <w:t xml:space="preserve">Distributions to noncontrolling interests </w:t>
            </w:r>
            <w:r>
              <w:rPr>
                <w:rFonts w:ascii="Arial" w:cs="Arial" w:eastAsia="Arial" w:hAnsi="Arial"/>
                <w:sz w:val="21"/>
                <w:szCs w:val="21"/>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Implied DCF</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Arial" w:cs="Arial" w:eastAsia="Arial" w:hAnsi="Arial"/>
                <w:sz w:val="16"/>
                <w:szCs w:val="16"/>
                <w:color w:val="auto"/>
              </w:rPr>
              <w:t xml:space="preserve">Preferred unit distributions paid </w:t>
            </w:r>
            <w:r>
              <w:rPr>
                <w:rFonts w:ascii="Arial" w:cs="Arial" w:eastAsia="Arial" w:hAnsi="Arial"/>
                <w:sz w:val="21"/>
                <w:szCs w:val="21"/>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Implied DCF Available to Common Unitholders</w:t>
            </w: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Units and Common Unit Equivalents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793</w:t>
            </w:r>
          </w:p>
        </w:tc>
      </w:tr>
      <w:tr>
        <w:trPr>
          <w:trHeight w:val="207"/>
        </w:trPr>
        <w:tc>
          <w:tcPr>
            <w:tcW w:w="38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w:t>
            </w:r>
            <w:r>
              <w:rPr>
                <w:rFonts w:ascii="Arial" w:cs="Arial" w:eastAsia="Arial" w:hAnsi="Arial"/>
                <w:sz w:val="21"/>
                <w:szCs w:val="21"/>
                <w:color w:val="auto"/>
                <w:vertAlign w:val="superscript"/>
              </w:rPr>
              <w:t>(7)</w:t>
            </w:r>
          </w:p>
        </w:tc>
        <w:tc>
          <w:tcPr>
            <w:tcW w:w="740" w:type="dxa"/>
            <w:vAlign w:val="bottom"/>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6"/>
              </w:rPr>
              <w:t>0.57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0.51</w:t>
            </w: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6"/>
                <w:szCs w:val="16"/>
                <w:color w:val="auto"/>
              </w:rPr>
              <w:t xml:space="preserve">Implied DCF per Common Unit and Common Unit Equivalent </w:t>
            </w:r>
            <w:r>
              <w:rPr>
                <w:rFonts w:ascii="Arial" w:cs="Arial" w:eastAsia="Arial" w:hAnsi="Arial"/>
                <w:sz w:val="21"/>
                <w:szCs w:val="21"/>
                <w:color w:val="auto"/>
                <w:vertAlign w:val="superscript"/>
              </w:rPr>
              <w:t>(8)</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r>
      <w:tr>
        <w:trPr>
          <w:trHeight w:val="207"/>
        </w:trPr>
        <w:tc>
          <w:tcPr>
            <w:tcW w:w="38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Distribution Paid per Common Unit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r>
      <w:tr>
        <w:trPr>
          <w:trHeight w:val="220"/>
        </w:trPr>
        <w:tc>
          <w:tcPr>
            <w:tcW w:w="882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Common Unit Cash Distributions </w:t>
            </w:r>
            <w:r>
              <w:rPr>
                <w:rFonts w:ascii="Arial" w:cs="Arial" w:eastAsia="Arial" w:hAnsi="Arial"/>
                <w:sz w:val="21"/>
                <w:szCs w:val="21"/>
                <w:color w:val="auto"/>
                <w:vertAlign w:val="superscript"/>
              </w:rPr>
              <w:t>(6)</w:t>
            </w:r>
          </w:p>
        </w:tc>
        <w:tc>
          <w:tcPr>
            <w:tcW w:w="740" w:type="dxa"/>
            <w:vAlign w:val="bottom"/>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Unit Distribution Coverage Ratio</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3.16x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2.85x</w:t>
            </w:r>
          </w:p>
        </w:tc>
      </w:tr>
      <w:tr>
        <w:trPr>
          <w:trHeight w:val="207"/>
        </w:trPr>
        <w:tc>
          <w:tcPr>
            <w:tcW w:w="38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Implied DCF Excess</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88"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27" w:lineRule="exact"/>
        <w:rPr>
          <w:rFonts w:ascii="Arial" w:cs="Arial" w:eastAsia="Arial" w:hAnsi="Arial"/>
          <w:sz w:val="17"/>
          <w:szCs w:val="17"/>
          <w:color w:val="auto"/>
          <w:vertAlign w:val="superscript"/>
        </w:rPr>
      </w:pPr>
    </w:p>
    <w:p>
      <w:pPr>
        <w:ind w:left="300" w:hanging="297"/>
        <w:spacing w:after="0" w:line="188" w:lineRule="auto"/>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40" w:lineRule="exact"/>
        <w:rPr>
          <w:rFonts w:ascii="Arial" w:cs="Arial" w:eastAsia="Arial" w:hAnsi="Arial"/>
          <w:sz w:val="17"/>
          <w:szCs w:val="17"/>
          <w:color w:val="auto"/>
          <w:vertAlign w:val="superscript"/>
        </w:rPr>
      </w:pPr>
    </w:p>
    <w:p>
      <w:pPr>
        <w:ind w:left="300" w:hanging="297"/>
        <w:spacing w:after="0" w:line="188" w:lineRule="auto"/>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0" w:lineRule="exact"/>
        <w:rPr>
          <w:rFonts w:ascii="Arial" w:cs="Arial" w:eastAsia="Arial" w:hAnsi="Arial"/>
          <w:sz w:val="17"/>
          <w:szCs w:val="17"/>
          <w:color w:val="auto"/>
          <w:vertAlign w:val="superscript"/>
        </w:rPr>
      </w:pPr>
    </w:p>
    <w:p>
      <w:pPr>
        <w:ind w:left="300" w:hanging="297"/>
        <w:spacing w:after="0" w:line="188" w:lineRule="auto"/>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27" w:lineRule="exact"/>
        <w:rPr>
          <w:rFonts w:ascii="Arial" w:cs="Arial" w:eastAsia="Arial" w:hAnsi="Arial"/>
          <w:sz w:val="17"/>
          <w:szCs w:val="17"/>
          <w:color w:val="auto"/>
          <w:vertAlign w:val="superscript"/>
        </w:rPr>
      </w:pPr>
    </w:p>
    <w:p>
      <w:pPr>
        <w:ind w:left="320" w:right="40" w:hanging="317"/>
        <w:spacing w:after="0" w:line="214" w:lineRule="auto"/>
        <w:tabs>
          <w:tab w:leader="none" w:pos="31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ind w:left="300" w:hanging="297"/>
        <w:spacing w:after="0" w:line="237" w:lineRule="auto"/>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during the period presented.</w:t>
      </w:r>
    </w:p>
    <w:p>
      <w:pPr>
        <w:spacing w:after="0" w:line="41" w:lineRule="exact"/>
        <w:rPr>
          <w:rFonts w:ascii="Arial" w:cs="Arial" w:eastAsia="Arial" w:hAnsi="Arial"/>
          <w:sz w:val="17"/>
          <w:szCs w:val="17"/>
          <w:color w:val="auto"/>
          <w:vertAlign w:val="superscript"/>
        </w:rPr>
      </w:pPr>
    </w:p>
    <w:p>
      <w:pPr>
        <w:ind w:left="300" w:hanging="297"/>
        <w:spacing w:after="0" w:line="188" w:lineRule="auto"/>
        <w:tabs>
          <w:tab w:leader="none" w:pos="30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27" w:lineRule="exact"/>
        <w:rPr>
          <w:rFonts w:ascii="Arial" w:cs="Arial" w:eastAsia="Arial" w:hAnsi="Arial"/>
          <w:sz w:val="17"/>
          <w:szCs w:val="17"/>
          <w:color w:val="auto"/>
          <w:vertAlign w:val="superscript"/>
        </w:rPr>
      </w:pPr>
    </w:p>
    <w:p>
      <w:pPr>
        <w:ind w:left="320" w:right="300" w:hanging="317"/>
        <w:spacing w:after="0" w:line="224" w:lineRule="auto"/>
        <w:tabs>
          <w:tab w:leader="none" w:pos="314"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70" w:lineRule="exact"/>
        <w:rPr>
          <w:rFonts w:ascii="Arial" w:cs="Arial" w:eastAsia="Arial" w:hAnsi="Arial"/>
          <w:sz w:val="17"/>
          <w:szCs w:val="17"/>
          <w:color w:val="auto"/>
          <w:vertAlign w:val="superscript"/>
        </w:rPr>
      </w:pP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4" w:name="page15"/>
    <w:bookmarkEnd w:id="14"/>
    <w:p>
      <w:pPr>
        <w:ind w:left="100"/>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Income Per Common Unit to Implied DCF Per Common Unit and Common Unit Equivalent Reconciliation:</w:t>
      </w:r>
    </w:p>
    <w:p>
      <w:pPr>
        <w:spacing w:after="0" w:line="26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15"/>
        </w:trPr>
        <w:tc>
          <w:tcPr>
            <w:tcW w:w="6720" w:type="dxa"/>
            <w:vAlign w:val="bottom"/>
            <w:gridSpan w:val="3"/>
          </w:tcPr>
          <w:p>
            <w:pPr>
              <w:spacing w:after="0"/>
              <w:rPr>
                <w:sz w:val="20"/>
                <w:szCs w:val="20"/>
                <w:color w:val="auto"/>
              </w:rPr>
            </w:pPr>
            <w:r>
              <w:rPr>
                <w:rFonts w:ascii="Arial" w:cs="Arial" w:eastAsia="Arial" w:hAnsi="Arial"/>
                <w:sz w:val="17"/>
                <w:szCs w:val="17"/>
                <w:color w:val="auto"/>
              </w:rPr>
              <w:t>Basic net income per common unit</w:t>
            </w:r>
          </w:p>
        </w:tc>
        <w:tc>
          <w:tcPr>
            <w:tcW w:w="20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0.51</w:t>
            </w:r>
          </w:p>
        </w:tc>
      </w:tr>
      <w:tr>
        <w:trPr>
          <w:trHeight w:val="220"/>
        </w:trPr>
        <w:tc>
          <w:tcPr>
            <w:tcW w:w="672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2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24"/>
        </w:trPr>
        <w:tc>
          <w:tcPr>
            <w:tcW w:w="6720" w:type="dxa"/>
            <w:vAlign w:val="bottom"/>
            <w:gridSpan w:val="3"/>
          </w:tcPr>
          <w:p>
            <w:pPr>
              <w:spacing w:after="0"/>
              <w:rPr>
                <w:sz w:val="20"/>
                <w:szCs w:val="20"/>
                <w:color w:val="auto"/>
              </w:rPr>
            </w:pPr>
            <w:r>
              <w:rPr>
                <w:rFonts w:ascii="Arial" w:cs="Arial" w:eastAsia="Arial" w:hAnsi="Arial"/>
                <w:sz w:val="17"/>
                <w:szCs w:val="17"/>
                <w:color w:val="auto"/>
              </w:rPr>
              <w:t>Basic net income per common unit</w:t>
            </w:r>
          </w:p>
        </w:tc>
        <w:tc>
          <w:tcPr>
            <w:tcW w:w="20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0.51</w:t>
            </w:r>
          </w:p>
        </w:tc>
      </w:tr>
      <w:tr>
        <w:trPr>
          <w:trHeight w:val="220"/>
        </w:trPr>
        <w:tc>
          <w:tcPr>
            <w:tcW w:w="6720" w:type="dxa"/>
            <w:vAlign w:val="bottom"/>
            <w:gridSpan w:val="3"/>
          </w:tcPr>
          <w:p>
            <w:pPr>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2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33"/>
        </w:trPr>
        <w:tc>
          <w:tcPr>
            <w:tcW w:w="100" w:type="dxa"/>
            <w:vAlign w:val="bottom"/>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mplied DCF per common unit and common unit equivalent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2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-1213485</wp:posOffset>
            </wp:positionV>
            <wp:extent cx="7039610" cy="147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9610" cy="1479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-598170</wp:posOffset>
            </wp:positionV>
            <wp:extent cx="7039610"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9610" cy="139700"/>
                    </a:xfrm>
                    <a:prstGeom prst="rect">
                      <a:avLst/>
                    </a:prstGeom>
                    <a:noFill/>
                  </pic:spPr>
                </pic:pic>
              </a:graphicData>
            </a:graphic>
          </wp:anchor>
        </w:drawing>
      </w:r>
    </w:p>
    <w:p>
      <w:pPr>
        <w:spacing w:after="0" w:line="110" w:lineRule="exact"/>
        <w:rPr>
          <w:sz w:val="20"/>
          <w:szCs w:val="20"/>
          <w:color w:val="auto"/>
        </w:rPr>
      </w:pPr>
    </w:p>
    <w:p>
      <w:pPr>
        <w:ind w:left="420" w:right="40" w:hanging="317"/>
        <w:spacing w:after="0" w:line="228" w:lineRule="auto"/>
        <w:tabs>
          <w:tab w:leader="none" w:pos="4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705 million and 722 million, respectively.</w:t>
      </w:r>
    </w:p>
    <w:p>
      <w:pPr>
        <w:spacing w:after="0" w:line="52" w:lineRule="exact"/>
        <w:rPr>
          <w:rFonts w:ascii="Arial" w:cs="Arial" w:eastAsia="Arial" w:hAnsi="Arial"/>
          <w:sz w:val="22"/>
          <w:szCs w:val="22"/>
          <w:color w:val="auto"/>
          <w:vertAlign w:val="superscript"/>
        </w:rPr>
      </w:pPr>
    </w:p>
    <w:p>
      <w:pPr>
        <w:ind w:left="420" w:right="120" w:hanging="317"/>
        <w:spacing w:after="0" w:line="220" w:lineRule="auto"/>
        <w:tabs>
          <w:tab w:leader="none" w:pos="4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8"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14"/>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88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20"/>
        </w:trPr>
        <w:tc>
          <w:tcPr>
            <w:tcW w:w="882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678</w:t>
            </w: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17" w:lineRule="exact"/>
        <w:rPr>
          <w:sz w:val="20"/>
          <w:szCs w:val="20"/>
          <w:color w:val="auto"/>
        </w:rPr>
      </w:pPr>
    </w:p>
    <w:p>
      <w:pPr>
        <w:ind w:left="420" w:right="320" w:hanging="317"/>
        <w:spacing w:after="0" w:line="228" w:lineRule="auto"/>
        <w:tabs>
          <w:tab w:leader="none" w:pos="4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400" w:hanging="297"/>
        <w:spacing w:after="0"/>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400" w:hanging="297"/>
        <w:spacing w:after="0" w:line="194" w:lineRule="auto"/>
        <w:tabs>
          <w:tab w:leader="none" w:pos="4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preferred and common unitholders during the period.</w:t>
      </w:r>
    </w:p>
    <w:p>
      <w:pPr>
        <w:spacing w:after="0" w:line="169" w:lineRule="exact"/>
        <w:rPr>
          <w:rFonts w:ascii="Arial" w:cs="Arial" w:eastAsia="Arial" w:hAnsi="Arial"/>
          <w:sz w:val="22"/>
          <w:szCs w:val="22"/>
          <w:color w:val="auto"/>
          <w:vertAlign w:val="superscript"/>
        </w:rPr>
      </w:pPr>
    </w:p>
    <w:p>
      <w:pPr>
        <w:ind w:left="5540" w:hanging="93"/>
        <w:spacing w:after="0"/>
        <w:tabs>
          <w:tab w:leader="none" w:pos="5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11"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188"/>
        </w:trPr>
        <w:tc>
          <w:tcPr>
            <w:tcW w:w="882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7"/>
        </w:trPr>
        <w:tc>
          <w:tcPr>
            <w:tcW w:w="88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740" w:type="dxa"/>
            <w:vAlign w:val="bottom"/>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7"/>
        </w:trPr>
        <w:tc>
          <w:tcPr>
            <w:tcW w:w="88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88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88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88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1"/>
                <w:szCs w:val="21"/>
                <w:color w:val="auto"/>
                <w:vertAlign w:val="superscript"/>
              </w:rPr>
              <w:t>(6)</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88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7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820" w:type="dxa"/>
            <w:vAlign w:val="bottom"/>
            <w:gridSpan w:val="2"/>
          </w:tcPr>
          <w:p>
            <w:pPr>
              <w:ind w:left="180"/>
              <w:spacing w:after="0"/>
              <w:rPr>
                <w:sz w:val="20"/>
                <w:szCs w:val="20"/>
                <w:color w:val="auto"/>
              </w:rPr>
            </w:pPr>
            <w:r>
              <w:rPr>
                <w:rFonts w:ascii="Arial" w:cs="Arial" w:eastAsia="Arial" w:hAnsi="Arial"/>
                <w:sz w:val="16"/>
                <w:szCs w:val="16"/>
                <w:color w:val="auto"/>
              </w:rPr>
              <w:t>Selected items impacting comparability - Adjusted EBITDA</w:t>
            </w:r>
          </w:p>
        </w:tc>
        <w:tc>
          <w:tcPr>
            <w:tcW w:w="740" w:type="dxa"/>
            <w:vAlign w:val="bottom"/>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7"/>
        </w:trPr>
        <w:tc>
          <w:tcPr>
            <w:tcW w:w="8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5"/>
        </w:trPr>
        <w:tc>
          <w:tcPr>
            <w:tcW w:w="8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130" w:lineRule="exact"/>
        <w:rPr>
          <w:sz w:val="20"/>
          <w:szCs w:val="20"/>
          <w:color w:val="auto"/>
        </w:rPr>
      </w:pPr>
    </w:p>
    <w:p>
      <w:pPr>
        <w:ind w:left="320" w:right="220" w:hanging="317"/>
        <w:spacing w:after="0" w:line="230" w:lineRule="auto"/>
        <w:tabs>
          <w:tab w:leader="none" w:pos="31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24" w:lineRule="exact"/>
        <w:rPr>
          <w:rFonts w:ascii="Arial" w:cs="Arial" w:eastAsia="Arial" w:hAnsi="Arial"/>
          <w:sz w:val="19"/>
          <w:szCs w:val="19"/>
          <w:color w:val="auto"/>
          <w:vertAlign w:val="superscript"/>
        </w:rPr>
      </w:pPr>
    </w:p>
    <w:p>
      <w:pPr>
        <w:ind w:left="320" w:hanging="317"/>
        <w:spacing w:after="0" w:line="239" w:lineRule="auto"/>
        <w:tabs>
          <w:tab w:leader="none" w:pos="31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4" w:lineRule="exact"/>
        <w:rPr>
          <w:rFonts w:ascii="Arial" w:cs="Arial" w:eastAsia="Arial" w:hAnsi="Arial"/>
          <w:sz w:val="19"/>
          <w:szCs w:val="19"/>
          <w:color w:val="auto"/>
          <w:vertAlign w:val="superscript"/>
        </w:rPr>
      </w:pPr>
    </w:p>
    <w:p>
      <w:pPr>
        <w:ind w:left="320" w:right="180" w:hanging="317"/>
        <w:spacing w:after="0" w:line="260" w:lineRule="auto"/>
        <w:tabs>
          <w:tab w:leader="none" w:pos="31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3" w:lineRule="exact"/>
        <w:rPr>
          <w:rFonts w:ascii="Arial" w:cs="Arial" w:eastAsia="Arial" w:hAnsi="Arial"/>
          <w:sz w:val="17"/>
          <w:szCs w:val="17"/>
          <w:color w:val="auto"/>
          <w:vertAlign w:val="superscript"/>
        </w:rPr>
      </w:pPr>
    </w:p>
    <w:p>
      <w:pPr>
        <w:ind w:left="320" w:right="20" w:hanging="317"/>
        <w:spacing w:after="0" w:line="266" w:lineRule="auto"/>
        <w:tabs>
          <w:tab w:leader="none" w:pos="31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 w:lineRule="exact"/>
        <w:rPr>
          <w:rFonts w:ascii="Arial" w:cs="Arial" w:eastAsia="Arial" w:hAnsi="Arial"/>
          <w:sz w:val="17"/>
          <w:szCs w:val="17"/>
          <w:color w:val="auto"/>
          <w:vertAlign w:val="superscript"/>
        </w:rPr>
      </w:pPr>
    </w:p>
    <w:p>
      <w:pPr>
        <w:ind w:left="320" w:right="140" w:hanging="317"/>
        <w:spacing w:after="0" w:line="259" w:lineRule="auto"/>
        <w:tabs>
          <w:tab w:leader="none" w:pos="31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2" w:lineRule="exact"/>
        <w:rPr>
          <w:rFonts w:ascii="Arial" w:cs="Arial" w:eastAsia="Arial" w:hAnsi="Arial"/>
          <w:sz w:val="17"/>
          <w:szCs w:val="17"/>
          <w:color w:val="auto"/>
          <w:vertAlign w:val="superscript"/>
        </w:rPr>
      </w:pPr>
    </w:p>
    <w:p>
      <w:pPr>
        <w:ind w:left="320" w:right="40" w:hanging="317"/>
        <w:spacing w:after="0" w:line="230" w:lineRule="auto"/>
        <w:tabs>
          <w:tab w:leader="none" w:pos="31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ind w:left="300" w:hanging="297"/>
        <w:spacing w:after="0" w:line="227" w:lineRule="auto"/>
        <w:tabs>
          <w:tab w:leader="none" w:pos="3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740" w:type="dxa"/>
            <w:vAlign w:val="bottom"/>
            <w:tcBorders>
              <w:bottom w:val="single" w:sz="8" w:color="auto"/>
            </w:tcBorders>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Arial" w:cs="Arial" w:eastAsia="Arial" w:hAnsi="Arial"/>
                <w:sz w:val="15"/>
                <w:szCs w:val="15"/>
                <w:b w:val="1"/>
                <w:bCs w:val="1"/>
                <w:color w:val="auto"/>
                <w:w w:val="94"/>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Arial" w:cs="Arial" w:eastAsia="Arial" w:hAnsi="Arial"/>
                <w:sz w:val="15"/>
                <w:szCs w:val="15"/>
                <w:b w:val="1"/>
                <w:bCs w:val="1"/>
                <w:color w:val="auto"/>
                <w:w w:val="94"/>
              </w:rPr>
              <w:t>NGL</w:t>
            </w:r>
          </w:p>
        </w:tc>
      </w:tr>
      <w:tr>
        <w:trPr>
          <w:trHeight w:val="214"/>
        </w:trPr>
        <w:tc>
          <w:tcPr>
            <w:tcW w:w="6180" w:type="dxa"/>
            <w:vAlign w:val="bottom"/>
            <w:tcBorders>
              <w:top w:val="single" w:sz="8" w:color="CCEEFF"/>
            </w:tcBorders>
            <w:gridSpan w:val="2"/>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(454)</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Net gain on 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Arial" w:cs="Arial" w:eastAsia="Arial" w:hAnsi="Arial"/>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80" w:type="dxa"/>
            <w:vAlign w:val="bottom"/>
            <w:gridSpan w:val="2"/>
          </w:tcPr>
          <w:p>
            <w:pPr>
              <w:ind w:left="20"/>
              <w:spacing w:after="0" w:line="212" w:lineRule="exact"/>
              <w:rPr>
                <w:sz w:val="20"/>
                <w:szCs w:val="20"/>
                <w:color w:val="auto"/>
              </w:rPr>
            </w:pPr>
            <w:r>
              <w:rPr>
                <w:rFonts w:ascii="Arial" w:cs="Arial" w:eastAsia="Arial" w:hAnsi="Arial"/>
                <w:sz w:val="17"/>
                <w:szCs w:val="17"/>
                <w:color w:val="auto"/>
              </w:rPr>
              <w:t xml:space="preserve">Segment Adjusted EBITDA </w:t>
            </w:r>
            <w:r>
              <w:rPr>
                <w:rFonts w:ascii="Arial" w:cs="Arial" w:eastAsia="Arial" w:hAnsi="Arial"/>
                <w:sz w:val="22"/>
                <w:szCs w:val="22"/>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Arial" w:cs="Arial" w:eastAsia="Arial" w:hAnsi="Arial"/>
                <w:sz w:val="17"/>
                <w:szCs w:val="17"/>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123"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580" w:hanging="317"/>
        <w:spacing w:after="0" w:line="281" w:lineRule="auto"/>
        <w:tabs>
          <w:tab w:leader="none" w:pos="308"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80" w:hanging="317"/>
        <w:spacing w:after="0" w:line="235" w:lineRule="auto"/>
        <w:tabs>
          <w:tab w:leader="none" w:pos="308"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Permian JV (beginning October 2021) and Red River Pipeline LLC.</w:t>
      </w:r>
    </w:p>
    <w:p>
      <w:pPr>
        <w:spacing w:after="0" w:line="52" w:lineRule="exact"/>
        <w:rPr>
          <w:rFonts w:ascii="Arial" w:cs="Arial" w:eastAsia="Arial" w:hAnsi="Arial"/>
          <w:sz w:val="22"/>
          <w:szCs w:val="22"/>
          <w:color w:val="auto"/>
          <w:vertAlign w:val="superscript"/>
        </w:rPr>
      </w:pPr>
    </w:p>
    <w:p>
      <w:pPr>
        <w:ind w:left="320" w:right="220" w:hanging="317"/>
        <w:spacing w:after="0" w:line="245" w:lineRule="auto"/>
        <w:tabs>
          <w:tab w:leader="none" w:pos="30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jc w:val="center"/>
        <w:ind w:left="8800"/>
        <w:spacing w:after="0" w:line="203" w:lineRule="auto"/>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0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volumes (by region) </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88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w:t>
            </w:r>
          </w:p>
        </w:tc>
      </w:tr>
      <w:tr>
        <w:trPr>
          <w:trHeight w:val="220"/>
        </w:trPr>
        <w:tc>
          <w:tcPr>
            <w:tcW w:w="8820" w:type="dxa"/>
            <w:vAlign w:val="bottom"/>
            <w:gridSpan w:val="2"/>
          </w:tcPr>
          <w:p>
            <w:pPr>
              <w:ind w:left="22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w:t>
            </w:r>
          </w:p>
        </w:tc>
      </w:tr>
      <w:tr>
        <w:trPr>
          <w:trHeight w:val="220"/>
        </w:trPr>
        <w:tc>
          <w:tcPr>
            <w:tcW w:w="88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r>
      <w:tr>
        <w:trPr>
          <w:trHeight w:val="220"/>
        </w:trPr>
        <w:tc>
          <w:tcPr>
            <w:tcW w:w="8820" w:type="dxa"/>
            <w:vAlign w:val="bottom"/>
            <w:gridSpan w:val="2"/>
          </w:tcPr>
          <w:p>
            <w:pPr>
              <w:ind w:left="22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20"/>
        </w:trPr>
        <w:tc>
          <w:tcPr>
            <w:tcW w:w="88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8820" w:type="dxa"/>
            <w:vAlign w:val="bottom"/>
            <w:gridSpan w:val="2"/>
          </w:tcPr>
          <w:p>
            <w:pPr>
              <w:ind w:left="22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20"/>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3"/>
        </w:trPr>
        <w:tc>
          <w:tcPr>
            <w:tcW w:w="8820" w:type="dxa"/>
            <w:vAlign w:val="bottom"/>
            <w:gridSpan w:val="2"/>
          </w:tcPr>
          <w:p>
            <w:pPr>
              <w:ind w:left="120"/>
              <w:spacing w:after="0" w:line="212" w:lineRule="exact"/>
              <w:rPr>
                <w:sz w:val="20"/>
                <w:szCs w:val="20"/>
                <w:color w:val="auto"/>
              </w:rPr>
            </w:pPr>
            <w:r>
              <w:rPr>
                <w:rFonts w:ascii="Arial" w:cs="Arial" w:eastAsia="Arial" w:hAnsi="Arial"/>
                <w:sz w:val="17"/>
                <w:szCs w:val="17"/>
                <w:color w:val="auto"/>
              </w:rPr>
              <w:t xml:space="preserve">Crude oil pipeline tariff volumes (average volumes in thousands of barrels per day) </w:t>
            </w:r>
            <w:r>
              <w:rPr>
                <w:rFonts w:ascii="Arial" w:cs="Arial" w:eastAsia="Arial" w:hAnsi="Arial"/>
                <w:sz w:val="22"/>
                <w:szCs w:val="22"/>
                <w:color w:val="auto"/>
                <w:vertAlign w:val="superscript"/>
              </w:rPr>
              <w:t>(1) (2)</w:t>
            </w:r>
          </w:p>
        </w:tc>
        <w:tc>
          <w:tcPr>
            <w:tcW w:w="1160" w:type="dxa"/>
            <w:vAlign w:val="bottom"/>
          </w:tcPr>
          <w:p>
            <w:pPr>
              <w:jc w:val="right"/>
              <w:spacing w:after="0"/>
              <w:rPr>
                <w:sz w:val="20"/>
                <w:szCs w:val="20"/>
                <w:color w:val="auto"/>
              </w:rPr>
            </w:pPr>
            <w:r>
              <w:rPr>
                <w:rFonts w:ascii="Arial" w:cs="Arial" w:eastAsia="Arial" w:hAnsi="Arial"/>
                <w:sz w:val="17"/>
                <w:szCs w:val="17"/>
                <w:color w:val="auto"/>
              </w:rPr>
              <w:t>7,159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5,430</w:t>
            </w:r>
          </w:p>
        </w:tc>
      </w:tr>
      <w:tr>
        <w:trPr>
          <w:trHeight w:val="245"/>
        </w:trPr>
        <w:tc>
          <w:tcPr>
            <w:tcW w:w="388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0"/>
        </w:trPr>
        <w:tc>
          <w:tcPr>
            <w:tcW w:w="882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Commercial crude oil storage capacity (average monthly volumes in millions of barrels) </w:t>
            </w:r>
            <w:r>
              <w:rPr>
                <w:rFonts w:ascii="Arial" w:cs="Arial" w:eastAsia="Arial" w:hAnsi="Arial"/>
                <w:sz w:val="22"/>
                <w:szCs w:val="22"/>
                <w:color w:val="auto"/>
                <w:vertAlign w:val="superscript"/>
              </w:rPr>
              <w:t>(2) (3)</w:t>
            </w: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45"/>
        </w:trPr>
        <w:tc>
          <w:tcPr>
            <w:tcW w:w="388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0"/>
        </w:trPr>
        <w:tc>
          <w:tcPr>
            <w:tcW w:w="882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lease gathering purchases (average volumes in thousands of barrels per day) </w:t>
            </w:r>
            <w:r>
              <w:rPr>
                <w:rFonts w:ascii="Arial" w:cs="Arial" w:eastAsia="Arial" w:hAnsi="Arial"/>
                <w:sz w:val="22"/>
                <w:szCs w:val="22"/>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1,174</w:t>
            </w:r>
          </w:p>
        </w:tc>
      </w:tr>
      <w:tr>
        <w:trPr>
          <w:trHeight w:val="245"/>
        </w:trPr>
        <w:tc>
          <w:tcPr>
            <w:tcW w:w="388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b w:val="1"/>
                <w:bCs w:val="1"/>
                <w:color w:val="auto"/>
              </w:rPr>
              <w:t>NGL Segment Volumes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fractionation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0"/>
        </w:trPr>
        <w:tc>
          <w:tcPr>
            <w:tcW w:w="8820" w:type="dxa"/>
            <w:vAlign w:val="bottom"/>
            <w:gridSpan w:val="2"/>
          </w:tcPr>
          <w:p>
            <w:pPr>
              <w:ind w:left="180"/>
              <w:spacing w:after="0" w:line="220" w:lineRule="exact"/>
              <w:rPr>
                <w:sz w:val="20"/>
                <w:szCs w:val="20"/>
                <w:color w:val="auto"/>
              </w:rPr>
            </w:pPr>
            <w:r>
              <w:rPr>
                <w:rFonts w:ascii="Arial" w:cs="Arial" w:eastAsia="Arial" w:hAnsi="Arial"/>
                <w:sz w:val="17"/>
                <w:szCs w:val="17"/>
                <w:color w:val="auto"/>
              </w:rPr>
              <w:t xml:space="preserve">NGL pipeline tariff volumes (average volumes in thousands of barrels per day) </w:t>
            </w:r>
            <w:r>
              <w:rPr>
                <w:rFonts w:ascii="Arial" w:cs="Arial" w:eastAsia="Arial" w:hAnsi="Arial"/>
                <w:sz w:val="22"/>
                <w:szCs w:val="22"/>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NGL sales (average volumes in thousands of barrels per day)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130" w:lineRule="exact"/>
        <w:rPr>
          <w:sz w:val="20"/>
          <w:szCs w:val="20"/>
          <w:color w:val="auto"/>
        </w:rPr>
      </w:pPr>
    </w:p>
    <w:p>
      <w:pPr>
        <w:ind w:left="320" w:right="100" w:hanging="317"/>
        <w:spacing w:after="0" w:line="235"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(attributable to our interest for pipelines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Includes volumes (attributable to our interest) from assets owned by unconsolidated entities.</w:t>
      </w:r>
    </w:p>
    <w:p>
      <w:pPr>
        <w:spacing w:after="0" w:line="52" w:lineRule="exact"/>
        <w:rPr>
          <w:rFonts w:ascii="Arial" w:cs="Arial" w:eastAsia="Arial" w:hAnsi="Arial"/>
          <w:sz w:val="22"/>
          <w:szCs w:val="22"/>
          <w:color w:val="auto"/>
          <w:vertAlign w:val="superscript"/>
        </w:rPr>
      </w:pPr>
    </w:p>
    <w:p>
      <w:pPr>
        <w:ind w:left="300" w:hanging="297"/>
        <w:spacing w:after="0" w:line="194" w:lineRule="auto"/>
        <w:tabs>
          <w:tab w:leader="none" w:pos="3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8" w:name="page19"/>
    <w:bookmarkEnd w:id="18"/>
    <w:p>
      <w:pPr>
        <w:ind w:left="100"/>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Segment Adjusted EBITDA to Adjusted EBITDA attributable to PAA Reconciliation:</w:t>
      </w:r>
    </w:p>
    <w:p>
      <w:pPr>
        <w:spacing w:after="0" w:line="26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74"/>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3980" w:type="dxa"/>
            <w:vAlign w:val="bottom"/>
            <w:gridSpan w:val="2"/>
          </w:tcPr>
          <w:p>
            <w:pPr>
              <w:spacing w:after="0"/>
              <w:rPr>
                <w:sz w:val="20"/>
                <w:szCs w:val="20"/>
                <w:color w:val="auto"/>
              </w:rPr>
            </w:pPr>
            <w:r>
              <w:rPr>
                <w:rFonts w:ascii="Arial" w:cs="Arial" w:eastAsia="Arial" w:hAnsi="Arial"/>
                <w:sz w:val="17"/>
                <w:szCs w:val="17"/>
                <w:color w:val="auto"/>
              </w:rPr>
              <w:t>Crude Oil Segment Adjusted EBITDA</w:t>
            </w:r>
          </w:p>
        </w:tc>
        <w:tc>
          <w:tcPr>
            <w:tcW w:w="48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20"/>
        </w:trPr>
        <w:tc>
          <w:tcPr>
            <w:tcW w:w="3980" w:type="dxa"/>
            <w:vAlign w:val="bottom"/>
            <w:gridSpan w:val="2"/>
          </w:tcPr>
          <w:p>
            <w:pPr>
              <w:spacing w:after="0"/>
              <w:rPr>
                <w:sz w:val="20"/>
                <w:szCs w:val="20"/>
                <w:color w:val="auto"/>
              </w:rPr>
            </w:pPr>
            <w:r>
              <w:rPr>
                <w:rFonts w:ascii="Arial" w:cs="Arial" w:eastAsia="Arial" w:hAnsi="Arial"/>
                <w:sz w:val="17"/>
                <w:szCs w:val="17"/>
                <w:color w:val="auto"/>
              </w:rPr>
              <w:t>NGL Segment Adjusted EBITDA</w:t>
            </w:r>
          </w:p>
        </w:tc>
        <w:tc>
          <w:tcPr>
            <w:tcW w:w="4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Segment Adjusted EBITDA</w:t>
            </w:r>
          </w:p>
        </w:tc>
        <w:tc>
          <w:tcPr>
            <w:tcW w:w="4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48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48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3880" w:type="dxa"/>
            <w:vAlign w:val="bottom"/>
            <w:shd w:val="clear" w:color="auto" w:fill="CCEEFF"/>
          </w:tcPr>
          <w:p>
            <w:pPr>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4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-893445</wp:posOffset>
            </wp:positionV>
            <wp:extent cx="7039610" cy="147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spacing w:after="0" w:line="110" w:lineRule="exact"/>
        <w:rPr>
          <w:sz w:val="20"/>
          <w:szCs w:val="20"/>
          <w:color w:val="auto"/>
        </w:rPr>
      </w:pPr>
    </w:p>
    <w:p>
      <w:pPr>
        <w:ind w:left="420" w:right="20" w:hanging="317"/>
        <w:spacing w:after="0" w:line="282" w:lineRule="auto"/>
        <w:tabs>
          <w:tab w:leader="none" w:pos="408"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Represents “Other expense, net” as reported on our Condensed Consolidated Statements of Operations, adjusted for selected items impacting comparability of $37 million and $60 million for the three months ended March 31, 2022 and 2021, respectively. See the “Selected Items Impacting Comparability” table for additional information. Adjusted other income/(expense), net attributable to noncontrolling interests is less than $1 million for each of the periods presented.</w:t>
      </w:r>
    </w:p>
    <w:p>
      <w:pPr>
        <w:ind w:left="400" w:hanging="297"/>
        <w:spacing w:after="0"/>
        <w:tabs>
          <w:tab w:leader="none" w:pos="4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See the “Net Income to Adjusted EBITDA attributable to PAA and Implied DCF Reconciliation” table for reconciliation to Net Income.</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r>
      <w:tr>
        <w:trPr>
          <w:trHeight w:val="180"/>
        </w:trPr>
        <w:tc>
          <w:tcPr>
            <w:tcW w:w="6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0"/>
              </w:rPr>
              <w:t>March 31, 2021</w:t>
            </w:r>
          </w:p>
        </w:tc>
        <w:tc>
          <w:tcPr>
            <w:tcW w:w="740" w:type="dxa"/>
            <w:vAlign w:val="bottom"/>
            <w:tcBorders>
              <w:bottom w:val="single" w:sz="8" w:color="auto"/>
            </w:tcBorders>
          </w:tcPr>
          <w:p>
            <w:pPr>
              <w:spacing w:after="0"/>
              <w:rPr>
                <w:sz w:val="15"/>
                <w:szCs w:val="15"/>
                <w:color w:val="auto"/>
              </w:rPr>
            </w:pPr>
          </w:p>
        </w:tc>
      </w:tr>
      <w:tr>
        <w:trPr>
          <w:trHeight w:val="186"/>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Arial" w:cs="Arial" w:eastAsia="Arial" w:hAnsi="Arial"/>
                <w:sz w:val="15"/>
                <w:szCs w:val="15"/>
                <w:b w:val="1"/>
                <w:bCs w:val="1"/>
                <w:color w:val="auto"/>
                <w:w w:val="94"/>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Arial" w:cs="Arial" w:eastAsia="Arial" w:hAnsi="Arial"/>
                <w:sz w:val="15"/>
                <w:szCs w:val="15"/>
                <w:b w:val="1"/>
                <w:bCs w:val="1"/>
                <w:color w:val="auto"/>
                <w:w w:val="94"/>
              </w:rPr>
              <w:t>NGL</w:t>
            </w:r>
          </w:p>
        </w:tc>
      </w:tr>
      <w:tr>
        <w:trPr>
          <w:trHeight w:val="201"/>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474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7"/>
        </w:trPr>
        <w:tc>
          <w:tcPr>
            <w:tcW w:w="61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680"/>
              <w:spacing w:after="0"/>
              <w:rPr>
                <w:sz w:val="20"/>
                <w:szCs w:val="20"/>
                <w:color w:val="auto"/>
              </w:rPr>
            </w:pPr>
            <w:r>
              <w:rPr>
                <w:rFonts w:ascii="Arial" w:cs="Arial" w:eastAsia="Arial" w:hAnsi="Arial"/>
                <w:sz w:val="16"/>
                <w:szCs w:val="16"/>
                <w:color w:val="auto"/>
                <w:w w:val="98"/>
              </w:rPr>
              <w:t>(35)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238125</wp:posOffset>
            </wp:positionV>
            <wp:extent cx="24612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20" w:right="60" w:hanging="317"/>
        <w:spacing w:after="0" w:line="205" w:lineRule="auto"/>
        <w:tabs>
          <w:tab w:leader="none" w:pos="408"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Estimated impact of divestitures completed during 2021, assuming an effective date of January 1, 2021. Divested assets primarily included certain natural gas storage facilities previously included in our Crude Oil segment. Note: The natural gas storage business captured one-time benefits from Winter Storm Uri in the first quarter 2021.</w:t>
      </w:r>
    </w:p>
    <w:p>
      <w:pPr>
        <w:spacing w:after="0" w:line="144" w:lineRule="exact"/>
        <w:rPr>
          <w:rFonts w:ascii="Arial" w:cs="Arial" w:eastAsia="Arial" w:hAnsi="Arial"/>
          <w:sz w:val="25"/>
          <w:szCs w:val="25"/>
          <w:color w:val="auto"/>
          <w:vertAlign w:val="superscript"/>
        </w:rPr>
      </w:pPr>
    </w:p>
    <w:p>
      <w:pPr>
        <w:ind w:left="5540" w:hanging="93"/>
        <w:spacing w:after="0"/>
        <w:tabs>
          <w:tab w:leader="none" w:pos="5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840"/>
        <w:spacing w:after="0"/>
        <w:tabs>
          <w:tab w:leader="none" w:pos="4900" w:val="left"/>
          <w:tab w:leader="none" w:pos="75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340"/>
          </w:cols>
          <w:pgMar w:left="220" w:top="3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2022</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March 31,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13,694</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12,785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12,785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7,392</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338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7,859</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7"/>
        </w:trPr>
        <w:tc>
          <w:tcPr>
            <w:tcW w:w="33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7"/>
        </w:trPr>
        <w:tc>
          <w:tcPr>
            <w:tcW w:w="3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Net income attributable to noncontrolling</w:t>
            </w:r>
          </w:p>
        </w:tc>
        <w:tc>
          <w:tcPr>
            <w:tcW w:w="2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7"/>
                <w:szCs w:val="17"/>
                <w:b w:val="1"/>
                <w:bCs w:val="1"/>
                <w:color w:val="auto"/>
              </w:rPr>
              <w:t xml:space="preserve">NET INCOME ATTRIBUTABLE TO PAGP </w:t>
            </w: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187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20" w:type="dxa"/>
            <w:vAlign w:val="bottom"/>
            <w:gridSpan w:val="8"/>
          </w:tcPr>
          <w:p>
            <w:pPr>
              <w:ind w:left="20"/>
              <w:spacing w:after="0" w:line="168" w:lineRule="exact"/>
              <w:rPr>
                <w:sz w:val="20"/>
                <w:szCs w:val="20"/>
                <w:color w:val="auto"/>
              </w:rPr>
            </w:pPr>
            <w:r>
              <w:rPr>
                <w:rFonts w:ascii="Arial" w:cs="Arial" w:eastAsia="Arial" w:hAnsi="Arial"/>
                <w:sz w:val="17"/>
                <w:szCs w:val="17"/>
                <w:b w:val="1"/>
                <w:bCs w:val="1"/>
                <w:color w:val="auto"/>
              </w:rPr>
              <w:t>BASIC AND DILUTED WEIGHTED AVERAGE CLASS A SHARES</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338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gridSpan w:val="3"/>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800" w:type="dxa"/>
            <w:vAlign w:val="bottom"/>
            <w:gridSpan w:val="6"/>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155"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31, 2022</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line="194" w:lineRule="exact"/>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6"/>
                <w:szCs w:val="16"/>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line="194"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16"/>
                <w:szCs w:val="16"/>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8,100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6,140</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line="168" w:lineRule="exact"/>
              <w:rPr>
                <w:sz w:val="20"/>
                <w:szCs w:val="20"/>
                <w:color w:val="auto"/>
              </w:rPr>
            </w:pPr>
            <w:r>
              <w:rPr>
                <w:rFonts w:ascii="Arial" w:cs="Arial" w:eastAsia="Arial" w:hAnsi="Arial"/>
                <w:sz w:val="17"/>
                <w:szCs w:val="17"/>
                <w:color w:val="auto"/>
                <w:w w:val="95"/>
              </w:rPr>
              <w:t>Long-term operating lease right-of-use assets,</w:t>
            </w:r>
          </w:p>
        </w:tc>
        <w:tc>
          <w:tcPr>
            <w:tcW w:w="28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19"/>
        </w:trPr>
        <w:tc>
          <w:tcPr>
            <w:tcW w:w="3360" w:type="dxa"/>
            <w:vAlign w:val="bottom"/>
          </w:tcPr>
          <w:p>
            <w:pPr>
              <w:ind w:left="180"/>
              <w:spacing w:after="0"/>
              <w:rPr>
                <w:sz w:val="20"/>
                <w:szCs w:val="20"/>
                <w:color w:val="auto"/>
              </w:rPr>
            </w:pPr>
            <w:r>
              <w:rPr>
                <w:rFonts w:ascii="Arial" w:cs="Arial" w:eastAsia="Arial" w:hAnsi="Arial"/>
                <w:sz w:val="17"/>
                <w:szCs w:val="17"/>
                <w:color w:val="auto"/>
              </w:rPr>
              <w:t>net</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6,234</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7"/>
                <w:szCs w:val="17"/>
                <w:color w:val="auto"/>
                <w:w w:val="96"/>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17,788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15,801</w:t>
            </w: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10,043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(8,503)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1,540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9,972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12,661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12,644</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12,854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14,177</w:t>
            </w:r>
          </w:p>
        </w:tc>
        <w:tc>
          <w:tcPr>
            <w:tcW w:w="0" w:type="dxa"/>
            <w:vAlign w:val="bottom"/>
          </w:tcPr>
          <w:p>
            <w:pPr>
              <w:spacing w:after="0"/>
              <w:rPr>
                <w:sz w:val="1"/>
                <w:szCs w:val="1"/>
                <w:color w:val="auto"/>
              </w:rPr>
            </w:pPr>
          </w:p>
        </w:tc>
      </w:tr>
      <w:tr>
        <w:trPr>
          <w:trHeight w:val="253"/>
        </w:trPr>
        <w:tc>
          <w:tcPr>
            <w:tcW w:w="3360" w:type="dxa"/>
            <w:vAlign w:val="bottom"/>
          </w:tcPr>
          <w:p>
            <w:pPr>
              <w:ind w:left="340"/>
              <w:spacing w:after="0"/>
              <w:rPr>
                <w:sz w:val="20"/>
                <w:szCs w:val="20"/>
                <w:color w:val="auto"/>
              </w:rPr>
            </w:pPr>
            <w:r>
              <w:rPr>
                <w:rFonts w:ascii="Arial" w:cs="Arial" w:eastAsia="Arial" w:hAnsi="Arial"/>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c>
          <w:tcPr>
            <w:tcW w:w="0" w:type="dxa"/>
            <w:vAlign w:val="bottom"/>
          </w:tcPr>
          <w:p>
            <w:pPr>
              <w:spacing w:after="0"/>
              <w:rPr>
                <w:sz w:val="1"/>
                <w:szCs w:val="1"/>
                <w:color w:val="auto"/>
              </w:rPr>
            </w:pP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CLASS A SHARE</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share data)</w:t>
      </w:r>
    </w:p>
    <w:p>
      <w:pPr>
        <w:spacing w:after="0" w:line="243"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r>
      <w:tr>
        <w:trPr>
          <w:trHeight w:val="201"/>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140"/>
              <w:spacing w:after="0"/>
              <w:rPr>
                <w:sz w:val="20"/>
                <w:szCs w:val="20"/>
                <w:color w:val="auto"/>
              </w:rPr>
            </w:pPr>
            <w:r>
              <w:rPr>
                <w:rFonts w:ascii="Arial" w:cs="Arial" w:eastAsia="Arial" w:hAnsi="Arial"/>
                <w:sz w:val="17"/>
                <w:szCs w:val="17"/>
                <w:color w:val="auto"/>
              </w:rPr>
              <w:t>Net income attributable to PAGP</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0"/>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Class A shares outstanding</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5"/>
        </w:trPr>
        <w:tc>
          <w:tcPr>
            <w:tcW w:w="38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5"/>
        </w:trPr>
        <w:tc>
          <w:tcPr>
            <w:tcW w:w="8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Basic and diluted net income per Class A share</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73" w:lineRule="exact"/>
        <w:rPr>
          <w:sz w:val="20"/>
          <w:szCs w:val="20"/>
          <w:color w:val="auto"/>
        </w:rPr>
      </w:pPr>
    </w:p>
    <w:p>
      <w:pPr>
        <w:ind w:left="320" w:right="120" w:hanging="317"/>
        <w:spacing w:after="0" w:line="226" w:lineRule="auto"/>
        <w:tabs>
          <w:tab w:leader="none" w:pos="315"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2022 and 2021, the possible exchange of AAP units and AAP Management units would not have had a dilutive effect on basic net income per Class A share.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96"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7" w:lineRule="exact"/>
        <w:rPr>
          <w:sz w:val="20"/>
          <w:szCs w:val="20"/>
          <w:color w:val="auto"/>
        </w:rPr>
      </w:pPr>
    </w:p>
    <w:p>
      <w:pPr>
        <w:ind w:left="620" w:hanging="307"/>
        <w:spacing w:after="0" w:line="248" w:lineRule="auto"/>
        <w:tabs>
          <w:tab w:leader="none" w:pos="615" w:val="left"/>
        </w:tabs>
        <w:numPr>
          <w:ilvl w:val="0"/>
          <w:numId w:val="21"/>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23" w:lineRule="exact"/>
        <w:rPr>
          <w:rFonts w:ascii="Arial" w:cs="Arial" w:eastAsia="Arial" w:hAnsi="Arial"/>
          <w:sz w:val="21"/>
          <w:szCs w:val="21"/>
          <w:color w:val="auto"/>
        </w:rPr>
      </w:pPr>
    </w:p>
    <w:p>
      <w:pPr>
        <w:ind w:left="620" w:right="460" w:hanging="307"/>
        <w:spacing w:after="0" w:line="305"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5"/>
          <w:szCs w:val="15"/>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color w:val="auto"/>
        </w:rPr>
      </w:pPr>
    </w:p>
    <w:p>
      <w:pPr>
        <w:ind w:left="620" w:right="240" w:hanging="307"/>
        <w:spacing w:after="0" w:line="234" w:lineRule="auto"/>
        <w:tabs>
          <w:tab w:leader="none" w:pos="615" w:val="left"/>
        </w:tabs>
        <w:numPr>
          <w:ilvl w:val="0"/>
          <w:numId w:val="21"/>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29" w:lineRule="exact"/>
        <w:rPr>
          <w:rFonts w:ascii="Arial" w:cs="Arial" w:eastAsia="Arial" w:hAnsi="Arial"/>
          <w:sz w:val="21"/>
          <w:szCs w:val="21"/>
          <w:color w:val="auto"/>
        </w:rPr>
      </w:pPr>
    </w:p>
    <w:p>
      <w:pPr>
        <w:ind w:left="620" w:right="180" w:hanging="307"/>
        <w:spacing w:after="0" w:line="244" w:lineRule="auto"/>
        <w:tabs>
          <w:tab w:leader="none" w:pos="615" w:val="left"/>
        </w:tabs>
        <w:numPr>
          <w:ilvl w:val="0"/>
          <w:numId w:val="21"/>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63" w:lineRule="exact"/>
        <w:rPr>
          <w:sz w:val="20"/>
          <w:szCs w:val="20"/>
          <w:color w:val="auto"/>
        </w:rPr>
      </w:pPr>
    </w:p>
    <w:p>
      <w:pPr>
        <w:ind w:left="620" w:hanging="307"/>
        <w:spacing w:after="0" w:line="24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environmental liabilities or events that are not covered by an indemnity, insurance or existing reserves;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loss of key personnel and inability to attract and retain new talent;</w:t>
      </w:r>
    </w:p>
    <w:p>
      <w:pPr>
        <w:spacing w:after="0" w:line="129" w:lineRule="exact"/>
        <w:rPr>
          <w:rFonts w:ascii="Arial" w:cs="Arial" w:eastAsia="Arial" w:hAnsi="Arial"/>
          <w:sz w:val="21"/>
          <w:szCs w:val="21"/>
          <w:color w:val="auto"/>
        </w:rPr>
      </w:pPr>
    </w:p>
    <w:p>
      <w:pPr>
        <w:ind w:left="620" w:right="480" w:hanging="307"/>
        <w:spacing w:after="0" w:line="23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29" w:lineRule="exact"/>
        <w:rPr>
          <w:rFonts w:ascii="Arial" w:cs="Arial" w:eastAsia="Arial" w:hAnsi="Arial"/>
          <w:sz w:val="21"/>
          <w:szCs w:val="21"/>
          <w:color w:val="auto"/>
        </w:rPr>
      </w:pPr>
    </w:p>
    <w:p>
      <w:pPr>
        <w:ind w:left="620" w:hanging="307"/>
        <w:spacing w:after="0" w:line="23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29" w:lineRule="exact"/>
        <w:rPr>
          <w:rFonts w:ascii="Arial" w:cs="Arial" w:eastAsia="Arial" w:hAnsi="Arial"/>
          <w:sz w:val="21"/>
          <w:szCs w:val="21"/>
          <w:color w:val="auto"/>
        </w:rPr>
      </w:pPr>
    </w:p>
    <w:p>
      <w:pPr>
        <w:ind w:left="620" w:right="360" w:hanging="307"/>
        <w:spacing w:after="0" w:line="23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9" w:lineRule="exact"/>
        <w:rPr>
          <w:rFonts w:ascii="Arial" w:cs="Arial" w:eastAsia="Arial" w:hAnsi="Arial"/>
          <w:sz w:val="21"/>
          <w:szCs w:val="21"/>
          <w:color w:val="auto"/>
        </w:rPr>
      </w:pPr>
    </w:p>
    <w:p>
      <w:pPr>
        <w:ind w:left="620" w:right="20" w:hanging="307"/>
        <w:spacing w:after="0" w:line="263" w:lineRule="auto"/>
        <w:tabs>
          <w:tab w:leader="none" w:pos="615" w:val="left"/>
        </w:tabs>
        <w:numPr>
          <w:ilvl w:val="0"/>
          <w:numId w:val="22"/>
        </w:numPr>
        <w:rPr>
          <w:rFonts w:ascii="Arial" w:cs="Arial" w:eastAsia="Arial" w:hAnsi="Arial"/>
          <w:sz w:val="20"/>
          <w:szCs w:val="20"/>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12" w:lineRule="exact"/>
        <w:rPr>
          <w:rFonts w:ascii="Arial" w:cs="Arial" w:eastAsia="Arial" w:hAnsi="Arial"/>
          <w:sz w:val="20"/>
          <w:szCs w:val="20"/>
          <w:color w:val="auto"/>
        </w:rPr>
      </w:pPr>
    </w:p>
    <w:p>
      <w:pPr>
        <w:ind w:left="620" w:right="120" w:hanging="307"/>
        <w:spacing w:after="0" w:line="255" w:lineRule="auto"/>
        <w:tabs>
          <w:tab w:leader="none" w:pos="615" w:val="left"/>
        </w:tabs>
        <w:numPr>
          <w:ilvl w:val="0"/>
          <w:numId w:val="22"/>
        </w:numPr>
        <w:rPr>
          <w:rFonts w:ascii="Arial" w:cs="Arial" w:eastAsia="Arial" w:hAnsi="Arial"/>
          <w:sz w:val="20"/>
          <w:szCs w:val="20"/>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93" w:lineRule="exact"/>
        <w:rPr>
          <w:rFonts w:ascii="Arial" w:cs="Arial" w:eastAsia="Arial" w:hAnsi="Arial"/>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9" w:lineRule="exact"/>
        <w:rPr>
          <w:rFonts w:ascii="Arial" w:cs="Arial" w:eastAsia="Arial" w:hAnsi="Arial"/>
          <w:sz w:val="21"/>
          <w:szCs w:val="21"/>
          <w:color w:val="auto"/>
        </w:rPr>
      </w:pPr>
    </w:p>
    <w:p>
      <w:pPr>
        <w:ind w:left="620" w:right="420" w:hanging="307"/>
        <w:spacing w:after="0" w:line="23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129" w:lineRule="exact"/>
        <w:rPr>
          <w:rFonts w:ascii="Arial" w:cs="Arial" w:eastAsia="Arial" w:hAnsi="Arial"/>
          <w:sz w:val="21"/>
          <w:szCs w:val="21"/>
          <w:color w:val="auto"/>
        </w:rPr>
      </w:pPr>
    </w:p>
    <w:p>
      <w:pPr>
        <w:ind w:left="620" w:right="100" w:hanging="307"/>
        <w:spacing w:after="0" w:line="234" w:lineRule="auto"/>
        <w:tabs>
          <w:tab w:leader="none" w:pos="615" w:val="left"/>
        </w:tabs>
        <w:numPr>
          <w:ilvl w:val="0"/>
          <w:numId w:val="22"/>
        </w:numPr>
        <w:rPr>
          <w:rFonts w:ascii="Arial" w:cs="Arial" w:eastAsia="Arial" w:hAnsi="Arial"/>
          <w:sz w:val="21"/>
          <w:szCs w:val="21"/>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shortages or cost increases of supplies, materials or labor;</w:t>
      </w:r>
    </w:p>
    <w:p>
      <w:pPr>
        <w:spacing w:after="0" w:line="129" w:lineRule="exact"/>
        <w:rPr>
          <w:rFonts w:ascii="Arial" w:cs="Arial" w:eastAsia="Arial" w:hAnsi="Arial"/>
          <w:sz w:val="21"/>
          <w:szCs w:val="21"/>
          <w:color w:val="auto"/>
        </w:rPr>
      </w:pPr>
    </w:p>
    <w:p>
      <w:pPr>
        <w:ind w:left="620" w:right="300" w:hanging="307"/>
        <w:spacing w:after="0" w:line="255" w:lineRule="auto"/>
        <w:tabs>
          <w:tab w:leader="none" w:pos="615" w:val="left"/>
        </w:tabs>
        <w:numPr>
          <w:ilvl w:val="0"/>
          <w:numId w:val="22"/>
        </w:numPr>
        <w:rPr>
          <w:rFonts w:ascii="Arial" w:cs="Arial" w:eastAsia="Arial" w:hAnsi="Arial"/>
          <w:sz w:val="20"/>
          <w:szCs w:val="20"/>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93" w:lineRule="exact"/>
        <w:rPr>
          <w:rFonts w:ascii="Arial" w:cs="Arial" w:eastAsia="Arial" w:hAnsi="Arial"/>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41"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currency exchange rate of the Canadian dollar to the United States dollar;</w:t>
      </w:r>
    </w:p>
    <w:p>
      <w:pPr>
        <w:spacing w:after="0" w:line="129" w:lineRule="exact"/>
        <w:rPr>
          <w:rFonts w:ascii="Arial" w:cs="Arial" w:eastAsia="Arial" w:hAnsi="Arial"/>
          <w:sz w:val="21"/>
          <w:szCs w:val="21"/>
          <w:color w:val="auto"/>
        </w:rPr>
      </w:pPr>
    </w:p>
    <w:p>
      <w:pPr>
        <w:ind w:left="620" w:right="620" w:hanging="307"/>
        <w:spacing w:after="0" w:line="234" w:lineRule="auto"/>
        <w:tabs>
          <w:tab w:leader="none" w:pos="615" w:val="left"/>
        </w:tabs>
        <w:numPr>
          <w:ilvl w:val="0"/>
          <w:numId w:val="23"/>
        </w:numPr>
        <w:rPr>
          <w:rFonts w:ascii="Arial" w:cs="Arial" w:eastAsia="Arial" w:hAnsi="Arial"/>
          <w:sz w:val="21"/>
          <w:szCs w:val="21"/>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3"/>
        </w:numPr>
        <w:rPr>
          <w:rFonts w:ascii="Arial" w:cs="Arial" w:eastAsia="Arial" w:hAnsi="Arial"/>
          <w:sz w:val="21"/>
          <w:szCs w:val="21"/>
          <w:color w:val="auto"/>
        </w:rPr>
      </w:pPr>
      <w:r>
        <w:rPr>
          <w:rFonts w:ascii="Arial" w:cs="Arial" w:eastAsia="Arial" w:hAnsi="Arial"/>
          <w:sz w:val="17"/>
          <w:szCs w:val="17"/>
          <w:color w:val="auto"/>
        </w:rPr>
        <w:t>risks related to the development and operation of our assets; and</w:t>
      </w:r>
    </w:p>
    <w:p>
      <w:pPr>
        <w:spacing w:after="0" w:line="129" w:lineRule="exact"/>
        <w:rPr>
          <w:rFonts w:ascii="Arial" w:cs="Arial" w:eastAsia="Arial" w:hAnsi="Arial"/>
          <w:sz w:val="21"/>
          <w:szCs w:val="21"/>
          <w:color w:val="auto"/>
        </w:rPr>
      </w:pPr>
    </w:p>
    <w:p>
      <w:pPr>
        <w:ind w:left="620" w:right="60" w:hanging="307"/>
        <w:spacing w:after="0" w:line="255" w:lineRule="auto"/>
        <w:tabs>
          <w:tab w:leader="none" w:pos="615" w:val="left"/>
        </w:tabs>
        <w:numPr>
          <w:ilvl w:val="0"/>
          <w:numId w:val="23"/>
        </w:numPr>
        <w:rPr>
          <w:rFonts w:ascii="Arial" w:cs="Arial" w:eastAsia="Arial" w:hAnsi="Arial"/>
          <w:sz w:val="20"/>
          <w:szCs w:val="20"/>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70" w:lineRule="exact"/>
        <w:rPr>
          <w:sz w:val="20"/>
          <w:szCs w:val="20"/>
          <w:color w:val="auto"/>
        </w:rPr>
      </w:pPr>
    </w:p>
    <w:p>
      <w:pPr>
        <w:jc w:val="both"/>
        <w:ind w:right="12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Roy Lamoreaux</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 Communications and Government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lowerRoman"/>
      <w:start w:val="5"/>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lvl w:ilvl="1">
      <w:lvlJc w:val="left"/>
      <w:lvlText w:val="-"/>
      <w:numFmt w:val="bullet"/>
      <w:start w:val="1"/>
    </w:lvl>
  </w:abstractNum>
  <w:abstractNum w:abstractNumId="9">
    <w:nsid w:val="4E6AFB66"/>
    <w:multiLevelType w:val="hybridMultilevel"/>
    <w:lvl w:ilvl="0">
      <w:lvlJc w:val="left"/>
      <w:lvlText w:val="(%1)"/>
      <w:numFmt w:val="decimal"/>
      <w:start w:val="1"/>
    </w:lvl>
    <w:lvl w:ilvl="1">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lvl w:ilvl="1">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3"/>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lvl w:ilvl="1">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2022-05-04T15:49:31Z</dcterms:created>
  <dcterms:modified xsi:type="dcterms:W3CDTF">2022-05-04T15:49:31Z</dcterms:modified>
</cp:coreProperties>
</file>