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August 15, 2022</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All American Pipeline, L.P.</w:t>
      </w:r>
    </w:p>
    <w:p>
      <w:pPr>
        <w:spacing w:after="0" w:line="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60" w:right="339" w:bottom="1440" w:gutter="0" w:footer="0" w:header="0"/>
        </w:sectPr>
      </w:pPr>
    </w:p>
    <w:p>
      <w:pPr>
        <w:spacing w:after="0" w:line="221"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8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620"/>
        <w:spacing w:after="0"/>
        <w:rPr>
          <w:sz w:val="20"/>
          <w:szCs w:val="20"/>
          <w:color w:val="auto"/>
        </w:rPr>
      </w:pPr>
      <w:r>
        <w:rPr>
          <w:rFonts w:ascii="Arial" w:cs="Arial" w:eastAsia="Arial" w:hAnsi="Arial"/>
          <w:sz w:val="16"/>
          <w:szCs w:val="16"/>
          <w:color w:val="auto"/>
        </w:rPr>
        <w:t>(IRS Employer Identification No.)</w:t>
      </w:r>
    </w:p>
    <w:p>
      <w:pPr>
        <w:spacing w:after="0" w:line="32" w:lineRule="exact"/>
        <w:rPr>
          <w:sz w:val="24"/>
          <w:szCs w:val="24"/>
          <w:color w:val="auto"/>
        </w:rPr>
      </w:pPr>
    </w:p>
    <w:p>
      <w:pPr>
        <w:sectPr>
          <w:pgSz w:w="11900" w:h="16838" w:orient="portrait"/>
          <w:cols w:equalWidth="0" w:num="3">
            <w:col w:w="3920" w:space="720"/>
            <w:col w:w="2800" w:space="720"/>
            <w:col w:w="3080"/>
          </w:cols>
          <w:pgMar w:left="320" w:top="760" w:right="339" w:bottom="1440" w:gutter="0" w:footer="0" w:header="0"/>
          <w:type w:val="continuous"/>
        </w:sectPr>
      </w:pPr>
    </w:p>
    <w:p>
      <w:pPr>
        <w:ind w:left="134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72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780"/>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240"/>
          </w:cols>
          <w:pgMar w:left="320" w:top="760" w:right="339" w:bottom="1440" w:gutter="0" w:footer="0" w:header="0"/>
          <w:type w:val="continuous"/>
        </w:sect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8"/>
        <w:spacing w:after="0" w:line="498" w:lineRule="auto"/>
        <w:tabs>
          <w:tab w:leader="none" w:pos="38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Common Units</w:t>
            </w:r>
          </w:p>
        </w:tc>
        <w:tc>
          <w:tcPr>
            <w:tcW w:w="1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PAA</w:t>
            </w:r>
          </w:p>
        </w:tc>
        <w:tc>
          <w:tcPr>
            <w:tcW w:w="1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Representatives from Plains All American Pipeline, L.P. (“PAA”) and Plains GP Holdings, L.P. (“PAGP”) intend to meet with members of the financial community at the 2022 Citi One-on-One Midstream/Energy Infrastructure Conference to be held in Las Vegas, Nevada from August 16-17, 2022. In conjunction with the event, Plains intends to publish to its website updated presentation materials covering topics including an industry overview, PAA’s commercial and operating activities, financial positioning, forward outlook and other related matters. The presentation materials will be made available for viewing on Tuesday, August 16, 2022, at www.plains.com under the “News &amp; Events — Investor Presentations” portion of the Investor Relations section of the website. Neither PAA nor PAGP undertake to update the information as posted on their websites; however, they may post additional information included in future press releases, Forms 8-K, and periodic Exchange Act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p>
        </w:tc>
        <w:tc>
          <w:tcPr>
            <w:tcW w:w="7560" w:type="dxa"/>
            <w:vAlign w:val="bottom"/>
            <w:gridSpan w:val="2"/>
          </w:tcPr>
          <w:p>
            <w:pPr>
              <w:ind w:left="1960"/>
              <w:spacing w:after="0"/>
              <w:rPr>
                <w:sz w:val="20"/>
                <w:szCs w:val="20"/>
                <w:color w:val="auto"/>
              </w:rPr>
            </w:pPr>
            <w:r>
              <w:rPr>
                <w:rFonts w:ascii="Arial" w:cs="Arial" w:eastAsia="Arial" w:hAnsi="Arial"/>
                <w:sz w:val="18"/>
                <w:szCs w:val="18"/>
                <w:color w:val="auto"/>
              </w:rPr>
              <w:t>PLAINS ALL AMERICAN PIPELINE, L.P.</w:t>
            </w:r>
          </w:p>
        </w:tc>
      </w:tr>
      <w:tr>
        <w:trPr>
          <w:trHeight w:val="432"/>
        </w:trPr>
        <w:tc>
          <w:tcPr>
            <w:tcW w:w="3680" w:type="dxa"/>
            <w:vAlign w:val="bottom"/>
          </w:tcPr>
          <w:p>
            <w:pPr>
              <w:spacing w:after="0"/>
              <w:rPr>
                <w:sz w:val="20"/>
                <w:szCs w:val="20"/>
                <w:color w:val="auto"/>
              </w:rPr>
            </w:pPr>
            <w:r>
              <w:rPr>
                <w:rFonts w:ascii="Arial" w:cs="Arial" w:eastAsia="Arial" w:hAnsi="Arial"/>
                <w:sz w:val="18"/>
                <w:szCs w:val="18"/>
                <w:color w:val="auto"/>
              </w:rPr>
              <w:t>Date:  August 15, 2022</w:t>
            </w:r>
          </w:p>
        </w:tc>
        <w:tc>
          <w:tcPr>
            <w:tcW w:w="2520" w:type="dxa"/>
            <w:vAlign w:val="bottom"/>
          </w:tcPr>
          <w:p>
            <w:pPr>
              <w:ind w:left="1960"/>
              <w:spacing w:after="0"/>
              <w:rPr>
                <w:sz w:val="20"/>
                <w:szCs w:val="20"/>
                <w:color w:val="auto"/>
              </w:rPr>
            </w:pPr>
            <w:r>
              <w:rPr>
                <w:rFonts w:ascii="Arial" w:cs="Arial" w:eastAsia="Arial" w:hAnsi="Arial"/>
                <w:sz w:val="18"/>
                <w:szCs w:val="18"/>
                <w:color w:val="auto"/>
              </w:rPr>
              <w:t>By:</w:t>
            </w:r>
          </w:p>
        </w:tc>
        <w:tc>
          <w:tcPr>
            <w:tcW w:w="5040" w:type="dxa"/>
            <w:vAlign w:val="bottom"/>
          </w:tcPr>
          <w:p>
            <w:pPr>
              <w:spacing w:after="0"/>
              <w:rPr>
                <w:sz w:val="20"/>
                <w:szCs w:val="20"/>
                <w:color w:val="auto"/>
              </w:rPr>
            </w:pPr>
            <w:r>
              <w:rPr>
                <w:rFonts w:ascii="Arial" w:cs="Arial" w:eastAsia="Arial" w:hAnsi="Arial"/>
                <w:sz w:val="18"/>
                <w:szCs w:val="18"/>
                <w:color w:val="auto"/>
              </w:rPr>
              <w:t>PAA GP LLC, its general partner</w:t>
            </w:r>
          </w:p>
        </w:tc>
      </w:tr>
      <w:tr>
        <w:trPr>
          <w:trHeight w:val="432"/>
        </w:trPr>
        <w:tc>
          <w:tcPr>
            <w:tcW w:w="3680" w:type="dxa"/>
            <w:vAlign w:val="bottom"/>
          </w:tcPr>
          <w:p>
            <w:pPr>
              <w:spacing w:after="0"/>
              <w:rPr>
                <w:sz w:val="24"/>
                <w:szCs w:val="24"/>
                <w:color w:val="auto"/>
              </w:rPr>
            </w:pPr>
          </w:p>
        </w:tc>
        <w:tc>
          <w:tcPr>
            <w:tcW w:w="2520" w:type="dxa"/>
            <w:vAlign w:val="bottom"/>
          </w:tcPr>
          <w:p>
            <w:pPr>
              <w:ind w:left="1960"/>
              <w:spacing w:after="0"/>
              <w:rPr>
                <w:sz w:val="20"/>
                <w:szCs w:val="20"/>
                <w:color w:val="auto"/>
              </w:rPr>
            </w:pPr>
            <w:r>
              <w:rPr>
                <w:rFonts w:ascii="Arial" w:cs="Arial" w:eastAsia="Arial" w:hAnsi="Arial"/>
                <w:sz w:val="18"/>
                <w:szCs w:val="18"/>
                <w:color w:val="auto"/>
              </w:rPr>
              <w:t>By:</w:t>
            </w:r>
          </w:p>
        </w:tc>
        <w:tc>
          <w:tcPr>
            <w:tcW w:w="5040" w:type="dxa"/>
            <w:vAlign w:val="bottom"/>
          </w:tcPr>
          <w:p>
            <w:pPr>
              <w:spacing w:after="0"/>
              <w:rPr>
                <w:sz w:val="20"/>
                <w:szCs w:val="20"/>
                <w:color w:val="auto"/>
              </w:rPr>
            </w:pPr>
            <w:r>
              <w:rPr>
                <w:rFonts w:ascii="Arial" w:cs="Arial" w:eastAsia="Arial" w:hAnsi="Arial"/>
                <w:sz w:val="18"/>
                <w:szCs w:val="18"/>
                <w:color w:val="auto"/>
              </w:rPr>
              <w:t>Plains AAP, L.P., its sole member</w:t>
            </w:r>
          </w:p>
        </w:tc>
      </w:tr>
      <w:tr>
        <w:trPr>
          <w:trHeight w:val="432"/>
        </w:trPr>
        <w:tc>
          <w:tcPr>
            <w:tcW w:w="3680" w:type="dxa"/>
            <w:vAlign w:val="bottom"/>
          </w:tcPr>
          <w:p>
            <w:pPr>
              <w:spacing w:after="0"/>
              <w:rPr>
                <w:sz w:val="24"/>
                <w:szCs w:val="24"/>
                <w:color w:val="auto"/>
              </w:rPr>
            </w:pPr>
          </w:p>
        </w:tc>
        <w:tc>
          <w:tcPr>
            <w:tcW w:w="2520" w:type="dxa"/>
            <w:vAlign w:val="bottom"/>
          </w:tcPr>
          <w:p>
            <w:pPr>
              <w:ind w:left="1960"/>
              <w:spacing w:after="0"/>
              <w:rPr>
                <w:sz w:val="20"/>
                <w:szCs w:val="20"/>
                <w:color w:val="auto"/>
              </w:rPr>
            </w:pPr>
            <w:r>
              <w:rPr>
                <w:rFonts w:ascii="Arial" w:cs="Arial" w:eastAsia="Arial" w:hAnsi="Arial"/>
                <w:sz w:val="18"/>
                <w:szCs w:val="18"/>
                <w:color w:val="auto"/>
              </w:rPr>
              <w:t>By:</w:t>
            </w:r>
          </w:p>
        </w:tc>
        <w:tc>
          <w:tcPr>
            <w:tcW w:w="5040" w:type="dxa"/>
            <w:vAlign w:val="bottom"/>
          </w:tcPr>
          <w:p>
            <w:pPr>
              <w:spacing w:after="0"/>
              <w:rPr>
                <w:sz w:val="20"/>
                <w:szCs w:val="20"/>
                <w:color w:val="auto"/>
              </w:rPr>
            </w:pPr>
            <w:r>
              <w:rPr>
                <w:rFonts w:ascii="Arial" w:cs="Arial" w:eastAsia="Arial" w:hAnsi="Arial"/>
                <w:sz w:val="18"/>
                <w:szCs w:val="18"/>
                <w:color w:val="auto"/>
              </w:rPr>
              <w:t>Plains All American GP LLC, its general partner</w:t>
            </w:r>
          </w:p>
        </w:tc>
      </w:tr>
      <w:tr>
        <w:trPr>
          <w:trHeight w:val="432"/>
        </w:trPr>
        <w:tc>
          <w:tcPr>
            <w:tcW w:w="3680" w:type="dxa"/>
            <w:vAlign w:val="bottom"/>
          </w:tcPr>
          <w:p>
            <w:pPr>
              <w:spacing w:after="0"/>
              <w:rPr>
                <w:sz w:val="24"/>
                <w:szCs w:val="24"/>
                <w:color w:val="auto"/>
              </w:rPr>
            </w:pPr>
          </w:p>
        </w:tc>
        <w:tc>
          <w:tcPr>
            <w:tcW w:w="2520" w:type="dxa"/>
            <w:vAlign w:val="bottom"/>
          </w:tcPr>
          <w:p>
            <w:pPr>
              <w:ind w:left="196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r>
      <w:tr>
        <w:trPr>
          <w:trHeight w:val="195"/>
        </w:trPr>
        <w:tc>
          <w:tcPr>
            <w:tcW w:w="36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Name: Richard McGee</w:t>
            </w:r>
          </w:p>
        </w:tc>
      </w:tr>
      <w:tr>
        <w:trPr>
          <w:trHeight w:val="230"/>
        </w:trPr>
        <w:tc>
          <w:tcPr>
            <w:tcW w:w="36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Title:  Executive Vice President</w:t>
            </w:r>
          </w:p>
        </w:tc>
      </w:tr>
      <w:tr>
        <w:trPr>
          <w:trHeight w:val="675"/>
        </w:trPr>
        <w:tc>
          <w:tcPr>
            <w:tcW w:w="36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2022-08-15T16:14:27Z</dcterms:created>
  <dcterms:modified xsi:type="dcterms:W3CDTF">2022-08-15T16:14:27Z</dcterms:modified>
</cp:coreProperties>
</file>