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May 8, 2017</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1179" w:right="359" w:bottom="1440" w:gutter="0" w:footer="0" w:header="0"/>
        </w:sectPr>
      </w:pPr>
    </w:p>
    <w:p>
      <w:pPr>
        <w:spacing w:after="0" w:line="367" w:lineRule="exact"/>
        <w:rPr>
          <w:sz w:val="24"/>
          <w:szCs w:val="24"/>
          <w:color w:val="auto"/>
        </w:rPr>
      </w:pPr>
    </w:p>
    <w:p>
      <w:pPr>
        <w:ind w:left="16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90" w:lineRule="exact"/>
        <w:rPr>
          <w:sz w:val="24"/>
          <w:szCs w:val="24"/>
          <w:color w:val="auto"/>
        </w:rPr>
      </w:pPr>
    </w:p>
    <w:p>
      <w:pPr>
        <w:sectPr>
          <w:pgSz w:w="11900" w:h="16838" w:orient="portrait"/>
          <w:cols w:equalWidth="0" w:num="3">
            <w:col w:w="4700" w:space="720"/>
            <w:col w:w="2680" w:space="720"/>
            <w:col w:w="2480"/>
          </w:cols>
          <w:pgMar w:left="240" w:top="1179" w:right="35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4020" w:space="720"/>
            <w:col w:w="2560" w:space="720"/>
            <w:col w:w="3280"/>
          </w:cols>
          <w:pgMar w:left="240" w:top="1179" w:right="359" w:bottom="1440" w:gutter="0" w:footer="0" w:header="0"/>
          <w:type w:val="continuous"/>
        </w:sectPr>
      </w:pPr>
    </w:p>
    <w:p>
      <w:pPr>
        <w:ind w:left="1660"/>
        <w:spacing w:after="0"/>
        <w:rPr>
          <w:sz w:val="20"/>
          <w:szCs w:val="20"/>
          <w:color w:val="auto"/>
        </w:rPr>
      </w:pPr>
      <w:r>
        <w:rPr>
          <w:rFonts w:ascii="Arial" w:cs="Arial" w:eastAsia="Arial" w:hAnsi="Arial"/>
          <w:sz w:val="17"/>
          <w:szCs w:val="17"/>
          <w:color w:val="auto"/>
        </w:rPr>
        <w:t>incorporation)</w:t>
      </w:r>
    </w:p>
    <w:p>
      <w:pPr>
        <w:sectPr>
          <w:pgSz w:w="11900" w:h="16838" w:orient="portrait"/>
          <w:cols w:equalWidth="0" w:num="1">
            <w:col w:w="11300"/>
          </w:cols>
          <w:pgMar w:left="240" w:top="1179" w:right="359" w:bottom="1440" w:gutter="0" w:footer="0" w:header="0"/>
          <w:type w:val="continuous"/>
        </w:sectPr>
      </w:pPr>
    </w:p>
    <w:p>
      <w:pPr>
        <w:spacing w:after="0" w:line="24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486410</wp:posOffset>
            </wp:positionV>
            <wp:extent cx="7075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375285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00"/>
          </w:cols>
          <w:pgMar w:left="240" w:top="1179" w:right="359" w:bottom="1440" w:gutter="0" w:footer="0" w:header="0"/>
          <w:type w:val="continuous"/>
        </w:sectPr>
      </w:pPr>
    </w:p>
    <w:bookmarkStart w:id="1" w:name="page2"/>
    <w:bookmarkEnd w:id="1"/>
    <w:p>
      <w:pPr>
        <w:spacing w:after="0"/>
        <w:tabs>
          <w:tab w:leader="none" w:pos="2080" w:val="left"/>
        </w:tabs>
        <w:rPr>
          <w:sz w:val="20"/>
          <w:szCs w:val="20"/>
          <w:color w:val="auto"/>
        </w:rPr>
      </w:pPr>
      <w:r>
        <w:rPr>
          <w:rFonts w:ascii="Arial" w:cs="Arial" w:eastAsia="Arial" w:hAnsi="Arial"/>
          <w:sz w:val="18"/>
          <w:szCs w:val="18"/>
          <w:b w:val="1"/>
          <w:bCs w:val="1"/>
          <w:color w:val="auto"/>
        </w:rPr>
        <w:t>Item 2.02 and Item 7.01.</w:t>
      </w:r>
      <w:r>
        <w:rPr>
          <w:sz w:val="20"/>
          <w:szCs w:val="20"/>
          <w:color w:val="auto"/>
        </w:rPr>
        <w:tab/>
      </w:r>
      <w:r>
        <w:rPr>
          <w:rFonts w:ascii="Arial" w:cs="Arial" w:eastAsia="Arial" w:hAnsi="Arial"/>
          <w:sz w:val="16"/>
          <w:szCs w:val="16"/>
          <w:b w:val="1"/>
          <w:bCs w:val="1"/>
          <w:color w:val="auto"/>
        </w:rPr>
        <w:t>Results of Operations and Financial Condition; Regulation FD Disclosure.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May 8, 2017, the Registrant issued a press release reporting its first-quarter 2017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5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99.1 — Press Release dated May 8, 2017</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580" w:right="3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PLAINS GP HOLDINGS, L.P.</w:t>
      </w:r>
    </w:p>
    <w:p>
      <w:pPr>
        <w:spacing w:after="0" w:line="387" w:lineRule="exact"/>
        <w:rPr>
          <w:sz w:val="20"/>
          <w:szCs w:val="20"/>
          <w:color w:val="auto"/>
        </w:rPr>
      </w:pPr>
    </w:p>
    <w:p>
      <w:pPr>
        <w:ind w:left="4720"/>
        <w:spacing w:after="0"/>
        <w:tabs>
          <w:tab w:leader="none" w:pos="5160" w:val="left"/>
        </w:tabs>
        <w:rPr>
          <w:sz w:val="20"/>
          <w:szCs w:val="20"/>
          <w:color w:val="auto"/>
        </w:rPr>
      </w:pPr>
      <w:r>
        <w:rPr>
          <w:rFonts w:ascii="Arial" w:cs="Arial" w:eastAsia="Arial" w:hAnsi="Arial"/>
          <w:sz w:val="18"/>
          <w:szCs w:val="18"/>
          <w:color w:val="auto"/>
        </w:rPr>
        <w:t>By:</w:t>
        <w:tab/>
        <w:t>PAA GP Holdings LLC, its general partner</w:t>
      </w:r>
    </w:p>
    <w:p>
      <w:pPr>
        <w:spacing w:after="0" w:line="387" w:lineRule="exact"/>
        <w:rPr>
          <w:sz w:val="20"/>
          <w:szCs w:val="20"/>
          <w:color w:val="auto"/>
        </w:rPr>
      </w:pPr>
    </w:p>
    <w:p>
      <w:pPr>
        <w:ind w:left="40"/>
        <w:spacing w:after="0"/>
        <w:tabs>
          <w:tab w:leader="none" w:pos="4700" w:val="left"/>
          <w:tab w:leader="none" w:pos="5160" w:val="left"/>
        </w:tabs>
        <w:rPr>
          <w:sz w:val="20"/>
          <w:szCs w:val="20"/>
          <w:color w:val="auto"/>
        </w:rPr>
      </w:pPr>
      <w:r>
        <w:rPr>
          <w:rFonts w:ascii="Arial" w:cs="Arial" w:eastAsia="Arial" w:hAnsi="Arial"/>
          <w:sz w:val="18"/>
          <w:szCs w:val="18"/>
          <w:color w:val="auto"/>
        </w:rPr>
        <w:t>Date: May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ind w:left="5180"/>
        <w:spacing w:after="0"/>
        <w:tabs>
          <w:tab w:leader="none" w:pos="5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Al Swanson</w:t>
      </w:r>
    </w:p>
    <w:p>
      <w:pPr>
        <w:spacing w:after="0" w:line="63" w:lineRule="exact"/>
        <w:rPr>
          <w:sz w:val="20"/>
          <w:szCs w:val="20"/>
          <w:color w:val="auto"/>
        </w:rPr>
      </w:pPr>
    </w:p>
    <w:p>
      <w:pPr>
        <w:ind w:left="518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661"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446405</wp:posOffset>
            </wp:positionV>
            <wp:extent cx="5848985" cy="754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 First-Quarter 2017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Updates 2017 Full-Year Guidance</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(Houston — May 8, 2017) Plains All American Pipeline, L.P. (NYSE: PAA) and Plains GP Holdings (NYSE: PAGP) today reported first-quarter 2017 results.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17"/>
                <w:szCs w:val="17"/>
                <w:color w:val="auto"/>
              </w:rPr>
            </w:pP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33"/>
        </w:trPr>
        <w:tc>
          <w:tcPr>
            <w:tcW w:w="812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1"/>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GAAP Results</w:t>
            </w:r>
          </w:p>
        </w:tc>
        <w:tc>
          <w:tcPr>
            <w:tcW w:w="22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ind w:right="272"/>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33"/>
        </w:trPr>
        <w:tc>
          <w:tcPr>
            <w:tcW w:w="8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Diluted net income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729 %</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Distribution per common unit declared for the period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560"/>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tcPr>
          <w:p>
            <w:pPr>
              <w:spacing w:after="0"/>
              <w:rPr>
                <w:sz w:val="24"/>
                <w:szCs w:val="24"/>
                <w:color w:val="auto"/>
              </w:rPr>
            </w:pP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w:t>
            </w:r>
          </w:p>
        </w:tc>
      </w:tr>
      <w:tr>
        <w:trPr>
          <w:trHeight w:val="33"/>
        </w:trPr>
        <w:tc>
          <w:tcPr>
            <w:tcW w:w="812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 xml:space="preserve">Non-GAAP Results </w:t>
            </w:r>
            <w:r>
              <w:rPr>
                <w:rFonts w:ascii="Arial" w:cs="Arial" w:eastAsia="Arial" w:hAnsi="Arial"/>
                <w:sz w:val="21"/>
                <w:szCs w:val="21"/>
                <w:b w:val="1"/>
                <w:bCs w:val="1"/>
                <w:i w:val="1"/>
                <w:i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Change</w:t>
            </w: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5"/>
                <w:szCs w:val="25"/>
                <w:color w:val="auto"/>
                <w:vertAlign w:val="superscript"/>
              </w:rPr>
              <w:t>(2)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80" w:hanging="332"/>
        <w:spacing w:after="0" w:line="232" w:lineRule="auto"/>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See the section of this release entitled “Non-GAAP Financial Measures and Selected Items Impacting Comparability” and the tables attached hereto for information regarding certain selected items that PAA believes impact comparability of financial results between reporting periods, as well as for information regarding non-GAAP financial measures (such as adjusted EBITDA) and their reconciliation to the most directly comparable measures as reported in accordance with GAAP.</w:t>
      </w:r>
    </w:p>
    <w:p>
      <w:pPr>
        <w:spacing w:after="0" w:line="37"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Prior period amounts have been recast to conform to certain changes made in the fourth quarter of 2016.</w:t>
      </w:r>
    </w:p>
    <w:p>
      <w:pPr>
        <w:spacing w:after="0" w:line="20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first quarter results reflect in-line performance from our fee-based Transportation and Facilities segments as well as our margin-based crude oil marketing activities, but were adversely impacted by weaker than anticipated performance from our NGL marketing activities, which are included in our Supply and Logistics segment,” said Greg Armstrong, Chairman and CEO. “NGL margins were negatively impacted by warmer weather and tighter differentials between Canada and our US demand markets among other factors. To address these issues in future periods, we are modifying the way we manage our inventory and implementing contractual provisions that will reduce earnings volatility and the quantity of seasonal NGL inventory we store, in exchange for partially limiting our upside potential.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Page 2</w:t>
      </w:r>
    </w:p>
    <w:p>
      <w:pPr>
        <w:spacing w:after="0" w:line="25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“In February, we shared our view that the first six to nine months of the current year would prove challenging but that we expected to see strong improvement toward the end of 2017 as several multi-year capital projects are completed and volume growth in the Permian advances. Although our cautious outlook for the near term is proving accurate, we definitely like the way the industry is shaping up for the latter part of 2017 and beyond.</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“Producer activity levels in almost every area are ahead of levels included in our outlook at the beginning of the year, especially with respect to the Permian Basin. Well productivity is increasing as new wells are coming in stronger than previously modeled. Our outlook continues to incorporate an increasing time lag between increased drilling activity and increased production volumes as producers shift to multi-well pad operations. Accordingly, we continue to expect our transportation volumes to ramp up in the second half of this year.</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“Consistent with our outlook, we are seeing increased interest from potential shippers for pipeline space currently available on our existing assets as well as for incremental pipeline capacity at rates that provide us an attractive return. All of this reinforces our outlook and confidence in a back-end weighted improvement during 2017 in our fee based growth and that we remain on-course for a meaningful increase in year-over-year performance in 2018 and beyond.”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adjusted EBITDA for the first quarter of 2017 is presented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2017</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2016</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9"/>
              </w:rPr>
              <w:t>Transportation</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vMerge w:val="restart"/>
          </w:tcPr>
          <w:p>
            <w:pPr>
              <w:spacing w:after="0"/>
              <w:rPr>
                <w:sz w:val="13"/>
                <w:szCs w:val="13"/>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2"/>
              </w:rPr>
              <w:t>Supply and Logistics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5"/>
              </w:rPr>
              <w:t>Transportation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0"/>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Supply and</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63"/>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c>
          <w:tcPr>
            <w:tcW w:w="120" w:type="dxa"/>
            <w:vAlign w:val="bottom"/>
            <w:tcBorders>
              <w:right w:val="single" w:sz="8" w:color="auto"/>
            </w:tcBorders>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w w:val="86"/>
              </w:rPr>
              <w:t>Percentage change in segment adjusted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13%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i w:val="1"/>
                <w:iCs w:val="1"/>
                <w:color w:val="auto"/>
              </w:rPr>
              <w:t>(72)%</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02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EBITDA versus 2016 period</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00" w:hanging="332"/>
        <w:spacing w:after="0" w:line="226" w:lineRule="auto"/>
        <w:tabs>
          <w:tab w:leader="none" w:pos="340"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2016, we modified our primary segment performance measure to segment adjusted EBITDA from segment profit and also modified our definition of adjusted EBITDA to exclude our proportionate share of depreciation and amortization expense associated with equity method investments. Prior period segment amounts have been recast to reflect these changes.</w:t>
      </w:r>
    </w:p>
    <w:p>
      <w:pPr>
        <w:spacing w:after="0" w:line="20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First-quarter 2017 Transportation segment adjusted EBITDA decreased by 3% versus comparable 2016 results. This decrease was primarily driven by the impact of non-core asset sales and other volume decreases in the Rocky Mountain region primarily associated with pipeline downtime. These decreases were partially offset by increases on certain of our Permian Basin pipelines due largely to increased Delaware Basin production impacting our Basin pipeline and contributions from our Alpha Crude Connector gathering system which we acquired in February 2017.</w:t>
      </w:r>
    </w:p>
    <w:p>
      <w:pPr>
        <w:spacing w:after="0" w:line="17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First-quarter 2017 Facilities segment adjusted EBITDA increased by 13% versus comparable 2016 results. This increase was primarily due to contributions from the Canadian NGL assets we acquired in August 2016, higher fees at certain of our NGL storage and fractionation facilities and contributions from ongoing expansion projects at our Fort Saskatchewan facility. These increases were partially offset by lower U.S. rail terminal activity, lower utilization of our West Coast terminals, and the impact of non-core asset sales.</w:t>
      </w:r>
    </w:p>
    <w:p>
      <w:pPr>
        <w:spacing w:after="0" w:line="18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First-quarter 2017 Supply and Logistics segment adjusted EBITDA decreased by 72% relative to comparable 2016 results. This decrease was primarily driven by lower results from our NGL activities due to the impact of competition and continued margin compression, and unusually warm weather, as well as margin compression from our crude oil gathering and marketing activities caused by continued intense competition.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Page 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Full-Year Guidance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Full-year 2017 financial and operating guidance is presented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AND OPERATING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barrel data)</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Arial" w:cs="Arial" w:eastAsia="Arial" w:hAnsi="Arial"/>
                <w:sz w:val="16"/>
                <w:szCs w:val="16"/>
                <w:b w:val="1"/>
                <w:bCs w:val="1"/>
                <w:color w:val="auto"/>
              </w:rPr>
              <w:t>Twelve Months Ended December 31,</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2017 (G)</w:t>
            </w:r>
          </w:p>
        </w:tc>
        <w:tc>
          <w:tcPr>
            <w:tcW w:w="200" w:type="dxa"/>
            <w:vAlign w:val="bottom"/>
          </w:tcPr>
          <w:p>
            <w:pPr>
              <w:spacing w:after="0"/>
              <w:rPr>
                <w:sz w:val="20"/>
                <w:szCs w:val="20"/>
                <w:color w:val="auto"/>
              </w:rPr>
            </w:pPr>
          </w:p>
        </w:tc>
        <w:tc>
          <w:tcPr>
            <w:tcW w:w="1260" w:type="dxa"/>
            <w:vAlign w:val="bottom"/>
          </w:tcPr>
          <w:p>
            <w:pPr>
              <w:jc w:val="right"/>
              <w:ind w:right="211"/>
              <w:spacing w:after="0"/>
              <w:rPr>
                <w:sz w:val="20"/>
                <w:szCs w:val="20"/>
                <w:color w:val="auto"/>
              </w:rPr>
            </w:pPr>
            <w:r>
              <w:rPr>
                <w:rFonts w:ascii="Arial" w:cs="Arial" w:eastAsia="Arial" w:hAnsi="Arial"/>
                <w:sz w:val="16"/>
                <w:szCs w:val="16"/>
                <w:b w:val="1"/>
                <w:bCs w:val="1"/>
                <w:color w:val="auto"/>
                <w:w w:val="96"/>
              </w:rPr>
              <w:t>2017 vs 2016</w:t>
            </w:r>
          </w:p>
        </w:tc>
      </w:tr>
      <w:tr>
        <w:trPr>
          <w:trHeight w:val="33"/>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491"/>
              <w:spacing w:after="0"/>
              <w:rPr>
                <w:sz w:val="20"/>
                <w:szCs w:val="20"/>
                <w:color w:val="auto"/>
              </w:rPr>
            </w:pPr>
            <w:r>
              <w:rPr>
                <w:rFonts w:ascii="Arial" w:cs="Arial" w:eastAsia="Arial" w:hAnsi="Arial"/>
                <w:sz w:val="16"/>
                <w:szCs w:val="16"/>
                <w:color w:val="auto"/>
              </w:rPr>
              <w:t>+ /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Adjusted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Facilities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color w:val="auto"/>
              </w:rPr>
              <w:t>Supply and Logistics</w:t>
            </w:r>
          </w:p>
        </w:tc>
        <w:tc>
          <w:tcPr>
            <w:tcW w:w="34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income/(expense),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r>
      <w:tr>
        <w:trPr>
          <w:trHeight w:val="304"/>
        </w:trPr>
        <w:tc>
          <w:tcPr>
            <w:tcW w:w="5200" w:type="dxa"/>
            <w:vAlign w:val="bottom"/>
            <w:tcBorders>
              <w:bottom w:val="single" w:sz="8" w:color="CCEEFF"/>
            </w:tcBorders>
          </w:tcPr>
          <w:p>
            <w:pPr>
              <w:ind w:left="20"/>
              <w:spacing w:after="0" w:line="264" w:lineRule="exact"/>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25"/>
                <w:szCs w:val="25"/>
                <w:b w:val="1"/>
                <w:bCs w:val="1"/>
                <w:color w:val="auto"/>
                <w:vertAlign w:val="superscript"/>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2,213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2,169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2,260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4 %</w:t>
            </w:r>
          </w:p>
        </w:tc>
      </w:tr>
      <w:tr>
        <w:trPr>
          <w:trHeight w:val="251"/>
        </w:trPr>
        <w:tc>
          <w:tcPr>
            <w:tcW w:w="520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3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20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 xml:space="preserve">Implied DCF </w:t>
            </w:r>
            <w:r>
              <w:rPr>
                <w:rFonts w:ascii="Arial" w:cs="Arial" w:eastAsia="Arial" w:hAnsi="Arial"/>
                <w:sz w:val="25"/>
                <w:szCs w:val="25"/>
                <w:b w:val="1"/>
                <w:bCs w:val="1"/>
                <w:color w:val="auto"/>
                <w:vertAlign w:val="superscript"/>
              </w:rPr>
              <w:t>(1)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1,414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b w:val="1"/>
                <w:bCs w:val="1"/>
                <w:color w:val="auto"/>
              </w:rPr>
              <w:t>1,540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9 %</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5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b w:val="1"/>
                <w:bCs w:val="1"/>
                <w:color w:val="auto"/>
              </w:rPr>
              <w:t>Transportation</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Average daily volumes (MBbls/d)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4,637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520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5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b w:val="1"/>
                <w:bCs w:val="1"/>
                <w:color w:val="auto"/>
              </w:rPr>
              <w:t>Facilities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Average capacity (MMBbls/Mo)</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520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0.43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5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200" w:type="dxa"/>
            <w:vAlign w:val="bottom"/>
          </w:tcPr>
          <w:p>
            <w:pPr>
              <w:ind w:left="200"/>
              <w:spacing w:after="0"/>
              <w:rPr>
                <w:sz w:val="20"/>
                <w:szCs w:val="20"/>
                <w:color w:val="auto"/>
              </w:rPr>
            </w:pPr>
            <w:r>
              <w:rPr>
                <w:rFonts w:ascii="Arial" w:cs="Arial" w:eastAsia="Arial" w:hAnsi="Arial"/>
                <w:sz w:val="18"/>
                <w:szCs w:val="18"/>
                <w:b w:val="1"/>
                <w:bCs w:val="1"/>
                <w:color w:val="auto"/>
              </w:rPr>
              <w:t>Supply and Logistics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Average daily volumes (MBbls/d)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200" w:type="dxa"/>
            <w:vAlign w:val="bottom"/>
          </w:tcPr>
          <w:p>
            <w:pPr>
              <w:ind w:left="360"/>
              <w:spacing w:after="0"/>
              <w:rPr>
                <w:sz w:val="20"/>
                <w:szCs w:val="20"/>
                <w:color w:val="auto"/>
              </w:rPr>
            </w:pPr>
            <w:r>
              <w:rPr>
                <w:rFonts w:ascii="Arial" w:cs="Arial" w:eastAsia="Arial" w:hAnsi="Arial"/>
                <w:sz w:val="18"/>
                <w:szCs w:val="18"/>
                <w:color w:val="auto"/>
              </w:rPr>
              <w:t>Segment Adjusted EBITDA per barrel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5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Expansion Capital</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2,170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b w:val="1"/>
                <w:bCs w:val="1"/>
                <w:color w:val="auto"/>
              </w:rPr>
              <w:t>1,405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b w:val="1"/>
                <w:bCs w:val="1"/>
                <w:color w:val="auto"/>
              </w:rPr>
              <w:t>900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b w:val="1"/>
                <w:bCs w:val="1"/>
                <w:color w:val="auto"/>
              </w:rPr>
              <w:t>(505)</w:t>
            </w: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5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w w:val="99"/>
              </w:rPr>
              <w:t>Second Quarter Adjusted EBITDA as Percentage of Full Year</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24955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(G) 2017 Guidance forecasts are intended to be + / - amounts.</w:t>
      </w:r>
    </w:p>
    <w:p>
      <w:pPr>
        <w:spacing w:after="0" w:line="158" w:lineRule="exact"/>
        <w:rPr>
          <w:sz w:val="20"/>
          <w:szCs w:val="20"/>
          <w:color w:val="auto"/>
        </w:rPr>
      </w:pPr>
    </w:p>
    <w:p>
      <w:pPr>
        <w:ind w:left="340" w:hanging="332"/>
        <w:spacing w:after="0" w:line="249" w:lineRule="auto"/>
        <w:tabs>
          <w:tab w:leader="none" w:pos="34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Financial Data Reconciliations table attached hereto for information regarding non-GAAP financial measures. For the historical 2015 and 2016 periods, please visit our website at www.plainsallamerican.com (in particular the section under “Financial Information” entitled “Non-GAAP Reconciliations” within the “Investor Relations” tab), for a reconciliation to the most directly comparable measures as reported in accordance with GAAP. We do not provide a reconciliation of non-GAAP financial measures to the equivalent GAAP financial measures on a forward-looking basis as it is impractical to forecast certain items that we have defined as “Selected Items Impacting Comparability” without unreasonable effort, due to the uncertainty and inherent difficulty of predicting the occurrence and financial impact of and the periods in which such items may be recognized. Thus, a reconciliation of non-GAAP financial measures to the equivalent GAAP financial measures could result in disclosure that could be imprecise or potentially misleading.</w:t>
      </w:r>
    </w:p>
    <w:p>
      <w:pPr>
        <w:ind w:left="340" w:hanging="332"/>
        <w:spacing w:after="0" w:line="231" w:lineRule="auto"/>
        <w:tabs>
          <w:tab w:leader="none" w:pos="34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Page 4</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included at the end of this release. Information regarding PAGP’s distributions is reflected below:</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Q1 2017</w:t>
            </w:r>
          </w:p>
        </w:tc>
        <w:tc>
          <w:tcPr>
            <w:tcW w:w="2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Q4 2016</w:t>
            </w:r>
          </w:p>
        </w:tc>
        <w:tc>
          <w:tcPr>
            <w:tcW w:w="220" w:type="dxa"/>
            <w:vAlign w:val="bottom"/>
          </w:tcPr>
          <w:p>
            <w:pPr>
              <w:spacing w:after="0"/>
              <w:rPr>
                <w:sz w:val="18"/>
                <w:szCs w:val="18"/>
                <w:color w:val="auto"/>
              </w:rPr>
            </w:pPr>
          </w:p>
        </w:tc>
        <w:tc>
          <w:tcPr>
            <w:tcW w:w="1040" w:type="dxa"/>
            <w:vAlign w:val="bottom"/>
          </w:tcPr>
          <w:p>
            <w:pPr>
              <w:jc w:val="right"/>
              <w:ind w:right="253"/>
              <w:spacing w:after="0"/>
              <w:rPr>
                <w:sz w:val="20"/>
                <w:szCs w:val="20"/>
                <w:color w:val="auto"/>
              </w:rPr>
            </w:pPr>
            <w:r>
              <w:rPr>
                <w:rFonts w:ascii="Arial" w:cs="Arial" w:eastAsia="Arial" w:hAnsi="Arial"/>
                <w:sz w:val="16"/>
                <w:szCs w:val="16"/>
                <w:b w:val="1"/>
                <w:bCs w:val="1"/>
                <w:color w:val="auto"/>
              </w:rPr>
              <w:t>Q1 2016</w:t>
            </w:r>
          </w:p>
        </w:tc>
      </w:tr>
      <w:tr>
        <w:trPr>
          <w:trHeight w:val="33"/>
        </w:trPr>
        <w:tc>
          <w:tcPr>
            <w:tcW w:w="7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6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Distribution per Class A share declared for the period </w:t>
            </w:r>
            <w:r>
              <w:rPr>
                <w:rFonts w:ascii="Arial" w:cs="Arial" w:eastAsia="Arial" w:hAnsi="Arial"/>
                <w:sz w:val="25"/>
                <w:szCs w:val="25"/>
                <w:b w:val="1"/>
                <w:bCs w:val="1"/>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0.55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0.62</w:t>
            </w:r>
          </w:p>
        </w:tc>
      </w:tr>
      <w:tr>
        <w:trPr>
          <w:trHeight w:val="257"/>
        </w:trPr>
        <w:tc>
          <w:tcPr>
            <w:tcW w:w="7600" w:type="dxa"/>
            <w:vAlign w:val="bottom"/>
          </w:tcPr>
          <w:p>
            <w:pPr>
              <w:ind w:left="40"/>
              <w:spacing w:after="0"/>
              <w:rPr>
                <w:sz w:val="20"/>
                <w:szCs w:val="20"/>
                <w:color w:val="auto"/>
              </w:rPr>
            </w:pPr>
            <w:r>
              <w:rPr>
                <w:rFonts w:ascii="Arial" w:cs="Arial" w:eastAsia="Arial" w:hAnsi="Arial"/>
                <w:sz w:val="18"/>
                <w:szCs w:val="18"/>
                <w:b w:val="1"/>
                <w:bCs w:val="1"/>
                <w:color w:val="auto"/>
              </w:rPr>
              <w:t>Q1 2017 distribution percentage change from prior periods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7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60" w:hanging="332"/>
        <w:spacing w:after="0" w:line="216"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per-share amounts presented.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and PAGP will hold a conference call at 11:00 a.m. ET on Tuesday, May 9, 2017 to discuss the following items:</w:t>
      </w:r>
    </w:p>
    <w:p>
      <w:pPr>
        <w:spacing w:after="0" w:line="225"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first-quarter 2017 performance;</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and operating guidance for 2017;</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Major expansion projects;</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 and PAGP’s outlook for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Webcast Instructions</w:t>
      </w:r>
    </w:p>
    <w:p>
      <w:pPr>
        <w:spacing w:after="0" w:line="225"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To access the internet webcast of the conference call, please go to www.plainsallamerican.com, under the Investor Relations section of the website (Navigate to: Investor Relations / either PAA or PAGP / News &amp; Events / Quarterly Earnings). Following the live webcast, an audio replay in MP3 format will be available on the website within two hours after the end of the call and will be accessible for a period of 365 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right="340" w:firstLine="648"/>
        <w:spacing w:after="0" w:line="302"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unconsolidated entities) and adjusted for certain selected items impacting comparability (“Adjusted EBITDA”) and implied distributable cash flow (“DCF”).</w:t>
      </w:r>
    </w:p>
    <w:p>
      <w:pPr>
        <w:spacing w:after="0" w:line="15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measurements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Page 5</w:t>
      </w: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counterparties for their deficiency obligation and such amounts are recognized as deferred revenue in “Accounts payable and accrued liabilities” on our Condensed Consolidated Financial Statements.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These types of variations are not separately identified in this release, but will be discussed, as applicable, in management’s discussion and analysis of operating results in our Quarterly Report on Form 10-Q.</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definition and calculation of certain non-GAAP financial measures may not be comparable to similarly-titled measures of other companies. Adjusted EBITDA, Implied DCF and other non-GAAP financial performance measures are reconciled to Net Income (the most directly comparable measure as reported in accordance with GAAP) for the historical periods presented in the tables attached to this release, and should be viewed in addition to, and not in lieu of, our Condensed Consolidated Financial Statements and notes thereto. In addition, we encourage you to visit our website at www.plainsallamerican.com (in particular the section under “Financial Information” entitled “Non-GAAP Reconciliations” within the Investor Relations tab), which presents a reconciliation of our commonly used non-GAAP and supplemental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declines in the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 the effects of competition; market distortions caused by producer over-commitments to new or recently constructed infrastructure projects, which impacts volumes, margins, returns and overall earnings; unanticipated changes in crude oil market structure, grade differentials and volatility (or lack thereof); environmental liabilities or events that are not covered by an indemnity, insurance or existing reserves; maintenance of our credit rating and ability to receive open credit from our suppliers and trade counterparties;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(including eco-terrorist attacks) or other event, including attacks on our electronic and computer systems; failure to implement or capitalize, or delays in implementing or capitalizing, on expansion projects, whether due to permitting delays, permitting withdrawals or other factors; 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 the successful integration and future performance of acquired assets or businesses and the risks associated with operating in lines of business that are distinct and separate from our historical operations; the currency exchange rate of the Canadian dollar; continued creditworthiness of, and performance by, our counterparties, including financial institutions and trading companies with which we do business; inability to recognize current revenue attributable to deficiency payments received from customers who fail to ship or move more than minimum contracted volumes until the related credits expire or are used; non-utilization of our assets and facilities; increased costs, or lack of availability, of insurance; weather interference with business operations or project construction, including the impact of extreme weather events or conditions; the availability of, and our ability to consummate, acquisition or combination opportunities; the effectiveness of our risk management activities; shortages or cost increases of supplies, materials or labor; the impact of current and future laws, rulings, governmental regulations, accounting standards and statements, and related interpretations; fluctuations in the debt and equity markets, including the price of our units at the time of vesting under our long-term incentive plans; risks related to the development and operation of our assets, including our ability to satisfy our contractual obligations to our customers; factors affecting demand for natural gas and natural gas storage services and rates; general economic, market 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Page 6</w:t>
      </w:r>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as discussed in the Partnerships’ filings with the Securities and Exchange Commission.</w:t>
      </w:r>
    </w:p>
    <w:p>
      <w:pPr>
        <w:spacing w:after="0" w:line="187"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Plains All American Pipeline, L.P. is a publicly traded master limited partnership that owns and operates midstream energy infrastructure and provides logistics services for crude oil, NGLs,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4.7 million barrels per day of crude oil and NGL in its Transportation segment. PAA is headquartered in Houston, Texas. More information is available at www.plainsallamerican.com.</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Plains GP Holdings is a publicly traded entity that owns an indirect, non-economic controlling general partner interest in PAA and an indirect limited partner interest in PAA, one of the largest energy infrastructure and logistics companies in North America. PAGP is headquartered in Houston, Texas. More information is available at www.plainsallamerican.com.</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Page 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57"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5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84"/>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Purchases and related costs</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expenses</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5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Total costs and expenses</w:t>
            </w:r>
          </w:p>
        </w:tc>
        <w:tc>
          <w:tcPr>
            <w:tcW w:w="2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INCOME</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8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earnings in unconsolidated entities</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5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Arial" w:cs="Arial" w:eastAsia="Arial" w:hAnsi="Arial"/>
                <w:sz w:val="18"/>
                <w:szCs w:val="18"/>
                <w:color w:val="auto"/>
              </w:rPr>
              <w:t>Current income tax expense</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25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7"/>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25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8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PAA</w:t>
            </w:r>
          </w:p>
        </w:tc>
        <w:tc>
          <w:tcPr>
            <w:tcW w:w="2560" w:type="dxa"/>
            <w:vAlign w:val="bottom"/>
            <w:shd w:val="clear" w:color="auto" w:fill="CCEEFF"/>
          </w:tcPr>
          <w:p>
            <w:pPr>
              <w:spacing w:after="0"/>
              <w:rPr>
                <w:sz w:val="22"/>
                <w:szCs w:val="22"/>
                <w:color w:val="auto"/>
              </w:rPr>
            </w:pPr>
          </w:p>
        </w:tc>
        <w:tc>
          <w:tcPr>
            <w:tcW w:w="2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UNIT:</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Net income allocated to common unitholders — Basic</w:t>
            </w:r>
          </w:p>
        </w:tc>
        <w:tc>
          <w:tcPr>
            <w:tcW w:w="2560" w:type="dxa"/>
            <w:vAlign w:val="bottom"/>
          </w:tcPr>
          <w:p>
            <w:pPr>
              <w:spacing w:after="0"/>
              <w:rPr>
                <w:sz w:val="21"/>
                <w:szCs w:val="21"/>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 weighted average common units outstanding</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304"/>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Basic net income per common unit</w:t>
            </w:r>
          </w:p>
        </w:tc>
        <w:tc>
          <w:tcPr>
            <w:tcW w:w="2560" w:type="dxa"/>
            <w:vAlign w:val="bottom"/>
          </w:tcPr>
          <w:p>
            <w:pPr>
              <w:spacing w:after="0"/>
              <w:rPr>
                <w:sz w:val="24"/>
                <w:szCs w:val="24"/>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1"/>
        </w:trPr>
        <w:tc>
          <w:tcPr>
            <w:tcW w:w="2820" w:type="dxa"/>
            <w:vAlign w:val="bottom"/>
            <w:tcBorders>
              <w:top w:val="single" w:sz="8" w:color="CCEEFF"/>
            </w:tcBorders>
            <w:shd w:val="clear" w:color="auto" w:fill="CCEEFF"/>
          </w:tcPr>
          <w:p>
            <w:pPr>
              <w:spacing w:after="0"/>
              <w:rPr>
                <w:sz w:val="23"/>
                <w:szCs w:val="23"/>
                <w:color w:val="auto"/>
              </w:rPr>
            </w:pPr>
          </w:p>
        </w:tc>
        <w:tc>
          <w:tcPr>
            <w:tcW w:w="1780" w:type="dxa"/>
            <w:vAlign w:val="bottom"/>
            <w:tcBorders>
              <w:top w:val="single" w:sz="8" w:color="CCEEFF"/>
            </w:tcBorders>
            <w:shd w:val="clear" w:color="auto" w:fill="CCEEFF"/>
          </w:tcPr>
          <w:p>
            <w:pPr>
              <w:spacing w:after="0"/>
              <w:rPr>
                <w:sz w:val="23"/>
                <w:szCs w:val="23"/>
                <w:color w:val="auto"/>
              </w:rPr>
            </w:pPr>
          </w:p>
        </w:tc>
        <w:tc>
          <w:tcPr>
            <w:tcW w:w="2560" w:type="dxa"/>
            <w:vAlign w:val="bottom"/>
            <w:tcBorders>
              <w:top w:val="single" w:sz="8" w:color="CCEEFF"/>
            </w:tcBorders>
            <w:shd w:val="clear" w:color="auto" w:fill="CCEEFF"/>
          </w:tcPr>
          <w:p>
            <w:pPr>
              <w:spacing w:after="0"/>
              <w:rPr>
                <w:sz w:val="23"/>
                <w:szCs w:val="23"/>
                <w:color w:val="auto"/>
              </w:rPr>
            </w:pPr>
          </w:p>
        </w:tc>
        <w:tc>
          <w:tcPr>
            <w:tcW w:w="186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600" w:type="dxa"/>
            <w:vAlign w:val="bottom"/>
            <w:gridSpan w:val="2"/>
          </w:tcPr>
          <w:p>
            <w:pPr>
              <w:ind w:left="200"/>
              <w:spacing w:after="0"/>
              <w:rPr>
                <w:sz w:val="20"/>
                <w:szCs w:val="20"/>
                <w:color w:val="auto"/>
              </w:rPr>
            </w:pPr>
            <w:r>
              <w:rPr>
                <w:rFonts w:ascii="Arial" w:cs="Arial" w:eastAsia="Arial" w:hAnsi="Arial"/>
                <w:sz w:val="18"/>
                <w:szCs w:val="18"/>
                <w:color w:val="auto"/>
                <w:w w:val="99"/>
              </w:rPr>
              <w:t>Net income allocated to common unitholders — Diluted</w:t>
            </w:r>
          </w:p>
        </w:tc>
        <w:tc>
          <w:tcPr>
            <w:tcW w:w="2560" w:type="dxa"/>
            <w:vAlign w:val="bottom"/>
          </w:tcPr>
          <w:p>
            <w:pPr>
              <w:spacing w:after="0"/>
              <w:rPr>
                <w:sz w:val="21"/>
                <w:szCs w:val="21"/>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Diluted weighted average common units outstanding</w:t>
            </w:r>
          </w:p>
        </w:tc>
        <w:tc>
          <w:tcPr>
            <w:tcW w:w="25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64"/>
        </w:trPr>
        <w:tc>
          <w:tcPr>
            <w:tcW w:w="4600" w:type="dxa"/>
            <w:vAlign w:val="bottom"/>
            <w:gridSpan w:val="2"/>
          </w:tcPr>
          <w:p>
            <w:pPr>
              <w:ind w:left="200"/>
              <w:spacing w:after="0"/>
              <w:rPr>
                <w:sz w:val="20"/>
                <w:szCs w:val="20"/>
                <w:color w:val="auto"/>
              </w:rPr>
            </w:pPr>
            <w:r>
              <w:rPr>
                <w:rFonts w:ascii="Arial" w:cs="Arial" w:eastAsia="Arial" w:hAnsi="Arial"/>
                <w:sz w:val="18"/>
                <w:szCs w:val="18"/>
                <w:color w:val="auto"/>
              </w:rPr>
              <w:t>Diluted net income per common unit</w:t>
            </w:r>
          </w:p>
        </w:tc>
        <w:tc>
          <w:tcPr>
            <w:tcW w:w="2560" w:type="dxa"/>
            <w:vAlign w:val="bottom"/>
          </w:tcPr>
          <w:p>
            <w:pPr>
              <w:spacing w:after="0"/>
              <w:rPr>
                <w:sz w:val="22"/>
                <w:szCs w:val="22"/>
                <w:color w:val="auto"/>
              </w:rPr>
            </w:pPr>
          </w:p>
        </w:tc>
        <w:tc>
          <w:tcPr>
            <w:tcW w:w="21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NON-GAAP ADJUSTED RESULTS</w:t>
            </w:r>
          </w:p>
        </w:tc>
        <w:tc>
          <w:tcPr>
            <w:tcW w:w="25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60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 except per unit data)</w:t>
            </w:r>
          </w:p>
        </w:tc>
        <w:tc>
          <w:tcPr>
            <w:tcW w:w="17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5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adjusted net income per common unit</w:t>
            </w:r>
          </w:p>
        </w:tc>
        <w:tc>
          <w:tcPr>
            <w:tcW w:w="25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8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2560" w:type="dxa"/>
            <w:vAlign w:val="bottom"/>
            <w:shd w:val="clear" w:color="auto" w:fill="CCEEFF"/>
          </w:tcPr>
          <w:p>
            <w:pPr>
              <w:spacing w:after="0"/>
              <w:rPr>
                <w:sz w:val="22"/>
                <w:szCs w:val="22"/>
                <w:color w:val="auto"/>
              </w:rPr>
            </w:pPr>
          </w:p>
        </w:tc>
        <w:tc>
          <w:tcPr>
            <w:tcW w:w="2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ind w:left="820"/>
              <w:spacing w:after="0"/>
              <w:rPr>
                <w:sz w:val="20"/>
                <w:szCs w:val="20"/>
                <w:color w:val="auto"/>
              </w:rPr>
            </w:pPr>
            <w:r>
              <w:rPr>
                <w:rFonts w:ascii="Arial" w:cs="Arial" w:eastAsia="Arial" w:hAnsi="Arial"/>
                <w:sz w:val="18"/>
                <w:szCs w:val="18"/>
                <w:color w:val="auto"/>
              </w:rPr>
              <w:t>- more -</w:t>
            </w:r>
          </w:p>
        </w:tc>
        <w:tc>
          <w:tcPr>
            <w:tcW w:w="1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28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3"/>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4600" w:type="dxa"/>
            <w:vAlign w:val="bottom"/>
            <w:gridSpan w:val="2"/>
          </w:tcPr>
          <w:p>
            <w:pPr>
              <w:ind w:left="1800"/>
              <w:spacing w:after="0"/>
              <w:rPr>
                <w:sz w:val="20"/>
                <w:szCs w:val="20"/>
                <w:color w:val="auto"/>
              </w:rPr>
            </w:pPr>
            <w:r>
              <w:rPr>
                <w:rFonts w:ascii="Arial" w:cs="Arial" w:eastAsia="Arial" w:hAnsi="Arial"/>
                <w:sz w:val="18"/>
                <w:szCs w:val="18"/>
                <w:b w:val="1"/>
                <w:bCs w:val="1"/>
                <w:color w:val="auto"/>
              </w:rPr>
              <w:t>333 Clay Street, Suite 1600</w:t>
            </w:r>
          </w:p>
        </w:tc>
        <w:tc>
          <w:tcPr>
            <w:tcW w:w="2560" w:type="dxa"/>
            <w:vAlign w:val="bottom"/>
          </w:tcPr>
          <w:p>
            <w:pPr>
              <w:ind w:left="340"/>
              <w:spacing w:after="0"/>
              <w:rPr>
                <w:sz w:val="20"/>
                <w:szCs w:val="20"/>
                <w:color w:val="auto"/>
              </w:rPr>
            </w:pPr>
            <w:r>
              <w:rPr>
                <w:rFonts w:ascii="Arial" w:cs="Arial" w:eastAsia="Arial" w:hAnsi="Arial"/>
                <w:sz w:val="18"/>
                <w:szCs w:val="18"/>
                <w:b w:val="1"/>
                <w:bCs w:val="1"/>
                <w:color w:val="auto"/>
              </w:rPr>
              <w:t>Houston, Texas 77002</w:t>
            </w:r>
          </w:p>
        </w:tc>
        <w:tc>
          <w:tcPr>
            <w:tcW w:w="3020" w:type="dxa"/>
            <w:vAlign w:val="bottom"/>
            <w:gridSpan w:val="3"/>
          </w:tcPr>
          <w:p>
            <w:pPr>
              <w:jc w:val="right"/>
              <w:ind w:right="211"/>
              <w:spacing w:after="0"/>
              <w:rPr>
                <w:sz w:val="20"/>
                <w:szCs w:val="20"/>
                <w:color w:val="auto"/>
              </w:rPr>
            </w:pPr>
            <w:r>
              <w:rPr>
                <w:rFonts w:ascii="Arial" w:cs="Arial" w:eastAsia="Arial" w:hAnsi="Arial"/>
                <w:sz w:val="18"/>
                <w:szCs w:val="18"/>
                <w:b w:val="1"/>
                <w:bCs w:val="1"/>
                <w:color w:val="auto"/>
              </w:rPr>
              <w:t>713-646-4100 / 866-809-1291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292"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Page 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00" w:type="dxa"/>
            <w:vAlign w:val="bottom"/>
          </w:tcPr>
          <w:p>
            <w:pPr>
              <w:jc w:val="right"/>
              <w:ind w:right="111"/>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4,272</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2,344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Linefill and base gas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896</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inventory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assets,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24,210</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1"/>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PARTNERS' CAPITAL</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4,664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 of unamortized discounts and 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and deferred credits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w:t>
            </w:r>
          </w:p>
        </w:tc>
      </w:tr>
      <w:tr>
        <w:trPr>
          <w:trHeight w:val="237"/>
        </w:trPr>
        <w:tc>
          <w:tcPr>
            <w:tcW w:w="85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14,679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15,394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Partners' capital excluding noncontrolling interests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10,534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8,759</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37"/>
        </w:trPr>
        <w:tc>
          <w:tcPr>
            <w:tcW w:w="8580" w:type="dxa"/>
            <w:vAlign w:val="bottom"/>
          </w:tcPr>
          <w:p>
            <w:pPr>
              <w:ind w:left="200"/>
              <w:spacing w:after="0"/>
              <w:rPr>
                <w:sz w:val="20"/>
                <w:szCs w:val="20"/>
                <w:color w:val="auto"/>
              </w:rPr>
            </w:pPr>
            <w:r>
              <w:rPr>
                <w:rFonts w:ascii="Arial" w:cs="Arial" w:eastAsia="Arial" w:hAnsi="Arial"/>
                <w:sz w:val="18"/>
                <w:szCs w:val="18"/>
                <w:color w:val="auto"/>
              </w:rPr>
              <w:t>Total partners' capital</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8,816</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25,269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24,210</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CAPITALIZATION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72"/>
              <w:spacing w:after="0"/>
              <w:rPr>
                <w:sz w:val="20"/>
                <w:szCs w:val="20"/>
                <w:color w:val="auto"/>
              </w:rPr>
            </w:pPr>
            <w:r>
              <w:rPr>
                <w:rFonts w:ascii="Arial" w:cs="Arial" w:eastAsia="Arial" w:hAnsi="Arial"/>
                <w:sz w:val="16"/>
                <w:szCs w:val="16"/>
                <w:b w:val="1"/>
                <w:bCs w:val="1"/>
                <w:color w:val="auto"/>
              </w:rPr>
              <w:t>2016</w:t>
            </w:r>
          </w:p>
        </w:tc>
      </w:tr>
      <w:tr>
        <w:trPr>
          <w:trHeight w:val="33"/>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4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debt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1,715</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9,879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10,124</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11,220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11,839</w:t>
            </w:r>
          </w:p>
        </w:tc>
      </w:tr>
      <w:tr>
        <w:trPr>
          <w:trHeight w:val="20"/>
        </w:trPr>
        <w:tc>
          <w:tcPr>
            <w:tcW w:w="8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71"/>
        </w:trPr>
        <w:tc>
          <w:tcPr>
            <w:tcW w:w="8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9,879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10,124</w:t>
            </w: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24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10,590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8,816</w:t>
            </w:r>
          </w:p>
        </w:tc>
      </w:tr>
      <w:tr>
        <w:trPr>
          <w:trHeight w:val="27"/>
        </w:trPr>
        <w:tc>
          <w:tcPr>
            <w:tcW w:w="8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book capitalization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20,469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18,940</w:t>
            </w:r>
          </w:p>
        </w:tc>
      </w:tr>
      <w:tr>
        <w:trPr>
          <w:trHeight w:val="20"/>
        </w:trPr>
        <w:tc>
          <w:tcPr>
            <w:tcW w:w="8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91"/>
        </w:trPr>
        <w:tc>
          <w:tcPr>
            <w:tcW w:w="8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book capitalization, including short-term debt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21,810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20,655</w:t>
            </w:r>
          </w:p>
        </w:tc>
      </w:tr>
      <w:tr>
        <w:trPr>
          <w:trHeight w:val="271"/>
        </w:trPr>
        <w:tc>
          <w:tcPr>
            <w:tcW w:w="84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8420" w:type="dxa"/>
            <w:vAlign w:val="bottom"/>
          </w:tcPr>
          <w:p>
            <w:pPr>
              <w:ind w:left="40"/>
              <w:spacing w:after="0"/>
              <w:rPr>
                <w:sz w:val="20"/>
                <w:szCs w:val="20"/>
                <w:color w:val="auto"/>
              </w:rPr>
            </w:pPr>
            <w:r>
              <w:rPr>
                <w:rFonts w:ascii="Arial" w:cs="Arial" w:eastAsia="Arial" w:hAnsi="Arial"/>
                <w:sz w:val="18"/>
                <w:szCs w:val="18"/>
                <w:color w:val="auto"/>
              </w:rPr>
              <w:t>Long-term debt-to-total book capitalization</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8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debt-to-total book capitalization, including short-term debt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8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jc w:val="both"/>
        <w:ind w:left="340" w:right="240" w:hanging="332"/>
        <w:spacing w:after="0" w:line="226"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As of March 31, 2017 and December 31, 2016, short-term debt includes borrowings of approximately $1,307 million and $1,303 million, respectively, for short-term hedged inventory purchases and borrowings of approximately $95 million and $410 million, respectively, for cash margin deposits with our clearing brokers, which are associated with financial derivatives used for hedging purposes.</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Page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DATA</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line="95"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Transportation segment (average daily volumes in thousands of barrels per day):</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Tariff activities volumes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 (by region):</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902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(2)</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2,045</w:t>
            </w:r>
          </w:p>
        </w:tc>
      </w:tr>
      <w:tr>
        <w:trPr>
          <w:trHeight w:val="270"/>
        </w:trPr>
        <w:tc>
          <w:tcPr>
            <w:tcW w:w="90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r>
      <w:tr>
        <w:trPr>
          <w:trHeight w:val="243"/>
        </w:trPr>
        <w:tc>
          <w:tcPr>
            <w:tcW w:w="9020" w:type="dxa"/>
            <w:vAlign w:val="bottom"/>
          </w:tcPr>
          <w:p>
            <w:pPr>
              <w:ind w:left="360"/>
              <w:spacing w:after="0"/>
              <w:rPr>
                <w:sz w:val="20"/>
                <w:szCs w:val="20"/>
                <w:color w:val="auto"/>
              </w:rPr>
            </w:pPr>
            <w:r>
              <w:rPr>
                <w:rFonts w:ascii="Arial" w:cs="Arial" w:eastAsia="Arial" w:hAnsi="Arial"/>
                <w:sz w:val="18"/>
                <w:szCs w:val="18"/>
                <w:color w:val="auto"/>
              </w:rPr>
              <w:t>Western</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0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Rocky Mountain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r>
      <w:tr>
        <w:trPr>
          <w:trHeight w:val="243"/>
        </w:trPr>
        <w:tc>
          <w:tcPr>
            <w:tcW w:w="9020" w:type="dxa"/>
            <w:vAlign w:val="bottom"/>
          </w:tcPr>
          <w:p>
            <w:pPr>
              <w:ind w:left="360"/>
              <w:spacing w:after="0"/>
              <w:rPr>
                <w:sz w:val="20"/>
                <w:szCs w:val="20"/>
                <w:color w:val="auto"/>
              </w:rPr>
            </w:pPr>
            <w:r>
              <w:rPr>
                <w:rFonts w:ascii="Arial" w:cs="Arial" w:eastAsia="Arial" w:hAnsi="Arial"/>
                <w:sz w:val="18"/>
                <w:szCs w:val="18"/>
                <w:color w:val="auto"/>
              </w:rPr>
              <w:t>Gulf Coast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581</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02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Central </w:t>
            </w:r>
            <w:r>
              <w:rPr>
                <w:rFonts w:ascii="Arial" w:cs="Arial" w:eastAsia="Arial" w:hAnsi="Arial"/>
                <w:sz w:val="25"/>
                <w:szCs w:val="25"/>
                <w:color w:val="auto"/>
                <w:vertAlign w:val="superscript"/>
              </w:rPr>
              <w:t>(2)</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43"/>
        </w:trPr>
        <w:tc>
          <w:tcPr>
            <w:tcW w:w="9020" w:type="dxa"/>
            <w:vAlign w:val="bottom"/>
          </w:tcPr>
          <w:p>
            <w:pPr>
              <w:ind w:left="360"/>
              <w:spacing w:after="0"/>
              <w:rPr>
                <w:sz w:val="20"/>
                <w:szCs w:val="20"/>
                <w:color w:val="auto"/>
              </w:rPr>
            </w:pPr>
            <w:r>
              <w:rPr>
                <w:rFonts w:ascii="Arial" w:cs="Arial" w:eastAsia="Arial" w:hAnsi="Arial"/>
                <w:sz w:val="18"/>
                <w:szCs w:val="18"/>
                <w:color w:val="auto"/>
              </w:rPr>
              <w:t>Canada</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394</w:t>
            </w:r>
          </w:p>
        </w:tc>
      </w:tr>
      <w:tr>
        <w:trPr>
          <w:trHeight w:val="27"/>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4,324</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NGL pipelines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Tariff activities total volumes</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4,502</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Trucking volumes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Transportation segment total volumes</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4,608</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1"/>
        </w:trPr>
        <w:tc>
          <w:tcPr>
            <w:tcW w:w="9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Facilities segment (average monthly volumes):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04"/>
        </w:trPr>
        <w:tc>
          <w:tcPr>
            <w:tcW w:w="9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Crude oil, refined products and NGL terminalling and storage (average monthly capacity in millions of barrels)</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w:t>
            </w:r>
          </w:p>
        </w:tc>
      </w:tr>
      <w:tr>
        <w:trPr>
          <w:trHeight w:val="251"/>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Rail load / unload volumes (average volumes in thousands of barrels per day)</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1"/>
        </w:trPr>
        <w:tc>
          <w:tcPr>
            <w:tcW w:w="9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Natural gas storage (average monthly working capacity in billions of cubic feet)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w:t>
            </w:r>
          </w:p>
        </w:tc>
      </w:tr>
      <w:tr>
        <w:trPr>
          <w:trHeight w:val="251"/>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NGL fractionation (average volumes in thousands of barrels per day)</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97"/>
        </w:trPr>
        <w:tc>
          <w:tcPr>
            <w:tcW w:w="9020" w:type="dxa"/>
            <w:vAlign w:val="bottom"/>
            <w:tcBorders>
              <w:bottom w:val="single" w:sz="8" w:color="CCEEFF"/>
            </w:tcBorders>
          </w:tcPr>
          <w:p>
            <w:pPr>
              <w:ind w:left="200"/>
              <w:spacing w:after="0" w:line="257" w:lineRule="exact"/>
              <w:rPr>
                <w:sz w:val="20"/>
                <w:szCs w:val="20"/>
                <w:color w:val="auto"/>
              </w:rPr>
            </w:pPr>
            <w:r>
              <w:rPr>
                <w:rFonts w:ascii="Arial" w:cs="Arial" w:eastAsia="Arial" w:hAnsi="Arial"/>
                <w:sz w:val="18"/>
                <w:szCs w:val="18"/>
                <w:color w:val="auto"/>
              </w:rPr>
              <w:t xml:space="preserve">Facilities segment total volumes (average monthly volumes in millions of barrels) </w:t>
            </w:r>
            <w:r>
              <w:rPr>
                <w:rFonts w:ascii="Arial" w:cs="Arial" w:eastAsia="Arial" w:hAnsi="Arial"/>
                <w:sz w:val="25"/>
                <w:szCs w:val="25"/>
                <w:color w:val="auto"/>
                <w:vertAlign w:val="superscript"/>
              </w:rPr>
              <w:t>(3)</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r>
      <w:tr>
        <w:trPr>
          <w:trHeight w:val="264"/>
        </w:trPr>
        <w:tc>
          <w:tcPr>
            <w:tcW w:w="90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Supply and Logistics segment (average daily volumes in thousands of barrels per day):</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lease gathering purchases</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NGL sales</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Waterborne cargos</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57"/>
        </w:trPr>
        <w:tc>
          <w:tcPr>
            <w:tcW w:w="9020" w:type="dxa"/>
            <w:vAlign w:val="bottom"/>
          </w:tcPr>
          <w:p>
            <w:pPr>
              <w:ind w:left="360"/>
              <w:spacing w:after="0"/>
              <w:rPr>
                <w:sz w:val="20"/>
                <w:szCs w:val="20"/>
                <w:color w:val="auto"/>
              </w:rPr>
            </w:pPr>
            <w:r>
              <w:rPr>
                <w:rFonts w:ascii="Arial" w:cs="Arial" w:eastAsia="Arial" w:hAnsi="Arial"/>
                <w:sz w:val="18"/>
                <w:szCs w:val="18"/>
                <w:color w:val="auto"/>
              </w:rPr>
              <w:t>Supply and Logistics segment total volumes</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1,228</w:t>
            </w:r>
          </w:p>
        </w:tc>
      </w:tr>
      <w:tr>
        <w:trPr>
          <w:trHeight w:val="20"/>
        </w:trPr>
        <w:tc>
          <w:tcPr>
            <w:tcW w:w="9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4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Average volumes are calculated as total volumes for the period (attributable to our interest) divided by the number of days or months in the period.</w:t>
      </w:r>
    </w:p>
    <w:p>
      <w:pPr>
        <w:spacing w:after="0" w:line="55"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Region includes volumes (attributable to our interest) from pipelines owned by unconsolidated entities.</w:t>
      </w:r>
    </w:p>
    <w:p>
      <w:pPr>
        <w:spacing w:after="0" w:line="56" w:lineRule="exact"/>
        <w:rPr>
          <w:rFonts w:ascii="Arial" w:cs="Arial" w:eastAsia="Arial" w:hAnsi="Arial"/>
          <w:sz w:val="24"/>
          <w:szCs w:val="24"/>
          <w:color w:val="auto"/>
          <w:vertAlign w:val="superscript"/>
        </w:rPr>
      </w:pPr>
    </w:p>
    <w:p>
      <w:pPr>
        <w:ind w:left="340" w:right="160" w:hanging="332"/>
        <w:spacing w:after="0" w:line="262"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Facilities segment total volumes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 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12" w:lineRule="exact"/>
        <w:rPr>
          <w:rFonts w:ascii="Arial" w:cs="Arial" w:eastAsia="Arial" w:hAnsi="Arial"/>
          <w:sz w:val="22"/>
          <w:szCs w:val="22"/>
          <w:color w:val="auto"/>
          <w:vertAlign w:val="superscript"/>
        </w:rPr>
      </w:pPr>
    </w:p>
    <w:p>
      <w:pPr>
        <w:ind w:left="5520" w:hanging="96"/>
        <w:spacing w:after="0"/>
        <w:tabs>
          <w:tab w:leader="none" w:pos="5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Page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Common Unit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97"/>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allocated to common unitholders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r>
      <w:tr>
        <w:trPr>
          <w:trHeight w:val="271"/>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9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30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net income per common unit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r>
      <w:tr>
        <w:trPr>
          <w:trHeight w:val="271"/>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Diluted Net Income per Common Unit</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unitholders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9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Series A preferred units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0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LTIP units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9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hanging="332"/>
        <w:spacing w:after="0" w:line="273"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on these interests.</w:t>
      </w:r>
    </w:p>
    <w:p>
      <w:pPr>
        <w:spacing w:after="0" w:line="16" w:lineRule="exact"/>
        <w:rPr>
          <w:rFonts w:ascii="Arial" w:cs="Arial" w:eastAsia="Arial" w:hAnsi="Arial"/>
          <w:sz w:val="22"/>
          <w:szCs w:val="22"/>
          <w:color w:val="auto"/>
          <w:vertAlign w:val="superscript"/>
        </w:rPr>
      </w:pPr>
    </w:p>
    <w:p>
      <w:pPr>
        <w:ind w:left="340" w:right="240" w:hanging="332"/>
        <w:spacing w:after="0" w:line="216"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possible conversion of our Series A preferred units was excluded from the calculation of diluted net income per common unit for the three months ended March 31, 2016 as the effect was antidilutive.</w:t>
      </w:r>
    </w:p>
    <w:p>
      <w:pPr>
        <w:spacing w:after="0" w:line="41" w:lineRule="exact"/>
        <w:rPr>
          <w:rFonts w:ascii="Arial" w:cs="Arial" w:eastAsia="Arial" w:hAnsi="Arial"/>
          <w:sz w:val="25"/>
          <w:szCs w:val="25"/>
          <w:color w:val="auto"/>
          <w:vertAlign w:val="superscript"/>
        </w:rPr>
      </w:pPr>
    </w:p>
    <w:p>
      <w:pPr>
        <w:ind w:left="340" w:hanging="332"/>
        <w:spacing w:after="0" w:line="232"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229"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Page 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2017</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2016</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3"/>
              </w:rPr>
              <w:t>Facilities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Supply and</w:t>
            </w:r>
          </w:p>
        </w:tc>
        <w:tc>
          <w:tcPr>
            <w:tcW w:w="140" w:type="dxa"/>
            <w:vAlign w:val="bottom"/>
          </w:tcPr>
          <w:p>
            <w:pPr>
              <w:spacing w:after="0"/>
              <w:rPr>
                <w:sz w:val="13"/>
                <w:szCs w:val="13"/>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5"/>
              </w:rPr>
              <w:t>Transportation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rPr>
              <w:t>Supply and</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Logistics</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Logistics</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6,400</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(5,970)</w:t>
            </w:r>
          </w:p>
        </w:tc>
        <w:tc>
          <w:tcPr>
            <w:tcW w:w="14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5"/>
                <w:szCs w:val="25"/>
                <w:color w:val="auto"/>
                <w:vertAlign w:val="superscript"/>
              </w:rPr>
              <w:t>(2) (3)</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field operating costs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general and administrative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(3) (4)</w:t>
            </w: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8"/>
              </w:rPr>
              <w:t>Equity-indexed compensation expense -</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(5)</w:t>
            </w: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Depreciation and amortization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unconsolidated entities</w:t>
            </w:r>
          </w:p>
        </w:tc>
        <w:tc>
          <w:tcPr>
            <w:tcW w:w="1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(Gains)/losses from derivative activities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net of inventory valuation 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1"/>
              </w:rPr>
              <w:t>Long-term inventory costing adjustments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Deficiencies under minimum volume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commitments, net</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6"/>
              </w:rPr>
              <w:t>Equity-indexed compensation expense</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(gain)/loss on foreign currency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revaluation</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200" w:type="dxa"/>
            <w:vAlign w:val="bottom"/>
          </w:tcPr>
          <w:p>
            <w:pPr>
              <w:ind w:left="200"/>
              <w:spacing w:after="0"/>
              <w:rPr>
                <w:sz w:val="20"/>
                <w:szCs w:val="20"/>
                <w:color w:val="auto"/>
              </w:rPr>
            </w:pPr>
            <w:r>
              <w:rPr>
                <w:rFonts w:ascii="Arial" w:cs="Arial" w:eastAsia="Arial" w:hAnsi="Arial"/>
                <w:sz w:val="18"/>
                <w:szCs w:val="18"/>
                <w:color w:val="auto"/>
                <w:w w:val="94"/>
              </w:rPr>
              <w:t>Significant acquisition-related expenses</w:t>
            </w:r>
          </w:p>
        </w:tc>
        <w:tc>
          <w:tcPr>
            <w:tcW w:w="1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Maintenance capital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40" w:hanging="332"/>
        <w:spacing w:after="0" w:line="262"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During the fourth quarter of 2016, we modified our primary segment performance measure to segment adjusted EBITDA from segment profit. Segment adjusted EBITDA forms the basis of our internal financial reporting and is the primary measure used by our Chief Operating Decision Maker (“CODM”) in assessing performance and allocating resources among our operating segments. Prior period segment amounts have been recast to reflect this change.</w:t>
      </w:r>
    </w:p>
    <w:p>
      <w:pPr>
        <w:ind w:left="340" w:hanging="332"/>
        <w:spacing w:after="0" w:line="225"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Includes intersegment amounts.</w:t>
      </w:r>
    </w:p>
    <w:p>
      <w:pPr>
        <w:spacing w:after="0" w:line="56" w:lineRule="exact"/>
        <w:rPr>
          <w:rFonts w:ascii="Arial" w:cs="Arial" w:eastAsia="Arial" w:hAnsi="Arial"/>
          <w:sz w:val="25"/>
          <w:szCs w:val="25"/>
          <w:color w:val="auto"/>
          <w:vertAlign w:val="superscript"/>
        </w:rPr>
      </w:pPr>
    </w:p>
    <w:p>
      <w:pPr>
        <w:ind w:left="340" w:right="180" w:hanging="332"/>
        <w:spacing w:after="0" w:line="208"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41" w:lineRule="exact"/>
        <w:rPr>
          <w:rFonts w:ascii="Arial" w:cs="Arial" w:eastAsia="Arial" w:hAnsi="Arial"/>
          <w:sz w:val="25"/>
          <w:szCs w:val="25"/>
          <w:color w:val="auto"/>
          <w:vertAlign w:val="superscript"/>
        </w:rPr>
      </w:pPr>
    </w:p>
    <w:p>
      <w:pPr>
        <w:ind w:left="340" w:right="260" w:hanging="332"/>
        <w:spacing w:after="0" w:line="252"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7" w:lineRule="exact"/>
        <w:rPr>
          <w:rFonts w:ascii="Arial" w:cs="Arial" w:eastAsia="Arial" w:hAnsi="Arial"/>
          <w:sz w:val="22"/>
          <w:szCs w:val="22"/>
          <w:color w:val="auto"/>
          <w:vertAlign w:val="superscript"/>
        </w:rPr>
      </w:pPr>
    </w:p>
    <w:p>
      <w:pPr>
        <w:ind w:left="340" w:right="300" w:hanging="332"/>
        <w:spacing w:after="0" w:line="226" w:lineRule="auto"/>
        <w:tabs>
          <w:tab w:leader="none" w:pos="34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on the following page for additional discussion.</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Page 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11"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 xml:space="preserve">Selected Items Impacting Comparability: </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70"/>
        </w:trPr>
        <w:tc>
          <w:tcPr>
            <w:tcW w:w="9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Gains/(losses) from derivative activities net of inventory valuation adjustments </w:t>
            </w:r>
            <w:r>
              <w:rPr>
                <w:rFonts w:ascii="Arial" w:cs="Arial" w:eastAsia="Arial" w:hAnsi="Arial"/>
                <w:sz w:val="25"/>
                <w:szCs w:val="25"/>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9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9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gain on foreign currency revaluation </w:t>
            </w:r>
            <w:r>
              <w:rPr>
                <w:rFonts w:ascii="Arial" w:cs="Arial" w:eastAsia="Arial" w:hAnsi="Arial"/>
                <w:sz w:val="25"/>
                <w:szCs w:val="25"/>
                <w:color w:val="auto"/>
                <w:vertAlign w:val="superscript"/>
              </w:rPr>
              <w:t>(6)</w:t>
            </w:r>
          </w:p>
        </w:tc>
        <w:tc>
          <w:tcPr>
            <w:tcW w:w="2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5"/>
                <w:szCs w:val="25"/>
                <w:color w:val="auto"/>
                <w:vertAlign w:val="superscript"/>
              </w:rPr>
              <w:t>(7)</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9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Selected items impacting comparability - Adjusted EBITDA</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on selected items impacting comparability</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97"/>
        </w:trPr>
        <w:tc>
          <w:tcPr>
            <w:tcW w:w="9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Selected items impacting comparability - Adjusted net income attributable to PAA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71"/>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30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Impact to basic net income per common unit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r>
      <w:tr>
        <w:trPr>
          <w:trHeight w:val="251"/>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to diluted net income per common unit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8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6"/>
          <w:szCs w:val="16"/>
          <w:color w:val="auto"/>
        </w:rPr>
        <w:t>Certain of our non-GAAP financial measures may not be impacted by each of the selected items impacting comparability.</w:t>
      </w:r>
    </w:p>
    <w:p>
      <w:pPr>
        <w:spacing w:after="0" w:line="45" w:lineRule="exact"/>
        <w:rPr>
          <w:rFonts w:ascii="Arial" w:cs="Arial" w:eastAsia="Arial" w:hAnsi="Arial"/>
          <w:sz w:val="13"/>
          <w:szCs w:val="13"/>
          <w:color w:val="auto"/>
        </w:rPr>
      </w:pPr>
    </w:p>
    <w:p>
      <w:pPr>
        <w:ind w:left="340" w:right="380" w:hanging="332"/>
        <w:spacing w:after="0" w:line="296"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results.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w:t>
      </w:r>
    </w:p>
    <w:p>
      <w:pPr>
        <w:spacing w:after="0" w:line="1" w:lineRule="exact"/>
        <w:rPr>
          <w:rFonts w:ascii="Arial" w:cs="Arial" w:eastAsia="Arial" w:hAnsi="Arial"/>
          <w:sz w:val="11"/>
          <w:szCs w:val="11"/>
          <w:color w:val="auto"/>
        </w:rPr>
      </w:pPr>
    </w:p>
    <w:p>
      <w:pPr>
        <w:ind w:left="340" w:right="160" w:hanging="332"/>
        <w:spacing w:after="0" w:line="235"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6"/>
          <w:szCs w:val="16"/>
          <w:color w:val="auto"/>
        </w:rPr>
        <w:t>We carry crude oil and NGL inventory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1" w:lineRule="exact"/>
        <w:rPr>
          <w:rFonts w:ascii="Arial" w:cs="Arial" w:eastAsia="Arial" w:hAnsi="Arial"/>
          <w:sz w:val="13"/>
          <w:szCs w:val="13"/>
          <w:color w:val="auto"/>
        </w:rPr>
      </w:pPr>
    </w:p>
    <w:p>
      <w:pPr>
        <w:ind w:left="340" w:right="20" w:hanging="332"/>
        <w:spacing w:after="0" w:line="292" w:lineRule="auto"/>
        <w:tabs>
          <w:tab w:leader="none" w:pos="340" w:val="left"/>
        </w:tabs>
        <w:numPr>
          <w:ilvl w:val="0"/>
          <w:numId w:val="10"/>
        </w:numPr>
        <w:rPr>
          <w:rFonts w:ascii="Arial" w:cs="Arial" w:eastAsia="Arial" w:hAnsi="Arial"/>
          <w:sz w:val="11"/>
          <w:szCs w:val="11"/>
          <w:color w:val="auto"/>
        </w:rPr>
      </w:pPr>
      <w:r>
        <w:rPr>
          <w:rFonts w:ascii="Arial" w:cs="Arial" w:eastAsia="Arial" w:hAnsi="Arial"/>
          <w:sz w:val="13"/>
          <w:szCs w:val="13"/>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179" w:lineRule="exact"/>
        <w:rPr>
          <w:rFonts w:ascii="Arial" w:cs="Arial" w:eastAsia="Arial" w:hAnsi="Arial"/>
          <w:sz w:val="11"/>
          <w:szCs w:val="11"/>
          <w:color w:val="auto"/>
        </w:rPr>
      </w:pPr>
    </w:p>
    <w:p>
      <w:pPr>
        <w:ind w:left="340" w:right="40" w:hanging="332"/>
        <w:spacing w:after="0" w:line="253"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5"/>
          <w:szCs w:val="15"/>
          <w:color w:val="auto"/>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and the majority of the awards are expected to be settled in units. The portion of compensation expense associated with awards that are certain to be settled in cash is not considered a selected item impacting comparability.</w:t>
      </w:r>
    </w:p>
    <w:p>
      <w:pPr>
        <w:spacing w:after="0" w:line="22" w:lineRule="exact"/>
        <w:rPr>
          <w:rFonts w:ascii="Arial" w:cs="Arial" w:eastAsia="Arial" w:hAnsi="Arial"/>
          <w:sz w:val="12"/>
          <w:szCs w:val="12"/>
          <w:color w:val="auto"/>
        </w:rPr>
      </w:pPr>
    </w:p>
    <w:p>
      <w:pPr>
        <w:ind w:left="340" w:right="540" w:hanging="332"/>
        <w:spacing w:after="0" w:line="249"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6"/>
          <w:szCs w:val="16"/>
          <w:color w:val="auto"/>
        </w:rPr>
        <w:t>During the periods presented, there were fluctuations in the value of the Canadian dollar to the U.S. dollar, resulting in gains and losses that were not related to our core operating results for the period and were thus classified as a selected item impacting comparability.</w:t>
      </w:r>
    </w:p>
    <w:p>
      <w:pPr>
        <w:spacing w:after="0" w:line="23" w:lineRule="exact"/>
        <w:rPr>
          <w:rFonts w:ascii="Arial" w:cs="Arial" w:eastAsia="Arial" w:hAnsi="Arial"/>
          <w:sz w:val="13"/>
          <w:szCs w:val="13"/>
          <w:color w:val="auto"/>
        </w:rPr>
      </w:pP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6"/>
          <w:szCs w:val="16"/>
          <w:color w:val="auto"/>
        </w:rPr>
        <w:t>Includes acquisition-related expenses associated with the Alpha Crude Connector acquisition.</w:t>
      </w:r>
    </w:p>
    <w:p>
      <w:pPr>
        <w:spacing w:after="0" w:line="239" w:lineRule="exact"/>
        <w:rPr>
          <w:rFonts w:ascii="Arial" w:cs="Arial" w:eastAsia="Arial" w:hAnsi="Arial"/>
          <w:sz w:val="13"/>
          <w:szCs w:val="13"/>
          <w:color w:val="auto"/>
        </w:rPr>
      </w:pPr>
    </w:p>
    <w:p>
      <w:pPr>
        <w:ind w:left="5520" w:hanging="96"/>
        <w:spacing w:after="0"/>
        <w:tabs>
          <w:tab w:leader="none" w:pos="5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Page 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57"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to Adjusted EBITDA and Implied DCF Reconciliation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70"/>
        </w:trPr>
        <w:tc>
          <w:tcPr>
            <w:tcW w:w="90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Selected items impacting comparability - Adjusted EBITDA </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633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Maintenance capital</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9020" w:type="dxa"/>
            <w:vAlign w:val="bottom"/>
          </w:tcPr>
          <w:p>
            <w:pPr>
              <w:ind w:left="200"/>
              <w:spacing w:after="0" w:line="270" w:lineRule="exact"/>
              <w:rPr>
                <w:sz w:val="20"/>
                <w:szCs w:val="20"/>
                <w:color w:val="auto"/>
              </w:rPr>
            </w:pPr>
            <w:r>
              <w:rPr>
                <w:rFonts w:ascii="Arial" w:cs="Arial" w:eastAsia="Arial" w:hAnsi="Arial"/>
                <w:sz w:val="18"/>
                <w:szCs w:val="18"/>
                <w:color w:val="auto"/>
              </w:rPr>
              <w:t xml:space="preserve">Adjusted equity earnings in unconsolidated entities, net of distributions </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5"/>
                <w:szCs w:val="25"/>
                <w:color w:val="auto"/>
                <w:vertAlign w:val="superscript"/>
              </w:rPr>
              <w:t>(5)</w:t>
            </w:r>
          </w:p>
        </w:tc>
        <w:tc>
          <w:tcPr>
            <w:tcW w:w="2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902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Implied DCF </w:t>
            </w:r>
            <w:r>
              <w:rPr>
                <w:rFonts w:ascii="Arial" w:cs="Arial" w:eastAsia="Arial" w:hAnsi="Arial"/>
                <w:sz w:val="25"/>
                <w:szCs w:val="25"/>
                <w:color w:val="auto"/>
                <w:vertAlign w:val="superscript"/>
              </w:rPr>
              <w:t>(6)</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Adjustment to add back our proportionate share of depreciation and amortization expense of unconsolidated entities.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Certain of our non-GAAP financial measures may not be impacted by each of the selected items impacting comparability.</w:t>
      </w:r>
    </w:p>
    <w:p>
      <w:pPr>
        <w:spacing w:after="0" w:line="56"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Excludes certain non-cash items impacting interest expense such as amortization of debt issuance costs and terminated interest rate swaps.</w:t>
      </w:r>
    </w:p>
    <w:p>
      <w:pPr>
        <w:spacing w:after="0" w:line="56" w:lineRule="exact"/>
        <w:rPr>
          <w:rFonts w:ascii="Arial" w:cs="Arial" w:eastAsia="Arial" w:hAnsi="Arial"/>
          <w:sz w:val="24"/>
          <w:szCs w:val="24"/>
          <w:color w:val="auto"/>
          <w:vertAlign w:val="superscript"/>
        </w:rPr>
      </w:pPr>
    </w:p>
    <w:p>
      <w:pPr>
        <w:ind w:left="340" w:right="760" w:hanging="332"/>
        <w:spacing w:after="0" w:line="208"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non-cash equity earnings in unconsolidated entities (adjusted for our proportionate share of depreciation and amortization) and cash distributions received from such entities.</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Page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ADJUSTED NET INCOME PER COMMON UNIT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5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2016</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Adjusted Net Income per Common Unit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income attributable to PAA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Selected items impacting comparability - Adjusted net income attributable to PAA </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355</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Distributions to general partner</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97"/>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net income allocated to common unitholders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r>
      <w:tr>
        <w:trPr>
          <w:trHeight w:val="217"/>
        </w:trPr>
        <w:tc>
          <w:tcPr>
            <w:tcW w:w="9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9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30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adjusted net income per common unit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0.45</w:t>
            </w:r>
          </w:p>
        </w:tc>
      </w:tr>
      <w:tr>
        <w:trPr>
          <w:trHeight w:val="271"/>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Diluted Adjusted Net Income per Common Unit</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PAA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70"/>
        </w:trPr>
        <w:tc>
          <w:tcPr>
            <w:tcW w:w="90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Selected items impacting comparability - Adjusted net income attributable to PAA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PAA</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Distributions to Series A preferred units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allocated to common unitholders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70"/>
        </w:trPr>
        <w:tc>
          <w:tcPr>
            <w:tcW w:w="902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Effect of dilutive securities: LTIP units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2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0"/>
        </w:trPr>
        <w:tc>
          <w:tcPr>
            <w:tcW w:w="902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Diluted adjusted net income per common unit </w:t>
            </w:r>
            <w:r>
              <w:rPr>
                <w:rFonts w:ascii="Arial" w:cs="Arial" w:eastAsia="Arial" w:hAnsi="Arial"/>
                <w:sz w:val="25"/>
                <w:szCs w:val="25"/>
                <w:color w:val="auto"/>
                <w:vertAlign w:val="superscript"/>
              </w:rPr>
              <w:t>(4)</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80" w:hanging="332"/>
        <w:spacing w:after="0" w:line="239"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(“undistributed loss”), if any, are allocated to the general partner, common unitholders and participating securities in accordance with the contractual terms of our partnership agreement in effect for the period and as further prescribed under the two-class method. The Simplification Transactions, which closed on November 15, 2016, simplified our governance structure and permanently eliminated our IDRs and the economic rights associated with our 2% general partner interest. As such, beginning with the distribution pertaining to the fourth quarter of 2016, our general partner is no longer entitled to receive distributions from these interests.</w:t>
      </w:r>
    </w:p>
    <w:p>
      <w:pPr>
        <w:spacing w:after="0" w:line="3"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Certain of our non-GAAP financial measures may not be impacted by each of the selected items impacting comparability.</w:t>
      </w:r>
    </w:p>
    <w:p>
      <w:pPr>
        <w:spacing w:after="0" w:line="56" w:lineRule="exact"/>
        <w:rPr>
          <w:rFonts w:ascii="Arial" w:cs="Arial" w:eastAsia="Arial" w:hAnsi="Arial"/>
          <w:sz w:val="25"/>
          <w:szCs w:val="25"/>
          <w:color w:val="auto"/>
          <w:vertAlign w:val="superscript"/>
        </w:rPr>
      </w:pPr>
    </w:p>
    <w:p>
      <w:pPr>
        <w:ind w:left="340" w:hanging="332"/>
        <w:spacing w:after="0" w:line="227"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43" w:lineRule="exact"/>
        <w:rPr>
          <w:rFonts w:ascii="Arial" w:cs="Arial" w:eastAsia="Arial" w:hAnsi="Arial"/>
          <w:sz w:val="25"/>
          <w:szCs w:val="25"/>
          <w:color w:val="auto"/>
          <w:vertAlign w:val="superscript"/>
        </w:rPr>
      </w:pPr>
    </w:p>
    <w:p>
      <w:pPr>
        <w:ind w:left="340" w:right="160" w:hanging="332"/>
        <w:spacing w:after="0" w:line="216"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possible conversion of our Series A preferred units was excluded from the calculation of diluted adjusted net income per common unit for the three months ended March 31, 2017 and 2016 as the effect was antidilutive.</w:t>
      </w:r>
    </w:p>
    <w:p>
      <w:pPr>
        <w:spacing w:after="0" w:line="230"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Page 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3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PAA</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PAA</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PAGP</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Purchases and related costs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5,593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3,348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Field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6,078</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INCOME/(EXPENSE)</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Equity earnings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income tax expense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benefit/(expense)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3200" w:type="dxa"/>
            <w:vAlign w:val="bottom"/>
          </w:tcPr>
          <w:p>
            <w:pPr>
              <w:ind w:left="200"/>
              <w:spacing w:after="0"/>
              <w:rPr>
                <w:sz w:val="20"/>
                <w:szCs w:val="20"/>
                <w:color w:val="auto"/>
              </w:rPr>
            </w:pPr>
            <w:r>
              <w:rPr>
                <w:rFonts w:ascii="Arial" w:cs="Arial" w:eastAsia="Arial" w:hAnsi="Arial"/>
                <w:sz w:val="18"/>
                <w:szCs w:val="18"/>
                <w:color w:val="auto"/>
              </w:rPr>
              <w:t>Net income attributable to</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444</w:t>
            </w:r>
          </w:p>
        </w:tc>
        <w:tc>
          <w:tcPr>
            <w:tcW w:w="120" w:type="dxa"/>
            <w:vAlign w:val="bottom"/>
            <w:vMerge w:val="restart"/>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PAGP</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4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500" w:type="dxa"/>
            <w:vAlign w:val="bottom"/>
            <w:gridSpan w:val="4"/>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gridSpan w:val="7"/>
            <w:shd w:val="clear" w:color="auto" w:fill="CCEEFF"/>
          </w:tcPr>
          <w:p>
            <w:pPr>
              <w:ind w:left="4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90" w:lineRule="exact"/>
        <w:rPr>
          <w:sz w:val="20"/>
          <w:szCs w:val="20"/>
          <w:color w:val="auto"/>
        </w:rPr>
      </w:pPr>
    </w:p>
    <w:p>
      <w:pPr>
        <w:ind w:left="340" w:right="160" w:hanging="332"/>
        <w:spacing w:after="0" w:line="216"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per-share amounts presented.</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29" w:lineRule="exact"/>
        <w:rPr>
          <w:rFonts w:ascii="Arial" w:cs="Arial" w:eastAsia="Arial" w:hAnsi="Arial"/>
          <w:sz w:val="25"/>
          <w:szCs w:val="25"/>
          <w:color w:val="auto"/>
          <w:vertAlign w:val="superscript"/>
        </w:rPr>
      </w:pPr>
    </w:p>
    <w:p>
      <w:pPr>
        <w:ind w:left="5520" w:hanging="96"/>
        <w:spacing w:after="0"/>
        <w:tabs>
          <w:tab w:leader="none" w:pos="55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Page 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2017</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Consolidating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03"/>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 xml:space="preserve">Adjustments </w:t>
            </w:r>
            <w:r>
              <w:rPr>
                <w:rFonts w:ascii="Arial" w:cs="Arial" w:eastAsia="Arial" w:hAnsi="Arial"/>
                <w:sz w:val="21"/>
                <w:szCs w:val="21"/>
                <w:b w:val="1"/>
                <w:bCs w:val="1"/>
                <w:color w:val="auto"/>
                <w:w w:val="89"/>
                <w:vertAlign w:val="superscript"/>
              </w:rPr>
              <w:t>(1)</w:t>
            </w:r>
          </w:p>
        </w:tc>
        <w:tc>
          <w:tcPr>
            <w:tcW w:w="240" w:type="dxa"/>
            <w:vAlign w:val="bottom"/>
          </w:tcPr>
          <w:p>
            <w:pPr>
              <w:spacing w:after="0"/>
              <w:rPr>
                <w:sz w:val="24"/>
                <w:szCs w:val="24"/>
                <w:color w:val="auto"/>
              </w:rPr>
            </w:pP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PAGP</w:t>
            </w:r>
          </w:p>
        </w:tc>
        <w:tc>
          <w:tcPr>
            <w:tcW w:w="260" w:type="dxa"/>
            <w:vAlign w:val="bottom"/>
          </w:tcPr>
          <w:p>
            <w:pPr>
              <w:spacing w:after="0"/>
              <w:rPr>
                <w:sz w:val="24"/>
                <w:szCs w:val="24"/>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PAA</w:t>
            </w: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24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Arial" w:cs="Arial" w:eastAsia="Arial" w:hAnsi="Arial"/>
                <w:sz w:val="16"/>
                <w:szCs w:val="16"/>
                <w:b w:val="1"/>
                <w:bCs w:val="1"/>
                <w:color w:val="auto"/>
              </w:rPr>
              <w:t>PAGP</w:t>
            </w:r>
          </w:p>
        </w:tc>
      </w:tr>
      <w:tr>
        <w:trPr>
          <w:trHeight w:val="244"/>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4,214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4,275</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14,077</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13,890</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2,596</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2,344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2,469</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2,221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1,876</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Linefill and base gas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Long-term inventory</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193</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97"/>
        </w:trPr>
        <w:tc>
          <w:tcPr>
            <w:tcW w:w="3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25,269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27,508</w:t>
            </w:r>
          </w:p>
        </w:tc>
        <w:tc>
          <w:tcPr>
            <w:tcW w:w="120" w:type="dxa"/>
            <w:vAlign w:val="bottom"/>
            <w:tcBorders>
              <w:bottom w:val="single" w:sz="8" w:color="CCEEFF"/>
              <w:right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71"/>
        </w:trPr>
        <w:tc>
          <w:tcPr>
            <w:tcW w:w="3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5"/>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LIABILITIES AND PARTNERS'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CAPITAL</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2"/>
              </w:rPr>
              <w:t>Senior notes, net of unamortized discounts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and debt issuance costs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9,876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9,874</w:t>
            </w:r>
          </w:p>
        </w:tc>
      </w:tr>
      <w:tr>
        <w:trPr>
          <w:trHeight w:val="27"/>
        </w:trPr>
        <w:tc>
          <w:tcPr>
            <w:tcW w:w="3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Other long-term liabilities and deferred</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credits</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644</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606</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14,681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15,396</w:t>
            </w:r>
          </w:p>
        </w:tc>
      </w:tr>
      <w:tr>
        <w:trPr>
          <w:trHeight w:val="284"/>
        </w:trPr>
        <w:tc>
          <w:tcPr>
            <w:tcW w:w="3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Partners' capital excluding noncontrolling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2,604</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10,223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8,913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8,970</w:t>
            </w: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r>
      <w:tr>
        <w:trPr>
          <w:trHeight w:val="257"/>
        </w:trPr>
        <w:tc>
          <w:tcPr>
            <w:tcW w:w="320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25,269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27,508</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24,210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26,103</w:t>
            </w: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4955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3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ind w:left="1800"/>
        <w:spacing w:after="0"/>
        <w:tabs>
          <w:tab w:leader="none" w:pos="4920" w:val="left"/>
          <w:tab w:leader="none" w:pos="768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866-809-1291</w:t>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Page 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COMPUTATION OF BASIC AND DILUTED NET INCOME PER CLASS A SHARE</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share data)</w:t>
      </w:r>
    </w:p>
    <w:p>
      <w:pPr>
        <w:spacing w:after="0" w:line="15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90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33020</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Income per Class A Share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200"/>
              <w:spacing w:after="0"/>
              <w:rPr>
                <w:sz w:val="20"/>
                <w:szCs w:val="20"/>
                <w:color w:val="auto"/>
              </w:rPr>
            </w:pPr>
            <w:r>
              <w:rPr>
                <w:rFonts w:ascii="Arial" w:cs="Arial" w:eastAsia="Arial" w:hAnsi="Arial"/>
                <w:sz w:val="18"/>
                <w:szCs w:val="18"/>
                <w:color w:val="auto"/>
              </w:rPr>
              <w:t>Net income attributable to PAGP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weighted average Class A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84"/>
        </w:trPr>
        <w:tc>
          <w:tcPr>
            <w:tcW w:w="9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net income per Class A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9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Income per Class A Share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Net income attributable to PAGP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Incremental net income attributable to PAGP resulting from assumed exchange of AAP units and AAP Management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Units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9"/>
        </w:trPr>
        <w:tc>
          <w:tcPr>
            <w:tcW w:w="9020" w:type="dxa"/>
            <w:vAlign w:val="bottom"/>
          </w:tcPr>
          <w:p>
            <w:pPr>
              <w:ind w:left="180"/>
              <w:spacing w:after="0"/>
              <w:rPr>
                <w:sz w:val="20"/>
                <w:szCs w:val="20"/>
                <w:color w:val="auto"/>
              </w:rPr>
            </w:pPr>
            <w:r>
              <w:rPr>
                <w:rFonts w:ascii="Arial" w:cs="Arial" w:eastAsia="Arial" w:hAnsi="Arial"/>
                <w:sz w:val="18"/>
                <w:szCs w:val="18"/>
                <w:color w:val="auto"/>
                <w:w w:val="96"/>
              </w:rPr>
              <w:t>Net income attributable to PAGP including incremental net income from assumed exchange of AAP units and AAP</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7"/>
        </w:trPr>
        <w:tc>
          <w:tcPr>
            <w:tcW w:w="9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Management Units</w:t>
            </w:r>
          </w:p>
        </w:tc>
        <w:tc>
          <w:tcPr>
            <w:tcW w:w="28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90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Basic weighted average Class A shares outstanding</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shares resulting from assumed exchange of AAP units and AAP Management Units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9020" w:type="dxa"/>
            <w:vAlign w:val="bottom"/>
          </w:tcPr>
          <w:p>
            <w:pPr>
              <w:ind w:left="180"/>
              <w:spacing w:after="0"/>
              <w:rPr>
                <w:sz w:val="20"/>
                <w:szCs w:val="20"/>
                <w:color w:val="auto"/>
              </w:rPr>
            </w:pPr>
            <w:r>
              <w:rPr>
                <w:rFonts w:ascii="Arial" w:cs="Arial" w:eastAsia="Arial" w:hAnsi="Arial"/>
                <w:sz w:val="18"/>
                <w:szCs w:val="18"/>
                <w:color w:val="auto"/>
              </w:rPr>
              <w:t>Diluted weighted average Class A shares outstanding</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67"/>
        </w:trPr>
        <w:tc>
          <w:tcPr>
            <w:tcW w:w="90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9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Diluted net income per Class A share </w:t>
            </w:r>
            <w:r>
              <w:rPr>
                <w:rFonts w:ascii="Arial" w:cs="Arial" w:eastAsia="Arial" w:hAnsi="Arial"/>
                <w:sz w:val="25"/>
                <w:szCs w:val="25"/>
                <w:color w:val="auto"/>
                <w:vertAlign w:val="superscript"/>
              </w:rPr>
              <w:t>(2)</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160" w:hanging="332"/>
        <w:spacing w:after="0" w:line="216"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 reverse split of PAGP’s Class A shares was completed on November 15, 2016. The effect of the reverse split has been retroactively applied to all per-share amounts presented.</w:t>
      </w:r>
    </w:p>
    <w:p>
      <w:pPr>
        <w:spacing w:after="0" w:line="41" w:lineRule="exact"/>
        <w:rPr>
          <w:rFonts w:ascii="Arial" w:cs="Arial" w:eastAsia="Arial" w:hAnsi="Arial"/>
          <w:sz w:val="25"/>
          <w:szCs w:val="25"/>
          <w:color w:val="auto"/>
          <w:vertAlign w:val="superscript"/>
        </w:rPr>
      </w:pPr>
    </w:p>
    <w:p>
      <w:pPr>
        <w:ind w:left="340" w:right="120" w:hanging="332"/>
        <w:spacing w:after="0" w:line="216"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For the three months ended March 31, 2017, the possible exchange of any AAP units and certain AAP Management Units would not have had a dilutive effect on basic net income per Class A share.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gridSpan w:val="3"/>
          </w:tcPr>
          <w:p>
            <w:pPr>
              <w:spacing w:after="0"/>
              <w:rPr>
                <w:sz w:val="20"/>
                <w:szCs w:val="20"/>
                <w:color w:val="auto"/>
              </w:rPr>
            </w:pPr>
            <w:r>
              <w:rPr>
                <w:rFonts w:ascii="Arial" w:cs="Arial" w:eastAsia="Arial" w:hAnsi="Arial"/>
                <w:sz w:val="18"/>
                <w:szCs w:val="18"/>
                <w:color w:val="auto"/>
              </w:rPr>
              <w:t>Contacts:</w:t>
            </w:r>
          </w:p>
        </w:tc>
        <w:tc>
          <w:tcPr>
            <w:tcW w:w="284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53"/>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Roy Lamoreaux</w:t>
            </w:r>
          </w:p>
        </w:tc>
        <w:tc>
          <w:tcPr>
            <w:tcW w:w="2840" w:type="dxa"/>
            <w:vAlign w:val="bottom"/>
          </w:tcPr>
          <w:p>
            <w:pPr>
              <w:ind w:left="1360"/>
              <w:spacing w:after="0"/>
              <w:rPr>
                <w:sz w:val="20"/>
                <w:szCs w:val="20"/>
                <w:color w:val="auto"/>
              </w:rPr>
            </w:pPr>
            <w:r>
              <w:rPr>
                <w:rFonts w:ascii="Arial" w:cs="Arial" w:eastAsia="Arial" w:hAnsi="Arial"/>
                <w:sz w:val="18"/>
                <w:szCs w:val="18"/>
                <w:color w:val="auto"/>
              </w:rPr>
              <w:t>Brett Magill</w:t>
            </w:r>
          </w:p>
        </w:tc>
        <w:tc>
          <w:tcPr>
            <w:tcW w:w="4180" w:type="dxa"/>
            <w:vAlign w:val="bottom"/>
          </w:tcPr>
          <w:p>
            <w:pPr>
              <w:spacing w:after="0"/>
              <w:rPr>
                <w:sz w:val="24"/>
                <w:szCs w:val="24"/>
                <w:color w:val="auto"/>
              </w:rPr>
            </w:pPr>
          </w:p>
        </w:tc>
      </w:tr>
      <w:tr>
        <w:trPr>
          <w:trHeight w:val="270"/>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Vice President, Investor Relations &amp; Communications</w:t>
            </w:r>
          </w:p>
        </w:tc>
        <w:tc>
          <w:tcPr>
            <w:tcW w:w="7020" w:type="dxa"/>
            <w:vAlign w:val="bottom"/>
            <w:gridSpan w:val="2"/>
          </w:tcPr>
          <w:p>
            <w:pPr>
              <w:ind w:left="1360"/>
              <w:spacing w:after="0"/>
              <w:rPr>
                <w:sz w:val="20"/>
                <w:szCs w:val="20"/>
                <w:color w:val="auto"/>
              </w:rPr>
            </w:pPr>
            <w:r>
              <w:rPr>
                <w:rFonts w:ascii="Arial" w:cs="Arial" w:eastAsia="Arial" w:hAnsi="Arial"/>
                <w:sz w:val="18"/>
                <w:szCs w:val="18"/>
                <w:color w:val="auto"/>
              </w:rPr>
              <w:t>Manager, Investor Relations</w:t>
            </w:r>
          </w:p>
        </w:tc>
      </w:tr>
      <w:tr>
        <w:trPr>
          <w:trHeight w:val="270"/>
        </w:trPr>
        <w:tc>
          <w:tcPr>
            <w:tcW w:w="4380" w:type="dxa"/>
            <w:vAlign w:val="bottom"/>
            <w:gridSpan w:val="3"/>
          </w:tcPr>
          <w:p>
            <w:pPr>
              <w:ind w:left="40"/>
              <w:spacing w:after="0"/>
              <w:rPr>
                <w:sz w:val="20"/>
                <w:szCs w:val="20"/>
                <w:color w:val="auto"/>
              </w:rPr>
            </w:pPr>
            <w:r>
              <w:rPr>
                <w:rFonts w:ascii="Arial" w:cs="Arial" w:eastAsia="Arial" w:hAnsi="Arial"/>
                <w:sz w:val="18"/>
                <w:szCs w:val="18"/>
                <w:color w:val="auto"/>
              </w:rPr>
              <w:t>(866) 809-1291</w:t>
            </w:r>
          </w:p>
        </w:tc>
        <w:tc>
          <w:tcPr>
            <w:tcW w:w="2840" w:type="dxa"/>
            <w:vAlign w:val="bottom"/>
          </w:tcPr>
          <w:p>
            <w:pPr>
              <w:ind w:left="1360"/>
              <w:spacing w:after="0"/>
              <w:rPr>
                <w:sz w:val="20"/>
                <w:szCs w:val="20"/>
                <w:color w:val="auto"/>
              </w:rPr>
            </w:pPr>
            <w:r>
              <w:rPr>
                <w:rFonts w:ascii="Arial" w:cs="Arial" w:eastAsia="Arial" w:hAnsi="Arial"/>
                <w:sz w:val="18"/>
                <w:szCs w:val="18"/>
                <w:color w:val="auto"/>
              </w:rPr>
              <w:t>(866) 809-1291</w:t>
            </w:r>
          </w:p>
        </w:tc>
        <w:tc>
          <w:tcPr>
            <w:tcW w:w="4180" w:type="dxa"/>
            <w:vAlign w:val="bottom"/>
          </w:tcPr>
          <w:p>
            <w:pPr>
              <w:spacing w:after="0"/>
              <w:rPr>
                <w:sz w:val="23"/>
                <w:szCs w:val="23"/>
                <w:color w:val="auto"/>
              </w:rPr>
            </w:pPr>
          </w:p>
        </w:tc>
      </w:tr>
      <w:tr>
        <w:trPr>
          <w:trHeight w:val="702"/>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40" w:type="dxa"/>
            <w:vAlign w:val="bottom"/>
          </w:tcPr>
          <w:p>
            <w:pPr>
              <w:jc w:val="right"/>
              <w:ind w:right="1290"/>
              <w:spacing w:after="0"/>
              <w:rPr>
                <w:sz w:val="20"/>
                <w:szCs w:val="20"/>
                <w:color w:val="auto"/>
              </w:rPr>
            </w:pPr>
            <w:r>
              <w:rPr>
                <w:rFonts w:ascii="Arial" w:cs="Arial" w:eastAsia="Arial" w:hAnsi="Arial"/>
                <w:sz w:val="18"/>
                <w:szCs w:val="18"/>
                <w:color w:val="auto"/>
              </w:rPr>
              <w:t>###</w:t>
            </w:r>
          </w:p>
        </w:tc>
        <w:tc>
          <w:tcPr>
            <w:tcW w:w="418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tcPr>
          <w:p>
            <w:pPr>
              <w:spacing w:after="0"/>
              <w:rPr>
                <w:sz w:val="21"/>
                <w:szCs w:val="21"/>
                <w:color w:val="auto"/>
              </w:rPr>
            </w:pPr>
          </w:p>
        </w:tc>
      </w:tr>
      <w:tr>
        <w:trPr>
          <w:trHeight w:val="345"/>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40" w:type="dxa"/>
            <w:vAlign w:val="bottom"/>
          </w:tcPr>
          <w:p>
            <w:pPr>
              <w:ind w:left="1060"/>
              <w:spacing w:after="0"/>
              <w:rPr>
                <w:sz w:val="20"/>
                <w:szCs w:val="20"/>
                <w:color w:val="auto"/>
              </w:rPr>
            </w:pPr>
            <w:r>
              <w:rPr>
                <w:rFonts w:ascii="Arial" w:cs="Arial" w:eastAsia="Arial" w:hAnsi="Arial"/>
                <w:sz w:val="18"/>
                <w:szCs w:val="18"/>
                <w:b w:val="1"/>
                <w:bCs w:val="1"/>
                <w:color w:val="auto"/>
              </w:rPr>
              <w:t>333 Clay Street, Suite 1600</w:t>
            </w:r>
          </w:p>
        </w:tc>
        <w:tc>
          <w:tcPr>
            <w:tcW w:w="2840" w:type="dxa"/>
            <w:vAlign w:val="bottom"/>
          </w:tcPr>
          <w:p>
            <w:pPr>
              <w:ind w:left="460"/>
              <w:spacing w:after="0"/>
              <w:rPr>
                <w:sz w:val="20"/>
                <w:szCs w:val="20"/>
                <w:color w:val="auto"/>
              </w:rPr>
            </w:pPr>
            <w:r>
              <w:rPr>
                <w:rFonts w:ascii="Arial" w:cs="Arial" w:eastAsia="Arial" w:hAnsi="Arial"/>
                <w:sz w:val="18"/>
                <w:szCs w:val="18"/>
                <w:b w:val="1"/>
                <w:bCs w:val="1"/>
                <w:color w:val="auto"/>
              </w:rPr>
              <w:t>Houston, Texas 77002</w:t>
            </w:r>
          </w:p>
        </w:tc>
        <w:tc>
          <w:tcPr>
            <w:tcW w:w="4180" w:type="dxa"/>
            <w:vAlign w:val="bottom"/>
          </w:tcPr>
          <w:p>
            <w:pPr>
              <w:jc w:val="right"/>
              <w:ind w:right="1550"/>
              <w:spacing w:after="0"/>
              <w:rPr>
                <w:sz w:val="20"/>
                <w:szCs w:val="20"/>
                <w:color w:val="auto"/>
              </w:rPr>
            </w:pPr>
            <w:r>
              <w:rPr>
                <w:rFonts w:ascii="Arial" w:cs="Arial" w:eastAsia="Arial" w:hAnsi="Arial"/>
                <w:sz w:val="18"/>
                <w:szCs w:val="18"/>
                <w:b w:val="1"/>
                <w:bCs w:val="1"/>
                <w:color w:val="auto"/>
              </w:rPr>
              <w:t>713-646-4100 / 866-809-1291</w:t>
            </w:r>
          </w:p>
        </w:tc>
      </w:tr>
    </w:tbl>
    <w:p>
      <w:pPr>
        <w:spacing w:after="0" w:line="1" w:lineRule="exact"/>
        <w:rPr>
          <w:sz w:val="20"/>
          <w:szCs w:val="20"/>
          <w:color w:val="auto"/>
        </w:rPr>
      </w:pP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lvl w:ilvl="1">
      <w:lvlJc w:val="left"/>
      <w:lvlText w:val="-"/>
      <w:numFmt w:val="bullet"/>
      <w:start w:val="1"/>
    </w:lvl>
  </w:abstractNum>
  <w:abstractNum w:abstractNumId="6">
    <w:nsid w:val="1F16E9E8"/>
    <w:multiLevelType w:val="hybridMultilevel"/>
    <w:lvl w:ilvl="0">
      <w:lvlJc w:val="left"/>
      <w:lvlText w:val="(%1)"/>
      <w:numFmt w:val="decimal"/>
      <w:start w:val="1"/>
    </w:lvl>
    <w:lvl w:ilvl="1">
      <w:lvlJc w:val="left"/>
      <w:lvlText w:val="-"/>
      <w:numFmt w:val="bullet"/>
      <w:start w:val="1"/>
    </w:lvl>
  </w:abstractNum>
  <w:abstractNum w:abstractNumId="7">
    <w:nsid w:val="1190CDE7"/>
    <w:multiLevelType w:val="hybridMultilevel"/>
    <w:lvl w:ilvl="0">
      <w:lvlJc w:val="left"/>
      <w:lvlText w:val="(%1)"/>
      <w:numFmt w:val="decimal"/>
      <w:start w:val="1"/>
    </w:lvl>
    <w:lvl w:ilvl="1">
      <w:lvlJc w:val="left"/>
      <w:lvlText w:val="-"/>
      <w:numFmt w:val="bullet"/>
      <w:start w:val="1"/>
    </w:lvl>
  </w:abstractNum>
  <w:abstractNum w:abstractNumId="8">
    <w:nsid w:val="66EF438D"/>
    <w:multiLevelType w:val="hybridMultilevel"/>
    <w:lvl w:ilvl="0">
      <w:lvlJc w:val="left"/>
      <w:lvlText w:val="(%1)"/>
      <w:numFmt w:val="decimal"/>
      <w:start w:val="1"/>
    </w:lvl>
    <w:lvl w:ilvl="1">
      <w:lvlJc w:val="left"/>
      <w:lvlText w:val="-"/>
      <w:numFmt w:val="bullet"/>
      <w:start w:val="1"/>
    </w:lvl>
  </w:abstractNum>
  <w:abstractNum w:abstractNumId="9">
    <w:nsid w:val="140E0F76"/>
    <w:multiLevelType w:val="hybridMultilevel"/>
    <w:lvl w:ilvl="0">
      <w:lvlJc w:val="left"/>
      <w:lvlText w:val="(%1)"/>
      <w:numFmt w:val="decimal"/>
      <w:start w:val="1"/>
    </w:lvl>
    <w:lvl w:ilvl="1">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2020-01-17T06:47:38Z</dcterms:created>
  <dcterms:modified xsi:type="dcterms:W3CDTF">2020-01-17T06:47:38Z</dcterms:modified>
</cp:coreProperties>
</file>