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 September 14, 2018</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44" w:right="23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60"/>
          </w:cols>
          <w:pgMar w:left="240" w:top="544" w:right="239" w:bottom="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(Address of principal executive offices) (Zip Code)</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20"/>
          </w:cols>
          <w:pgMar w:left="240" w:top="544" w:right="239" w:bottom="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4"/>
          <w:szCs w:val="24"/>
          <w:color w:val="auto"/>
        </w:rPr>
      </w:pPr>
    </w:p>
    <w:p>
      <w:pPr>
        <w:ind w:firstLine="648"/>
        <w:spacing w:after="0" w:line="291" w:lineRule="auto"/>
        <w:rPr>
          <w:sz w:val="20"/>
          <w:szCs w:val="20"/>
          <w:color w:val="auto"/>
        </w:rPr>
      </w:pPr>
      <w:r>
        <w:rPr>
          <w:rFonts w:ascii="Arial" w:cs="Arial" w:eastAsia="Arial" w:hAnsi="Arial"/>
          <w:sz w:val="16"/>
          <w:szCs w:val="16"/>
          <w:color w:val="auto"/>
        </w:rPr>
        <w:t>On September 14, 2018, Plains All American Pipeline, L.P. (the “Registrant”) and PAA Finance Corp. filed two shelf registration statements with the Securities and Exchange Commission (the “SEC”). These registration statements were filed to replace existing shelf registration statements that expire within the next 30 days. The shelf registration statements include an automatically effective registration statement on Form S-3 (File No. 333-227358) (the “Form S-3ASR”) that covers the offer and sale, from time to time in the future, of an unlimited amount of debt and equity securities. The other shelf registration statement on Form S-3 (File No. 333-227359) (the “Form S-3”) will cover, after it has been declared effective by the SEC, the offer and sale, from time to time in the future, of up to $1.1 billion in debt and equity securities. These shelf registration statements will enable the Registrant to opportunistically access the capital markets in the future. The Registrant has no immediate plans to use the shelf registration statements for any specific financing.</w:t>
      </w:r>
    </w:p>
    <w:p>
      <w:pPr>
        <w:spacing w:after="0" w:line="167" w:lineRule="exact"/>
        <w:rPr>
          <w:sz w:val="24"/>
          <w:szCs w:val="24"/>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The securities included under the Form S-3 may not be sold, nor may offers to buy such securities be accepted, prior to the time that the Form S-3 is declared effective by the SEC. The information contained in this Form 8-K does not constitute an offer to sell or the solicitation of an offer to buy securities. Any offer of the securities made pursuant to the Form S-3ASR or the Form S-3 will be made solely by means of the prospectus included in such registration statement and a prospectus supplement relating to that offering.</w:t>
      </w:r>
    </w:p>
    <w:p>
      <w:pPr>
        <w:spacing w:after="0" w:line="18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ectPr>
          <w:pgSz w:w="11900" w:h="16838" w:orient="portrait"/>
          <w:cols w:equalWidth="0" w:num="1">
            <w:col w:w="11420"/>
          </w:cols>
          <w:pgMar w:left="240" w:top="544" w:right="239" w:bottom="0" w:gutter="0" w:footer="0" w:header="0"/>
          <w:type w:val="continuous"/>
        </w:sectPr>
      </w:pPr>
    </w:p>
    <w:bookmarkStart w:id="1" w:name="page2"/>
    <w:bookmarkEnd w:id="1"/>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p>
        </w:tc>
        <w:tc>
          <w:tcPr>
            <w:tcW w:w="7640" w:type="dxa"/>
            <w:vAlign w:val="bottom"/>
            <w:gridSpan w:val="2"/>
          </w:tcPr>
          <w:p>
            <w:pPr>
              <w:ind w:left="1940"/>
              <w:spacing w:after="0"/>
              <w:rPr>
                <w:sz w:val="20"/>
                <w:szCs w:val="20"/>
                <w:color w:val="auto"/>
              </w:rPr>
            </w:pPr>
            <w:r>
              <w:rPr>
                <w:rFonts w:ascii="Arial" w:cs="Arial" w:eastAsia="Arial" w:hAnsi="Arial"/>
                <w:sz w:val="18"/>
                <w:szCs w:val="18"/>
                <w:color w:val="auto"/>
              </w:rPr>
              <w:t>PLAINS ALL AMERICAN PIPELINE, L.P.</w:t>
            </w:r>
          </w:p>
        </w:tc>
        <w:tc>
          <w:tcPr>
            <w:tcW w:w="40" w:type="dxa"/>
            <w:vAlign w:val="bottom"/>
          </w:tcPr>
          <w:p>
            <w:pPr>
              <w:spacing w:after="0"/>
              <w:rPr>
                <w:sz w:val="20"/>
                <w:szCs w:val="20"/>
                <w:color w:val="auto"/>
              </w:rPr>
            </w:pPr>
          </w:p>
        </w:tc>
      </w:tr>
      <w:tr>
        <w:trPr>
          <w:trHeight w:val="432"/>
        </w:trPr>
        <w:tc>
          <w:tcPr>
            <w:tcW w:w="3780" w:type="dxa"/>
            <w:vAlign w:val="bottom"/>
          </w:tcPr>
          <w:p>
            <w:pPr>
              <w:spacing w:after="0"/>
              <w:rPr>
                <w:sz w:val="20"/>
                <w:szCs w:val="20"/>
                <w:color w:val="auto"/>
              </w:rPr>
            </w:pPr>
            <w:r>
              <w:rPr>
                <w:rFonts w:ascii="Arial" w:cs="Arial" w:eastAsia="Arial" w:hAnsi="Arial"/>
                <w:sz w:val="18"/>
                <w:szCs w:val="18"/>
                <w:color w:val="auto"/>
              </w:rPr>
              <w:t>Date: September 14, 2018</w:t>
            </w:r>
          </w:p>
        </w:tc>
        <w:tc>
          <w:tcPr>
            <w:tcW w:w="2600" w:type="dxa"/>
            <w:vAlign w:val="bottom"/>
          </w:tcPr>
          <w:p>
            <w:pPr>
              <w:ind w:left="1940"/>
              <w:spacing w:after="0"/>
              <w:rPr>
                <w:sz w:val="20"/>
                <w:szCs w:val="20"/>
                <w:color w:val="auto"/>
              </w:rPr>
            </w:pPr>
            <w:r>
              <w:rPr>
                <w:rFonts w:ascii="Arial" w:cs="Arial" w:eastAsia="Arial" w:hAnsi="Arial"/>
                <w:sz w:val="18"/>
                <w:szCs w:val="18"/>
                <w:color w:val="auto"/>
              </w:rPr>
              <w:t>By:</w:t>
            </w:r>
          </w:p>
        </w:tc>
        <w:tc>
          <w:tcPr>
            <w:tcW w:w="5040" w:type="dxa"/>
            <w:vAlign w:val="bottom"/>
          </w:tcPr>
          <w:p>
            <w:pPr>
              <w:spacing w:after="0"/>
              <w:rPr>
                <w:sz w:val="20"/>
                <w:szCs w:val="20"/>
                <w:color w:val="auto"/>
              </w:rPr>
            </w:pPr>
            <w:r>
              <w:rPr>
                <w:rFonts w:ascii="Arial" w:cs="Arial" w:eastAsia="Arial" w:hAnsi="Arial"/>
                <w:sz w:val="18"/>
                <w:szCs w:val="18"/>
                <w:color w:val="auto"/>
              </w:rPr>
              <w:t>PAA GP LLC, its general partner</w:t>
            </w:r>
          </w:p>
        </w:tc>
        <w:tc>
          <w:tcPr>
            <w:tcW w:w="40" w:type="dxa"/>
            <w:vAlign w:val="bottom"/>
          </w:tcPr>
          <w:p>
            <w:pPr>
              <w:spacing w:after="0"/>
              <w:rPr>
                <w:sz w:val="24"/>
                <w:szCs w:val="24"/>
                <w:color w:val="auto"/>
              </w:rPr>
            </w:pPr>
          </w:p>
        </w:tc>
      </w:tr>
      <w:tr>
        <w:trPr>
          <w:trHeight w:val="432"/>
        </w:trPr>
        <w:tc>
          <w:tcPr>
            <w:tcW w:w="3780" w:type="dxa"/>
            <w:vAlign w:val="bottom"/>
          </w:tcPr>
          <w:p>
            <w:pPr>
              <w:spacing w:after="0"/>
              <w:rPr>
                <w:sz w:val="24"/>
                <w:szCs w:val="24"/>
                <w:color w:val="auto"/>
              </w:rPr>
            </w:pPr>
          </w:p>
        </w:tc>
        <w:tc>
          <w:tcPr>
            <w:tcW w:w="2600" w:type="dxa"/>
            <w:vAlign w:val="bottom"/>
          </w:tcPr>
          <w:p>
            <w:pPr>
              <w:ind w:left="1940"/>
              <w:spacing w:after="0"/>
              <w:rPr>
                <w:sz w:val="20"/>
                <w:szCs w:val="20"/>
                <w:color w:val="auto"/>
              </w:rPr>
            </w:pPr>
            <w:r>
              <w:rPr>
                <w:rFonts w:ascii="Arial" w:cs="Arial" w:eastAsia="Arial" w:hAnsi="Arial"/>
                <w:sz w:val="18"/>
                <w:szCs w:val="18"/>
                <w:color w:val="auto"/>
              </w:rPr>
              <w:t>By:</w:t>
            </w:r>
          </w:p>
        </w:tc>
        <w:tc>
          <w:tcPr>
            <w:tcW w:w="5040" w:type="dxa"/>
            <w:vAlign w:val="bottom"/>
          </w:tcPr>
          <w:p>
            <w:pPr>
              <w:spacing w:after="0"/>
              <w:rPr>
                <w:sz w:val="20"/>
                <w:szCs w:val="20"/>
                <w:color w:val="auto"/>
              </w:rPr>
            </w:pPr>
            <w:r>
              <w:rPr>
                <w:rFonts w:ascii="Arial" w:cs="Arial" w:eastAsia="Arial" w:hAnsi="Arial"/>
                <w:sz w:val="18"/>
                <w:szCs w:val="18"/>
                <w:color w:val="auto"/>
              </w:rPr>
              <w:t>Plains AAP, L.P., its sole member</w:t>
            </w:r>
          </w:p>
        </w:tc>
        <w:tc>
          <w:tcPr>
            <w:tcW w:w="40" w:type="dxa"/>
            <w:vAlign w:val="bottom"/>
          </w:tcPr>
          <w:p>
            <w:pPr>
              <w:spacing w:after="0"/>
              <w:rPr>
                <w:sz w:val="24"/>
                <w:szCs w:val="24"/>
                <w:color w:val="auto"/>
              </w:rPr>
            </w:pPr>
          </w:p>
        </w:tc>
      </w:tr>
      <w:tr>
        <w:trPr>
          <w:trHeight w:val="432"/>
        </w:trPr>
        <w:tc>
          <w:tcPr>
            <w:tcW w:w="3780" w:type="dxa"/>
            <w:vAlign w:val="bottom"/>
          </w:tcPr>
          <w:p>
            <w:pPr>
              <w:spacing w:after="0"/>
              <w:rPr>
                <w:sz w:val="24"/>
                <w:szCs w:val="24"/>
                <w:color w:val="auto"/>
              </w:rPr>
            </w:pPr>
          </w:p>
        </w:tc>
        <w:tc>
          <w:tcPr>
            <w:tcW w:w="2600" w:type="dxa"/>
            <w:vAlign w:val="bottom"/>
          </w:tcPr>
          <w:p>
            <w:pPr>
              <w:ind w:left="1940"/>
              <w:spacing w:after="0"/>
              <w:rPr>
                <w:sz w:val="20"/>
                <w:szCs w:val="20"/>
                <w:color w:val="auto"/>
              </w:rPr>
            </w:pPr>
            <w:r>
              <w:rPr>
                <w:rFonts w:ascii="Arial" w:cs="Arial" w:eastAsia="Arial" w:hAnsi="Arial"/>
                <w:sz w:val="18"/>
                <w:szCs w:val="18"/>
                <w:color w:val="auto"/>
              </w:rPr>
              <w:t>By:</w:t>
            </w:r>
          </w:p>
        </w:tc>
        <w:tc>
          <w:tcPr>
            <w:tcW w:w="5040" w:type="dxa"/>
            <w:vAlign w:val="bottom"/>
          </w:tcPr>
          <w:p>
            <w:pPr>
              <w:spacing w:after="0"/>
              <w:rPr>
                <w:sz w:val="20"/>
                <w:szCs w:val="20"/>
                <w:color w:val="auto"/>
              </w:rPr>
            </w:pPr>
            <w:r>
              <w:rPr>
                <w:rFonts w:ascii="Arial" w:cs="Arial" w:eastAsia="Arial" w:hAnsi="Arial"/>
                <w:sz w:val="18"/>
                <w:szCs w:val="18"/>
                <w:color w:val="auto"/>
              </w:rPr>
              <w:t>Plains All American GP LLC, its general partner</w:t>
            </w:r>
          </w:p>
        </w:tc>
        <w:tc>
          <w:tcPr>
            <w:tcW w:w="40" w:type="dxa"/>
            <w:vAlign w:val="bottom"/>
          </w:tcPr>
          <w:p>
            <w:pPr>
              <w:spacing w:after="0"/>
              <w:rPr>
                <w:sz w:val="24"/>
                <w:szCs w:val="24"/>
                <w:color w:val="auto"/>
              </w:rPr>
            </w:pPr>
          </w:p>
        </w:tc>
      </w:tr>
      <w:tr>
        <w:trPr>
          <w:trHeight w:val="648"/>
        </w:trPr>
        <w:tc>
          <w:tcPr>
            <w:tcW w:w="3780" w:type="dxa"/>
            <w:vAlign w:val="bottom"/>
          </w:tcPr>
          <w:p>
            <w:pPr>
              <w:spacing w:after="0"/>
              <w:rPr>
                <w:sz w:val="24"/>
                <w:szCs w:val="24"/>
                <w:color w:val="auto"/>
              </w:rPr>
            </w:pPr>
          </w:p>
        </w:tc>
        <w:tc>
          <w:tcPr>
            <w:tcW w:w="2600" w:type="dxa"/>
            <w:vAlign w:val="bottom"/>
          </w:tcPr>
          <w:p>
            <w:pPr>
              <w:ind w:left="19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7"/>
                <w:szCs w:val="17"/>
                <w:color w:val="auto"/>
              </w:rPr>
              <w:t>Richard McGee</w:t>
            </w:r>
          </w:p>
        </w:tc>
        <w:tc>
          <w:tcPr>
            <w:tcW w:w="40" w:type="dxa"/>
            <w:vAlign w:val="bottom"/>
          </w:tcPr>
          <w:p>
            <w:pPr>
              <w:spacing w:after="0"/>
              <w:rPr>
                <w:sz w:val="24"/>
                <w:szCs w:val="24"/>
                <w:color w:val="auto"/>
              </w:rPr>
            </w:pPr>
          </w:p>
        </w:tc>
      </w:tr>
      <w:tr>
        <w:trPr>
          <w:trHeight w:val="195"/>
        </w:trPr>
        <w:tc>
          <w:tcPr>
            <w:tcW w:w="37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Name: Richard McGee</w:t>
            </w:r>
          </w:p>
        </w:tc>
        <w:tc>
          <w:tcPr>
            <w:tcW w:w="40" w:type="dxa"/>
            <w:vAlign w:val="bottom"/>
          </w:tcPr>
          <w:p>
            <w:pPr>
              <w:spacing w:after="0"/>
              <w:rPr>
                <w:sz w:val="16"/>
                <w:szCs w:val="16"/>
                <w:color w:val="auto"/>
              </w:rPr>
            </w:pPr>
          </w:p>
        </w:tc>
      </w:tr>
      <w:tr>
        <w:trPr>
          <w:trHeight w:val="230"/>
        </w:trPr>
        <w:tc>
          <w:tcPr>
            <w:tcW w:w="37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Title: Executive Vice President</w:t>
            </w:r>
          </w:p>
        </w:tc>
        <w:tc>
          <w:tcPr>
            <w:tcW w:w="40" w:type="dxa"/>
            <w:vAlign w:val="bottom"/>
          </w:tcPr>
          <w:p>
            <w:pPr>
              <w:spacing w:after="0"/>
              <w:rPr>
                <w:sz w:val="20"/>
                <w:szCs w:val="20"/>
                <w:color w:val="auto"/>
              </w:rPr>
            </w:pPr>
          </w:p>
        </w:tc>
      </w:tr>
      <w:tr>
        <w:trPr>
          <w:trHeight w:val="432"/>
        </w:trPr>
        <w:tc>
          <w:tcPr>
            <w:tcW w:w="3780" w:type="dxa"/>
            <w:vAlign w:val="bottom"/>
          </w:tcPr>
          <w:p>
            <w:pPr>
              <w:spacing w:after="0"/>
              <w:rPr>
                <w:sz w:val="24"/>
                <w:szCs w:val="24"/>
                <w:color w:val="auto"/>
              </w:rPr>
            </w:pPr>
          </w:p>
        </w:tc>
        <w:tc>
          <w:tcPr>
            <w:tcW w:w="2600" w:type="dxa"/>
            <w:vAlign w:val="bottom"/>
          </w:tcPr>
          <w:p>
            <w:pPr>
              <w:ind w:left="1880"/>
              <w:spacing w:after="0"/>
              <w:rPr>
                <w:sz w:val="20"/>
                <w:szCs w:val="20"/>
                <w:color w:val="auto"/>
              </w:rPr>
            </w:pPr>
            <w:r>
              <w:rPr>
                <w:rFonts w:ascii="Arial" w:cs="Arial" w:eastAsia="Arial" w:hAnsi="Arial"/>
                <w:sz w:val="18"/>
                <w:szCs w:val="18"/>
                <w:color w:val="auto"/>
              </w:rPr>
              <w:t>3</w:t>
            </w:r>
          </w:p>
        </w:tc>
        <w:tc>
          <w:tcPr>
            <w:tcW w:w="5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780" w:type="dxa"/>
            <w:vAlign w:val="bottom"/>
            <w:tcBorders>
              <w:bottom w:val="single" w:sz="8" w:color="808080"/>
            </w:tcBorders>
          </w:tcPr>
          <w:p>
            <w:pPr>
              <w:spacing w:after="0"/>
              <w:rPr>
                <w:sz w:val="11"/>
                <w:szCs w:val="11"/>
                <w:color w:val="auto"/>
              </w:rPr>
            </w:pPr>
          </w:p>
        </w:tc>
        <w:tc>
          <w:tcPr>
            <w:tcW w:w="2600" w:type="dxa"/>
            <w:vAlign w:val="bottom"/>
            <w:tcBorders>
              <w:bottom w:val="single" w:sz="8" w:color="808080"/>
            </w:tcBorders>
          </w:tcPr>
          <w:p>
            <w:pPr>
              <w:spacing w:after="0"/>
              <w:rPr>
                <w:sz w:val="11"/>
                <w:szCs w:val="11"/>
                <w:color w:val="auto"/>
              </w:rPr>
            </w:pPr>
          </w:p>
        </w:tc>
        <w:tc>
          <w:tcPr>
            <w:tcW w:w="50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4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2020-01-12T22:37:08Z</dcterms:created>
  <dcterms:modified xsi:type="dcterms:W3CDTF">2020-01-12T22:37:08Z</dcterms:modified>
</cp:coreProperties>
</file>