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8, 2016</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544" w:right="359" w:bottom="0" w:gutter="0" w:footer="0" w:header="0"/>
        </w:sectPr>
      </w:pPr>
    </w:p>
    <w:p>
      <w:pPr>
        <w:spacing w:after="0" w:line="205"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00" w:space="720"/>
            <w:col w:w="2800" w:space="720"/>
            <w:col w:w="3060"/>
          </w:cols>
          <w:pgMar w:left="240" w:top="544" w:right="359" w:bottom="0" w:gutter="0" w:footer="0" w:header="0"/>
          <w:type w:val="continuous"/>
        </w:sectPr>
      </w:pPr>
    </w:p>
    <w:p>
      <w:pPr>
        <w:spacing w:after="0" w:line="18"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300"/>
          </w:cols>
          <w:pgMar w:left="240" w:top="544" w:right="359" w:bottom="0" w:gutter="0" w:footer="0" w:header="0"/>
          <w:type w:val="continuous"/>
        </w:sectPr>
      </w:pP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713-646-4100</w:t>
      </w:r>
    </w:p>
    <w:p>
      <w:pPr>
        <w:spacing w:after="0" w:line="200" w:lineRule="exact"/>
        <w:rPr>
          <w:sz w:val="24"/>
          <w:szCs w:val="24"/>
          <w:color w:val="auto"/>
        </w:rPr>
      </w:pPr>
    </w:p>
    <w:p>
      <w:pPr>
        <w:spacing w:after="0" w:line="24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29" w:lineRule="exact"/>
        <w:rPr>
          <w:sz w:val="24"/>
          <w:szCs w:val="24"/>
          <w:color w:val="auto"/>
        </w:rPr>
      </w:pPr>
    </w:p>
    <w:p>
      <w:pPr>
        <w:ind w:right="40" w:firstLine="648"/>
        <w:spacing w:after="0" w:line="257" w:lineRule="auto"/>
        <w:rPr>
          <w:sz w:val="20"/>
          <w:szCs w:val="20"/>
          <w:color w:val="auto"/>
        </w:rPr>
      </w:pPr>
      <w:r>
        <w:rPr>
          <w:rFonts w:ascii="Arial" w:cs="Arial" w:eastAsia="Arial" w:hAnsi="Arial"/>
          <w:sz w:val="18"/>
          <w:szCs w:val="18"/>
          <w:color w:val="auto"/>
        </w:rPr>
        <w:t>On February 8, 2016, the Registrant issued a press release reporting its fourth quarter 2015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84"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4"/>
          <w:szCs w:val="24"/>
          <w:color w:val="auto"/>
        </w:rPr>
      </w:pPr>
    </w:p>
    <w:p>
      <w:pPr>
        <w:ind w:left="400"/>
        <w:spacing w:after="0"/>
        <w:rPr>
          <w:sz w:val="20"/>
          <w:szCs w:val="20"/>
          <w:color w:val="auto"/>
        </w:rPr>
      </w:pPr>
      <w:r>
        <w:rPr>
          <w:rFonts w:ascii="Arial" w:cs="Arial" w:eastAsia="Arial" w:hAnsi="Arial"/>
          <w:sz w:val="18"/>
          <w:szCs w:val="18"/>
          <w:color w:val="auto"/>
        </w:rPr>
        <w:t>Exhibit 99.1 —  Press Release dated February 8, 2016</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PLAINS GP HOLDINGS, L.P.</w:t>
      </w:r>
    </w:p>
    <w:p>
      <w:pPr>
        <w:spacing w:after="0" w:line="225" w:lineRule="exact"/>
        <w:rPr>
          <w:sz w:val="24"/>
          <w:szCs w:val="24"/>
          <w:color w:val="auto"/>
        </w:rPr>
      </w:pPr>
    </w:p>
    <w:p>
      <w:pPr>
        <w:spacing w:after="0"/>
        <w:tabs>
          <w:tab w:leader="none" w:pos="5700" w:val="left"/>
          <w:tab w:leader="none" w:pos="6180" w:val="left"/>
        </w:tabs>
        <w:rPr>
          <w:sz w:val="20"/>
          <w:szCs w:val="20"/>
          <w:color w:val="auto"/>
        </w:rPr>
      </w:pPr>
      <w:r>
        <w:rPr>
          <w:rFonts w:ascii="Arial" w:cs="Arial" w:eastAsia="Arial" w:hAnsi="Arial"/>
          <w:sz w:val="18"/>
          <w:szCs w:val="18"/>
          <w:color w:val="auto"/>
        </w:rPr>
        <w:t>Date: February 8,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Holdings LLC, its general partner</w:t>
      </w:r>
    </w:p>
    <w:p>
      <w:pPr>
        <w:spacing w:after="0" w:line="200" w:lineRule="exact"/>
        <w:rPr>
          <w:sz w:val="24"/>
          <w:szCs w:val="24"/>
          <w:color w:val="auto"/>
        </w:rPr>
      </w:pPr>
    </w:p>
    <w:p>
      <w:pPr>
        <w:spacing w:after="0" w:line="241" w:lineRule="exact"/>
        <w:rPr>
          <w:sz w:val="24"/>
          <w:szCs w:val="24"/>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Al Swanson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3941445</wp:posOffset>
            </wp:positionH>
            <wp:positionV relativeFrom="paragraph">
              <wp:posOffset>14605</wp:posOffset>
            </wp:positionV>
            <wp:extent cx="3310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ectPr>
          <w:pgSz w:w="11900" w:h="16838" w:orient="portrait"/>
          <w:cols w:equalWidth="0" w:num="1">
            <w:col w:w="11300"/>
          </w:cols>
          <w:pgMar w:left="240" w:top="544" w:right="359" w:bottom="0" w:gutter="0" w:footer="0" w:header="0"/>
          <w:type w:val="continuous"/>
        </w:sectPr>
      </w:pPr>
    </w:p>
    <w:bookmarkStart w:id="1" w:name="page2"/>
    <w:bookmarkEnd w:id="1"/>
    <w:p>
      <w:pPr>
        <w:ind w:left="5000"/>
        <w:spacing w:after="0"/>
        <w:tabs>
          <w:tab w:leader="none" w:pos="5720" w:val="left"/>
        </w:tabs>
        <w:rPr>
          <w:sz w:val="20"/>
          <w:szCs w:val="20"/>
          <w:color w:val="auto"/>
        </w:rPr>
      </w:pPr>
      <w:r>
        <w:rPr>
          <w:rFonts w:ascii="Arial" w:cs="Arial" w:eastAsia="Arial" w:hAnsi="Arial"/>
          <w:sz w:val="18"/>
          <w:szCs w:val="18"/>
          <w:color w:val="auto"/>
        </w:rPr>
        <w:t>Name:</w:t>
        <w:tab/>
        <w:t>Al Swanson</w:t>
      </w:r>
    </w:p>
    <w:p>
      <w:pPr>
        <w:spacing w:after="0" w:line="23" w:lineRule="exact"/>
        <w:rPr>
          <w:sz w:val="20"/>
          <w:szCs w:val="20"/>
          <w:color w:val="auto"/>
        </w:rPr>
      </w:pPr>
    </w:p>
    <w:p>
      <w:pPr>
        <w:ind w:left="5000"/>
        <w:spacing w:after="0"/>
        <w:tabs>
          <w:tab w:leader="none" w:pos="572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23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580"/>
          </w:cols>
          <w:pgMar w:left="1440" w:top="125" w:right="879" w:bottom="1440" w:gutter="0" w:footer="0" w:header="0"/>
        </w:sectPr>
      </w:pPr>
    </w:p>
    <w:bookmarkStart w:id="2" w:name="page3"/>
    <w:bookmarkEnd w:id="2"/>
    <w:p>
      <w:pPr>
        <w:spacing w:after="0" w:line="6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154940</wp:posOffset>
            </wp:positionV>
            <wp:extent cx="6182995" cy="7632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299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Fourth-Quarter and Full-Year 2015 Results</w:t>
      </w:r>
    </w:p>
    <w:p>
      <w:pPr>
        <w:spacing w:after="0" w:line="229" w:lineRule="exact"/>
        <w:rPr>
          <w:sz w:val="20"/>
          <w:szCs w:val="20"/>
          <w:color w:val="auto"/>
        </w:rPr>
      </w:pPr>
    </w:p>
    <w:p>
      <w:pPr>
        <w:ind w:right="320" w:firstLine="695"/>
        <w:spacing w:after="0" w:line="277" w:lineRule="auto"/>
        <w:rPr>
          <w:sz w:val="20"/>
          <w:szCs w:val="20"/>
          <w:color w:val="auto"/>
        </w:rPr>
      </w:pPr>
      <w:r>
        <w:rPr>
          <w:rFonts w:ascii="Arial" w:cs="Arial" w:eastAsia="Arial" w:hAnsi="Arial"/>
          <w:sz w:val="18"/>
          <w:szCs w:val="18"/>
          <w:color w:val="auto"/>
        </w:rPr>
        <w:t>(Houston — February 8, 2016) Plains All American Pipeline, L.P. (NYSE: PAA) and Plains GP Holdings (NYSE: PAGP) today reported fourth-quarter and full-year 2015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Twelve Months Ended</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378"/>
              <w:spacing w:after="0"/>
              <w:rPr>
                <w:sz w:val="20"/>
                <w:szCs w:val="20"/>
                <w:color w:val="auto"/>
              </w:rPr>
            </w:pPr>
            <w:r>
              <w:rPr>
                <w:rFonts w:ascii="Arial" w:cs="Arial" w:eastAsia="Arial" w:hAnsi="Arial"/>
                <w:sz w:val="14"/>
                <w:szCs w:val="14"/>
                <w:b w:val="1"/>
                <w:bCs w:val="1"/>
                <w:color w:val="auto"/>
                <w:w w:val="92"/>
              </w:rPr>
              <w:t>December 31,</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378"/>
              <w:spacing w:after="0"/>
              <w:rPr>
                <w:sz w:val="20"/>
                <w:szCs w:val="20"/>
                <w:color w:val="auto"/>
              </w:rPr>
            </w:pPr>
            <w:r>
              <w:rPr>
                <w:rFonts w:ascii="Arial" w:cs="Arial" w:eastAsia="Arial" w:hAnsi="Arial"/>
                <w:sz w:val="14"/>
                <w:szCs w:val="14"/>
                <w:b w:val="1"/>
                <w:bCs w:val="1"/>
                <w:color w:val="auto"/>
                <w:w w:val="92"/>
              </w:rPr>
              <w:t>December 31,</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8"/>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w w:val="96"/>
              </w:rPr>
              <w:t>2014</w:t>
            </w:r>
          </w:p>
        </w:tc>
        <w:tc>
          <w:tcPr>
            <w:tcW w:w="220" w:type="dxa"/>
            <w:vAlign w:val="bottom"/>
          </w:tcPr>
          <w:p>
            <w:pPr>
              <w:spacing w:after="0"/>
              <w:rPr>
                <w:sz w:val="12"/>
                <w:szCs w:val="12"/>
                <w:color w:val="auto"/>
              </w:rPr>
            </w:pPr>
          </w:p>
        </w:tc>
        <w:tc>
          <w:tcPr>
            <w:tcW w:w="1040" w:type="dxa"/>
            <w:vAlign w:val="bottom"/>
          </w:tcPr>
          <w:p>
            <w:pPr>
              <w:ind w:left="280"/>
              <w:spacing w:after="0" w:line="142" w:lineRule="exact"/>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8"/>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w w:val="96"/>
              </w:rPr>
              <w:t>2014</w:t>
            </w:r>
          </w:p>
        </w:tc>
        <w:tc>
          <w:tcPr>
            <w:tcW w:w="220" w:type="dxa"/>
            <w:vAlign w:val="bottom"/>
          </w:tcPr>
          <w:p>
            <w:pPr>
              <w:spacing w:after="0"/>
              <w:rPr>
                <w:sz w:val="12"/>
                <w:szCs w:val="12"/>
                <w:color w:val="auto"/>
              </w:rPr>
            </w:pPr>
          </w:p>
        </w:tc>
        <w:tc>
          <w:tcPr>
            <w:tcW w:w="114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(37)%</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common unit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0.24</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0.67</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(64)%</w:t>
            </w: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0.77</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weighted average common units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outstanding</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506</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664</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(24)%</w:t>
            </w: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Twelve Months Ended</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378"/>
              <w:spacing w:after="0"/>
              <w:rPr>
                <w:sz w:val="20"/>
                <w:szCs w:val="20"/>
                <w:color w:val="auto"/>
              </w:rPr>
            </w:pPr>
            <w:r>
              <w:rPr>
                <w:rFonts w:ascii="Arial" w:cs="Arial" w:eastAsia="Arial" w:hAnsi="Arial"/>
                <w:sz w:val="14"/>
                <w:szCs w:val="14"/>
                <w:b w:val="1"/>
                <w:bCs w:val="1"/>
                <w:color w:val="auto"/>
                <w:w w:val="92"/>
              </w:rPr>
              <w:t>December 31,</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378"/>
              <w:spacing w:after="0"/>
              <w:rPr>
                <w:sz w:val="20"/>
                <w:szCs w:val="20"/>
                <w:color w:val="auto"/>
              </w:rPr>
            </w:pPr>
            <w:r>
              <w:rPr>
                <w:rFonts w:ascii="Arial" w:cs="Arial" w:eastAsia="Arial" w:hAnsi="Arial"/>
                <w:sz w:val="14"/>
                <w:szCs w:val="14"/>
                <w:b w:val="1"/>
                <w:bCs w:val="1"/>
                <w:color w:val="auto"/>
                <w:w w:val="92"/>
              </w:rPr>
              <w:t>December 31,</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8"/>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w w:val="96"/>
              </w:rPr>
              <w:t>2014</w:t>
            </w:r>
          </w:p>
        </w:tc>
        <w:tc>
          <w:tcPr>
            <w:tcW w:w="220" w:type="dxa"/>
            <w:vAlign w:val="bottom"/>
          </w:tcPr>
          <w:p>
            <w:pPr>
              <w:spacing w:after="0"/>
              <w:rPr>
                <w:sz w:val="12"/>
                <w:szCs w:val="12"/>
                <w:color w:val="auto"/>
              </w:rPr>
            </w:pPr>
          </w:p>
        </w:tc>
        <w:tc>
          <w:tcPr>
            <w:tcW w:w="1040" w:type="dxa"/>
            <w:vAlign w:val="bottom"/>
          </w:tcPr>
          <w:p>
            <w:pPr>
              <w:ind w:left="280"/>
              <w:spacing w:after="0" w:line="142" w:lineRule="exact"/>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8"/>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w w:val="96"/>
              </w:rPr>
              <w:t>2014</w:t>
            </w:r>
          </w:p>
        </w:tc>
        <w:tc>
          <w:tcPr>
            <w:tcW w:w="220" w:type="dxa"/>
            <w:vAlign w:val="bottom"/>
          </w:tcPr>
          <w:p>
            <w:pPr>
              <w:spacing w:after="0"/>
              <w:rPr>
                <w:sz w:val="12"/>
                <w:szCs w:val="12"/>
                <w:color w:val="auto"/>
              </w:rPr>
            </w:pPr>
          </w:p>
        </w:tc>
        <w:tc>
          <w:tcPr>
            <w:tcW w:w="114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net income attributable to PAA</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(16)%</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46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 per common unit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0.38</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0.60</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(37)%</w:t>
            </w: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46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w:t>
            </w: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2,168</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Distribution per common unit declared for the</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0.700</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0.675</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3.7%</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20" w:hanging="332"/>
        <w:spacing w:after="0"/>
        <w:tabs>
          <w:tab w:leader="none" w:pos="328"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measures as reported in accordance with GAAP.</w:t>
      </w:r>
    </w:p>
    <w:p>
      <w:pPr>
        <w:spacing w:after="0" w:line="204" w:lineRule="exact"/>
        <w:rPr>
          <w:sz w:val="20"/>
          <w:szCs w:val="20"/>
          <w:color w:val="auto"/>
        </w:rPr>
      </w:pPr>
    </w:p>
    <w:p>
      <w:pPr>
        <w:ind w:right="140" w:firstLine="654"/>
        <w:spacing w:after="0" w:line="261" w:lineRule="auto"/>
        <w:rPr>
          <w:sz w:val="20"/>
          <w:szCs w:val="20"/>
          <w:color w:val="auto"/>
        </w:rPr>
      </w:pPr>
      <w:r>
        <w:rPr>
          <w:rFonts w:ascii="Arial" w:cs="Arial" w:eastAsia="Arial" w:hAnsi="Arial"/>
          <w:sz w:val="18"/>
          <w:szCs w:val="18"/>
          <w:color w:val="auto"/>
        </w:rPr>
        <w:t xml:space="preserve">“PAA reported fourth-quarter and full-year 2015 results with adjusted EBITDA of $563 million and $2.17 billion, respectively, which were slightly below the low end of our guidance ranges issued last November,” said Greg Armstrong, Chairman and CEO of Plains All American. “Our fourth-quarter results were negatively impacted by approximately $15 million associated with deficiencies on </w:t>
      </w:r>
      <w:r>
        <w:rPr>
          <w:rFonts w:ascii="Arial" w:cs="Arial" w:eastAsia="Arial" w:hAnsi="Arial"/>
          <w:sz w:val="17"/>
          <w:szCs w:val="17"/>
          <w:color w:val="auto"/>
        </w:rPr>
        <w:t>minimum volume commitments and an approximate $15</w:t>
      </w:r>
      <w:r>
        <w:rPr>
          <w:rFonts w:ascii="Arial" w:cs="Arial" w:eastAsia="Arial" w:hAnsi="Arial"/>
          <w:sz w:val="18"/>
          <w:szCs w:val="18"/>
          <w:color w:val="auto"/>
        </w:rPr>
        <w:t xml:space="preserve"> </w:t>
      </w:r>
      <w:r>
        <w:rPr>
          <w:rFonts w:ascii="Arial" w:cs="Arial" w:eastAsia="Arial" w:hAnsi="Arial"/>
          <w:sz w:val="17"/>
          <w:szCs w:val="17"/>
          <w:color w:val="auto"/>
        </w:rPr>
        <w:t>million shift in earnings recognition on certain NGL sales activities from the fourth quarter of 2015 to the first quarter of 2016. This earnings shift is primarily the result of delayed inventory draws due to unseasonably warm temperatures in certain parts of the U.S. and Canada as well as impacts of inventory pricing during the fourth quarter. Additionally, severe weather in West Texas and the Mid-continent resulted in volume shortfalls impacting results by approximately $5 million.”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Armstrong stated that the partnership is well positioned to manage through near-term challenges and to grow meaningfully in the intermediate and long-term as industry conditions improve.</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$1.6 billion of proceeds from our recent preferred equity placement satisfies PAA’s equity financing needs for 2016 and substantially all of 2017 and enables PAA to complete its multi-year, multi-billion dollar capital expansion program, while maintaining substantial liquidity and a solid balance sheet.”</w:t>
      </w:r>
    </w:p>
    <w:p>
      <w:pPr>
        <w:spacing w:after="0" w:line="18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Armstrong continued, “PAA has visibility for incremental cash flow contributions over the next 24 months from the completion of these projects, the majority of which are backed by minimum volume commitments and other contractual support. These projects enhance PAA’s existing footprint and provide further significant leverage to a sustained increase in U.S. production levels with little to no incremental investment.”</w:t>
      </w:r>
    </w:p>
    <w:p>
      <w:pPr>
        <w:sectPr>
          <w:pgSz w:w="11900" w:h="16907" w:orient="portrait"/>
          <w:cols w:equalWidth="0" w:num="1">
            <w:col w:w="11420"/>
          </w:cols>
          <w:pgMar w:left="240" w:top="121" w:right="239" w:bottom="0" w:gutter="0" w:footer="0" w:header="0"/>
        </w:sectPr>
      </w:pPr>
    </w:p>
    <w:bookmarkStart w:id="3" w:name="page4"/>
    <w:bookmarkEnd w:id="3"/>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selected PAA financial information by segment for the fourth quarter and full year of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40" w:type="dxa"/>
            <w:vAlign w:val="bottom"/>
            <w:gridSpan w:val="5"/>
          </w:tcPr>
          <w:p>
            <w:pPr>
              <w:jc w:val="center"/>
              <w:ind w:left="836"/>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6"/>
          </w:tcPr>
          <w:p>
            <w:pPr>
              <w:jc w:val="center"/>
              <w:ind w:left="859"/>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1"/>
              </w:rPr>
              <w:t>December 31, 2015</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center"/>
              <w:ind w:left="859"/>
              <w:spacing w:after="0"/>
              <w:rPr>
                <w:sz w:val="20"/>
                <w:szCs w:val="20"/>
                <w:color w:val="auto"/>
              </w:rPr>
            </w:pPr>
            <w:r>
              <w:rPr>
                <w:rFonts w:ascii="Arial" w:cs="Arial" w:eastAsia="Arial" w:hAnsi="Arial"/>
                <w:sz w:val="14"/>
                <w:szCs w:val="14"/>
                <w:b w:val="1"/>
                <w:bCs w:val="1"/>
                <w:color w:val="auto"/>
                <w:w w:val="91"/>
              </w:rPr>
              <w:t>December 31, 2014</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w w:val="97"/>
              </w:rPr>
              <w:t>Transportation</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Facilities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w w:val="99"/>
              </w:rPr>
              <w:t>Supply and</w:t>
            </w:r>
          </w:p>
        </w:tc>
        <w:tc>
          <w:tcPr>
            <w:tcW w:w="3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9"/>
              </w:rPr>
              <w:t>Transportation</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Facilities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Borders>
              <w:right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87"/>
              </w:rPr>
              <w:t>Logistics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Reported segment profit</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3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Selected items impacting comparability</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of segment profit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segment profit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i w:val="1"/>
                <w:iCs w:val="1"/>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256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i w:val="1"/>
                <w:iCs w:val="1"/>
                <w:color w:val="auto"/>
              </w:rPr>
              <w:t>150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99"/>
              </w:rPr>
              <w:t>$</w:t>
            </w:r>
          </w:p>
        </w:tc>
        <w:tc>
          <w:tcPr>
            <w:tcW w:w="12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b w:val="1"/>
                <w:bCs w:val="1"/>
                <w:i w:val="1"/>
                <w:iCs w:val="1"/>
                <w:color w:val="auto"/>
              </w:rPr>
              <w:t>157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i w:val="1"/>
                <w:iCs w:val="1"/>
                <w:color w:val="auto"/>
              </w:rPr>
              <w:t>270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i w:val="1"/>
                <w:iCs w:val="1"/>
                <w:color w:val="auto"/>
              </w:rPr>
              <w:t>151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i w:val="1"/>
                <w:iCs w:val="1"/>
                <w:color w:val="auto"/>
              </w:rPr>
              <w:t>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right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w w:val="88"/>
              </w:rPr>
              <w:t>Percentage change in adjusted segment</w:t>
            </w:r>
          </w:p>
        </w:tc>
        <w:tc>
          <w:tcPr>
            <w:tcW w:w="160" w:type="dxa"/>
            <w:vAlign w:val="bottom"/>
            <w:shd w:val="clear" w:color="auto" w:fill="CCEEFF"/>
          </w:tcPr>
          <w:p>
            <w:pPr>
              <w:spacing w:after="0"/>
              <w:rPr>
                <w:sz w:val="17"/>
                <w:szCs w:val="17"/>
                <w:color w:val="auto"/>
              </w:rPr>
            </w:pPr>
          </w:p>
        </w:tc>
        <w:tc>
          <w:tcPr>
            <w:tcW w:w="1560" w:type="dxa"/>
            <w:vAlign w:val="bottom"/>
            <w:gridSpan w:val="2"/>
            <w:vMerge w:val="restart"/>
            <w:shd w:val="clear" w:color="auto" w:fill="CCEEFF"/>
          </w:tcPr>
          <w:p>
            <w:pPr>
              <w:jc w:val="right"/>
              <w:ind w:right="59"/>
              <w:spacing w:after="0"/>
              <w:rPr>
                <w:sz w:val="20"/>
                <w:szCs w:val="20"/>
                <w:color w:val="auto"/>
              </w:rPr>
            </w:pPr>
            <w:r>
              <w:rPr>
                <w:rFonts w:ascii="Arial" w:cs="Arial" w:eastAsia="Arial" w:hAnsi="Arial"/>
                <w:sz w:val="18"/>
                <w:szCs w:val="18"/>
                <w:b w:val="1"/>
                <w:bCs w:val="1"/>
                <w:i w:val="1"/>
                <w:iCs w:val="1"/>
                <w:color w:val="auto"/>
              </w:rPr>
              <w:t>(5)%</w:t>
            </w:r>
          </w:p>
        </w:tc>
        <w:tc>
          <w:tcPr>
            <w:tcW w:w="14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rPr>
              <w:t>(1)%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i w:val="1"/>
                <w:iCs w:val="1"/>
                <w:color w:val="auto"/>
              </w:rPr>
              <w:t>(9)%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profit versus 2014 period</w:t>
            </w:r>
          </w:p>
        </w:tc>
        <w:tc>
          <w:tcPr>
            <w:tcW w:w="160" w:type="dxa"/>
            <w:vAlign w:val="bottom"/>
            <w:shd w:val="clear" w:color="auto" w:fill="CCEEFF"/>
          </w:tcPr>
          <w:p>
            <w:pPr>
              <w:spacing w:after="0"/>
              <w:rPr>
                <w:sz w:val="18"/>
                <w:szCs w:val="18"/>
                <w:color w:val="auto"/>
              </w:rPr>
            </w:pPr>
          </w:p>
        </w:tc>
        <w:tc>
          <w:tcPr>
            <w:tcW w:w="15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5"/>
          </w:tcPr>
          <w:p>
            <w:pPr>
              <w:jc w:val="center"/>
              <w:ind w:left="836"/>
              <w:spacing w:after="0"/>
              <w:rPr>
                <w:sz w:val="20"/>
                <w:szCs w:val="20"/>
                <w:color w:val="auto"/>
              </w:rPr>
            </w:pPr>
            <w:r>
              <w:rPr>
                <w:rFonts w:ascii="Arial" w:cs="Arial" w:eastAsia="Arial" w:hAnsi="Arial"/>
                <w:sz w:val="14"/>
                <w:szCs w:val="14"/>
                <w:b w:val="1"/>
                <w:bCs w:val="1"/>
                <w:color w:val="auto"/>
                <w:w w:val="93"/>
              </w:rPr>
              <w:t>Twelve Months Ended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6"/>
          </w:tcPr>
          <w:p>
            <w:pPr>
              <w:jc w:val="center"/>
              <w:ind w:left="859"/>
              <w:spacing w:after="0"/>
              <w:rPr>
                <w:sz w:val="20"/>
                <w:szCs w:val="20"/>
                <w:color w:val="auto"/>
              </w:rPr>
            </w:pPr>
            <w:r>
              <w:rPr>
                <w:rFonts w:ascii="Arial" w:cs="Arial" w:eastAsia="Arial" w:hAnsi="Arial"/>
                <w:sz w:val="14"/>
                <w:szCs w:val="14"/>
                <w:b w:val="1"/>
                <w:bCs w:val="1"/>
                <w:color w:val="auto"/>
                <w:w w:val="92"/>
              </w:rPr>
              <w:t>Twelve Months Ended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1"/>
              </w:rPr>
              <w:t>December 31, 2015</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center"/>
              <w:ind w:left="859"/>
              <w:spacing w:after="0"/>
              <w:rPr>
                <w:sz w:val="20"/>
                <w:szCs w:val="20"/>
                <w:color w:val="auto"/>
              </w:rPr>
            </w:pPr>
            <w:r>
              <w:rPr>
                <w:rFonts w:ascii="Arial" w:cs="Arial" w:eastAsia="Arial" w:hAnsi="Arial"/>
                <w:sz w:val="14"/>
                <w:szCs w:val="14"/>
                <w:b w:val="1"/>
                <w:bCs w:val="1"/>
                <w:color w:val="auto"/>
                <w:w w:val="91"/>
              </w:rPr>
              <w:t>December 31, 2014</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w w:val="97"/>
              </w:rPr>
              <w:t>Transportation</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Facilities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w w:val="99"/>
              </w:rPr>
              <w:t>Supply and</w:t>
            </w:r>
          </w:p>
        </w:tc>
        <w:tc>
          <w:tcPr>
            <w:tcW w:w="3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9"/>
              </w:rPr>
              <w:t>Transportation</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Facilities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Borders>
              <w:right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87"/>
              </w:rPr>
              <w:t>Logistics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Reported segment profit</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3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Selected items impacting comparability</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of segment profit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segment profit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i w:val="1"/>
                <w:iCs w:val="1"/>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1,011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i w:val="1"/>
                <w:iCs w:val="1"/>
                <w:color w:val="auto"/>
              </w:rPr>
              <w:t>588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99"/>
              </w:rPr>
              <w:t>$</w:t>
            </w:r>
          </w:p>
        </w:tc>
        <w:tc>
          <w:tcPr>
            <w:tcW w:w="12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b w:val="1"/>
                <w:bCs w:val="1"/>
                <w:i w:val="1"/>
                <w:iCs w:val="1"/>
                <w:color w:val="auto"/>
              </w:rPr>
              <w:t>568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i w:val="1"/>
                <w:iCs w:val="1"/>
                <w:color w:val="auto"/>
              </w:rPr>
              <w:t>950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i w:val="1"/>
                <w:iCs w:val="1"/>
                <w:color w:val="auto"/>
              </w:rPr>
              <w:t>597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i w:val="1"/>
                <w:iCs w:val="1"/>
                <w:color w:val="auto"/>
              </w:rPr>
              <w:t>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right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w w:val="88"/>
              </w:rPr>
              <w:t>Percentage change in adjusted segment</w:t>
            </w:r>
          </w:p>
        </w:tc>
        <w:tc>
          <w:tcPr>
            <w:tcW w:w="160" w:type="dxa"/>
            <w:vAlign w:val="bottom"/>
            <w:shd w:val="clear" w:color="auto" w:fill="CCEEFF"/>
          </w:tcPr>
          <w:p>
            <w:pPr>
              <w:spacing w:after="0"/>
              <w:rPr>
                <w:sz w:val="17"/>
                <w:szCs w:val="17"/>
                <w:color w:val="auto"/>
              </w:rPr>
            </w:pPr>
          </w:p>
        </w:tc>
        <w:tc>
          <w:tcPr>
            <w:tcW w:w="1560" w:type="dxa"/>
            <w:vAlign w:val="bottom"/>
            <w:gridSpan w:val="2"/>
            <w:vMerge w:val="restart"/>
            <w:shd w:val="clear" w:color="auto" w:fill="CCEEFF"/>
          </w:tcPr>
          <w:p>
            <w:pPr>
              <w:jc w:val="right"/>
              <w:ind w:right="119"/>
              <w:spacing w:after="0"/>
              <w:rPr>
                <w:sz w:val="20"/>
                <w:szCs w:val="20"/>
                <w:color w:val="auto"/>
              </w:rPr>
            </w:pPr>
            <w:r>
              <w:rPr>
                <w:rFonts w:ascii="Arial" w:cs="Arial" w:eastAsia="Arial" w:hAnsi="Arial"/>
                <w:sz w:val="18"/>
                <w:szCs w:val="18"/>
                <w:b w:val="1"/>
                <w:bCs w:val="1"/>
                <w:i w:val="1"/>
                <w:iCs w:val="1"/>
                <w:color w:val="auto"/>
              </w:rPr>
              <w:t>6%</w:t>
            </w:r>
          </w:p>
        </w:tc>
        <w:tc>
          <w:tcPr>
            <w:tcW w:w="14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rPr>
              <w:t>(2)%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i w:val="1"/>
                <w:iCs w:val="1"/>
                <w:color w:val="auto"/>
              </w:rPr>
              <w:t>(13)%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profit versus 2014 period</w:t>
            </w:r>
          </w:p>
        </w:tc>
        <w:tc>
          <w:tcPr>
            <w:tcW w:w="160" w:type="dxa"/>
            <w:vAlign w:val="bottom"/>
            <w:shd w:val="clear" w:color="auto" w:fill="CCEEFF"/>
          </w:tcPr>
          <w:p>
            <w:pPr>
              <w:spacing w:after="0"/>
              <w:rPr>
                <w:sz w:val="18"/>
                <w:szCs w:val="18"/>
                <w:color w:val="auto"/>
              </w:rPr>
            </w:pPr>
          </w:p>
        </w:tc>
        <w:tc>
          <w:tcPr>
            <w:tcW w:w="15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60" w:hanging="332"/>
        <w:spacing w:after="0" w:line="238" w:lineRule="auto"/>
        <w:tabs>
          <w:tab w:leader="none" w:pos="328"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w:t>
      </w:r>
    </w:p>
    <w:p>
      <w:pPr>
        <w:ind w:left="320" w:hanging="312"/>
        <w:spacing w:after="0" w:line="196" w:lineRule="auto"/>
        <w:tabs>
          <w:tab w:leader="none" w:pos="320"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3</w:t>
      </w:r>
    </w:p>
    <w:p>
      <w:pPr>
        <w:spacing w:after="0" w:line="225"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Fourth-quarter 2015 Transportation adjusted segment profit decreased 5% versus comparable 2014 results. This decrease was primarily driven by lower pipeline loss allowance revenue due to a lower realized average price per barrel during fourth-quarter 2015, partially offset by higher equity earnings from our 50% interest in the BridgeTex pipeline.</w:t>
      </w:r>
    </w:p>
    <w:p>
      <w:pPr>
        <w:spacing w:after="0" w:line="181"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Fourth-quarter 2015 Facilities adjusted segment profit decreased 1% versus comparable 2014 results. This decrease was primarily due to lower revenues associated with our rail and natural gas storage activities, partially offset by increased storage revenue at our west coast terminals.</w:t>
      </w:r>
    </w:p>
    <w:p>
      <w:pPr>
        <w:spacing w:after="0" w:line="12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Fourth-quarter 2015 Supply and Logistics adjusted segment profit decreased by 9% relative to comparable 2014 results. This decrease was primarily driven by lower volumes and margins associated with our crude oil lease gathering due to less favorable market conditions as a result of increased competition. This decrease was partially offset by increased margins on NGL sales.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PAGP’s sole assets are its ownership interest in PAA’s general partner and incentive distribution rights. As the control entity of PAA, PAGP consolidates PAA’s results into its financial statements, which is reflected in the condensed consolidating balance sheet and income statement included at the end of this release. Information regarding PAGP’s distributions is reflected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ind w:right="336"/>
              <w:spacing w:after="0"/>
              <w:rPr>
                <w:sz w:val="20"/>
                <w:szCs w:val="20"/>
                <w:color w:val="auto"/>
              </w:rPr>
            </w:pPr>
            <w:r>
              <w:rPr>
                <w:rFonts w:ascii="Arial" w:cs="Arial" w:eastAsia="Arial" w:hAnsi="Arial"/>
                <w:sz w:val="14"/>
                <w:szCs w:val="14"/>
                <w:b w:val="1"/>
                <w:bCs w:val="1"/>
                <w:color w:val="auto"/>
              </w:rPr>
              <w:t>Q4 2015</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Q3 2015</w:t>
            </w:r>
          </w:p>
        </w:tc>
        <w:tc>
          <w:tcPr>
            <w:tcW w:w="26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Q4 2014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Distribution per Class A share declared for the period</w:t>
            </w:r>
          </w:p>
        </w:tc>
        <w:tc>
          <w:tcPr>
            <w:tcW w:w="2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0.231</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0.231</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0.203</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8"/>
                <w:szCs w:val="18"/>
                <w:b w:val="1"/>
                <w:bCs w:val="1"/>
                <w:color w:val="auto"/>
                <w:w w:val="92"/>
              </w:rPr>
              <w:t>Q4 2015 distribution percentage growth from prior periods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000" w:type="dxa"/>
            <w:vAlign w:val="bottom"/>
            <w:vMerge w:val="restart"/>
          </w:tcPr>
          <w:p>
            <w:pPr>
              <w:ind w:left="760"/>
              <w:spacing w:after="0"/>
              <w:rPr>
                <w:sz w:val="20"/>
                <w:szCs w:val="20"/>
                <w:color w:val="auto"/>
              </w:rPr>
            </w:pPr>
            <w:r>
              <w:rPr>
                <w:rFonts w:ascii="Arial" w:cs="Arial" w:eastAsia="Arial" w:hAnsi="Arial"/>
                <w:sz w:val="18"/>
                <w:szCs w:val="18"/>
                <w:color w:val="auto"/>
              </w:rPr>
              <w:t>– more –</w:t>
            </w: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40" w:type="dxa"/>
            <w:vAlign w:val="bottom"/>
          </w:tcPr>
          <w:p>
            <w:pPr>
              <w:ind w:left="2200"/>
              <w:spacing w:after="0"/>
              <w:rPr>
                <w:sz w:val="20"/>
                <w:szCs w:val="20"/>
                <w:color w:val="auto"/>
              </w:rPr>
            </w:pPr>
            <w:r>
              <w:rPr>
                <w:rFonts w:ascii="Arial" w:cs="Arial" w:eastAsia="Arial" w:hAnsi="Arial"/>
                <w:sz w:val="18"/>
                <w:szCs w:val="18"/>
                <w:b w:val="1"/>
                <w:bCs w:val="1"/>
                <w:color w:val="auto"/>
              </w:rPr>
              <w:t>333 Clay Street, Suite 1600</w:t>
            </w:r>
          </w:p>
        </w:tc>
        <w:tc>
          <w:tcPr>
            <w:tcW w:w="2000" w:type="dxa"/>
            <w:vAlign w:val="bottom"/>
          </w:tcPr>
          <w:p>
            <w:pPr>
              <w:ind w:left="80"/>
              <w:spacing w:after="0"/>
              <w:rPr>
                <w:sz w:val="20"/>
                <w:szCs w:val="20"/>
                <w:color w:val="auto"/>
              </w:rPr>
            </w:pPr>
            <w:r>
              <w:rPr>
                <w:rFonts w:ascii="Arial" w:cs="Arial" w:eastAsia="Arial" w:hAnsi="Arial"/>
                <w:sz w:val="18"/>
                <w:szCs w:val="18"/>
                <w:b w:val="1"/>
                <w:bCs w:val="1"/>
                <w:color w:val="auto"/>
              </w:rPr>
              <w:t>Houston, Texas 77002</w:t>
            </w:r>
          </w:p>
        </w:tc>
        <w:tc>
          <w:tcPr>
            <w:tcW w:w="140" w:type="dxa"/>
            <w:vAlign w:val="bottom"/>
          </w:tcPr>
          <w:p>
            <w:pPr>
              <w:spacing w:after="0"/>
              <w:rPr>
                <w:sz w:val="19"/>
                <w:szCs w:val="19"/>
                <w:color w:val="auto"/>
              </w:rPr>
            </w:pPr>
          </w:p>
        </w:tc>
        <w:tc>
          <w:tcPr>
            <w:tcW w:w="2840" w:type="dxa"/>
            <w:vAlign w:val="bottom"/>
            <w:gridSpan w:val="4"/>
          </w:tcPr>
          <w:p>
            <w:pPr>
              <w:jc w:val="right"/>
              <w:ind w:right="316"/>
              <w:spacing w:after="0"/>
              <w:rPr>
                <w:sz w:val="20"/>
                <w:szCs w:val="20"/>
                <w:color w:val="auto"/>
              </w:rPr>
            </w:pPr>
            <w:r>
              <w:rPr>
                <w:rFonts w:ascii="Arial" w:cs="Arial" w:eastAsia="Arial" w:hAnsi="Arial"/>
                <w:sz w:val="18"/>
                <w:szCs w:val="18"/>
                <w:b w:val="1"/>
                <w:bCs w:val="1"/>
                <w:color w:val="auto"/>
                <w:w w:val="92"/>
              </w:rPr>
              <w:t>(713) 646-4100 / (866) 809-1291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3"/>
        </w:trPr>
        <w:tc>
          <w:tcPr>
            <w:tcW w:w="464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4</w:t>
      </w:r>
    </w:p>
    <w:p>
      <w:pPr>
        <w:sectPr>
          <w:pgSz w:w="11900" w:h="16847" w:orient="portrait"/>
          <w:cols w:equalWidth="0" w:num="1">
            <w:col w:w="11460"/>
          </w:cols>
          <w:pgMar w:left="240" w:top="341" w:right="199" w:bottom="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PAA and PAGP will hold a conference call on February 9, 2016 (see details below). Prior to this conference call, PAA will furnish a current report on Form 8-K, which will include material in this news release as well as PAA’s financial and operational guidance for the first quarter and full year of 2016. A copy of the Form 8-K will be available at www.plainsallamerican.com, where PAA and PAGP routinely post important information.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PAA and PAGP conference call will be held at 11:00 a.m. ET on Tuesday, February 9, 2016 to discuss the following items:</w:t>
      </w:r>
    </w:p>
    <w:p>
      <w:pPr>
        <w:spacing w:after="0" w:line="225"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PAA’s fourth-quarter and full-year 2015 performance;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status of major expansion projects;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Capitalization and liquidity;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and operating guidance for the first quarter and full year of 2016;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PAA’s and PAGP’s outlook for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Access Instructions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To access the Internet webcast of the conference call, please go to www.plainsallamerican.com, under the “Investor Relations” section of the website (Navigate to: Investor Relations / either “PAA” or “PAGP” / News &amp; Events / Quarterly Earnings). Following the live webcast, the call will be archived for a period of sixty (60) days on the website.</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Alternatively, access to the live conference call is available by dialing toll free (800) 230-1092. International callers should dial (612) 288-0329. No password is required. The slide presentation accompanying the conference call will be available a few minutes prior to the call under the “Events and Presentations” tab of the PAA and PAGP Investor Relations sections of the above referenced website.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Telephonic Replay Instructions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To listen to a telephonic replay of the conference call, please dial (800) 475-6701, or (320) 365-3844 for international callers, and enter replay access code 383078. The replay will be available beginning Tuesday, February 9, 2016, at approximately 1:00 p.m. ET and will continue until 11:59 p.m. ET on March 9, 2016.</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that are known as “non-GAAP financial measures” (such as adjusted EBITDA and implied distributable cash flow (“DCF”)) in its evaluation of past performance and prospects for the future. 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We have defined all such items as “Selected Items Impacting Comparability.” We consider an understanding of these selected items impacting comparability to be material to the evaluation of our operating results and prospects.</w:t>
      </w:r>
    </w:p>
    <w:p>
      <w:pPr>
        <w:spacing w:after="0" w:line="188"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These types of variations are not separately identified in this release, but will be discussed, as applicable, in management’s discussion and analysis of operating results in our Annual Report on Form 10-K.</w:t>
      </w:r>
    </w:p>
    <w:p>
      <w:pPr>
        <w:spacing w:after="0" w:line="154" w:lineRule="exact"/>
        <w:rPr>
          <w:sz w:val="20"/>
          <w:szCs w:val="20"/>
          <w:color w:val="auto"/>
        </w:rPr>
      </w:pPr>
    </w:p>
    <w:p>
      <w:pPr>
        <w:jc w:val="both"/>
        <w:ind w:right="120" w:firstLine="648"/>
        <w:spacing w:after="0" w:line="297" w:lineRule="auto"/>
        <w:rPr>
          <w:sz w:val="20"/>
          <w:szCs w:val="20"/>
          <w:color w:val="auto"/>
        </w:rPr>
      </w:pPr>
      <w:r>
        <w:rPr>
          <w:rFonts w:ascii="Arial" w:cs="Arial" w:eastAsia="Arial" w:hAnsi="Arial"/>
          <w:sz w:val="16"/>
          <w:szCs w:val="16"/>
          <w:color w:val="auto"/>
        </w:rPr>
        <w:t>Adjusted EBITDA and other non-GAAP financial measures are reconciled to the most comparable measures as reported in accordance with GAAP for the periods presented in the tables attached to this release, and should be viewed in addition to, and not in lieu of, our Consolidated Financial Statements and notes thereto. In addition, PAA maintains on its website (www.plainsallamerican.com) a reconciliation of adjusted EBITDA and certain commonly used non-GAAP financial information to the most comparable GAAP measures. To access the information, investors should click on “PAA” under the “Investor Relations” tab on the home page, select the “Financial Information” tab and navigate to the “Non-GAAP Reconciliations” link.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468" w:gutter="0" w:footer="0" w:header="0"/>
        </w:sectPr>
      </w:pPr>
    </w:p>
    <w:bookmarkStart w:id="5" w:name="page6"/>
    <w:bookmarkEnd w:id="5"/>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 the effects of competition; failure to implement or capitalize, or delays in implementing or capitalizing, on expansion projects; unanticipated changes in crude oil market structure, grade differentials and volatility (or lack thereof); environmental liabilities or events that are not covered by an indemnity, insurance or existing reserves; fluctuations in refinery capacity in areas supplied by our mainlines and other factors affecting demand for various grades of crude oil, refined products and natural gas and resulting changes in pricing conditions or transportation throughput requirements; the occurrence of a natural disaster, catastrophe, terrorist attack or other event, including attacks on our electronic and computer systems;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currency exchange rate of the Canadian dollar; continued creditworthiness of, and performance by, our counterparties, including financial institutions and trading companies with which we do business; maintenance of our credit rating and ability to receive open credit from our suppliers and trade counterparties; non-utilization of our assets and facilities; weather interference with business operations or project construction, including the impact of extreme weather events or conditions; the availability of, and our ability to consummate, acquisition or combination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7</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opportunities; the successful integration and future performance of acquired assets or businesses and the risks associated with operating in lines of business that are distinct and separate from our historical operations; increased costs, or lack of availability, of insurance; the effectiveness of our risk management activities; shortages or cost increases of supplies, materials or labor; the impact of current and future laws, rulings, governmental regulations, accounting standards and statements and related interpretations; fluctuations in the debt and equity markets, including the price of our units at the time of vesting under our long-term incentive plans; risks related to the development and operation of our assets, including our ability to satisfy our contractual obligations to our customers; inability to recognize current revenue attributable to deficiency payments received from customers who fail to ship or move more than minimum contracted volumes until the related credits expire or are used;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as discussed in the Partnerships’ filings with the Securities and Exchange Commission.</w:t>
      </w:r>
    </w:p>
    <w:p>
      <w:pPr>
        <w:spacing w:after="0" w:line="18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4.4 million barrels per day of crude oil and NGL in its Transportation segment. PAA is headquartered in Houston, Texas.</w:t>
      </w:r>
    </w:p>
    <w:p>
      <w:pPr>
        <w:spacing w:after="0" w:line="188"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Plains GP Holdings is a publicly traded entity that owns an interest in the general partner and incentive distribution rights of Plains All American Pipeline, L.P., one of the largest energy infrastructure and logistics companies in North America. PAGP is headquartered in Houston, Texas.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160" w:type="dxa"/>
            <w:vAlign w:val="bottom"/>
            <w:gridSpan w:val="4"/>
          </w:tcPr>
          <w:p>
            <w:pPr>
              <w:jc w:val="center"/>
              <w:ind w:left="347"/>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3"/>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259"/>
              <w:spacing w:after="0"/>
              <w:rPr>
                <w:sz w:val="20"/>
                <w:szCs w:val="20"/>
                <w:color w:val="auto"/>
              </w:rPr>
            </w:pPr>
            <w:r>
              <w:rPr>
                <w:rFonts w:ascii="Arial" w:cs="Arial" w:eastAsia="Arial" w:hAnsi="Arial"/>
                <w:sz w:val="14"/>
                <w:szCs w:val="14"/>
                <w:b w:val="1"/>
                <w:bCs w:val="1"/>
                <w:color w:val="auto"/>
                <w:w w:val="92"/>
              </w:rPr>
              <w:t>December 31,</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left="457"/>
              <w:spacing w:after="0"/>
              <w:rPr>
                <w:sz w:val="20"/>
                <w:szCs w:val="20"/>
                <w:color w:val="auto"/>
              </w:rPr>
            </w:pPr>
            <w:r>
              <w:rPr>
                <w:rFonts w:ascii="Arial" w:cs="Arial" w:eastAsia="Arial" w:hAnsi="Arial"/>
                <w:sz w:val="14"/>
                <w:szCs w:val="14"/>
                <w:b w:val="1"/>
                <w:bCs w:val="1"/>
                <w:color w:val="auto"/>
                <w:w w:val="92"/>
              </w:rPr>
              <w:t>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4,996</w:t>
            </w: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9,459</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23,152</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7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4,135</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8,384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19,726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343</w:t>
            </w: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61</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278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43" w:orient="portrait"/>
          <w:cols w:equalWidth="0" w:num="1">
            <w:col w:w="11420"/>
          </w:cols>
          <w:pgMar w:left="240" w:top="341" w:right="239" w:bottom="0" w:gutter="0" w:footer="0" w:header="0"/>
        </w:sectPr>
      </w:pPr>
    </w:p>
    <w:bookmarkStart w:id="6" w:name="page7"/>
    <w:bookmarkEnd w:id="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42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4,652</w:t>
            </w: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8,927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21,890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41,665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4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344</w:t>
            </w:r>
          </w:p>
        </w:tc>
        <w:tc>
          <w:tcPr>
            <w:tcW w:w="4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Interest expense, net</w:t>
            </w:r>
          </w:p>
        </w:tc>
        <w:tc>
          <w:tcPr>
            <w:tcW w:w="4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4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4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248</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4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INCOME ATTRIBUTABLE TO COMMON UNITHOLDERS</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BASIC NET INCOME PER COMMON UNIT</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0.24</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0.67</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0.78</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DILUTED NET INCOME PER COMMON UNIT</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0.24</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0.67</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0.77</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BASIC WEIGHTED AVERAGE COMMON UNITS OUTSTANDING</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398</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80" w:type="dxa"/>
            <w:vAlign w:val="bottom"/>
            <w:shd w:val="clear" w:color="auto" w:fill="CCEEFF"/>
          </w:tcPr>
          <w:p>
            <w:pPr>
              <w:ind w:left="160"/>
              <w:spacing w:after="0" w:line="198" w:lineRule="exact"/>
              <w:rPr>
                <w:sz w:val="20"/>
                <w:szCs w:val="20"/>
                <w:color w:val="auto"/>
              </w:rPr>
            </w:pPr>
            <w:r>
              <w:rPr>
                <w:rFonts w:ascii="Arial" w:cs="Arial" w:eastAsia="Arial" w:hAnsi="Arial"/>
                <w:sz w:val="18"/>
                <w:szCs w:val="18"/>
                <w:b w:val="1"/>
                <w:bCs w:val="1"/>
                <w:color w:val="auto"/>
              </w:rPr>
              <w:t>DILUTED WEIGHTED AVERAGE COMMON UNITS</w:t>
            </w:r>
          </w:p>
        </w:tc>
        <w:tc>
          <w:tcPr>
            <w:tcW w:w="42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399</w:t>
            </w:r>
          </w:p>
        </w:tc>
        <w:tc>
          <w:tcPr>
            <w:tcW w:w="42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OUTSTANDING</w:t>
            </w:r>
          </w:p>
        </w:tc>
        <w:tc>
          <w:tcPr>
            <w:tcW w:w="4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640" w:hanging="332"/>
        <w:spacing w:after="0" w:line="267" w:lineRule="auto"/>
        <w:tabs>
          <w:tab w:leader="none" w:pos="328"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The 2014 periods have been retroactively adjusted to reflect the reclassification of the amortization of debt issuance costs from “Depreciation and amortization” to “Interest expense, net” as a result of our adoption of revised debt issuance costs guidance issued by the FASB.</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ADJUSTED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ind w:left="320"/>
              <w:spacing w:after="0"/>
              <w:rPr>
                <w:sz w:val="20"/>
                <w:szCs w:val="20"/>
                <w:color w:val="auto"/>
              </w:rPr>
            </w:pPr>
            <w:r>
              <w:rPr>
                <w:rFonts w:ascii="Arial" w:cs="Arial" w:eastAsia="Arial" w:hAnsi="Arial"/>
                <w:sz w:val="14"/>
                <w:szCs w:val="14"/>
                <w:b w:val="1"/>
                <w:bCs w:val="1"/>
                <w:color w:val="auto"/>
              </w:rPr>
              <w:t>Twelve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394"/>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 ATTRIBUTABLE TO PAA</w:t>
            </w:r>
          </w:p>
        </w:tc>
        <w:tc>
          <w:tcPr>
            <w:tcW w:w="6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304</w:t>
            </w: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1,191</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 PER COMMON UNIT</w:t>
            </w:r>
          </w:p>
        </w:tc>
        <w:tc>
          <w:tcPr>
            <w:tcW w:w="15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0.38</w:t>
            </w: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0.60</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6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563</w:t>
            </w: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594</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568"/>
              <w:spacing w:after="0"/>
              <w:rPr>
                <w:sz w:val="20"/>
                <w:szCs w:val="20"/>
                <w:color w:val="auto"/>
              </w:rPr>
            </w:pPr>
            <w:r>
              <w:rPr>
                <w:rFonts w:ascii="Arial" w:cs="Arial" w:eastAsia="Arial" w:hAnsi="Arial"/>
                <w:sz w:val="18"/>
                <w:szCs w:val="18"/>
                <w:color w:val="auto"/>
              </w:rPr>
              <w:t>– more –</w:t>
            </w: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00" w:type="dxa"/>
            <w:vAlign w:val="bottom"/>
          </w:tcPr>
          <w:p>
            <w:pPr>
              <w:ind w:left="2180"/>
              <w:spacing w:after="0"/>
              <w:rPr>
                <w:sz w:val="20"/>
                <w:szCs w:val="20"/>
                <w:color w:val="auto"/>
              </w:rPr>
            </w:pPr>
            <w:r>
              <w:rPr>
                <w:rFonts w:ascii="Arial" w:cs="Arial" w:eastAsia="Arial" w:hAnsi="Arial"/>
                <w:sz w:val="18"/>
                <w:szCs w:val="18"/>
                <w:b w:val="1"/>
                <w:bCs w:val="1"/>
                <w:color w:val="auto"/>
              </w:rPr>
              <w:t>333 Clay Street, Suite 1600</w:t>
            </w:r>
          </w:p>
        </w:tc>
        <w:tc>
          <w:tcPr>
            <w:tcW w:w="2160" w:type="dxa"/>
            <w:vAlign w:val="bottom"/>
            <w:gridSpan w:val="3"/>
          </w:tcPr>
          <w:p>
            <w:pPr>
              <w:jc w:val="right"/>
              <w:ind w:right="228"/>
              <w:spacing w:after="0"/>
              <w:rPr>
                <w:sz w:val="20"/>
                <w:szCs w:val="20"/>
                <w:color w:val="auto"/>
              </w:rPr>
            </w:pPr>
            <w:r>
              <w:rPr>
                <w:rFonts w:ascii="Arial" w:cs="Arial" w:eastAsia="Arial" w:hAnsi="Arial"/>
                <w:sz w:val="18"/>
                <w:szCs w:val="18"/>
                <w:b w:val="1"/>
                <w:bCs w:val="1"/>
                <w:color w:val="auto"/>
                <w:w w:val="97"/>
              </w:rPr>
              <w:t>Houston, Texas 77002</w:t>
            </w:r>
          </w:p>
        </w:tc>
        <w:tc>
          <w:tcPr>
            <w:tcW w:w="3220" w:type="dxa"/>
            <w:vAlign w:val="bottom"/>
            <w:gridSpan w:val="8"/>
          </w:tcPr>
          <w:p>
            <w:pPr>
              <w:jc w:val="right"/>
              <w:ind w:right="599"/>
              <w:spacing w:after="0"/>
              <w:rPr>
                <w:sz w:val="20"/>
                <w:szCs w:val="20"/>
                <w:color w:val="auto"/>
              </w:rPr>
            </w:pPr>
            <w:r>
              <w:rPr>
                <w:rFonts w:ascii="Arial" w:cs="Arial" w:eastAsia="Arial" w:hAnsi="Arial"/>
                <w:sz w:val="18"/>
                <w:szCs w:val="18"/>
                <w:b w:val="1"/>
                <w:bCs w:val="1"/>
                <w:color w:val="auto"/>
                <w:w w:val="96"/>
              </w:rPr>
              <w:t>(713) 646-4100 / (866) 809-1291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45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60" w:type="dxa"/>
            <w:vAlign w:val="bottom"/>
            <w:tcBorders>
              <w:bottom w:val="single" w:sz="8" w:color="CCEEFF"/>
            </w:tcBorders>
          </w:tcPr>
          <w:p>
            <w:pPr>
              <w:spacing w:after="0"/>
              <w:rPr>
                <w:sz w:val="14"/>
                <w:szCs w:val="14"/>
                <w:color w:val="auto"/>
              </w:rPr>
            </w:pPr>
          </w:p>
        </w:tc>
        <w:tc>
          <w:tcPr>
            <w:tcW w:w="2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Current assets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2,969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13,474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Goodwill</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2,405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Linefill and base gas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898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Other long-term assets, net</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386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24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Current liabilities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3,407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4,755</w:t>
            </w:r>
          </w:p>
        </w:tc>
        <w:tc>
          <w:tcPr>
            <w:tcW w:w="0" w:type="dxa"/>
            <w:vAlign w:val="bottom"/>
          </w:tcPr>
          <w:p>
            <w:pPr>
              <w:spacing w:after="0"/>
              <w:rPr>
                <w:sz w:val="1"/>
                <w:szCs w:val="1"/>
                <w:color w:val="auto"/>
              </w:rPr>
            </w:pPr>
          </w:p>
        </w:tc>
      </w:tr>
      <w:tr>
        <w:trPr>
          <w:trHeight w:val="70"/>
        </w:trPr>
        <w:tc>
          <w:tcPr>
            <w:tcW w:w="20" w:type="dxa"/>
            <w:vAlign w:val="bottom"/>
            <w:shd w:val="clear" w:color="auto" w:fill="CCEEFF"/>
          </w:tcPr>
          <w:p>
            <w:pPr>
              <w:spacing w:after="0"/>
              <w:rPr>
                <w:sz w:val="6"/>
                <w:szCs w:val="6"/>
                <w:color w:val="auto"/>
              </w:rPr>
            </w:pPr>
          </w:p>
        </w:tc>
        <w:tc>
          <w:tcPr>
            <w:tcW w:w="5860" w:type="dxa"/>
            <w:vAlign w:val="bottom"/>
            <w:shd w:val="clear" w:color="auto" w:fill="CCEEFF"/>
          </w:tcPr>
          <w:p>
            <w:pPr>
              <w:spacing w:after="0"/>
              <w:rPr>
                <w:sz w:val="6"/>
                <w:szCs w:val="6"/>
                <w:color w:val="auto"/>
              </w:rPr>
            </w:pPr>
          </w:p>
        </w:tc>
        <w:tc>
          <w:tcPr>
            <w:tcW w:w="24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5" w:right="199" w:bottom="0" w:gutter="0" w:footer="0" w:header="0"/>
        </w:sectPr>
      </w:pPr>
    </w:p>
    <w:bookmarkStart w:id="7" w:name="page8"/>
    <w:bookmarkEnd w:id="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 of unamortized discounts and debt issuance costs</w:t>
            </w:r>
          </w:p>
        </w:tc>
        <w:tc>
          <w:tcPr>
            <w:tcW w:w="1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9,698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Other long-term debt</w:t>
            </w:r>
          </w:p>
        </w:tc>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677</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1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17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14,349</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Partners’ capital excluding noncontrolling interests</w:t>
            </w:r>
          </w:p>
        </w:tc>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7,881</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partners’ capital</w:t>
            </w:r>
          </w:p>
        </w:tc>
        <w:tc>
          <w:tcPr>
            <w:tcW w:w="176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7,939</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partners’ capital</w:t>
            </w:r>
          </w:p>
        </w:tc>
        <w:tc>
          <w:tcPr>
            <w:tcW w:w="17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22,288</w:t>
            </w:r>
          </w:p>
        </w:tc>
        <w:tc>
          <w:tcPr>
            <w:tcW w:w="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CAPITALIZATION RATIOS</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December 31,</w:t>
            </w:r>
          </w:p>
        </w:tc>
        <w:tc>
          <w:tcPr>
            <w:tcW w:w="180" w:type="dxa"/>
            <w:vAlign w:val="bottom"/>
          </w:tcPr>
          <w:p>
            <w:pPr>
              <w:spacing w:after="0"/>
              <w:rPr>
                <w:sz w:val="14"/>
                <w:szCs w:val="14"/>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4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Long-term debt</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10,375</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8,704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9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Partners’ capital</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7,939</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8,191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book capitalization</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vMerge w:val="restart"/>
          </w:tcPr>
          <w:p>
            <w:pPr>
              <w:spacing w:after="0"/>
              <w:rPr>
                <w:sz w:val="20"/>
                <w:szCs w:val="20"/>
                <w:color w:val="auto"/>
              </w:rPr>
            </w:pPr>
            <w:r>
              <w:rPr>
                <w:rFonts w:ascii="Arial" w:cs="Arial" w:eastAsia="Arial" w:hAnsi="Arial"/>
                <w:sz w:val="18"/>
                <w:szCs w:val="18"/>
                <w:color w:val="auto"/>
              </w:rPr>
              <w:t>Total book capitalization, including short-term debt</w:t>
            </w:r>
          </w:p>
        </w:tc>
        <w:tc>
          <w:tcPr>
            <w:tcW w:w="18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40" w:type="dxa"/>
            <w:vAlign w:val="bottom"/>
            <w:tcBorders>
              <w:bottom w:val="single" w:sz="8" w:color="CCEEFF"/>
            </w:tcBorders>
            <w:vMerge w:val="continue"/>
          </w:tcPr>
          <w:p>
            <w:pPr>
              <w:spacing w:after="0"/>
              <w:rPr>
                <w:sz w:val="20"/>
                <w:szCs w:val="20"/>
                <w:color w:val="auto"/>
              </w:rPr>
            </w:pPr>
          </w:p>
        </w:tc>
        <w:tc>
          <w:tcPr>
            <w:tcW w:w="18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19,313</w:t>
            </w:r>
          </w:p>
        </w:tc>
        <w:tc>
          <w:tcPr>
            <w:tcW w:w="2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18,182</w:t>
            </w:r>
          </w:p>
        </w:tc>
        <w:tc>
          <w:tcPr>
            <w:tcW w:w="1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Long-term debt-to-total book capitalization</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Total debt-to-total book capitalization, including short-term debt</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80" w:hanging="332"/>
        <w:spacing w:after="0" w:line="267" w:lineRule="auto"/>
        <w:tabs>
          <w:tab w:leader="none" w:pos="32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The 2014 period has been retroactively adjusted to reflect the reclassification of certain debt issuance costs from “Other long-term assets, net” to “Senior notes, net of unamortized discounts and debt issuance costs” as a result of our adoption of revised debt issuance costs guidance issued by the FASB.</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b w:val="1"/>
                <w:bCs w:val="1"/>
                <w:color w:val="auto"/>
                <w:w w:val="91"/>
              </w:rPr>
              <w:t>December 31, 2015</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1"/>
              </w:rPr>
              <w:t>December 31, 2014</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3"/>
            <w:vMerge w:val="restart"/>
          </w:tcPr>
          <w:p>
            <w:pPr>
              <w:jc w:val="right"/>
              <w:ind w:right="168"/>
              <w:spacing w:after="0"/>
              <w:rPr>
                <w:sz w:val="20"/>
                <w:szCs w:val="20"/>
                <w:color w:val="auto"/>
              </w:rPr>
            </w:pPr>
            <w:r>
              <w:rPr>
                <w:rFonts w:ascii="Arial" w:cs="Arial" w:eastAsia="Arial" w:hAnsi="Arial"/>
                <w:sz w:val="14"/>
                <w:szCs w:val="14"/>
                <w:b w:val="1"/>
                <w:bCs w:val="1"/>
                <w:color w:val="auto"/>
                <w:w w:val="97"/>
              </w:rPr>
              <w:t>Transportation</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Facilities</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Supply and</w:t>
            </w:r>
          </w:p>
        </w:tc>
        <w:tc>
          <w:tcPr>
            <w:tcW w:w="30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w w:val="95"/>
              </w:rPr>
              <w:t>Transportation</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Facilities</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74"/>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7"/>
              </w:rPr>
              <w:t>Logistics</w:t>
            </w: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4,706</w:t>
            </w:r>
          </w:p>
        </w:tc>
        <w:tc>
          <w:tcPr>
            <w:tcW w:w="160" w:type="dxa"/>
            <w:vAlign w:val="bottom"/>
            <w:tcBorders>
              <w:top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(4,464)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spacing w:after="0" w:line="201" w:lineRule="exact"/>
              <w:rPr>
                <w:sz w:val="20"/>
                <w:szCs w:val="20"/>
                <w:color w:val="auto"/>
              </w:rPr>
            </w:pPr>
            <w:r>
              <w:rPr>
                <w:rFonts w:ascii="Arial" w:cs="Arial" w:eastAsia="Arial" w:hAnsi="Arial"/>
                <w:sz w:val="18"/>
                <w:szCs w:val="18"/>
                <w:color w:val="auto"/>
              </w:rPr>
              <w:t>Equity-indexed compensation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(expense)/benefit - operations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Segment general and administrative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tcBorders>
              <w:righ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spacing w:after="0" w:line="201" w:lineRule="exact"/>
              <w:rPr>
                <w:sz w:val="20"/>
                <w:szCs w:val="20"/>
                <w:color w:val="auto"/>
              </w:rPr>
            </w:pPr>
            <w:r>
              <w:rPr>
                <w:rFonts w:ascii="Arial" w:cs="Arial" w:eastAsia="Arial" w:hAnsi="Arial"/>
                <w:sz w:val="18"/>
                <w:szCs w:val="18"/>
                <w:color w:val="auto"/>
                <w:w w:val="91"/>
              </w:rPr>
              <w:t>Equity-indexed compensation expense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earnings in unconsolidated</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entities</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tcBorders>
              <w:righ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Reported segment profit</w:t>
            </w: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123</w:t>
            </w:r>
          </w:p>
        </w:tc>
        <w:tc>
          <w:tcPr>
            <w:tcW w:w="1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Selected items impacting</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ind w:left="340"/>
              <w:spacing w:after="0" w:line="231" w:lineRule="exact"/>
              <w:rPr>
                <w:sz w:val="20"/>
                <w:szCs w:val="20"/>
                <w:color w:val="auto"/>
              </w:rPr>
            </w:pPr>
            <w:r>
              <w:rPr>
                <w:rFonts w:ascii="Arial" w:cs="Arial" w:eastAsia="Arial" w:hAnsi="Arial"/>
                <w:sz w:val="18"/>
                <w:szCs w:val="18"/>
                <w:color w:val="auto"/>
                <w:w w:val="96"/>
              </w:rPr>
              <w:t xml:space="preserve">comparability of segment profit </w:t>
            </w:r>
            <w:r>
              <w:rPr>
                <w:rFonts w:ascii="Arial" w:cs="Arial" w:eastAsia="Arial" w:hAnsi="Arial"/>
                <w:sz w:val="23"/>
                <w:szCs w:val="23"/>
                <w:color w:val="auto"/>
                <w:w w:val="96"/>
                <w:vertAlign w:val="superscript"/>
              </w:rPr>
              <w:t>(4)</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16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segment profit</w:t>
            </w:r>
          </w:p>
        </w:tc>
        <w:tc>
          <w:tcPr>
            <w:tcW w:w="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256</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157</w:t>
            </w:r>
          </w:p>
        </w:tc>
        <w:tc>
          <w:tcPr>
            <w:tcW w:w="160" w:type="dxa"/>
            <w:vAlign w:val="bottom"/>
            <w:tcBorders>
              <w:bottom w:val="single" w:sz="8" w:color="CCEEFF"/>
              <w:right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Maintenance capital</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8"/>
              <w:spacing w:after="0"/>
              <w:rPr>
                <w:sz w:val="20"/>
                <w:szCs w:val="20"/>
                <w:color w:val="auto"/>
              </w:rPr>
            </w:pPr>
            <w:r>
              <w:rPr>
                <w:rFonts w:ascii="Arial" w:cs="Arial" w:eastAsia="Arial" w:hAnsi="Arial"/>
                <w:sz w:val="18"/>
                <w:szCs w:val="18"/>
                <w:color w:val="auto"/>
              </w:rPr>
              <w:t>43</w:t>
            </w:r>
          </w:p>
        </w:tc>
        <w:tc>
          <w:tcPr>
            <w:tcW w:w="34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8"/>
                <w:szCs w:val="18"/>
                <w:color w:val="auto"/>
              </w:rPr>
            </w:pP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3"/>
              </w:rPr>
              <w:t>Twelve Months Ended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2"/>
              </w:rPr>
              <w:t>Twelve Months Ended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w w:val="91"/>
              </w:rPr>
              <w:t>December 31, 2015</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1"/>
              </w:rPr>
              <w:t>December 31, 2014</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w w:val="95"/>
              </w:rPr>
              <w:t>Transportation</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Facilities</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94"/>
              <w:spacing w:after="0" w:line="119" w:lineRule="exact"/>
              <w:rPr>
                <w:sz w:val="20"/>
                <w:szCs w:val="20"/>
                <w:color w:val="auto"/>
              </w:rPr>
            </w:pPr>
            <w:r>
              <w:rPr>
                <w:rFonts w:ascii="Arial" w:cs="Arial" w:eastAsia="Arial" w:hAnsi="Arial"/>
                <w:sz w:val="13"/>
                <w:szCs w:val="13"/>
                <w:b w:val="1"/>
                <w:bCs w:val="1"/>
                <w:color w:val="auto"/>
                <w:w w:val="99"/>
              </w:rPr>
              <w:t>Supply and</w:t>
            </w:r>
          </w:p>
        </w:tc>
        <w:tc>
          <w:tcPr>
            <w:tcW w:w="320" w:type="dxa"/>
            <w:vAlign w:val="bottom"/>
            <w:gridSpan w:val="3"/>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w w:val="95"/>
              </w:rPr>
              <w:t>Transportation</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Facilities</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74"/>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7"/>
              </w:rPr>
              <w:t>Logistics</w:t>
            </w: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21,945</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(21,018)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(40,752)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spacing w:after="0" w:line="201" w:lineRule="exact"/>
              <w:rPr>
                <w:sz w:val="20"/>
                <w:szCs w:val="20"/>
                <w:color w:val="auto"/>
              </w:rPr>
            </w:pPr>
            <w:r>
              <w:rPr>
                <w:rFonts w:ascii="Arial" w:cs="Arial" w:eastAsia="Arial" w:hAnsi="Arial"/>
                <w:sz w:val="18"/>
                <w:szCs w:val="18"/>
                <w:color w:val="auto"/>
                <w:w w:val="91"/>
              </w:rPr>
              <w:t>Equity-indexed compensation expense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9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operations</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right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8" w:name="page9"/>
    <w:bookmarkEnd w:id="8"/>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Segment general and administrative</w:t>
            </w:r>
          </w:p>
        </w:tc>
        <w:tc>
          <w:tcPr>
            <w:tcW w:w="4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48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4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spacing w:after="0" w:line="201" w:lineRule="exact"/>
              <w:rPr>
                <w:sz w:val="20"/>
                <w:szCs w:val="20"/>
                <w:color w:val="auto"/>
              </w:rPr>
            </w:pPr>
            <w:r>
              <w:rPr>
                <w:rFonts w:ascii="Arial" w:cs="Arial" w:eastAsia="Arial" w:hAnsi="Arial"/>
                <w:sz w:val="18"/>
                <w:szCs w:val="18"/>
                <w:color w:val="auto"/>
                <w:w w:val="91"/>
              </w:rPr>
              <w:t>Equity-indexed compensation expense -</w:t>
            </w: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4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4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earnings in unconsolidated</w:t>
            </w: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entities</w:t>
            </w:r>
          </w:p>
        </w:tc>
        <w:tc>
          <w:tcPr>
            <w:tcW w:w="4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8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4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Reported segment profit</w:t>
            </w:r>
          </w:p>
        </w:tc>
        <w:tc>
          <w:tcPr>
            <w:tcW w:w="480" w:type="dxa"/>
            <w:vAlign w:val="bottom"/>
            <w:tcBorders>
              <w:top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220" w:type="dxa"/>
            <w:vAlign w:val="bottom"/>
          </w:tcPr>
          <w:p>
            <w:pPr>
              <w:spacing w:after="0"/>
              <w:rPr>
                <w:sz w:val="18"/>
                <w:szCs w:val="18"/>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200" w:type="dxa"/>
            <w:vAlign w:val="bottom"/>
          </w:tcPr>
          <w:p>
            <w:pPr>
              <w:spacing w:after="0"/>
              <w:rPr>
                <w:sz w:val="18"/>
                <w:szCs w:val="18"/>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Selected items impacting</w:t>
            </w: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ind w:left="340"/>
              <w:spacing w:after="0" w:line="231" w:lineRule="exact"/>
              <w:rPr>
                <w:sz w:val="20"/>
                <w:szCs w:val="20"/>
                <w:color w:val="auto"/>
              </w:rPr>
            </w:pPr>
            <w:r>
              <w:rPr>
                <w:rFonts w:ascii="Arial" w:cs="Arial" w:eastAsia="Arial" w:hAnsi="Arial"/>
                <w:sz w:val="18"/>
                <w:szCs w:val="18"/>
                <w:color w:val="auto"/>
                <w:w w:val="96"/>
              </w:rPr>
              <w:t xml:space="preserve">comparability of segment profit </w:t>
            </w:r>
            <w:r>
              <w:rPr>
                <w:rFonts w:ascii="Arial" w:cs="Arial" w:eastAsia="Arial" w:hAnsi="Arial"/>
                <w:sz w:val="23"/>
                <w:szCs w:val="23"/>
                <w:color w:val="auto"/>
                <w:w w:val="96"/>
                <w:vertAlign w:val="superscript"/>
              </w:rPr>
              <w:t>(4)</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480" w:type="dxa"/>
            <w:vAlign w:val="bottom"/>
            <w:shd w:val="clear" w:color="auto" w:fill="CCEEFF"/>
          </w:tcPr>
          <w:p>
            <w:pPr>
              <w:spacing w:after="0"/>
              <w:rPr>
                <w:sz w:val="20"/>
                <w:szCs w:val="20"/>
                <w:color w:val="auto"/>
              </w:rPr>
            </w:pPr>
          </w:p>
        </w:tc>
        <w:tc>
          <w:tcPr>
            <w:tcW w:w="8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segment profit</w:t>
            </w: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22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80" w:type="dxa"/>
            <w:vAlign w:val="bottom"/>
            <w:tcBorders>
              <w:bottom w:val="single" w:sz="8" w:color="CCEEFF"/>
              <w:right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20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Maintenance capital</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56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165</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440" w:type="dxa"/>
            <w:vAlign w:val="bottom"/>
            <w:gridSpan w:val="2"/>
          </w:tcPr>
          <w:p>
            <w:pPr>
              <w:jc w:val="right"/>
              <w:ind w:right="31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Includes intersegment amounts.</w:t>
      </w:r>
    </w:p>
    <w:p>
      <w:pPr>
        <w:spacing w:after="0" w:line="1" w:lineRule="exact"/>
        <w:rPr>
          <w:rFonts w:ascii="Arial" w:cs="Arial" w:eastAsia="Arial" w:hAnsi="Arial"/>
          <w:sz w:val="23"/>
          <w:szCs w:val="23"/>
          <w:color w:val="auto"/>
          <w:vertAlign w:val="superscript"/>
        </w:rPr>
      </w:pPr>
    </w:p>
    <w:p>
      <w:pPr>
        <w:ind w:left="340" w:right="180" w:hanging="332"/>
        <w:spacing w:after="0" w:line="219" w:lineRule="auto"/>
        <w:tabs>
          <w:tab w:leader="none" w:pos="32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ind w:left="340" w:right="280" w:hanging="332"/>
        <w:spacing w:after="0" w:line="243" w:lineRule="auto"/>
        <w:tabs>
          <w:tab w:leader="none" w:pos="328"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 w:lineRule="exact"/>
        <w:rPr>
          <w:rFonts w:ascii="Arial" w:cs="Arial" w:eastAsia="Arial" w:hAnsi="Arial"/>
          <w:sz w:val="21"/>
          <w:szCs w:val="21"/>
          <w:color w:val="auto"/>
          <w:vertAlign w:val="superscript"/>
        </w:rPr>
      </w:pPr>
    </w:p>
    <w:p>
      <w:pPr>
        <w:ind w:left="320" w:hanging="312"/>
        <w:spacing w:after="0" w:line="196" w:lineRule="auto"/>
        <w:tabs>
          <w:tab w:leader="none" w:pos="3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w:t>
      </w:r>
      <w:r>
        <w:rPr>
          <w:rFonts w:ascii="Arial" w:cs="Arial" w:eastAsia="Arial" w:hAnsi="Arial"/>
          <w:sz w:val="18"/>
          <w:szCs w:val="18"/>
          <w:b w:val="1"/>
          <w:bCs w:val="1"/>
          <w:color w:val="auto"/>
        </w:rPr>
        <w:t xml:space="preserve"> </w:t>
      </w:r>
      <w:r>
        <w:rPr>
          <w:rFonts w:ascii="Arial" w:cs="Arial" w:eastAsia="Arial" w:hAnsi="Arial"/>
          <w:sz w:val="23"/>
          <w:szCs w:val="23"/>
          <w:color w:val="auto"/>
          <w:vertAlign w:val="superscript"/>
        </w:rPr>
        <w:t>(1)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160" w:type="dxa"/>
            <w:vAlign w:val="bottom"/>
            <w:gridSpan w:val="4"/>
          </w:tcPr>
          <w:p>
            <w:pPr>
              <w:jc w:val="center"/>
              <w:ind w:left="348"/>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3"/>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Borders>
              <w:bottom w:val="single" w:sz="8" w:color="auto"/>
            </w:tcBorders>
            <w:gridSpan w:val="3"/>
          </w:tcPr>
          <w:p>
            <w:pPr>
              <w:jc w:val="center"/>
              <w:ind w:left="712"/>
              <w:spacing w:after="0"/>
              <w:rPr>
                <w:sz w:val="20"/>
                <w:szCs w:val="20"/>
                <w:color w:val="auto"/>
              </w:rPr>
            </w:pPr>
            <w:r>
              <w:rPr>
                <w:rFonts w:ascii="Arial" w:cs="Arial" w:eastAsia="Arial" w:hAnsi="Arial"/>
                <w:sz w:val="14"/>
                <w:szCs w:val="14"/>
                <w:b w:val="1"/>
                <w:bCs w:val="1"/>
                <w:color w:val="auto"/>
                <w:w w:val="92"/>
              </w:rPr>
              <w:t>December 31,</w:t>
            </w: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gridSpan w:val="2"/>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4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6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Transportation segment (average daily volumes in thousands of barrels per</w:t>
            </w: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day):</w:t>
            </w:r>
          </w:p>
        </w:tc>
        <w:tc>
          <w:tcPr>
            <w:tcW w:w="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Volumes from tariff activities</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Crude oil pipelines (by region):</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(2)</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1,963</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1,552</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1,849</w:t>
            </w: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(2)</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331</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262</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306</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340"/>
              <w:spacing w:after="0"/>
              <w:rPr>
                <w:sz w:val="20"/>
                <w:szCs w:val="20"/>
                <w:color w:val="auto"/>
              </w:rPr>
            </w:pPr>
            <w:r>
              <w:rPr>
                <w:rFonts w:ascii="Arial" w:cs="Arial" w:eastAsia="Arial" w:hAnsi="Arial"/>
                <w:sz w:val="18"/>
                <w:szCs w:val="18"/>
                <w:color w:val="auto"/>
              </w:rPr>
              <w:t>Western</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190</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265</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215</w:t>
            </w: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(2)</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433</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460</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440</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340"/>
              <w:spacing w:after="0"/>
              <w:rPr>
                <w:sz w:val="20"/>
                <w:szCs w:val="20"/>
                <w:color w:val="auto"/>
              </w:rPr>
            </w:pPr>
            <w:r>
              <w:rPr>
                <w:rFonts w:ascii="Arial" w:cs="Arial" w:eastAsia="Arial" w:hAnsi="Arial"/>
                <w:sz w:val="18"/>
                <w:szCs w:val="18"/>
                <w:color w:val="auto"/>
              </w:rPr>
              <w:t>Gulf Coast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537</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587</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532</w:t>
            </w: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Central</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362</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457</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413</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340"/>
              <w:spacing w:after="0"/>
              <w:rPr>
                <w:sz w:val="20"/>
                <w:szCs w:val="20"/>
                <w:color w:val="auto"/>
              </w:rPr>
            </w:pPr>
            <w:r>
              <w:rPr>
                <w:rFonts w:ascii="Arial" w:cs="Arial" w:eastAsia="Arial" w:hAnsi="Arial"/>
                <w:sz w:val="18"/>
                <w:szCs w:val="18"/>
                <w:color w:val="auto"/>
              </w:rPr>
              <w:t>Canada</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377</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419</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392</w:t>
            </w: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Crude oil pipelines</w:t>
            </w: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4,193</w:t>
            </w:r>
          </w:p>
        </w:tc>
        <w:tc>
          <w:tcPr>
            <w:tcW w:w="3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4,002</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4,147</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160"/>
              <w:spacing w:after="0"/>
              <w:rPr>
                <w:sz w:val="20"/>
                <w:szCs w:val="20"/>
                <w:color w:val="auto"/>
              </w:rPr>
            </w:pPr>
            <w:r>
              <w:rPr>
                <w:rFonts w:ascii="Arial" w:cs="Arial" w:eastAsia="Arial" w:hAnsi="Arial"/>
                <w:sz w:val="18"/>
                <w:szCs w:val="18"/>
                <w:color w:val="auto"/>
              </w:rPr>
              <w:t>NGL pipelines</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189</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190</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193</w:t>
            </w: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volumes from tariff activities</w:t>
            </w: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4,382</w:t>
            </w:r>
          </w:p>
        </w:tc>
        <w:tc>
          <w:tcPr>
            <w:tcW w:w="3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4,192</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4,340</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160"/>
              <w:spacing w:after="0"/>
              <w:rPr>
                <w:sz w:val="20"/>
                <w:szCs w:val="20"/>
                <w:color w:val="auto"/>
              </w:rPr>
            </w:pPr>
            <w:r>
              <w:rPr>
                <w:rFonts w:ascii="Arial" w:cs="Arial" w:eastAsia="Arial" w:hAnsi="Arial"/>
                <w:sz w:val="18"/>
                <w:szCs w:val="18"/>
                <w:color w:val="auto"/>
              </w:rPr>
              <w:t>Trucking</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109</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122</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113</w:t>
            </w: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Transportation segment volumes</w:t>
            </w: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4,491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4,314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Facilities segment (average monthly volumes):</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Crude oil, refined products and NGL terminalling and storage (average</w:t>
            </w:r>
          </w:p>
        </w:tc>
        <w:tc>
          <w:tcPr>
            <w:tcW w:w="7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103</w:t>
            </w:r>
          </w:p>
        </w:tc>
        <w:tc>
          <w:tcPr>
            <w:tcW w:w="720" w:type="dxa"/>
            <w:vAlign w:val="bottom"/>
          </w:tcPr>
          <w:p>
            <w:pPr>
              <w:spacing w:after="0"/>
              <w:rPr>
                <w:sz w:val="17"/>
                <w:szCs w:val="17"/>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17"/>
                <w:szCs w:val="17"/>
                <w:color w:val="auto"/>
              </w:rPr>
            </w:pPr>
          </w:p>
        </w:tc>
        <w:tc>
          <w:tcPr>
            <w:tcW w:w="14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7"/>
                <w:szCs w:val="17"/>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gridSpan w:val="2"/>
          </w:tcPr>
          <w:p>
            <w:pPr>
              <w:ind w:left="340"/>
              <w:spacing w:after="0"/>
              <w:rPr>
                <w:sz w:val="20"/>
                <w:szCs w:val="20"/>
                <w:color w:val="auto"/>
              </w:rPr>
            </w:pPr>
            <w:r>
              <w:rPr>
                <w:rFonts w:ascii="Arial" w:cs="Arial" w:eastAsia="Arial" w:hAnsi="Arial"/>
                <w:sz w:val="18"/>
                <w:szCs w:val="18"/>
                <w:color w:val="auto"/>
              </w:rPr>
              <w:t>monthly capacity in millions of barrels)</w:t>
            </w:r>
          </w:p>
        </w:tc>
        <w:tc>
          <w:tcPr>
            <w:tcW w:w="720" w:type="dxa"/>
            <w:vAlign w:val="bottom"/>
            <w:gridSpan w:val="2"/>
            <w:vMerge w:val="continue"/>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gridSpan w:val="2"/>
            <w:vMerge w:val="continue"/>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8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w w:val="92"/>
              </w:rPr>
              <w:t>Rail load / unload volumes (average volumes in thousands of barrels per day)</w:t>
            </w: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172</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229</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vMerge w:val="restart"/>
          </w:tcPr>
          <w:p>
            <w:pPr>
              <w:ind w:left="160"/>
              <w:spacing w:after="0" w:line="195" w:lineRule="exact"/>
              <w:rPr>
                <w:sz w:val="20"/>
                <w:szCs w:val="20"/>
                <w:color w:val="auto"/>
              </w:rPr>
            </w:pPr>
            <w:r>
              <w:rPr>
                <w:rFonts w:ascii="Arial" w:cs="Arial" w:eastAsia="Arial" w:hAnsi="Arial"/>
                <w:sz w:val="18"/>
                <w:szCs w:val="18"/>
                <w:color w:val="auto"/>
                <w:w w:val="97"/>
              </w:rPr>
              <w:t>Natural gas storage (average monthly working capacity in billions of cubic</w:t>
            </w: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88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gridSpan w:val="2"/>
          </w:tcPr>
          <w:p>
            <w:pPr>
              <w:ind w:left="340"/>
              <w:spacing w:after="0"/>
              <w:rPr>
                <w:sz w:val="20"/>
                <w:szCs w:val="20"/>
                <w:color w:val="auto"/>
              </w:rPr>
            </w:pPr>
            <w:r>
              <w:rPr>
                <w:rFonts w:ascii="Arial" w:cs="Arial" w:eastAsia="Arial" w:hAnsi="Arial"/>
                <w:sz w:val="18"/>
                <w:szCs w:val="18"/>
                <w:color w:val="auto"/>
              </w:rPr>
              <w:t>feet)</w:t>
            </w:r>
          </w:p>
        </w:tc>
        <w:tc>
          <w:tcPr>
            <w:tcW w:w="42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8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NGL fractionation (average volumes in thousands of barrels per day)</w:t>
            </w: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111</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vMerge w:val="restart"/>
          </w:tcPr>
          <w:p>
            <w:pPr>
              <w:ind w:left="160"/>
              <w:spacing w:after="0" w:line="195" w:lineRule="exact"/>
              <w:rPr>
                <w:sz w:val="20"/>
                <w:szCs w:val="20"/>
                <w:color w:val="auto"/>
              </w:rPr>
            </w:pPr>
            <w:r>
              <w:rPr>
                <w:rFonts w:ascii="Arial" w:cs="Arial" w:eastAsia="Arial" w:hAnsi="Arial"/>
                <w:sz w:val="18"/>
                <w:szCs w:val="18"/>
                <w:color w:val="auto"/>
                <w:w w:val="98"/>
              </w:rPr>
              <w:t>Total Facilities segment volumes (average monthly volumes in millions of</w:t>
            </w: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88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128</w:t>
            </w:r>
          </w:p>
        </w:tc>
        <w:tc>
          <w:tcPr>
            <w:tcW w:w="720" w:type="dxa"/>
            <w:vAlign w:val="bottom"/>
          </w:tcPr>
          <w:p>
            <w:pPr>
              <w:spacing w:after="0"/>
              <w:rPr>
                <w:sz w:val="13"/>
                <w:szCs w:val="13"/>
                <w:color w:val="auto"/>
              </w:rPr>
            </w:pPr>
          </w:p>
        </w:tc>
        <w:tc>
          <w:tcPr>
            <w:tcW w:w="7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122</w:t>
            </w:r>
          </w:p>
        </w:tc>
        <w:tc>
          <w:tcPr>
            <w:tcW w:w="14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126</w:t>
            </w:r>
          </w:p>
        </w:tc>
        <w:tc>
          <w:tcPr>
            <w:tcW w:w="340" w:type="dxa"/>
            <w:vAlign w:val="bottom"/>
          </w:tcPr>
          <w:p>
            <w:pPr>
              <w:spacing w:after="0"/>
              <w:rPr>
                <w:sz w:val="13"/>
                <w:szCs w:val="13"/>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barrels) </w:t>
            </w:r>
            <w:r>
              <w:rPr>
                <w:rFonts w:ascii="Arial" w:cs="Arial" w:eastAsia="Arial" w:hAnsi="Arial"/>
                <w:sz w:val="23"/>
                <w:szCs w:val="23"/>
                <w:color w:val="auto"/>
                <w:vertAlign w:val="superscript"/>
              </w:rPr>
              <w:t>(3)</w:t>
            </w:r>
          </w:p>
        </w:tc>
        <w:tc>
          <w:tcPr>
            <w:tcW w:w="720" w:type="dxa"/>
            <w:vAlign w:val="bottom"/>
            <w:gridSpan w:val="2"/>
            <w:vMerge w:val="continue"/>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gridSpan w:val="2"/>
            <w:vMerge w:val="continue"/>
          </w:tcPr>
          <w:p>
            <w:pPr>
              <w:spacing w:after="0"/>
              <w:rPr>
                <w:sz w:val="22"/>
                <w:szCs w:val="22"/>
                <w:color w:val="auto"/>
              </w:rPr>
            </w:pPr>
          </w:p>
        </w:tc>
        <w:tc>
          <w:tcPr>
            <w:tcW w:w="1420" w:type="dxa"/>
            <w:vAlign w:val="bottom"/>
            <w:gridSpan w:val="2"/>
            <w:vMerge w:val="continue"/>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6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Supply and Logistics segment (average daily volumes in thousands of</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0" w:type="dxa"/>
            <w:vAlign w:val="bottom"/>
            <w:gridSpan w:val="2"/>
          </w:tcPr>
          <w:p>
            <w:pPr>
              <w:ind w:left="160"/>
              <w:spacing w:after="0"/>
              <w:rPr>
                <w:sz w:val="20"/>
                <w:szCs w:val="20"/>
                <w:color w:val="auto"/>
              </w:rPr>
            </w:pPr>
            <w:r>
              <w:rPr>
                <w:rFonts w:ascii="Arial" w:cs="Arial" w:eastAsia="Arial" w:hAnsi="Arial"/>
                <w:sz w:val="18"/>
                <w:szCs w:val="18"/>
                <w:b w:val="1"/>
                <w:bCs w:val="1"/>
                <w:color w:val="auto"/>
              </w:rPr>
              <w:t>barrels per day):</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Crude oil lease gathering purchases</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899</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999</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943</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160"/>
              <w:spacing w:after="0"/>
              <w:rPr>
                <w:sz w:val="20"/>
                <w:szCs w:val="20"/>
                <w:color w:val="auto"/>
              </w:rPr>
            </w:pPr>
            <w:r>
              <w:rPr>
                <w:rFonts w:ascii="Arial" w:cs="Arial" w:eastAsia="Arial" w:hAnsi="Arial"/>
                <w:sz w:val="18"/>
                <w:szCs w:val="18"/>
                <w:color w:val="auto"/>
              </w:rPr>
              <w:t>NGL sales</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266</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268</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223</w:t>
            </w: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Waterborne cargos</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Total Supply and Logistics segment volumes</w:t>
            </w:r>
          </w:p>
        </w:tc>
        <w:tc>
          <w:tcPr>
            <w:tcW w:w="7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1,167</w:t>
            </w:r>
          </w:p>
        </w:tc>
        <w:tc>
          <w:tcPr>
            <w:tcW w:w="300" w:type="dxa"/>
            <w:vAlign w:val="bottom"/>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1,267</w:t>
            </w:r>
          </w:p>
        </w:tc>
        <w:tc>
          <w:tcPr>
            <w:tcW w:w="2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2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320" w:hanging="312"/>
        <w:spacing w:after="0"/>
        <w:tabs>
          <w:tab w:leader="none" w:pos="320"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Average volumes are calculated as total volumes for the period (attributable to our interest) divided by the number of days or months in the period.</w:t>
      </w:r>
    </w:p>
    <w:p>
      <w:pPr>
        <w:spacing w:after="0" w:line="1" w:lineRule="exact"/>
        <w:rPr>
          <w:rFonts w:ascii="Arial" w:cs="Arial" w:eastAsia="Arial" w:hAnsi="Arial"/>
          <w:sz w:val="22"/>
          <w:szCs w:val="22"/>
          <w:color w:val="auto"/>
          <w:vertAlign w:val="superscript"/>
        </w:rPr>
      </w:pPr>
    </w:p>
    <w:p>
      <w:pPr>
        <w:ind w:left="320" w:hanging="312"/>
        <w:spacing w:after="0" w:line="194" w:lineRule="auto"/>
        <w:tabs>
          <w:tab w:leader="none" w:pos="32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Area systems include volumes (attributable to our interest) from pipelines owned by unconsolidated entities.</w:t>
      </w:r>
    </w:p>
    <w:p>
      <w:pPr>
        <w:sectPr>
          <w:pgSz w:w="11900" w:h="16883" w:orient="portrait"/>
          <w:cols w:equalWidth="0" w:num="1">
            <w:col w:w="11420"/>
          </w:cols>
          <w:pgMar w:left="240" w:top="134" w:right="239" w:bottom="0" w:gutter="0" w:footer="0" w:header="0"/>
        </w:sectPr>
      </w:pPr>
    </w:p>
    <w:bookmarkStart w:id="9" w:name="page10"/>
    <w:bookmarkEnd w:id="9"/>
    <w:p>
      <w:pPr>
        <w:ind w:left="340" w:right="320" w:hanging="332"/>
        <w:spacing w:after="0" w:line="273" w:lineRule="auto"/>
        <w:tabs>
          <w:tab w:leader="none" w:pos="32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ind w:right="48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COMMON UNIT </w:t>
      </w:r>
      <w:r>
        <w:rPr>
          <w:rFonts w:ascii="Arial" w:cs="Arial" w:eastAsia="Arial" w:hAnsi="Arial"/>
          <w:sz w:val="18"/>
          <w:szCs w:val="18"/>
          <w:color w:val="auto"/>
        </w:rPr>
        <w:t>(in millions, except per unit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160" w:type="dxa"/>
            <w:vAlign w:val="bottom"/>
            <w:gridSpan w:val="5"/>
          </w:tcPr>
          <w:p>
            <w:pPr>
              <w:jc w:val="right"/>
              <w:ind w:right="15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w w:val="98"/>
              </w:rPr>
              <w:t>December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Common Unit</w:t>
            </w: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780" w:type="dxa"/>
            <w:vAlign w:val="bottom"/>
          </w:tcPr>
          <w:p>
            <w:pPr>
              <w:jc w:val="right"/>
              <w:ind w:right="626"/>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247</w:t>
            </w:r>
          </w:p>
        </w:tc>
        <w:tc>
          <w:tcPr>
            <w:tcW w:w="86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389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903</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Less: Distributions to general partner </w:t>
            </w:r>
            <w:r>
              <w:rPr>
                <w:rFonts w:ascii="Arial" w:cs="Arial" w:eastAsia="Arial" w:hAnsi="Arial"/>
                <w:sz w:val="23"/>
                <w:szCs w:val="23"/>
                <w:color w:val="auto"/>
                <w:vertAlign w:val="superscript"/>
              </w:rPr>
              <w:t>(1)</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(155)</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Less: Distributions to participating securities </w:t>
            </w:r>
            <w:r>
              <w:rPr>
                <w:rFonts w:ascii="Arial" w:cs="Arial" w:eastAsia="Arial" w:hAnsi="Arial"/>
                <w:sz w:val="23"/>
                <w:szCs w:val="23"/>
                <w:color w:val="auto"/>
                <w:vertAlign w:val="superscript"/>
              </w:rPr>
              <w:t>(1)</w:t>
            </w:r>
          </w:p>
        </w:tc>
        <w:tc>
          <w:tcPr>
            <w:tcW w:w="78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Less: Undistributed (earnings)/loss allocated to general partner and</w:t>
            </w: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shd w:val="clear" w:color="auto" w:fill="CCEEFF"/>
          </w:tcPr>
          <w:p>
            <w:pPr>
              <w:ind w:left="360"/>
              <w:spacing w:after="0" w:line="231" w:lineRule="exact"/>
              <w:rPr>
                <w:sz w:val="20"/>
                <w:szCs w:val="20"/>
                <w:color w:val="auto"/>
              </w:rPr>
            </w:pPr>
            <w:r>
              <w:rPr>
                <w:rFonts w:ascii="Arial" w:cs="Arial" w:eastAsia="Arial" w:hAnsi="Arial"/>
                <w:sz w:val="18"/>
                <w:szCs w:val="18"/>
                <w:color w:val="auto"/>
              </w:rPr>
              <w:t xml:space="preserve">participating securities </w:t>
            </w:r>
            <w:r>
              <w:rPr>
                <w:rFonts w:ascii="Arial" w:cs="Arial" w:eastAsia="Arial" w:hAnsi="Arial"/>
                <w:sz w:val="23"/>
                <w:szCs w:val="23"/>
                <w:color w:val="auto"/>
                <w:vertAlign w:val="superscript"/>
              </w:rPr>
              <w:t>(1)</w:t>
            </w: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tcPr>
          <w:p>
            <w:pPr>
              <w:spacing w:after="0" w:line="201" w:lineRule="exact"/>
              <w:rPr>
                <w:sz w:val="20"/>
                <w:szCs w:val="20"/>
                <w:color w:val="auto"/>
              </w:rPr>
            </w:pPr>
            <w:r>
              <w:rPr>
                <w:rFonts w:ascii="Arial" w:cs="Arial" w:eastAsia="Arial" w:hAnsi="Arial"/>
                <w:sz w:val="18"/>
                <w:szCs w:val="18"/>
                <w:color w:val="auto"/>
                <w:w w:val="97"/>
              </w:rPr>
              <w:t>Net income attributable to common unitholders in accordance with application</w:t>
            </w: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040" w:type="dxa"/>
            <w:vAlign w:val="bottom"/>
            <w:vMerge w:val="continue"/>
          </w:tcPr>
          <w:p>
            <w:pPr>
              <w:spacing w:after="0"/>
              <w:rPr>
                <w:sz w:val="15"/>
                <w:szCs w:val="15"/>
                <w:color w:val="auto"/>
              </w:rPr>
            </w:pPr>
          </w:p>
        </w:tc>
        <w:tc>
          <w:tcPr>
            <w:tcW w:w="780" w:type="dxa"/>
            <w:vAlign w:val="bottom"/>
            <w:vMerge w:val="restart"/>
          </w:tcPr>
          <w:p>
            <w:pPr>
              <w:jc w:val="right"/>
              <w:ind w:right="626"/>
              <w:spacing w:after="0"/>
              <w:rPr>
                <w:sz w:val="20"/>
                <w:szCs w:val="20"/>
                <w:color w:val="auto"/>
              </w:rPr>
            </w:pPr>
            <w:r>
              <w:rPr>
                <w:rFonts w:ascii="Arial" w:cs="Arial" w:eastAsia="Arial" w:hAnsi="Arial"/>
                <w:sz w:val="15"/>
                <w:szCs w:val="15"/>
                <w:color w:val="auto"/>
                <w:w w:val="71"/>
              </w:rPr>
              <w:t>$</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5"/>
                <w:szCs w:val="15"/>
                <w:color w:val="auto"/>
              </w:rPr>
            </w:pPr>
          </w:p>
        </w:tc>
        <w:tc>
          <w:tcPr>
            <w:tcW w:w="80" w:type="dxa"/>
            <w:vAlign w:val="bottom"/>
            <w:vMerge w:val="restart"/>
          </w:tcPr>
          <w:p>
            <w:pPr>
              <w:spacing w:after="0"/>
              <w:rPr>
                <w:sz w:val="15"/>
                <w:szCs w:val="15"/>
                <w:color w:val="auto"/>
              </w:rPr>
            </w:pPr>
          </w:p>
        </w:tc>
        <w:tc>
          <w:tcPr>
            <w:tcW w:w="780" w:type="dxa"/>
            <w:vAlign w:val="bottom"/>
            <w:vMerge w:val="restart"/>
          </w:tcPr>
          <w:p>
            <w:pPr>
              <w:jc w:val="right"/>
              <w:ind w:right="590"/>
              <w:spacing w:after="0"/>
              <w:rPr>
                <w:sz w:val="20"/>
                <w:szCs w:val="20"/>
                <w:color w:val="auto"/>
              </w:rPr>
            </w:pPr>
            <w:r>
              <w:rPr>
                <w:rFonts w:ascii="Arial" w:cs="Arial" w:eastAsia="Arial" w:hAnsi="Arial"/>
                <w:sz w:val="18"/>
                <w:szCs w:val="18"/>
                <w:color w:val="auto"/>
                <w:w w:val="79"/>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251</w:t>
            </w:r>
          </w:p>
        </w:tc>
        <w:tc>
          <w:tcPr>
            <w:tcW w:w="200" w:type="dxa"/>
            <w:vAlign w:val="bottom"/>
            <w:vMerge w:val="restart"/>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305</w:t>
            </w:r>
          </w:p>
        </w:tc>
        <w:tc>
          <w:tcPr>
            <w:tcW w:w="4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of the two-class method for MLPs</w:t>
            </w:r>
          </w:p>
        </w:tc>
        <w:tc>
          <w:tcPr>
            <w:tcW w:w="780" w:type="dxa"/>
            <w:vAlign w:val="bottom"/>
            <w:vMerge w:val="continue"/>
          </w:tcPr>
          <w:p>
            <w:pPr>
              <w:spacing w:after="0"/>
              <w:rPr>
                <w:sz w:val="22"/>
                <w:szCs w:val="22"/>
                <w:color w:val="auto"/>
              </w:rPr>
            </w:pPr>
          </w:p>
        </w:tc>
        <w:tc>
          <w:tcPr>
            <w:tcW w:w="3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780" w:type="dxa"/>
            <w:vAlign w:val="bottom"/>
            <w:vMerge w:val="continue"/>
          </w:tcPr>
          <w:p>
            <w:pPr>
              <w:spacing w:after="0"/>
              <w:rPr>
                <w:sz w:val="22"/>
                <w:szCs w:val="22"/>
                <w:color w:val="auto"/>
              </w:rPr>
            </w:pPr>
          </w:p>
        </w:tc>
        <w:tc>
          <w:tcPr>
            <w:tcW w:w="400" w:type="dxa"/>
            <w:vAlign w:val="bottom"/>
            <w:vMerge w:val="continue"/>
          </w:tcPr>
          <w:p>
            <w:pPr>
              <w:spacing w:after="0"/>
              <w:rPr>
                <w:sz w:val="22"/>
                <w:szCs w:val="22"/>
                <w:color w:val="auto"/>
              </w:rPr>
            </w:pPr>
          </w:p>
        </w:tc>
        <w:tc>
          <w:tcPr>
            <w:tcW w:w="200" w:type="dxa"/>
            <w:vAlign w:val="bottom"/>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440" w:type="dxa"/>
            <w:vAlign w:val="bottom"/>
            <w:gridSpan w:val="2"/>
            <w:vMerge w:val="continue"/>
          </w:tcPr>
          <w:p>
            <w:pPr>
              <w:spacing w:after="0"/>
              <w:rPr>
                <w:sz w:val="22"/>
                <w:szCs w:val="22"/>
                <w:color w:val="auto"/>
              </w:rPr>
            </w:pPr>
          </w:p>
        </w:tc>
        <w:tc>
          <w:tcPr>
            <w:tcW w:w="8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Basic weighted average common units outstanding</w:t>
            </w:r>
          </w:p>
        </w:tc>
        <w:tc>
          <w:tcPr>
            <w:tcW w:w="7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373</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Basic net income per common unit</w:t>
            </w:r>
          </w:p>
        </w:tc>
        <w:tc>
          <w:tcPr>
            <w:tcW w:w="780" w:type="dxa"/>
            <w:vAlign w:val="bottom"/>
          </w:tcPr>
          <w:p>
            <w:pPr>
              <w:jc w:val="right"/>
              <w:ind w:right="626"/>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c>
          <w:tcPr>
            <w:tcW w:w="86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0.67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0.78</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Diluted Net Income per Common Unit</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78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w:t>
            </w:r>
          </w:p>
        </w:tc>
        <w:tc>
          <w:tcPr>
            <w:tcW w:w="86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903</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Less: Distributions to general partner </w:t>
            </w:r>
            <w:r>
              <w:rPr>
                <w:rFonts w:ascii="Arial" w:cs="Arial" w:eastAsia="Arial" w:hAnsi="Arial"/>
                <w:sz w:val="23"/>
                <w:szCs w:val="23"/>
                <w:color w:val="auto"/>
                <w:vertAlign w:val="superscript"/>
              </w:rPr>
              <w:t>(1)</w:t>
            </w:r>
          </w:p>
        </w:tc>
        <w:tc>
          <w:tcPr>
            <w:tcW w:w="78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(155)</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(608)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Less: Distributions to participating securities </w:t>
            </w:r>
            <w:r>
              <w:rPr>
                <w:rFonts w:ascii="Arial" w:cs="Arial" w:eastAsia="Arial" w:hAnsi="Arial"/>
                <w:sz w:val="23"/>
                <w:szCs w:val="23"/>
                <w:color w:val="auto"/>
                <w:vertAlign w:val="superscript"/>
              </w:rPr>
              <w:t>(1)</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ind w:left="180"/>
              <w:spacing w:after="0" w:line="201" w:lineRule="exact"/>
              <w:rPr>
                <w:sz w:val="20"/>
                <w:szCs w:val="20"/>
                <w:color w:val="auto"/>
              </w:rPr>
            </w:pPr>
            <w:r>
              <w:rPr>
                <w:rFonts w:ascii="Arial" w:cs="Arial" w:eastAsia="Arial" w:hAnsi="Arial"/>
                <w:sz w:val="18"/>
                <w:szCs w:val="18"/>
                <w:color w:val="auto"/>
              </w:rPr>
              <w:t>Less: Undistributed (earnings)/loss allocated to general partner and</w:t>
            </w: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360"/>
              <w:spacing w:after="0" w:line="231" w:lineRule="exact"/>
              <w:rPr>
                <w:sz w:val="20"/>
                <w:szCs w:val="20"/>
                <w:color w:val="auto"/>
              </w:rPr>
            </w:pPr>
            <w:r>
              <w:rPr>
                <w:rFonts w:ascii="Arial" w:cs="Arial" w:eastAsia="Arial" w:hAnsi="Arial"/>
                <w:sz w:val="18"/>
                <w:szCs w:val="18"/>
                <w:color w:val="auto"/>
              </w:rPr>
              <w:t xml:space="preserve">participating securities </w:t>
            </w:r>
            <w:r>
              <w:rPr>
                <w:rFonts w:ascii="Arial" w:cs="Arial" w:eastAsia="Arial" w:hAnsi="Arial"/>
                <w:sz w:val="23"/>
                <w:szCs w:val="23"/>
                <w:color w:val="auto"/>
                <w:vertAlign w:val="superscript"/>
              </w:rPr>
              <w:t>(1)</w:t>
            </w:r>
          </w:p>
        </w:tc>
        <w:tc>
          <w:tcPr>
            <w:tcW w:w="7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7"/>
              </w:rPr>
              <w:t>Net income attributable to common unitholders in accordance with application</w:t>
            </w: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040" w:type="dxa"/>
            <w:vAlign w:val="bottom"/>
            <w:vMerge w:val="continue"/>
            <w:shd w:val="clear" w:color="auto" w:fill="CCEEFF"/>
          </w:tcPr>
          <w:p>
            <w:pPr>
              <w:spacing w:after="0"/>
              <w:rPr>
                <w:sz w:val="15"/>
                <w:szCs w:val="15"/>
                <w:color w:val="auto"/>
              </w:rPr>
            </w:pPr>
          </w:p>
        </w:tc>
        <w:tc>
          <w:tcPr>
            <w:tcW w:w="780" w:type="dxa"/>
            <w:vAlign w:val="bottom"/>
            <w:vMerge w:val="restart"/>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5"/>
                <w:szCs w:val="15"/>
                <w:color w:val="auto"/>
              </w:rPr>
            </w:pPr>
          </w:p>
        </w:tc>
        <w:tc>
          <w:tcPr>
            <w:tcW w:w="80" w:type="dxa"/>
            <w:vAlign w:val="bottom"/>
            <w:vMerge w:val="restart"/>
            <w:shd w:val="clear" w:color="auto" w:fill="CCEEFF"/>
          </w:tcPr>
          <w:p>
            <w:pPr>
              <w:spacing w:after="0"/>
              <w:rPr>
                <w:sz w:val="15"/>
                <w:szCs w:val="15"/>
                <w:color w:val="auto"/>
              </w:rPr>
            </w:pPr>
          </w:p>
        </w:tc>
        <w:tc>
          <w:tcPr>
            <w:tcW w:w="780" w:type="dxa"/>
            <w:vAlign w:val="bottom"/>
            <w:vMerge w:val="restart"/>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vMerge w:val="restart"/>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305</w:t>
            </w:r>
          </w:p>
        </w:tc>
        <w:tc>
          <w:tcPr>
            <w:tcW w:w="4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the two-class method for MLPs</w:t>
            </w:r>
          </w:p>
        </w:tc>
        <w:tc>
          <w:tcPr>
            <w:tcW w:w="78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Effect of dilutive securities: Weighted average LTIP units </w:t>
            </w:r>
            <w:r>
              <w:rPr>
                <w:rFonts w:ascii="Arial" w:cs="Arial" w:eastAsia="Arial" w:hAnsi="Arial"/>
                <w:sz w:val="23"/>
                <w:szCs w:val="23"/>
                <w:color w:val="auto"/>
                <w:vertAlign w:val="superscript"/>
              </w:rPr>
              <w:t>(2)</w:t>
            </w:r>
          </w:p>
        </w:tc>
        <w:tc>
          <w:tcPr>
            <w:tcW w:w="7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unit</w:t>
            </w:r>
          </w:p>
        </w:tc>
        <w:tc>
          <w:tcPr>
            <w:tcW w:w="78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0.24</w:t>
            </w:r>
          </w:p>
        </w:tc>
        <w:tc>
          <w:tcPr>
            <w:tcW w:w="86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0.77</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20" w:hanging="332"/>
        <w:spacing w:after="0" w:line="238" w:lineRule="auto"/>
        <w:tabs>
          <w:tab w:leader="none" w:pos="32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 attributable to common unitholders based on the distributions pertaining to the current period’s net income. After adjusting for the appropriate period’s distributions, the remaining undistributed earnings or excess distributions over earnings, if any, are allocated to the general partner, common unitholders and participating securities in accordance with the contractual terms of the partnership agreement and as further prescribed under the two-class method.</w:t>
      </w:r>
    </w:p>
    <w:p>
      <w:pPr>
        <w:ind w:left="340" w:right="20" w:hanging="332"/>
        <w:spacing w:after="0" w:line="234" w:lineRule="auto"/>
        <w:tabs>
          <w:tab w:leader="none" w:pos="32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ectPr>
          <w:pgSz w:w="11900" w:h="16838" w:orient="portrait"/>
          <w:cols w:equalWidth="0" w:num="1">
            <w:col w:w="11420"/>
          </w:cols>
          <w:pgMar w:left="240" w:top="125" w:right="239" w:bottom="0" w:gutter="0" w:footer="0" w:header="0"/>
        </w:sectPr>
      </w:pPr>
    </w:p>
    <w:p>
      <w:pPr>
        <w:spacing w:after="0" w:line="202" w:lineRule="exact"/>
        <w:rPr>
          <w:sz w:val="20"/>
          <w:szCs w:val="20"/>
          <w:color w:val="auto"/>
        </w:rPr>
      </w:pPr>
    </w:p>
    <w:p>
      <w:pPr>
        <w:ind w:left="6680"/>
        <w:spacing w:after="0"/>
        <w:tabs>
          <w:tab w:leader="none" w:pos="936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3"/>
          <w:szCs w:val="13"/>
          <w:b w:val="1"/>
          <w:bCs w:val="1"/>
          <w:color w:val="auto"/>
        </w:rPr>
        <w:t>Twelve Months Ended</w:t>
      </w:r>
    </w:p>
    <w:p>
      <w:pPr>
        <w:sectPr>
          <w:pgSz w:w="11900" w:h="16838" w:orient="portrait"/>
          <w:cols w:equalWidth="0" w:num="1">
            <w:col w:w="11420"/>
          </w:cols>
          <w:pgMar w:left="240" w:top="125" w:right="239" w:bottom="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Selected Items Impacting Comparability - Income/(Loss)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line="216" w:lineRule="exact"/>
              <w:rPr>
                <w:sz w:val="20"/>
                <w:szCs w:val="20"/>
                <w:color w:val="auto"/>
              </w:rPr>
            </w:pPr>
            <w:r>
              <w:rPr>
                <w:rFonts w:ascii="Arial" w:cs="Arial" w:eastAsia="Arial" w:hAnsi="Arial"/>
                <w:sz w:val="18"/>
                <w:szCs w:val="18"/>
                <w:color w:val="auto"/>
                <w:w w:val="92"/>
              </w:rPr>
              <w:t xml:space="preserve">Gains/(losses) from derivative activities net of inventory valuation adjustments </w:t>
            </w:r>
            <w:r>
              <w:rPr>
                <w:rFonts w:ascii="Arial" w:cs="Arial" w:eastAsia="Arial" w:hAnsi="Arial"/>
                <w:sz w:val="23"/>
                <w:szCs w:val="23"/>
                <w:color w:val="auto"/>
                <w:w w:val="92"/>
                <w:vertAlign w:val="superscript"/>
              </w:rPr>
              <w:t>(2)</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166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(110)</w:t>
            </w: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Line 901 incident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line="216" w:lineRule="exact"/>
              <w:rPr>
                <w:sz w:val="20"/>
                <w:szCs w:val="20"/>
                <w:color w:val="auto"/>
              </w:rPr>
            </w:pPr>
            <w:r>
              <w:rPr>
                <w:rFonts w:ascii="Arial" w:cs="Arial" w:eastAsia="Arial" w:hAnsi="Arial"/>
                <w:sz w:val="18"/>
                <w:szCs w:val="18"/>
                <w:color w:val="auto"/>
              </w:rPr>
              <w:t xml:space="preserve">Deferred income tax expense </w:t>
            </w:r>
            <w:r>
              <w:rPr>
                <w:rFonts w:ascii="Arial" w:cs="Arial" w:eastAsia="Arial" w:hAnsi="Arial"/>
                <w:sz w:val="23"/>
                <w:szCs w:val="23"/>
                <w:color w:val="auto"/>
                <w:vertAlign w:val="superscript"/>
              </w:rPr>
              <w:t>(5)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gain/(loss) on foreign currency revaluation</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Tax effect on selected items impacting comparability</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9"/>
              </w:rPr>
              <w:t>Selected items impacting comparability of net income attributable to PAA</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Impact to basic net income per common unit</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(0.14)</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(0.71)</w:t>
            </w:r>
          </w:p>
        </w:tc>
        <w:tc>
          <w:tcPr>
            <w:tcW w:w="360" w:type="dxa"/>
            <w:vAlign w:val="bottom"/>
            <w:gridSpan w:val="2"/>
            <w:shd w:val="clear" w:color="auto" w:fill="CCEEFF"/>
          </w:tcPr>
          <w:p>
            <w:pPr>
              <w:jc w:val="right"/>
              <w:ind w:right="23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Impact to diluted net income per common unit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(0.14</w:t>
            </w:r>
          </w:p>
        </w:tc>
        <w:tc>
          <w:tcPr>
            <w:tcW w:w="22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0.07</w:t>
            </w:r>
          </w:p>
        </w:tc>
        <w:tc>
          <w:tcPr>
            <w:tcW w:w="20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(0.71</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40" w:right="60" w:hanging="332"/>
        <w:spacing w:after="0" w:line="228" w:lineRule="auto"/>
        <w:tabs>
          <w:tab w:leader="none" w:pos="32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Includes mark-to-market and other gains and losses resulting from derivative instruments that are related to underlying activities in another period (or the reversal of mark-to-market gains and losses from a prior period), gains and losses on derivatives that are related to investing activities (such as the purchase of linefill) and inventory valuation adjustments, as applicable.</w:t>
      </w:r>
    </w:p>
    <w:p>
      <w:pPr>
        <w:spacing w:after="0" w:line="2" w:lineRule="exact"/>
        <w:rPr>
          <w:rFonts w:ascii="Arial" w:cs="Arial" w:eastAsia="Arial" w:hAnsi="Arial"/>
          <w:sz w:val="23"/>
          <w:szCs w:val="23"/>
          <w:color w:val="auto"/>
          <w:vertAlign w:val="superscript"/>
        </w:rPr>
      </w:pPr>
    </w:p>
    <w:p>
      <w:pPr>
        <w:ind w:left="340" w:right="20" w:hanging="332"/>
        <w:spacing w:after="0" w:line="237" w:lineRule="auto"/>
        <w:tabs>
          <w:tab w:leader="none" w:pos="32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Includes the impact of changes in the average cost of long-term inventory that result from fluctuations in market prices and writedowns of such inventory that result from price declines. Long-term inventory consists of minimum working inventory requirements in third-party assets and other working inventory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w:t>
      </w:r>
    </w:p>
    <w:p>
      <w:pPr>
        <w:spacing w:after="0" w:line="1" w:lineRule="exact"/>
        <w:rPr>
          <w:rFonts w:ascii="Arial" w:cs="Arial" w:eastAsia="Arial" w:hAnsi="Arial"/>
          <w:sz w:val="23"/>
          <w:szCs w:val="23"/>
          <w:color w:val="auto"/>
          <w:vertAlign w:val="superscript"/>
        </w:rPr>
      </w:pPr>
    </w:p>
    <w:p>
      <w:pPr>
        <w:ind w:left="340" w:right="700" w:hanging="332"/>
        <w:spacing w:after="0" w:line="243" w:lineRule="auto"/>
        <w:tabs>
          <w:tab w:leader="none" w:pos="32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Includes equity-indexed compensation expense associated with LTIP awards that will or may be settled in units, as the dilutive impact of these outstanding awards is included in our diluted net income per unit calculation and the majority of these awards are expected to be settled in units.</w:t>
      </w:r>
    </w:p>
    <w:p>
      <w:pPr>
        <w:spacing w:after="0" w:line="1" w:lineRule="exact"/>
        <w:rPr>
          <w:rFonts w:ascii="Arial" w:cs="Arial" w:eastAsia="Arial" w:hAnsi="Arial"/>
          <w:sz w:val="21"/>
          <w:szCs w:val="21"/>
          <w:color w:val="auto"/>
          <w:vertAlign w:val="superscript"/>
        </w:rPr>
      </w:pPr>
    </w:p>
    <w:p>
      <w:pPr>
        <w:ind w:left="320" w:hanging="312"/>
        <w:spacing w:after="0" w:line="196" w:lineRule="auto"/>
        <w:tabs>
          <w:tab w:leader="none" w:pos="32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Includes the initial cumulative effect of the recent change in Canadian tax legislation.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right="38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ADJUSTED BASIC AND DILUTED NET INCOME PER COMMON UNIT </w:t>
      </w:r>
      <w:r>
        <w:rPr>
          <w:rFonts w:ascii="Arial" w:cs="Arial" w:eastAsia="Arial" w:hAnsi="Arial"/>
          <w:sz w:val="18"/>
          <w:szCs w:val="18"/>
          <w:color w:val="auto"/>
        </w:rPr>
        <w:t>(in millions, except per unit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160" w:type="dxa"/>
            <w:vAlign w:val="bottom"/>
            <w:gridSpan w:val="5"/>
          </w:tcPr>
          <w:p>
            <w:pPr>
              <w:jc w:val="right"/>
              <w:ind w:right="15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w w:val="98"/>
              </w:rPr>
              <w:t>December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Adjusted Net Income per Common Unit</w:t>
            </w: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780" w:type="dxa"/>
            <w:vAlign w:val="bottom"/>
          </w:tcPr>
          <w:p>
            <w:pPr>
              <w:jc w:val="right"/>
              <w:ind w:right="626"/>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247</w:t>
            </w:r>
          </w:p>
        </w:tc>
        <w:tc>
          <w:tcPr>
            <w:tcW w:w="86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389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903</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w w:val="97"/>
              </w:rPr>
              <w:t xml:space="preserve">Selected items impacting comparability of net income attributable to PAA </w:t>
            </w:r>
            <w:r>
              <w:rPr>
                <w:rFonts w:ascii="Arial" w:cs="Arial" w:eastAsia="Arial" w:hAnsi="Arial"/>
                <w:sz w:val="23"/>
                <w:szCs w:val="23"/>
                <w:color w:val="auto"/>
                <w:w w:val="97"/>
                <w:vertAlign w:val="superscript"/>
              </w:rPr>
              <w:t>(1)</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Distributions to general partner </w:t>
            </w:r>
            <w:r>
              <w:rPr>
                <w:rFonts w:ascii="Arial" w:cs="Arial" w:eastAsia="Arial" w:hAnsi="Arial"/>
                <w:sz w:val="23"/>
                <w:szCs w:val="23"/>
                <w:color w:val="auto"/>
                <w:vertAlign w:val="superscript"/>
              </w:rPr>
              <w:t>(2)</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(155)</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Distributions to participating securities </w:t>
            </w:r>
            <w:r>
              <w:rPr>
                <w:rFonts w:ascii="Arial" w:cs="Arial" w:eastAsia="Arial" w:hAnsi="Arial"/>
                <w:sz w:val="23"/>
                <w:szCs w:val="23"/>
                <w:color w:val="auto"/>
                <w:vertAlign w:val="superscript"/>
              </w:rPr>
              <w:t>(2)</w:t>
            </w:r>
          </w:p>
        </w:tc>
        <w:tc>
          <w:tcPr>
            <w:tcW w:w="78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Less: Undistributed (earnings)/loss allocated to general partner and</w:t>
            </w: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participating securities </w:t>
            </w:r>
            <w:r>
              <w:rPr>
                <w:rFonts w:ascii="Arial" w:cs="Arial" w:eastAsia="Arial" w:hAnsi="Arial"/>
                <w:sz w:val="23"/>
                <w:szCs w:val="23"/>
                <w:color w:val="auto"/>
                <w:vertAlign w:val="superscript"/>
              </w:rPr>
              <w:t>(2)</w:t>
            </w: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tcPr>
          <w:p>
            <w:pPr>
              <w:spacing w:after="0" w:line="201" w:lineRule="exact"/>
              <w:rPr>
                <w:sz w:val="20"/>
                <w:szCs w:val="20"/>
                <w:color w:val="auto"/>
              </w:rPr>
            </w:pPr>
            <w:r>
              <w:rPr>
                <w:rFonts w:ascii="Arial" w:cs="Arial" w:eastAsia="Arial" w:hAnsi="Arial"/>
                <w:sz w:val="18"/>
                <w:szCs w:val="18"/>
                <w:color w:val="auto"/>
              </w:rPr>
              <w:t>Adjusted net income attributable to common unitholders in accordance with</w:t>
            </w: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040" w:type="dxa"/>
            <w:vAlign w:val="bottom"/>
            <w:vMerge w:val="continue"/>
          </w:tcPr>
          <w:p>
            <w:pPr>
              <w:spacing w:after="0"/>
              <w:rPr>
                <w:sz w:val="15"/>
                <w:szCs w:val="15"/>
                <w:color w:val="auto"/>
              </w:rPr>
            </w:pPr>
          </w:p>
        </w:tc>
        <w:tc>
          <w:tcPr>
            <w:tcW w:w="780" w:type="dxa"/>
            <w:vAlign w:val="bottom"/>
            <w:vMerge w:val="restart"/>
          </w:tcPr>
          <w:p>
            <w:pPr>
              <w:jc w:val="right"/>
              <w:ind w:right="626"/>
              <w:spacing w:after="0"/>
              <w:rPr>
                <w:sz w:val="20"/>
                <w:szCs w:val="20"/>
                <w:color w:val="auto"/>
              </w:rPr>
            </w:pPr>
            <w:r>
              <w:rPr>
                <w:rFonts w:ascii="Arial" w:cs="Arial" w:eastAsia="Arial" w:hAnsi="Arial"/>
                <w:sz w:val="15"/>
                <w:szCs w:val="15"/>
                <w:color w:val="auto"/>
                <w:w w:val="71"/>
              </w:rPr>
              <w:t>$</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151</w:t>
            </w:r>
          </w:p>
        </w:tc>
        <w:tc>
          <w:tcPr>
            <w:tcW w:w="140" w:type="dxa"/>
            <w:vAlign w:val="bottom"/>
            <w:vMerge w:val="restart"/>
          </w:tcPr>
          <w:p>
            <w:pPr>
              <w:spacing w:after="0"/>
              <w:rPr>
                <w:sz w:val="15"/>
                <w:szCs w:val="15"/>
                <w:color w:val="auto"/>
              </w:rPr>
            </w:pPr>
          </w:p>
        </w:tc>
        <w:tc>
          <w:tcPr>
            <w:tcW w:w="80" w:type="dxa"/>
            <w:vAlign w:val="bottom"/>
            <w:vMerge w:val="restart"/>
          </w:tcPr>
          <w:p>
            <w:pPr>
              <w:spacing w:after="0"/>
              <w:rPr>
                <w:sz w:val="15"/>
                <w:szCs w:val="15"/>
                <w:color w:val="auto"/>
              </w:rPr>
            </w:pPr>
          </w:p>
        </w:tc>
        <w:tc>
          <w:tcPr>
            <w:tcW w:w="780" w:type="dxa"/>
            <w:vAlign w:val="bottom"/>
            <w:vMerge w:val="restart"/>
          </w:tcPr>
          <w:p>
            <w:pPr>
              <w:jc w:val="right"/>
              <w:ind w:right="590"/>
              <w:spacing w:after="0"/>
              <w:rPr>
                <w:sz w:val="20"/>
                <w:szCs w:val="20"/>
                <w:color w:val="auto"/>
              </w:rPr>
            </w:pPr>
            <w:r>
              <w:rPr>
                <w:rFonts w:ascii="Arial" w:cs="Arial" w:eastAsia="Arial" w:hAnsi="Arial"/>
                <w:sz w:val="18"/>
                <w:szCs w:val="18"/>
                <w:color w:val="auto"/>
                <w:w w:val="79"/>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225</w:t>
            </w:r>
          </w:p>
        </w:tc>
        <w:tc>
          <w:tcPr>
            <w:tcW w:w="200" w:type="dxa"/>
            <w:vAlign w:val="bottom"/>
            <w:vMerge w:val="restart"/>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588</w:t>
            </w:r>
          </w:p>
        </w:tc>
        <w:tc>
          <w:tcPr>
            <w:tcW w:w="4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application of the two-class method for MLPs</w:t>
            </w:r>
          </w:p>
        </w:tc>
        <w:tc>
          <w:tcPr>
            <w:tcW w:w="780" w:type="dxa"/>
            <w:vAlign w:val="bottom"/>
            <w:vMerge w:val="continue"/>
          </w:tcPr>
          <w:p>
            <w:pPr>
              <w:spacing w:after="0"/>
              <w:rPr>
                <w:sz w:val="22"/>
                <w:szCs w:val="22"/>
                <w:color w:val="auto"/>
              </w:rPr>
            </w:pPr>
          </w:p>
        </w:tc>
        <w:tc>
          <w:tcPr>
            <w:tcW w:w="380" w:type="dxa"/>
            <w:vAlign w:val="bottom"/>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780" w:type="dxa"/>
            <w:vAlign w:val="bottom"/>
            <w:vMerge w:val="continue"/>
          </w:tcPr>
          <w:p>
            <w:pPr>
              <w:spacing w:after="0"/>
              <w:rPr>
                <w:sz w:val="22"/>
                <w:szCs w:val="22"/>
                <w:color w:val="auto"/>
              </w:rPr>
            </w:pPr>
          </w:p>
        </w:tc>
        <w:tc>
          <w:tcPr>
            <w:tcW w:w="400" w:type="dxa"/>
            <w:vAlign w:val="bottom"/>
            <w:vMerge w:val="continue"/>
          </w:tcPr>
          <w:p>
            <w:pPr>
              <w:spacing w:after="0"/>
              <w:rPr>
                <w:sz w:val="22"/>
                <w:szCs w:val="22"/>
                <w:color w:val="auto"/>
              </w:rPr>
            </w:pPr>
          </w:p>
        </w:tc>
        <w:tc>
          <w:tcPr>
            <w:tcW w:w="200" w:type="dxa"/>
            <w:vAlign w:val="bottom"/>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440" w:type="dxa"/>
            <w:vAlign w:val="bottom"/>
            <w:gridSpan w:val="2"/>
            <w:vMerge w:val="continue"/>
          </w:tcPr>
          <w:p>
            <w:pPr>
              <w:spacing w:after="0"/>
              <w:rPr>
                <w:sz w:val="22"/>
                <w:szCs w:val="22"/>
                <w:color w:val="auto"/>
              </w:rPr>
            </w:pPr>
          </w:p>
        </w:tc>
        <w:tc>
          <w:tcPr>
            <w:tcW w:w="8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Basic weighted average common units outstanding</w:t>
            </w:r>
          </w:p>
        </w:tc>
        <w:tc>
          <w:tcPr>
            <w:tcW w:w="7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373</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Basic adjusted net income per common unit</w:t>
            </w:r>
          </w:p>
        </w:tc>
        <w:tc>
          <w:tcPr>
            <w:tcW w:w="780" w:type="dxa"/>
            <w:vAlign w:val="bottom"/>
          </w:tcPr>
          <w:p>
            <w:pPr>
              <w:jc w:val="right"/>
              <w:ind w:right="626"/>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0.38</w:t>
            </w:r>
          </w:p>
        </w:tc>
        <w:tc>
          <w:tcPr>
            <w:tcW w:w="86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0.60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1.49</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Diluted Adjusted Net Income per Common Unit</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78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w:t>
            </w:r>
          </w:p>
        </w:tc>
        <w:tc>
          <w:tcPr>
            <w:tcW w:w="86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903</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line="216" w:lineRule="exact"/>
              <w:rPr>
                <w:sz w:val="20"/>
                <w:szCs w:val="20"/>
                <w:color w:val="auto"/>
              </w:rPr>
            </w:pPr>
            <w:r>
              <w:rPr>
                <w:rFonts w:ascii="Arial" w:cs="Arial" w:eastAsia="Arial" w:hAnsi="Arial"/>
                <w:sz w:val="18"/>
                <w:szCs w:val="18"/>
                <w:color w:val="auto"/>
                <w:w w:val="97"/>
              </w:rPr>
              <w:t xml:space="preserve">Selected items impacting comparability of net income attributable to PAA </w:t>
            </w:r>
            <w:r>
              <w:rPr>
                <w:rFonts w:ascii="Arial" w:cs="Arial" w:eastAsia="Arial" w:hAnsi="Arial"/>
                <w:sz w:val="23"/>
                <w:szCs w:val="23"/>
                <w:color w:val="auto"/>
                <w:w w:val="97"/>
                <w:vertAlign w:val="superscript"/>
              </w:rPr>
              <w:t>(1)</w:t>
            </w: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Distributions to general partner </w:t>
            </w:r>
            <w:r>
              <w:rPr>
                <w:rFonts w:ascii="Arial" w:cs="Arial" w:eastAsia="Arial" w:hAnsi="Arial"/>
                <w:sz w:val="23"/>
                <w:szCs w:val="23"/>
                <w:color w:val="auto"/>
                <w:vertAlign w:val="superscript"/>
              </w:rPr>
              <w:t>(2)</w:t>
            </w:r>
          </w:p>
        </w:tc>
        <w:tc>
          <w:tcPr>
            <w:tcW w:w="78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(155)</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(608)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Distributions to participating securities </w:t>
            </w:r>
            <w:r>
              <w:rPr>
                <w:rFonts w:ascii="Arial" w:cs="Arial" w:eastAsia="Arial" w:hAnsi="Arial"/>
                <w:sz w:val="23"/>
                <w:szCs w:val="23"/>
                <w:color w:val="auto"/>
                <w:vertAlign w:val="superscript"/>
              </w:rPr>
              <w:t>(2)</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ind w:left="160"/>
              <w:spacing w:after="0" w:line="201" w:lineRule="exact"/>
              <w:rPr>
                <w:sz w:val="20"/>
                <w:szCs w:val="20"/>
                <w:color w:val="auto"/>
              </w:rPr>
            </w:pPr>
            <w:r>
              <w:rPr>
                <w:rFonts w:ascii="Arial" w:cs="Arial" w:eastAsia="Arial" w:hAnsi="Arial"/>
                <w:sz w:val="18"/>
                <w:szCs w:val="18"/>
                <w:color w:val="auto"/>
              </w:rPr>
              <w:t>Less: Undistributed (earnings)/loss allocated to general partner and</w:t>
            </w: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340"/>
              <w:spacing w:after="0" w:line="231" w:lineRule="exact"/>
              <w:rPr>
                <w:sz w:val="20"/>
                <w:szCs w:val="20"/>
                <w:color w:val="auto"/>
              </w:rPr>
            </w:pPr>
            <w:r>
              <w:rPr>
                <w:rFonts w:ascii="Arial" w:cs="Arial" w:eastAsia="Arial" w:hAnsi="Arial"/>
                <w:sz w:val="18"/>
                <w:szCs w:val="18"/>
                <w:color w:val="auto"/>
              </w:rPr>
              <w:t xml:space="preserve">participating securities </w:t>
            </w:r>
            <w:r>
              <w:rPr>
                <w:rFonts w:ascii="Arial" w:cs="Arial" w:eastAsia="Arial" w:hAnsi="Arial"/>
                <w:sz w:val="23"/>
                <w:szCs w:val="23"/>
                <w:color w:val="auto"/>
                <w:vertAlign w:val="superscript"/>
              </w:rPr>
              <w:t>(2)</w:t>
            </w:r>
          </w:p>
        </w:tc>
        <w:tc>
          <w:tcPr>
            <w:tcW w:w="7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Adjusted net income attributable to common unitholders in accordance with</w:t>
            </w: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040" w:type="dxa"/>
            <w:vAlign w:val="bottom"/>
            <w:vMerge w:val="continue"/>
            <w:shd w:val="clear" w:color="auto" w:fill="CCEEFF"/>
          </w:tcPr>
          <w:p>
            <w:pPr>
              <w:spacing w:after="0"/>
              <w:rPr>
                <w:sz w:val="15"/>
                <w:szCs w:val="15"/>
                <w:color w:val="auto"/>
              </w:rPr>
            </w:pPr>
          </w:p>
        </w:tc>
        <w:tc>
          <w:tcPr>
            <w:tcW w:w="780" w:type="dxa"/>
            <w:vAlign w:val="bottom"/>
            <w:vMerge w:val="restart"/>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40" w:type="dxa"/>
            <w:vAlign w:val="bottom"/>
            <w:vMerge w:val="restart"/>
            <w:shd w:val="clear" w:color="auto" w:fill="CCEEFF"/>
          </w:tcPr>
          <w:p>
            <w:pPr>
              <w:spacing w:after="0"/>
              <w:rPr>
                <w:sz w:val="15"/>
                <w:szCs w:val="15"/>
                <w:color w:val="auto"/>
              </w:rPr>
            </w:pPr>
          </w:p>
        </w:tc>
        <w:tc>
          <w:tcPr>
            <w:tcW w:w="80" w:type="dxa"/>
            <w:vAlign w:val="bottom"/>
            <w:vMerge w:val="restart"/>
            <w:shd w:val="clear" w:color="auto" w:fill="CCEEFF"/>
          </w:tcPr>
          <w:p>
            <w:pPr>
              <w:spacing w:after="0"/>
              <w:rPr>
                <w:sz w:val="15"/>
                <w:szCs w:val="15"/>
                <w:color w:val="auto"/>
              </w:rPr>
            </w:pPr>
          </w:p>
        </w:tc>
        <w:tc>
          <w:tcPr>
            <w:tcW w:w="780" w:type="dxa"/>
            <w:vAlign w:val="bottom"/>
            <w:vMerge w:val="restart"/>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0" w:type="dxa"/>
            <w:vAlign w:val="bottom"/>
            <w:vMerge w:val="restart"/>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588</w:t>
            </w:r>
          </w:p>
        </w:tc>
        <w:tc>
          <w:tcPr>
            <w:tcW w:w="4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application of the two-class method for MLPs</w:t>
            </w:r>
          </w:p>
        </w:tc>
        <w:tc>
          <w:tcPr>
            <w:tcW w:w="78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78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0.38</w:t>
            </w:r>
          </w:p>
        </w:tc>
        <w:tc>
          <w:tcPr>
            <w:tcW w:w="86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18" w:right="239" w:bottom="0" w:gutter="0" w:footer="0" w:header="0"/>
        </w:sectPr>
      </w:pPr>
    </w:p>
    <w:bookmarkStart w:id="11" w:name="page12"/>
    <w:bookmarkEnd w:id="11"/>
    <w:p>
      <w:pPr>
        <w:ind w:left="320" w:hanging="312"/>
        <w:spacing w:after="0"/>
        <w:tabs>
          <w:tab w:leader="none" w:pos="32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8268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26895" cy="8255"/>
                    </a:xfrm>
                    <a:prstGeom prst="rect">
                      <a:avLst/>
                    </a:prstGeom>
                    <a:noFill/>
                  </pic:spPr>
                </pic:pic>
              </a:graphicData>
            </a:graphic>
          </wp:anchor>
        </w:drawing>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40" w:right="160" w:hanging="332"/>
        <w:spacing w:after="0" w:line="233" w:lineRule="auto"/>
        <w:tabs>
          <w:tab w:leader="none" w:pos="32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We calculate adjusted net income attributable to common unitholders based on the distributions pertaining to the current period’s net income. After adjusting for the appropriate period’s distributions, the remaining undistributed earnings or excess distributions over earnings, if any, are allocated to the general partner, common unitholders and participating securities in accordance with the contractual terms of the partnership agreement and as further prescribed under the two-class method.</w:t>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DATA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200" w:type="dxa"/>
            <w:vAlign w:val="bottom"/>
            <w:gridSpan w:val="5"/>
          </w:tcPr>
          <w:p>
            <w:pPr>
              <w:jc w:val="right"/>
              <w:ind w:right="19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Twelve Months Ended</w:t>
            </w:r>
          </w:p>
        </w:tc>
      </w:tr>
      <w:tr>
        <w:trPr>
          <w:trHeight w:val="171"/>
        </w:trPr>
        <w:tc>
          <w:tcPr>
            <w:tcW w:w="60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4"/>
                <w:szCs w:val="14"/>
                <w:b w:val="1"/>
                <w:bCs w:val="1"/>
                <w:color w:val="auto"/>
                <w:w w:val="98"/>
              </w:rPr>
              <w:t>December 31,</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0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5"/>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8"/>
        </w:trPr>
        <w:tc>
          <w:tcPr>
            <w:tcW w:w="606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Net Income to Earnings Before Interest, Taxes, Depreciation and</w:t>
            </w:r>
          </w:p>
        </w:tc>
        <w:tc>
          <w:tcPr>
            <w:tcW w:w="7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Amortization (“EBITDA”) and Excluding Selected Items Impacting</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Comparability (“Adjusted EBITDA”) Reconciliations</w:t>
            </w: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Net Income</w:t>
            </w:r>
          </w:p>
        </w:tc>
        <w:tc>
          <w:tcPr>
            <w:tcW w:w="780" w:type="dxa"/>
            <w:vAlign w:val="bottom"/>
          </w:tcPr>
          <w:p>
            <w:pPr>
              <w:jc w:val="right"/>
              <w:ind w:right="626"/>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248</w:t>
            </w:r>
          </w:p>
        </w:tc>
        <w:tc>
          <w:tcPr>
            <w:tcW w:w="92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390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906</w:t>
            </w: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1,386</w:t>
            </w:r>
          </w:p>
        </w:tc>
        <w:tc>
          <w:tcPr>
            <w:tcW w:w="80" w:type="dxa"/>
            <w:vAlign w:val="bottom"/>
          </w:tcPr>
          <w:p>
            <w:pPr>
              <w:spacing w:after="0"/>
              <w:rPr>
                <w:sz w:val="18"/>
                <w:szCs w:val="18"/>
                <w:color w:val="auto"/>
              </w:rPr>
            </w:pPr>
          </w:p>
        </w:tc>
      </w:tr>
      <w:tr>
        <w:trPr>
          <w:trHeight w:val="216"/>
        </w:trPr>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 Interest expense, net</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w:t>
            </w:r>
          </w:p>
        </w:tc>
        <w:tc>
          <w:tcPr>
            <w:tcW w:w="80" w:type="dxa"/>
            <w:vAlign w:val="bottom"/>
            <w:shd w:val="clear" w:color="auto" w:fill="CCEEFF"/>
          </w:tcPr>
          <w:p>
            <w:pPr>
              <w:spacing w:after="0"/>
              <w:rPr>
                <w:sz w:val="18"/>
                <w:szCs w:val="18"/>
                <w:color w:val="auto"/>
              </w:rPr>
            </w:pPr>
          </w:p>
        </w:tc>
      </w:tr>
      <w:tr>
        <w:trPr>
          <w:trHeight w:val="216"/>
        </w:trPr>
        <w:tc>
          <w:tcPr>
            <w:tcW w:w="6060" w:type="dxa"/>
            <w:vAlign w:val="bottom"/>
          </w:tcPr>
          <w:p>
            <w:pPr>
              <w:ind w:left="200"/>
              <w:spacing w:after="0"/>
              <w:rPr>
                <w:sz w:val="20"/>
                <w:szCs w:val="20"/>
                <w:color w:val="auto"/>
              </w:rPr>
            </w:pPr>
            <w:r>
              <w:rPr>
                <w:rFonts w:ascii="Arial" w:cs="Arial" w:eastAsia="Arial" w:hAnsi="Arial"/>
                <w:sz w:val="18"/>
                <w:szCs w:val="18"/>
                <w:color w:val="auto"/>
              </w:rPr>
              <w:t>Add: Income tax expense</w:t>
            </w: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8"/>
                <w:szCs w:val="18"/>
                <w:color w:val="auto"/>
              </w:rPr>
            </w:pPr>
          </w:p>
        </w:tc>
      </w:tr>
      <w:tr>
        <w:trPr>
          <w:trHeight w:val="216"/>
        </w:trPr>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 Depreciation and amortization</w:t>
            </w: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w:t>
            </w:r>
          </w:p>
        </w:tc>
        <w:tc>
          <w:tcPr>
            <w:tcW w:w="80" w:type="dxa"/>
            <w:vAlign w:val="bottom"/>
            <w:shd w:val="clear" w:color="auto" w:fill="CCEEFF"/>
          </w:tcPr>
          <w:p>
            <w:pPr>
              <w:spacing w:after="0"/>
              <w:rPr>
                <w:sz w:val="18"/>
                <w:szCs w:val="18"/>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EBITDA</w:t>
            </w:r>
          </w:p>
        </w:tc>
        <w:tc>
          <w:tcPr>
            <w:tcW w:w="780" w:type="dxa"/>
            <w:vAlign w:val="bottom"/>
            <w:tcBorders>
              <w:top w:val="single" w:sz="8" w:color="auto"/>
            </w:tcBorders>
          </w:tcPr>
          <w:p>
            <w:pPr>
              <w:jc w:val="right"/>
              <w:ind w:right="62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20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6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Selected items impacting comparability of EBITDA </w:t>
            </w:r>
            <w:r>
              <w:rPr>
                <w:rFonts w:ascii="Arial" w:cs="Arial" w:eastAsia="Arial" w:hAnsi="Arial"/>
                <w:sz w:val="23"/>
                <w:szCs w:val="23"/>
                <w:color w:val="auto"/>
                <w:vertAlign w:val="superscript"/>
              </w:rPr>
              <w:t>(1)</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Adjusted EBITDA</w:t>
            </w:r>
          </w:p>
        </w:tc>
        <w:tc>
          <w:tcPr>
            <w:tcW w:w="780" w:type="dxa"/>
            <w:vAlign w:val="bottom"/>
            <w:tcBorders>
              <w:top w:val="single" w:sz="8" w:color="auto"/>
              <w:bottom w:val="single" w:sz="8" w:color="auto"/>
            </w:tcBorders>
          </w:tcPr>
          <w:p>
            <w:pPr>
              <w:jc w:val="right"/>
              <w:ind w:right="62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200" w:type="dxa"/>
            <w:vAlign w:val="bottom"/>
            <w:gridSpan w:val="5"/>
          </w:tcPr>
          <w:p>
            <w:pPr>
              <w:jc w:val="right"/>
              <w:ind w:right="19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Twelve Months Ended</w:t>
            </w:r>
          </w:p>
        </w:tc>
      </w:tr>
      <w:tr>
        <w:trPr>
          <w:trHeight w:val="171"/>
        </w:trPr>
        <w:tc>
          <w:tcPr>
            <w:tcW w:w="60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4"/>
                <w:szCs w:val="14"/>
                <w:b w:val="1"/>
                <w:bCs w:val="1"/>
                <w:color w:val="auto"/>
                <w:w w:val="98"/>
              </w:rPr>
              <w:t>December 31,</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0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5"/>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8"/>
        </w:trPr>
        <w:tc>
          <w:tcPr>
            <w:tcW w:w="606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Adjusted EBITDA to Implied Distributable Cash Flow (“DCF”)</w:t>
            </w:r>
          </w:p>
        </w:tc>
        <w:tc>
          <w:tcPr>
            <w:tcW w:w="7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4"/>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Reconciliation</w:t>
            </w: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Adjusted EBITDA</w:t>
            </w:r>
          </w:p>
        </w:tc>
        <w:tc>
          <w:tcPr>
            <w:tcW w:w="780" w:type="dxa"/>
            <w:vAlign w:val="bottom"/>
          </w:tcPr>
          <w:p>
            <w:pPr>
              <w:jc w:val="right"/>
              <w:ind w:right="627"/>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563</w:t>
            </w:r>
          </w:p>
        </w:tc>
        <w:tc>
          <w:tcPr>
            <w:tcW w:w="9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594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2,168</w:t>
            </w: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2,200</w:t>
            </w:r>
          </w:p>
        </w:tc>
        <w:tc>
          <w:tcPr>
            <w:tcW w:w="80" w:type="dxa"/>
            <w:vAlign w:val="bottom"/>
          </w:tcPr>
          <w:p>
            <w:pPr>
              <w:spacing w:after="0"/>
              <w:rPr>
                <w:sz w:val="18"/>
                <w:szCs w:val="18"/>
                <w:color w:val="auto"/>
              </w:rPr>
            </w:pPr>
          </w:p>
        </w:tc>
      </w:tr>
      <w:tr>
        <w:trPr>
          <w:trHeight w:val="216"/>
        </w:trPr>
        <w:tc>
          <w:tcPr>
            <w:tcW w:w="606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(1)</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(107)</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(334)</w:t>
            </w:r>
          </w:p>
        </w:tc>
      </w:tr>
      <w:tr>
        <w:trPr>
          <w:trHeight w:val="216"/>
        </w:trPr>
        <w:tc>
          <w:tcPr>
            <w:tcW w:w="6060" w:type="dxa"/>
            <w:vAlign w:val="bottom"/>
          </w:tcPr>
          <w:p>
            <w:pPr>
              <w:ind w:left="200"/>
              <w:spacing w:after="0"/>
              <w:rPr>
                <w:sz w:val="20"/>
                <w:szCs w:val="20"/>
                <w:color w:val="auto"/>
              </w:rPr>
            </w:pPr>
            <w:r>
              <w:rPr>
                <w:rFonts w:ascii="Arial" w:cs="Arial" w:eastAsia="Arial" w:hAnsi="Arial"/>
                <w:sz w:val="18"/>
                <w:szCs w:val="18"/>
                <w:color w:val="auto"/>
              </w:rPr>
              <w:t>Maintenance capital</w:t>
            </w:r>
          </w:p>
        </w:tc>
        <w:tc>
          <w:tcPr>
            <w:tcW w:w="78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(224)</w:t>
            </w:r>
          </w:p>
        </w:tc>
      </w:tr>
      <w:tr>
        <w:trPr>
          <w:trHeight w:val="216"/>
        </w:trPr>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income tax expense</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r>
      <w:tr>
        <w:trPr>
          <w:trHeight w:val="216"/>
        </w:trPr>
        <w:tc>
          <w:tcPr>
            <w:tcW w:w="6060" w:type="dxa"/>
            <w:vAlign w:val="bottom"/>
          </w:tcPr>
          <w:p>
            <w:pPr>
              <w:ind w:left="200"/>
              <w:spacing w:after="0"/>
              <w:rPr>
                <w:sz w:val="20"/>
                <w:szCs w:val="20"/>
                <w:color w:val="auto"/>
              </w:rPr>
            </w:pPr>
            <w:r>
              <w:rPr>
                <w:rFonts w:ascii="Arial" w:cs="Arial" w:eastAsia="Arial" w:hAnsi="Arial"/>
                <w:sz w:val="18"/>
                <w:szCs w:val="18"/>
                <w:color w:val="auto"/>
              </w:rPr>
              <w:t>Equity earnings in unconsolidated entities, net of distributions</w:t>
            </w:r>
          </w:p>
        </w:tc>
        <w:tc>
          <w:tcPr>
            <w:tcW w:w="7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606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(2)</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0"/>
        </w:trPr>
        <w:tc>
          <w:tcPr>
            <w:tcW w:w="6060" w:type="dxa"/>
            <w:vAlign w:val="bottom"/>
          </w:tcPr>
          <w:p>
            <w:pPr>
              <w:spacing w:after="0" w:line="210" w:lineRule="exact"/>
              <w:rPr>
                <w:sz w:val="20"/>
                <w:szCs w:val="20"/>
                <w:color w:val="auto"/>
              </w:rPr>
            </w:pPr>
            <w:r>
              <w:rPr>
                <w:rFonts w:ascii="Arial" w:cs="Arial" w:eastAsia="Arial" w:hAnsi="Arial"/>
                <w:sz w:val="18"/>
                <w:szCs w:val="18"/>
                <w:color w:val="auto"/>
              </w:rPr>
              <w:t xml:space="preserve">Implied DCF </w:t>
            </w:r>
            <w:r>
              <w:rPr>
                <w:rFonts w:ascii="Arial" w:cs="Arial" w:eastAsia="Arial" w:hAnsi="Arial"/>
                <w:sz w:val="23"/>
                <w:szCs w:val="23"/>
                <w:color w:val="auto"/>
                <w:vertAlign w:val="superscript"/>
              </w:rPr>
              <w:t>(3)</w:t>
            </w:r>
          </w:p>
        </w:tc>
        <w:tc>
          <w:tcPr>
            <w:tcW w:w="780" w:type="dxa"/>
            <w:vAlign w:val="bottom"/>
            <w:tcBorders>
              <w:top w:val="single" w:sz="8" w:color="auto"/>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1" w:lineRule="exact"/>
        <w:rPr>
          <w:rFonts w:ascii="Arial" w:cs="Arial" w:eastAsia="Arial" w:hAnsi="Arial"/>
          <w:sz w:val="22"/>
          <w:szCs w:val="22"/>
          <w:color w:val="auto"/>
          <w:vertAlign w:val="superscript"/>
        </w:rPr>
      </w:pPr>
    </w:p>
    <w:p>
      <w:pPr>
        <w:ind w:left="320" w:hanging="312"/>
        <w:spacing w:after="0" w:line="194" w:lineRule="auto"/>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Includes distributions that pertain to the current period’s net income, which are paid in the subsequent period.</w:t>
      </w:r>
    </w:p>
    <w:p>
      <w:pPr>
        <w:spacing w:after="0" w:line="2" w:lineRule="exact"/>
        <w:rPr>
          <w:rFonts w:ascii="Arial" w:cs="Arial" w:eastAsia="Arial" w:hAnsi="Arial"/>
          <w:sz w:val="23"/>
          <w:szCs w:val="23"/>
          <w:color w:val="auto"/>
          <w:vertAlign w:val="superscript"/>
        </w:rPr>
      </w:pPr>
    </w:p>
    <w:p>
      <w:pPr>
        <w:ind w:left="340" w:right="240" w:hanging="332"/>
        <w:spacing w:after="0" w:line="219" w:lineRule="auto"/>
        <w:tabs>
          <w:tab w:leader="none" w:pos="32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Including costs related to our Line 901 incident that occurred during May 2015, Implied DCF would have been $365 million and $1,391 million for the three and twelve months ended December 31, 2015, respectively.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0" w:type="dxa"/>
            <w:vAlign w:val="bottom"/>
            <w:gridSpan w:val="5"/>
          </w:tcPr>
          <w:p>
            <w:pPr>
              <w:jc w:val="right"/>
              <w:ind w:right="19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Twelve Months Ended</w:t>
            </w:r>
          </w:p>
        </w:tc>
        <w:tc>
          <w:tcPr>
            <w:tcW w:w="40" w:type="dxa"/>
            <w:vAlign w:val="bottom"/>
          </w:tcPr>
          <w:p>
            <w:pPr>
              <w:spacing w:after="0"/>
              <w:rPr>
                <w:sz w:val="14"/>
                <w:szCs w:val="14"/>
                <w:color w:val="auto"/>
              </w:rPr>
            </w:pPr>
          </w:p>
        </w:tc>
      </w:tr>
      <w:tr>
        <w:trPr>
          <w:trHeight w:val="171"/>
        </w:trPr>
        <w:tc>
          <w:tcPr>
            <w:tcW w:w="4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4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right"/>
              <w:ind w:right="336"/>
              <w:spacing w:after="0" w:line="142" w:lineRule="exact"/>
              <w:rPr>
                <w:sz w:val="20"/>
                <w:szCs w:val="20"/>
                <w:color w:val="auto"/>
              </w:rPr>
            </w:pPr>
            <w:r>
              <w:rPr>
                <w:rFonts w:ascii="Arial" w:cs="Arial" w:eastAsia="Arial" w:hAnsi="Arial"/>
                <w:sz w:val="14"/>
                <w:szCs w:val="14"/>
                <w:b w:val="1"/>
                <w:bCs w:val="1"/>
                <w:color w:val="auto"/>
                <w:w w:val="89"/>
              </w:rPr>
              <w:t>2015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right"/>
              <w:ind w:right="3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4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3"/>
              </w:rPr>
              <w:t>Net Cash Provided by Operating Activities Reconciliation</w:t>
            </w:r>
          </w:p>
        </w:tc>
        <w:tc>
          <w:tcPr>
            <w:tcW w:w="14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EBITDA</w:t>
            </w:r>
          </w:p>
        </w:tc>
        <w:tc>
          <w:tcPr>
            <w:tcW w:w="2220" w:type="dxa"/>
            <w:vAlign w:val="bottom"/>
            <w:gridSpan w:val="2"/>
          </w:tcPr>
          <w:p>
            <w:pPr>
              <w:jc w:val="right"/>
              <w:ind w:right="587"/>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506</w:t>
            </w:r>
          </w:p>
        </w:tc>
        <w:tc>
          <w:tcPr>
            <w:tcW w:w="102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664</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1,870</w:t>
            </w:r>
          </w:p>
        </w:tc>
        <w:tc>
          <w:tcPr>
            <w:tcW w:w="4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2,289</w:t>
            </w:r>
          </w:p>
        </w:tc>
        <w:tc>
          <w:tcPr>
            <w:tcW w:w="40" w:type="dxa"/>
            <w:vAlign w:val="bottom"/>
          </w:tcPr>
          <w:p>
            <w:pPr>
              <w:spacing w:after="0"/>
              <w:rPr>
                <w:sz w:val="18"/>
                <w:szCs w:val="18"/>
                <w:color w:val="auto"/>
              </w:rPr>
            </w:pP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income tax expense</w:t>
            </w:r>
          </w:p>
        </w:tc>
        <w:tc>
          <w:tcPr>
            <w:tcW w:w="1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76"/>
              <w:spacing w:after="0"/>
              <w:rPr>
                <w:sz w:val="20"/>
                <w:szCs w:val="20"/>
                <w:color w:val="auto"/>
              </w:rPr>
            </w:pPr>
            <w:r>
              <w:rPr>
                <w:rFonts w:ascii="Arial" w:cs="Arial" w:eastAsia="Arial" w:hAnsi="Arial"/>
                <w:sz w:val="18"/>
                <w:szCs w:val="18"/>
                <w:color w:val="auto"/>
              </w:rPr>
              <w:t>(12)</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18"/>
                <w:szCs w:val="18"/>
                <w:color w:val="auto"/>
              </w:rPr>
            </w:pP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1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gridSpan w:val="3"/>
          </w:tcPr>
          <w:p>
            <w:pPr>
              <w:jc w:val="right"/>
              <w:ind w:right="76"/>
              <w:spacing w:after="0"/>
              <w:rPr>
                <w:sz w:val="20"/>
                <w:szCs w:val="20"/>
                <w:color w:val="auto"/>
              </w:rPr>
            </w:pPr>
            <w:r>
              <w:rPr>
                <w:rFonts w:ascii="Arial" w:cs="Arial" w:eastAsia="Arial" w:hAnsi="Arial"/>
                <w:sz w:val="18"/>
                <w:szCs w:val="18"/>
                <w:color w:val="auto"/>
              </w:rPr>
              <w:t>(111)</w:t>
            </w:r>
          </w:p>
        </w:tc>
        <w:tc>
          <w:tcPr>
            <w:tcW w:w="8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(348)</w:t>
            </w:r>
          </w:p>
        </w:tc>
        <w:tc>
          <w:tcPr>
            <w:tcW w:w="40" w:type="dxa"/>
            <w:vAlign w:val="bottom"/>
          </w:tcPr>
          <w:p>
            <w:pPr>
              <w:spacing w:after="0"/>
              <w:rPr>
                <w:sz w:val="18"/>
                <w:szCs w:val="18"/>
                <w:color w:val="auto"/>
              </w:rPr>
            </w:pP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in assets and liabilities, net of acquisitions</w:t>
            </w:r>
          </w:p>
        </w:tc>
        <w:tc>
          <w:tcPr>
            <w:tcW w:w="1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76"/>
              <w:spacing w:after="0"/>
              <w:rPr>
                <w:sz w:val="20"/>
                <w:szCs w:val="20"/>
                <w:color w:val="auto"/>
              </w:rPr>
            </w:pPr>
            <w:r>
              <w:rPr>
                <w:rFonts w:ascii="Arial" w:cs="Arial" w:eastAsia="Arial" w:hAnsi="Arial"/>
                <w:sz w:val="18"/>
                <w:szCs w:val="18"/>
                <w:color w:val="auto"/>
              </w:rPr>
              <w:t>(261)</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r>
      <w:tr>
        <w:trPr>
          <w:trHeight w:val="216"/>
        </w:trPr>
        <w:tc>
          <w:tcPr>
            <w:tcW w:w="6800" w:type="dxa"/>
            <w:vAlign w:val="bottom"/>
            <w:gridSpan w:val="3"/>
          </w:tcPr>
          <w:p>
            <w:pPr>
              <w:spacing w:after="0"/>
              <w:rPr>
                <w:sz w:val="20"/>
                <w:szCs w:val="20"/>
                <w:color w:val="auto"/>
              </w:rPr>
            </w:pPr>
            <w:r>
              <w:rPr>
                <w:rFonts w:ascii="Arial" w:cs="Arial" w:eastAsia="Arial" w:hAnsi="Arial"/>
                <w:sz w:val="18"/>
                <w:szCs w:val="18"/>
                <w:color w:val="auto"/>
              </w:rPr>
              <w:t>Other items to reconcile to net cash provided by operating activities:</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Equity-indexed compensation expense</w:t>
            </w:r>
          </w:p>
        </w:tc>
        <w:tc>
          <w:tcPr>
            <w:tcW w:w="1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40" w:type="dxa"/>
            <w:vAlign w:val="bottom"/>
          </w:tcPr>
          <w:p>
            <w:pPr>
              <w:spacing w:after="0"/>
              <w:rPr>
                <w:sz w:val="18"/>
                <w:szCs w:val="18"/>
                <w:color w:val="auto"/>
              </w:rPr>
            </w:pPr>
          </w:p>
        </w:tc>
      </w:tr>
      <w:tr>
        <w:trPr>
          <w:trHeight w:val="210"/>
        </w:trPr>
        <w:tc>
          <w:tcPr>
            <w:tcW w:w="45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4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2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45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jc w:val="right"/>
              <w:ind w:right="687"/>
              <w:spacing w:after="0"/>
              <w:rPr>
                <w:sz w:val="20"/>
                <w:szCs w:val="20"/>
                <w:color w:val="auto"/>
              </w:rPr>
            </w:pPr>
            <w:r>
              <w:rPr>
                <w:rFonts w:ascii="Arial" w:cs="Arial" w:eastAsia="Arial" w:hAnsi="Arial"/>
                <w:sz w:val="18"/>
                <w:szCs w:val="18"/>
                <w:color w:val="auto"/>
              </w:rPr>
              <w:t>– more –</w:t>
            </w: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7"/>
        </w:trPr>
        <w:tc>
          <w:tcPr>
            <w:tcW w:w="4580" w:type="dxa"/>
            <w:vAlign w:val="bottom"/>
          </w:tcPr>
          <w:p>
            <w:pPr>
              <w:ind w:left="2200"/>
              <w:spacing w:after="0"/>
              <w:rPr>
                <w:sz w:val="20"/>
                <w:szCs w:val="20"/>
                <w:color w:val="auto"/>
              </w:rPr>
            </w:pPr>
            <w:r>
              <w:rPr>
                <w:rFonts w:ascii="Arial" w:cs="Arial" w:eastAsia="Arial" w:hAnsi="Arial"/>
                <w:sz w:val="18"/>
                <w:szCs w:val="18"/>
                <w:b w:val="1"/>
                <w:bCs w:val="1"/>
                <w:color w:val="auto"/>
              </w:rPr>
              <w:t>333 Clay Street, Suite 1600</w:t>
            </w:r>
          </w:p>
        </w:tc>
        <w:tc>
          <w:tcPr>
            <w:tcW w:w="2220" w:type="dxa"/>
            <w:vAlign w:val="bottom"/>
            <w:gridSpan w:val="2"/>
          </w:tcPr>
          <w:p>
            <w:pPr>
              <w:jc w:val="right"/>
              <w:ind w:right="347"/>
              <w:spacing w:after="0"/>
              <w:rPr>
                <w:sz w:val="20"/>
                <w:szCs w:val="20"/>
                <w:color w:val="auto"/>
              </w:rPr>
            </w:pPr>
            <w:r>
              <w:rPr>
                <w:rFonts w:ascii="Arial" w:cs="Arial" w:eastAsia="Arial" w:hAnsi="Arial"/>
                <w:sz w:val="18"/>
                <w:szCs w:val="18"/>
                <w:b w:val="1"/>
                <w:bCs w:val="1"/>
                <w:color w:val="auto"/>
                <w:w w:val="94"/>
              </w:rPr>
              <w:t>Houston, Texas 77002</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5"/>
              </w:rPr>
              <w:t>(713)</w:t>
            </w:r>
          </w:p>
        </w:tc>
        <w:tc>
          <w:tcPr>
            <w:tcW w:w="2000" w:type="dxa"/>
            <w:vAlign w:val="bottom"/>
            <w:gridSpan w:val="5"/>
          </w:tcPr>
          <w:p>
            <w:pPr>
              <w:jc w:val="right"/>
              <w:spacing w:after="0"/>
              <w:rPr>
                <w:sz w:val="20"/>
                <w:szCs w:val="20"/>
                <w:color w:val="auto"/>
              </w:rPr>
            </w:pPr>
            <w:r>
              <w:rPr>
                <w:rFonts w:ascii="Arial" w:cs="Arial" w:eastAsia="Arial" w:hAnsi="Arial"/>
                <w:sz w:val="18"/>
                <w:szCs w:val="18"/>
                <w:b w:val="1"/>
                <w:bCs w:val="1"/>
                <w:color w:val="auto"/>
                <w:w w:val="91"/>
              </w:rPr>
              <w:t>646-4100 / (866) 809-1291</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8"/>
        </w:trPr>
        <w:tc>
          <w:tcPr>
            <w:tcW w:w="45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16</w:t>
      </w:r>
    </w:p>
    <w:p>
      <w:pPr>
        <w:sectPr>
          <w:pgSz w:w="11900" w:h="16838" w:orient="portrait"/>
          <w:cols w:equalWidth="0" w:num="1">
            <w:col w:w="11460"/>
          </w:cols>
          <w:pgMar w:left="240" w:top="213" w:right="199" w:bottom="0" w:gutter="0" w:footer="0" w:header="0"/>
        </w:sectPr>
      </w:pPr>
    </w:p>
    <w:bookmarkStart w:id="12" w:name="page13"/>
    <w:bookmarkEnd w:id="12"/>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2015</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2014</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Consolidating</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Borders>
              <w:right w:val="single" w:sz="8" w:color="auto"/>
            </w:tcBorders>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PAGP</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4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right w:val="single" w:sz="8" w:color="auto"/>
            </w:tcBorders>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4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(2)</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9,459</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4,135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4,135</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4,653</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343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Interest expense, net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60" w:type="dxa"/>
            <w:vAlign w:val="bottom"/>
          </w:tcPr>
          <w:p>
            <w:pPr>
              <w:ind w:left="18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interests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PAGP</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BASIC NET INCOME PER CLASS A SHARE</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CLASS A SHARE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CLASS A SHARES OUTSTANDING</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560" w:hanging="332"/>
        <w:spacing w:after="0" w:line="251" w:lineRule="auto"/>
        <w:tabs>
          <w:tab w:leader="none" w:pos="328"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The 2014 periods have been retroactively adjusted to reflect the reclassification of the amortization of debt issuance costs from “Depreciation and amortization” to “Interest expense, net” as a result of our adoption of revised debt issuance costs guidance issued by the FASB.</w:t>
      </w:r>
    </w:p>
    <w:p>
      <w:pPr>
        <w:spacing w:after="0" w:line="1" w:lineRule="exact"/>
        <w:rPr>
          <w:rFonts w:ascii="Arial" w:cs="Arial" w:eastAsia="Arial" w:hAnsi="Arial"/>
          <w:sz w:val="21"/>
          <w:szCs w:val="21"/>
          <w:color w:val="auto"/>
          <w:vertAlign w:val="superscript"/>
        </w:rPr>
      </w:pPr>
    </w:p>
    <w:p>
      <w:pPr>
        <w:ind w:left="320" w:hanging="312"/>
        <w:spacing w:after="0" w:line="196" w:lineRule="auto"/>
        <w:tabs>
          <w:tab w:leader="none" w:pos="3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Twelve Months Ended</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Twelve Months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4"/>
                <w:szCs w:val="14"/>
                <w:b w:val="1"/>
                <w:bCs w:val="1"/>
                <w:color w:val="auto"/>
                <w:w w:val="91"/>
              </w:rPr>
              <w:t>December 31, 2015</w:t>
            </w: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1"/>
              </w:rPr>
              <w:t>December 31, 2014</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PAA</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3"/>
          </w:tcPr>
          <w:p>
            <w:pPr>
              <w:jc w:val="center"/>
              <w:ind w:right="540"/>
              <w:spacing w:after="0" w:line="119" w:lineRule="exact"/>
              <w:rPr>
                <w:sz w:val="20"/>
                <w:szCs w:val="20"/>
                <w:color w:val="auto"/>
              </w:rPr>
            </w:pPr>
            <w:r>
              <w:rPr>
                <w:rFonts w:ascii="Arial" w:cs="Arial" w:eastAsia="Arial" w:hAnsi="Arial"/>
                <w:sz w:val="13"/>
                <w:szCs w:val="13"/>
                <w:b w:val="1"/>
                <w:bCs w:val="1"/>
                <w:color w:val="auto"/>
                <w:w w:val="96"/>
              </w:rPr>
              <w:t>Consolidating</w:t>
            </w:r>
          </w:p>
        </w:tc>
        <w:tc>
          <w:tcPr>
            <w:tcW w:w="1020" w:type="dxa"/>
            <w:vAlign w:val="bottom"/>
            <w:tcBorders>
              <w:right w:val="single" w:sz="8" w:color="auto"/>
            </w:tcBorders>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PAGP</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PAA</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center"/>
              <w:ind w:right="54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(2)</w:t>
            </w:r>
          </w:p>
        </w:tc>
        <w:tc>
          <w:tcPr>
            <w:tcW w:w="1020" w:type="dxa"/>
            <w:vAlign w:val="bottom"/>
            <w:tcBorders>
              <w:right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50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(2)</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23,152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43,464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   $</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19,726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19,726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39,500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21,894</w:t>
            </w: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41,665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4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1,262</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1,258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1,799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Interest expense, net</w:t>
            </w:r>
          </w:p>
        </w:tc>
        <w:tc>
          <w:tcPr>
            <w:tcW w:w="4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(443)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(348)</w:t>
            </w: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4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ind w:left="18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rPr>
              <w:t>interests</w:t>
            </w:r>
          </w:p>
        </w:tc>
        <w:tc>
          <w:tcPr>
            <w:tcW w:w="4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(688)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(691)</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(1,256)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ATTRIBUTABLE TO</w:t>
            </w:r>
          </w:p>
        </w:tc>
        <w:tc>
          <w:tcPr>
            <w:tcW w:w="4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640" w:type="dxa"/>
            <w:vAlign w:val="bottom"/>
            <w:vMerge w:val="continue"/>
            <w:shd w:val="clear" w:color="auto" w:fill="CCEEFF"/>
          </w:tcPr>
          <w:p>
            <w:pPr>
              <w:spacing w:after="0"/>
              <w:rPr>
                <w:sz w:val="15"/>
                <w:szCs w:val="15"/>
                <w:color w:val="auto"/>
              </w:rPr>
            </w:pP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903</w:t>
            </w:r>
          </w:p>
        </w:tc>
        <w:tc>
          <w:tcPr>
            <w:tcW w:w="900" w:type="dxa"/>
            <w:vAlign w:val="bottom"/>
            <w:gridSpan w:val="2"/>
            <w:vMerge w:val="restart"/>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4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0"/>
              </w:rPr>
              <w:t>(785)</w:t>
            </w:r>
          </w:p>
        </w:tc>
        <w:tc>
          <w:tcPr>
            <w:tcW w:w="4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0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(1,314)</w:t>
            </w:r>
          </w:p>
        </w:tc>
        <w:tc>
          <w:tcPr>
            <w:tcW w:w="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PAGP</w:t>
            </w:r>
          </w:p>
        </w:tc>
        <w:tc>
          <w:tcPr>
            <w:tcW w:w="440" w:type="dxa"/>
            <w:vAlign w:val="bottom"/>
            <w:vMerge w:val="continue"/>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860" w:type="dxa"/>
            <w:vAlign w:val="bottom"/>
            <w:tcBorders>
              <w:right w:val="single" w:sz="8" w:color="auto"/>
            </w:tcBorders>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BASIC NET INCOME PER CLASS A SHARE</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EFF"/>
            </w:tcBorders>
            <w:gridSpan w:val="2"/>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CLASS A SHARE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gridSpan w:val="3"/>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gridSpan w:val="3"/>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w w:val="99"/>
              </w:rPr>
              <w:t>DILUTED WEIGHTED AVERAGE CLASS A SHARES OUTSTANDING</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560" w:hanging="332"/>
        <w:spacing w:after="0" w:line="251" w:lineRule="auto"/>
        <w:tabs>
          <w:tab w:leader="none" w:pos="328"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The 2014 periods have been retroactively adjusted to reflect the reclassification of the amortization of debt issuance costs from “Depreciation and amortization” to “Interest expense, net” as a result of our adoption of revised debt issuance costs guidance issued by the FASB.</w:t>
      </w:r>
    </w:p>
    <w:p>
      <w:pPr>
        <w:spacing w:after="0" w:line="1" w:lineRule="exact"/>
        <w:rPr>
          <w:rFonts w:ascii="Arial" w:cs="Arial" w:eastAsia="Arial" w:hAnsi="Arial"/>
          <w:sz w:val="21"/>
          <w:szCs w:val="21"/>
          <w:color w:val="auto"/>
          <w:vertAlign w:val="superscript"/>
        </w:rPr>
      </w:pPr>
    </w:p>
    <w:p>
      <w:pPr>
        <w:ind w:left="320" w:hanging="312"/>
        <w:spacing w:after="0" w:line="196" w:lineRule="auto"/>
        <w:tabs>
          <w:tab w:leader="none" w:pos="32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2014</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Consolidating</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right w:val="single" w:sz="8" w:color="auto"/>
            </w:tcBorders>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PAGP</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Consolidating</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6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right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32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2,969</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2,972</w:t>
            </w:r>
          </w:p>
        </w:tc>
        <w:tc>
          <w:tcPr>
            <w:tcW w:w="16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4,181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13,493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2,405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2,405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1,835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1,835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1,705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Long-term inventory</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22,288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24,142</w:t>
            </w:r>
          </w:p>
        </w:tc>
        <w:tc>
          <w:tcPr>
            <w:tcW w:w="200" w:type="dxa"/>
            <w:vAlign w:val="bottom"/>
            <w:tcBorders>
              <w:bottom w:val="single" w:sz="8" w:color="CCEEFF"/>
              <w:right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22,198</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gridSpan w:val="2"/>
          </w:tcPr>
          <w:p>
            <w:pPr>
              <w:spacing w:after="0" w:line="201" w:lineRule="exact"/>
              <w:rPr>
                <w:sz w:val="20"/>
                <w:szCs w:val="20"/>
                <w:color w:val="auto"/>
              </w:rPr>
            </w:pPr>
            <w:r>
              <w:rPr>
                <w:rFonts w:ascii="Arial" w:cs="Arial" w:eastAsia="Arial" w:hAnsi="Arial"/>
                <w:sz w:val="18"/>
                <w:szCs w:val="18"/>
                <w:color w:val="auto"/>
                <w:w w:val="96"/>
              </w:rPr>
              <w:t>Senior notes, net of unamortized discounts and</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debt issuance costs</w:t>
            </w:r>
          </w:p>
        </w:tc>
        <w:tc>
          <w:tcPr>
            <w:tcW w:w="2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9,698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9,698</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8,699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8,699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Other long-term debt, net of unamortized debt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issuance costs</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1,234</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w w:val="99"/>
              </w:rPr>
              <w:t>Other long-term liabilities and deferred credits</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567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14,908</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Partners’ capital excluding noncontrolling</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7,881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(6,119)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1,762</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(6,476)</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7,414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7,472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7,666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7,724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9,234</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gridSpan w:val="2"/>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24,142</w:t>
            </w: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0" w:gutter="0" w:footer="0" w:header="0"/>
        </w:sectPr>
      </w:pPr>
    </w:p>
    <w:bookmarkStart w:id="14" w:name="page15"/>
    <w:bookmarkEnd w:id="14"/>
    <w:p>
      <w:pPr>
        <w:spacing w:after="0" w:line="62" w:lineRule="exact"/>
        <w:rPr>
          <w:sz w:val="20"/>
          <w:szCs w:val="20"/>
          <w:color w:val="auto"/>
        </w:rPr>
      </w:pPr>
    </w:p>
    <w:p>
      <w:pPr>
        <w:ind w:left="340" w:right="40" w:hanging="332"/>
        <w:spacing w:after="0" w:line="234" w:lineRule="auto"/>
        <w:tabs>
          <w:tab w:leader="none" w:pos="32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The 2014 period has been retroactively adjusted to reflect the reclassification of certain debt issuance costs from “Other long-term assets, net” to “Senior notes, net of unamortized discounts and debt issuance costs” and “Other long-term debt, net of unamortized debt issuance costs” as a result of our adoption of revised debt issuance costs guidance issued by the FASB.</w:t>
      </w:r>
    </w:p>
    <w:p>
      <w:pPr>
        <w:spacing w:after="0" w:line="1" w:lineRule="exact"/>
        <w:rPr>
          <w:rFonts w:ascii="Arial" w:cs="Arial" w:eastAsia="Arial" w:hAnsi="Arial"/>
          <w:sz w:val="23"/>
          <w:szCs w:val="23"/>
          <w:color w:val="auto"/>
          <w:vertAlign w:val="superscript"/>
        </w:rPr>
      </w:pPr>
    </w:p>
    <w:p>
      <w:pPr>
        <w:ind w:left="320" w:hanging="312"/>
        <w:spacing w:after="0" w:line="196" w:lineRule="auto"/>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DISTRIBUTION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Q4 2015 PAGP DISTRIBUTION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per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xml:space="preserve">Q4 2015 </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PAA Distribution/Common Unit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GP Distribution/Common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0.3885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Distribution/Common Unit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PAA Common Units Outstanding at 1/29/16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Gross GP Distribution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Less: IDR Reduction</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Net Distribution from PAA to AAP </w:t>
            </w:r>
            <w:r>
              <w:rPr>
                <w:rFonts w:ascii="Arial" w:cs="Arial" w:eastAsia="Arial" w:hAnsi="Arial"/>
                <w:sz w:val="23"/>
                <w:szCs w:val="23"/>
                <w:color w:val="auto"/>
                <w:vertAlign w:val="superscript"/>
              </w:rPr>
              <w:t>(2)</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Less: Debt Service</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G&amp;A Expense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Available for Distribution by AAP</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b w:val="1"/>
                <w:bCs w:val="1"/>
                <w:color w:val="auto"/>
              </w:rPr>
              <w:t>Distributions to AAP Partners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AAP Owners &amp; AAP Management (63% economic interest)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PAGP (37% economic interest)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distributions to AAP Partners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Distribution to PAGP Investors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PAGP Class A Shares Outstanding at 1/29/16</w:t>
            </w: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PAGP Distribution/Class A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Amounts may not recalculate due to rounding.</w:t>
      </w:r>
    </w:p>
    <w:p>
      <w:pPr>
        <w:spacing w:after="0"/>
        <w:rPr>
          <w:sz w:val="20"/>
          <w:szCs w:val="20"/>
          <w:color w:val="auto"/>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Plains AAP, L.P. (“AAP”) is the general partner of PAA.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right="478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CLASS A SHARE </w:t>
      </w:r>
      <w:r>
        <w:rPr>
          <w:rFonts w:ascii="Arial" w:cs="Arial" w:eastAsia="Arial" w:hAnsi="Arial"/>
          <w:sz w:val="18"/>
          <w:szCs w:val="18"/>
          <w:color w:val="auto"/>
        </w:rPr>
        <w:t>(in millions, except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60" w:type="dxa"/>
            <w:vAlign w:val="bottom"/>
            <w:gridSpan w:val="4"/>
          </w:tcPr>
          <w:p>
            <w:pPr>
              <w:jc w:val="right"/>
              <w:ind w:right="15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6"/>
          </w:tcPr>
          <w:p>
            <w:pPr>
              <w:ind w:left="30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394"/>
              <w:spacing w:after="0"/>
              <w:rPr>
                <w:sz w:val="20"/>
                <w:szCs w:val="20"/>
                <w:color w:val="auto"/>
              </w:rPr>
            </w:pPr>
            <w:r>
              <w:rPr>
                <w:rFonts w:ascii="Arial" w:cs="Arial" w:eastAsia="Arial" w:hAnsi="Arial"/>
                <w:sz w:val="14"/>
                <w:szCs w:val="14"/>
                <w:b w:val="1"/>
                <w:bCs w:val="1"/>
                <w:color w:val="auto"/>
                <w:w w:val="96"/>
              </w:rPr>
              <w:t>December 31,</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Class A Share</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112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780" w:type="dxa"/>
            <w:vAlign w:val="bottom"/>
          </w:tcPr>
          <w:p>
            <w:pPr>
              <w:jc w:val="right"/>
              <w:ind w:right="594"/>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weighted average Class A shares outstanding</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w:t>
            </w:r>
          </w:p>
        </w:tc>
        <w:tc>
          <w:tcPr>
            <w:tcW w:w="7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net income per Class A share</w:t>
            </w:r>
          </w:p>
        </w:tc>
        <w:tc>
          <w:tcPr>
            <w:tcW w:w="112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0.11</w:t>
            </w:r>
          </w:p>
        </w:tc>
        <w:tc>
          <w:tcPr>
            <w:tcW w:w="7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Class A Share</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112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780" w:type="dxa"/>
            <w:vAlign w:val="bottom"/>
          </w:tcPr>
          <w:p>
            <w:pPr>
              <w:jc w:val="right"/>
              <w:ind w:right="594"/>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Incremental net income attributable to PAGP resulting from assumed</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exchange of AAP units and AAP Management Units</w:t>
            </w: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vMerge w:val="restart"/>
          </w:tcPr>
          <w:p>
            <w:pPr>
              <w:ind w:left="180"/>
              <w:spacing w:after="0" w:line="201" w:lineRule="exact"/>
              <w:rPr>
                <w:sz w:val="20"/>
                <w:szCs w:val="20"/>
                <w:color w:val="auto"/>
              </w:rPr>
            </w:pPr>
            <w:r>
              <w:rPr>
                <w:rFonts w:ascii="Arial" w:cs="Arial" w:eastAsia="Arial" w:hAnsi="Arial"/>
                <w:sz w:val="18"/>
                <w:szCs w:val="18"/>
                <w:color w:val="auto"/>
                <w:w w:val="97"/>
              </w:rPr>
              <w:t>Net income attributable to PAGP including incremental net income from</w:t>
            </w: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720" w:type="dxa"/>
            <w:vAlign w:val="bottom"/>
            <w:vMerge w:val="continue"/>
          </w:tcPr>
          <w:p>
            <w:pPr>
              <w:spacing w:after="0"/>
              <w:rPr>
                <w:sz w:val="15"/>
                <w:szCs w:val="15"/>
                <w:color w:val="auto"/>
              </w:rPr>
            </w:pPr>
          </w:p>
        </w:tc>
        <w:tc>
          <w:tcPr>
            <w:tcW w:w="1120" w:type="dxa"/>
            <w:vAlign w:val="bottom"/>
            <w:gridSpan w:val="2"/>
            <w:vMerge w:val="restart"/>
          </w:tcPr>
          <w:p>
            <w:pPr>
              <w:jc w:val="right"/>
              <w:ind w:right="628"/>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25</w:t>
            </w:r>
          </w:p>
        </w:tc>
        <w:tc>
          <w:tcPr>
            <w:tcW w:w="780" w:type="dxa"/>
            <w:vAlign w:val="bottom"/>
            <w:vMerge w:val="restart"/>
          </w:tcPr>
          <w:p>
            <w:pPr>
              <w:jc w:val="right"/>
              <w:ind w:right="594"/>
              <w:spacing w:after="0"/>
              <w:rPr>
                <w:sz w:val="20"/>
                <w:szCs w:val="20"/>
                <w:color w:val="auto"/>
              </w:rPr>
            </w:pPr>
            <w:r>
              <w:rPr>
                <w:rFonts w:ascii="Arial" w:cs="Arial" w:eastAsia="Arial" w:hAnsi="Arial"/>
                <w:sz w:val="18"/>
                <w:szCs w:val="18"/>
                <w:color w:val="auto"/>
                <w:w w:val="79"/>
              </w:rPr>
              <w:t>$</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118</w:t>
            </w:r>
          </w:p>
        </w:tc>
        <w:tc>
          <w:tcPr>
            <w:tcW w:w="4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20" w:type="dxa"/>
            <w:vAlign w:val="bottom"/>
          </w:tcPr>
          <w:p>
            <w:pPr>
              <w:ind w:left="360"/>
              <w:spacing w:after="0"/>
              <w:rPr>
                <w:sz w:val="20"/>
                <w:szCs w:val="20"/>
                <w:color w:val="auto"/>
              </w:rPr>
            </w:pPr>
            <w:r>
              <w:rPr>
                <w:rFonts w:ascii="Arial" w:cs="Arial" w:eastAsia="Arial" w:hAnsi="Arial"/>
                <w:sz w:val="18"/>
                <w:szCs w:val="18"/>
                <w:color w:val="auto"/>
              </w:rPr>
              <w:t>assumed exchange of AAP units and AAP Management Units</w:t>
            </w:r>
          </w:p>
        </w:tc>
        <w:tc>
          <w:tcPr>
            <w:tcW w:w="1120" w:type="dxa"/>
            <w:vAlign w:val="bottom"/>
            <w:gridSpan w:val="2"/>
            <w:vMerge w:val="continue"/>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3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480" w:type="dxa"/>
            <w:vAlign w:val="bottom"/>
            <w:gridSpan w:val="2"/>
            <w:vMerge w:val="continue"/>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125" w:right="2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40" w:type="dxa"/>
            <w:vAlign w:val="bottom"/>
          </w:tcPr>
          <w:p>
            <w:pPr>
              <w:ind w:left="200"/>
              <w:spacing w:after="0"/>
              <w:rPr>
                <w:sz w:val="20"/>
                <w:szCs w:val="20"/>
                <w:color w:val="auto"/>
              </w:rPr>
            </w:pPr>
            <w:r>
              <w:rPr>
                <w:rFonts w:ascii="Arial" w:cs="Arial" w:eastAsia="Arial" w:hAnsi="Arial"/>
                <w:sz w:val="18"/>
                <w:szCs w:val="18"/>
                <w:color w:val="auto"/>
              </w:rPr>
              <w:t>Basic weighted average Class A shares outstanding</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228</w:t>
            </w:r>
          </w:p>
        </w:tc>
        <w:tc>
          <w:tcPr>
            <w:tcW w:w="4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172</w:t>
            </w:r>
          </w:p>
        </w:tc>
        <w:tc>
          <w:tcPr>
            <w:tcW w:w="4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222</w:t>
            </w:r>
          </w:p>
        </w:tc>
        <w:tc>
          <w:tcPr>
            <w:tcW w:w="4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r>
      <w:tr>
        <w:trPr>
          <w:trHeight w:val="202"/>
        </w:trPr>
        <w:tc>
          <w:tcPr>
            <w:tcW w:w="584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w w:val="94"/>
              </w:rPr>
              <w:t>Dilutive shares resulting from assumed exchange of AAP units and AAP</w:t>
            </w: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Management Units</w:t>
            </w:r>
          </w:p>
        </w:tc>
        <w:tc>
          <w:tcPr>
            <w:tcW w:w="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478</w:t>
            </w:r>
          </w:p>
        </w:tc>
        <w:tc>
          <w:tcPr>
            <w:tcW w:w="4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505</w:t>
            </w:r>
          </w:p>
        </w:tc>
        <w:tc>
          <w:tcPr>
            <w:tcW w:w="80" w:type="dxa"/>
            <w:vAlign w:val="bottom"/>
            <w:shd w:val="clear" w:color="auto" w:fill="CCEEFF"/>
          </w:tcPr>
          <w:p>
            <w:pPr>
              <w:spacing w:after="0"/>
              <w:rPr>
                <w:sz w:val="20"/>
                <w:szCs w:val="20"/>
                <w:color w:val="auto"/>
              </w:rPr>
            </w:pPr>
          </w:p>
        </w:tc>
      </w:tr>
      <w:tr>
        <w:trPr>
          <w:trHeight w:val="250"/>
        </w:trPr>
        <w:tc>
          <w:tcPr>
            <w:tcW w:w="58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Diluted weighted average Class A shares outstanding</w:t>
            </w:r>
          </w:p>
        </w:tc>
        <w:tc>
          <w:tcPr>
            <w:tcW w:w="24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20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2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97"/>
        </w:trPr>
        <w:tc>
          <w:tcPr>
            <w:tcW w:w="5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840" w:type="dxa"/>
            <w:vAlign w:val="bottom"/>
          </w:tcPr>
          <w:p>
            <w:pPr>
              <w:ind w:left="200"/>
              <w:spacing w:after="0"/>
              <w:rPr>
                <w:sz w:val="20"/>
                <w:szCs w:val="20"/>
                <w:color w:val="auto"/>
              </w:rPr>
            </w:pPr>
            <w:r>
              <w:rPr>
                <w:rFonts w:ascii="Arial" w:cs="Arial" w:eastAsia="Arial" w:hAnsi="Arial"/>
                <w:sz w:val="18"/>
                <w:szCs w:val="18"/>
                <w:color w:val="auto"/>
              </w:rPr>
              <w:t>Diluted net income per Class A share</w:t>
            </w: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0.11</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0.13</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0.53</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0.47</w:t>
            </w:r>
          </w:p>
        </w:tc>
        <w:tc>
          <w:tcPr>
            <w:tcW w:w="80" w:type="dxa"/>
            <w:vAlign w:val="bottom"/>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gridSpan w:val="2"/>
          </w:tcPr>
          <w:p>
            <w:pPr>
              <w:spacing w:after="0"/>
              <w:rPr>
                <w:sz w:val="20"/>
                <w:szCs w:val="20"/>
                <w:color w:val="auto"/>
              </w:rPr>
            </w:pPr>
            <w:r>
              <w:rPr>
                <w:rFonts w:ascii="Arial" w:cs="Arial" w:eastAsia="Arial" w:hAnsi="Arial"/>
                <w:sz w:val="18"/>
                <w:szCs w:val="18"/>
                <w:color w:val="auto"/>
              </w:rPr>
              <w:t>Contacts:</w:t>
            </w:r>
          </w:p>
        </w:tc>
        <w:tc>
          <w:tcPr>
            <w:tcW w:w="228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8"/>
        </w:trPr>
        <w:tc>
          <w:tcPr>
            <w:tcW w:w="4500" w:type="dxa"/>
            <w:vAlign w:val="bottom"/>
            <w:gridSpan w:val="2"/>
          </w:tcPr>
          <w:p>
            <w:pPr>
              <w:spacing w:after="0"/>
              <w:rPr>
                <w:sz w:val="20"/>
                <w:szCs w:val="20"/>
                <w:color w:val="auto"/>
              </w:rPr>
            </w:pPr>
            <w:r>
              <w:rPr>
                <w:rFonts w:ascii="Arial" w:cs="Arial" w:eastAsia="Arial" w:hAnsi="Arial"/>
                <w:sz w:val="18"/>
                <w:szCs w:val="18"/>
                <w:color w:val="auto"/>
              </w:rPr>
              <w:t>Ryan Smith</w:t>
            </w:r>
          </w:p>
        </w:tc>
        <w:tc>
          <w:tcPr>
            <w:tcW w:w="2280" w:type="dxa"/>
            <w:vAlign w:val="bottom"/>
          </w:tcPr>
          <w:p>
            <w:pPr>
              <w:ind w:left="1340"/>
              <w:spacing w:after="0"/>
              <w:rPr>
                <w:sz w:val="20"/>
                <w:szCs w:val="20"/>
                <w:color w:val="auto"/>
              </w:rPr>
            </w:pPr>
            <w:r>
              <w:rPr>
                <w:rFonts w:ascii="Arial" w:cs="Arial" w:eastAsia="Arial" w:hAnsi="Arial"/>
                <w:sz w:val="18"/>
                <w:szCs w:val="18"/>
                <w:color w:val="auto"/>
                <w:w w:val="96"/>
              </w:rPr>
              <w:t>Al Swanson</w:t>
            </w:r>
          </w:p>
        </w:tc>
        <w:tc>
          <w:tcPr>
            <w:tcW w:w="4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Director, Investor Relations</w:t>
            </w:r>
          </w:p>
        </w:tc>
        <w:tc>
          <w:tcPr>
            <w:tcW w:w="6920" w:type="dxa"/>
            <w:vAlign w:val="bottom"/>
            <w:gridSpan w:val="2"/>
          </w:tcPr>
          <w:p>
            <w:pPr>
              <w:ind w:left="1340"/>
              <w:spacing w:after="0"/>
              <w:rPr>
                <w:sz w:val="20"/>
                <w:szCs w:val="20"/>
                <w:color w:val="auto"/>
              </w:rPr>
            </w:pPr>
            <w:r>
              <w:rPr>
                <w:rFonts w:ascii="Arial" w:cs="Arial" w:eastAsia="Arial" w:hAnsi="Arial"/>
                <w:sz w:val="18"/>
                <w:szCs w:val="18"/>
                <w:color w:val="auto"/>
              </w:rPr>
              <w:t>Executive Vice President, CFO</w:t>
            </w:r>
          </w:p>
        </w:tc>
        <w:tc>
          <w:tcPr>
            <w:tcW w:w="40" w:type="dxa"/>
            <w:vAlign w:val="bottom"/>
          </w:tcPr>
          <w:p>
            <w:pPr>
              <w:spacing w:after="0"/>
              <w:rPr>
                <w:sz w:val="18"/>
                <w:szCs w:val="18"/>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(866) 809-1291</w:t>
            </w:r>
          </w:p>
        </w:tc>
        <w:tc>
          <w:tcPr>
            <w:tcW w:w="6920" w:type="dxa"/>
            <w:vAlign w:val="bottom"/>
            <w:gridSpan w:val="2"/>
          </w:tcPr>
          <w:p>
            <w:pPr>
              <w:ind w:left="1340"/>
              <w:spacing w:after="0"/>
              <w:rPr>
                <w:sz w:val="20"/>
                <w:szCs w:val="20"/>
                <w:color w:val="auto"/>
              </w:rPr>
            </w:pPr>
            <w:r>
              <w:rPr>
                <w:rFonts w:ascii="Arial" w:cs="Arial" w:eastAsia="Arial" w:hAnsi="Arial"/>
                <w:sz w:val="18"/>
                <w:szCs w:val="18"/>
                <w:color w:val="auto"/>
              </w:rPr>
              <w:t>(800) 564-3036</w:t>
            </w:r>
          </w:p>
        </w:tc>
        <w:tc>
          <w:tcPr>
            <w:tcW w:w="40" w:type="dxa"/>
            <w:vAlign w:val="bottom"/>
          </w:tcPr>
          <w:p>
            <w:pPr>
              <w:spacing w:after="0"/>
              <w:rPr>
                <w:sz w:val="20"/>
                <w:szCs w:val="20"/>
                <w:color w:val="auto"/>
              </w:rPr>
            </w:pPr>
          </w:p>
        </w:tc>
      </w:tr>
      <w:tr>
        <w:trPr>
          <w:trHeight w:val="432"/>
        </w:trPr>
        <w:tc>
          <w:tcPr>
            <w:tcW w:w="6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w:t>
            </w:r>
          </w:p>
        </w:tc>
        <w:tc>
          <w:tcPr>
            <w:tcW w:w="4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640" w:type="dxa"/>
            <w:vAlign w:val="bottom"/>
          </w:tcPr>
          <w:p>
            <w:pPr>
              <w:spacing w:after="0"/>
              <w:rPr>
                <w:sz w:val="19"/>
                <w:szCs w:val="19"/>
                <w:color w:val="auto"/>
              </w:rPr>
            </w:pPr>
          </w:p>
        </w:tc>
        <w:tc>
          <w:tcPr>
            <w:tcW w:w="3860" w:type="dxa"/>
            <w:vAlign w:val="bottom"/>
          </w:tcPr>
          <w:p>
            <w:pPr>
              <w:ind w:left="1560"/>
              <w:spacing w:after="0"/>
              <w:rPr>
                <w:sz w:val="20"/>
                <w:szCs w:val="20"/>
                <w:color w:val="auto"/>
              </w:rPr>
            </w:pPr>
            <w:r>
              <w:rPr>
                <w:rFonts w:ascii="Arial" w:cs="Arial" w:eastAsia="Arial" w:hAnsi="Arial"/>
                <w:sz w:val="18"/>
                <w:szCs w:val="18"/>
                <w:b w:val="1"/>
                <w:bCs w:val="1"/>
                <w:color w:val="auto"/>
                <w:w w:val="99"/>
              </w:rPr>
              <w:t>333 Clay Street, Suite 1600</w:t>
            </w:r>
          </w:p>
        </w:tc>
        <w:tc>
          <w:tcPr>
            <w:tcW w:w="2280" w:type="dxa"/>
            <w:vAlign w:val="bottom"/>
          </w:tcPr>
          <w:p>
            <w:pPr>
              <w:ind w:left="220"/>
              <w:spacing w:after="0"/>
              <w:rPr>
                <w:sz w:val="20"/>
                <w:szCs w:val="20"/>
                <w:color w:val="auto"/>
              </w:rPr>
            </w:pPr>
            <w:r>
              <w:rPr>
                <w:rFonts w:ascii="Arial" w:cs="Arial" w:eastAsia="Arial" w:hAnsi="Arial"/>
                <w:sz w:val="18"/>
                <w:szCs w:val="18"/>
                <w:b w:val="1"/>
                <w:bCs w:val="1"/>
                <w:color w:val="auto"/>
              </w:rPr>
              <w:t>Houston, Texas 77002</w:t>
            </w:r>
          </w:p>
        </w:tc>
        <w:tc>
          <w:tcPr>
            <w:tcW w:w="4640" w:type="dxa"/>
            <w:vAlign w:val="bottom"/>
          </w:tcPr>
          <w:p>
            <w:pPr>
              <w:jc w:val="right"/>
              <w:ind w:right="2110"/>
              <w:spacing w:after="0"/>
              <w:rPr>
                <w:sz w:val="20"/>
                <w:szCs w:val="20"/>
                <w:color w:val="auto"/>
              </w:rPr>
            </w:pPr>
            <w:r>
              <w:rPr>
                <w:rFonts w:ascii="Arial" w:cs="Arial" w:eastAsia="Arial" w:hAnsi="Arial"/>
                <w:sz w:val="18"/>
                <w:szCs w:val="18"/>
                <w:b w:val="1"/>
                <w:bCs w:val="1"/>
                <w:color w:val="auto"/>
                <w:w w:val="92"/>
              </w:rPr>
              <w:t>(713) 646-4100 / (866) 809-1291</w:t>
            </w:r>
          </w:p>
        </w:tc>
        <w:tc>
          <w:tcPr>
            <w:tcW w:w="40" w:type="dxa"/>
            <w:vAlign w:val="bottom"/>
          </w:tcPr>
          <w:p>
            <w:pPr>
              <w:spacing w:after="0"/>
              <w:rPr>
                <w:sz w:val="19"/>
                <w:szCs w:val="19"/>
                <w:color w:val="auto"/>
              </w:rPr>
            </w:pPr>
          </w:p>
        </w:tc>
      </w:tr>
      <w:tr>
        <w:trPr>
          <w:trHeight w:val="343"/>
        </w:trPr>
        <w:tc>
          <w:tcPr>
            <w:tcW w:w="640" w:type="dxa"/>
            <w:vAlign w:val="bottom"/>
            <w:tcBorders>
              <w:bottom w:val="single" w:sz="8" w:color="808080"/>
            </w:tcBorders>
          </w:tcPr>
          <w:p>
            <w:pPr>
              <w:spacing w:after="0"/>
              <w:rPr>
                <w:sz w:val="24"/>
                <w:szCs w:val="24"/>
                <w:color w:val="auto"/>
              </w:rPr>
            </w:pPr>
          </w:p>
        </w:tc>
        <w:tc>
          <w:tcPr>
            <w:tcW w:w="386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4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4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o"/>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3"/>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2020-01-19T12:48:51Z</dcterms:created>
  <dcterms:modified xsi:type="dcterms:W3CDTF">2020-01-19T12:48:51Z</dcterms:modified>
</cp:coreProperties>
</file>